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0EF7" w:rsidRPr="004C0EF7" w:rsidRDefault="004C0EF7" w:rsidP="004C0EF7">
      <w:pPr>
        <w:spacing w:after="160" w:line="259" w:lineRule="auto"/>
        <w:jc w:val="center"/>
        <w:rPr>
          <w:rFonts w:ascii="Verdana" w:hAnsi="Verdana"/>
          <w:b/>
          <w:i/>
          <w:sz w:val="44"/>
        </w:rPr>
      </w:pP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t xml:space="preserve">Employment Law – </w:t>
      </w:r>
      <w:r w:rsidRPr="004C0EF7">
        <w:rPr>
          <w:rFonts w:ascii="Verdana" w:hAnsi="Verdana"/>
          <w:b/>
          <w:i/>
          <w:sz w:val="44"/>
        </w:rPr>
        <w:t>Providing appropriate advice</w:t>
      </w:r>
    </w:p>
    <w:p w:rsidR="004C0EF7" w:rsidRPr="004C0EF7" w:rsidRDefault="004C0EF7" w:rsidP="004C0EF7">
      <w:pPr>
        <w:spacing w:after="160" w:line="259" w:lineRule="auto"/>
        <w:jc w:val="center"/>
        <w:rPr>
          <w:rFonts w:ascii="Verdana" w:hAnsi="Verdana"/>
          <w:b/>
          <w:i/>
          <w:sz w:val="44"/>
        </w:rPr>
      </w:pPr>
      <w:r w:rsidRPr="004C0EF7">
        <w:rPr>
          <w:rFonts w:ascii="Verdana" w:hAnsi="Verdana"/>
          <w:b/>
          <w:i/>
          <w:sz w:val="44"/>
        </w:rPr>
        <w:t>to the management teams at</w:t>
      </w:r>
    </w:p>
    <w:p w:rsidR="004C0EF7" w:rsidRDefault="004C0EF7" w:rsidP="004C0EF7">
      <w:pPr>
        <w:spacing w:after="160" w:line="259" w:lineRule="auto"/>
        <w:jc w:val="center"/>
        <w:rPr>
          <w:rFonts w:ascii="Verdana" w:hAnsi="Verdana"/>
          <w:b/>
          <w:caps/>
          <w:sz w:val="18"/>
          <w:szCs w:val="18"/>
        </w:rPr>
      </w:pPr>
      <w:r w:rsidRPr="004C0EF7">
        <w:rPr>
          <w:rFonts w:ascii="Verdana" w:hAnsi="Verdana"/>
          <w:b/>
          <w:i/>
          <w:sz w:val="44"/>
        </w:rPr>
        <w:t>two UK based organisations.</w:t>
      </w: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jc w:val="center"/>
        <w:rPr>
          <w:rFonts w:ascii="Verdana" w:hAnsi="Verdana"/>
          <w:b/>
          <w:caps/>
          <w:sz w:val="18"/>
          <w:szCs w:val="18"/>
        </w:rPr>
      </w:pPr>
      <w:r>
        <w:rPr>
          <w:noProof/>
          <w:lang w:eastAsia="en-GB"/>
        </w:rPr>
        <w:drawing>
          <wp:inline distT="0" distB="0" distL="0" distR="0" wp14:anchorId="0C3911C7" wp14:editId="046BC20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4C0EF7" w:rsidRDefault="004C0EF7" w:rsidP="004C0EF7">
      <w:pPr>
        <w:spacing w:after="160" w:line="259" w:lineRule="auto"/>
        <w:rPr>
          <w:rFonts w:ascii="Verdana" w:hAnsi="Verdana"/>
          <w:b/>
          <w:caps/>
          <w:sz w:val="18"/>
          <w:szCs w:val="18"/>
        </w:rPr>
      </w:pPr>
    </w:p>
    <w:p w:rsidR="004C0EF7" w:rsidRPr="002A1AD3" w:rsidRDefault="004C0EF7" w:rsidP="004C0EF7">
      <w:pPr>
        <w:spacing w:after="160" w:line="259" w:lineRule="auto"/>
        <w:jc w:val="center"/>
        <w:rPr>
          <w:rFonts w:ascii="Verdana" w:hAnsi="Verdana"/>
          <w:b/>
          <w:sz w:val="44"/>
        </w:rPr>
      </w:pPr>
      <w:r>
        <w:rPr>
          <w:rFonts w:ascii="Verdana" w:hAnsi="Verdana"/>
          <w:b/>
          <w:sz w:val="44"/>
        </w:rPr>
        <w:t>23</w:t>
      </w:r>
      <w:r w:rsidRPr="004C0EF7">
        <w:rPr>
          <w:rFonts w:ascii="Verdana" w:hAnsi="Verdana"/>
          <w:b/>
          <w:sz w:val="44"/>
          <w:vertAlign w:val="superscript"/>
        </w:rPr>
        <w:t>rd</w:t>
      </w:r>
      <w:r>
        <w:rPr>
          <w:rFonts w:ascii="Verdana" w:hAnsi="Verdana"/>
          <w:b/>
          <w:sz w:val="44"/>
        </w:rPr>
        <w:t xml:space="preserve"> February 2022</w:t>
      </w: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ind w:left="2880" w:hanging="2880"/>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sidRPr="004C0EF7">
        <w:rPr>
          <w:rFonts w:ascii="Verdana" w:hAnsi="Verdana"/>
          <w:b/>
          <w:caps/>
          <w:sz w:val="18"/>
          <w:szCs w:val="18"/>
        </w:rPr>
        <w:t>Advanced Application of Employment Law</w:t>
      </w:r>
      <w:r>
        <w:rPr>
          <w:rFonts w:ascii="Verdana" w:hAnsi="Verdana"/>
          <w:b/>
          <w:caps/>
          <w:sz w:val="18"/>
          <w:szCs w:val="18"/>
        </w:rPr>
        <w:t xml:space="preserve"> : </w:t>
      </w:r>
      <w:r w:rsidRPr="004C0EF7">
        <w:rPr>
          <w:rFonts w:ascii="Verdana" w:hAnsi="Verdana"/>
          <w:b/>
          <w:caps/>
          <w:sz w:val="18"/>
          <w:szCs w:val="18"/>
        </w:rPr>
        <w:t>BMHR7019</w:t>
      </w:r>
    </w:p>
    <w:p w:rsidR="004C0EF7" w:rsidRPr="00506074" w:rsidRDefault="004C0EF7" w:rsidP="004C0EF7">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t>Amy Collins</w:t>
      </w:r>
    </w:p>
    <w:p w:rsidR="004C0EF7" w:rsidRDefault="004C0EF7" w:rsidP="004C0EF7">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506074">
        <w:rPr>
          <w:rFonts w:ascii="Verdana" w:hAnsi="Verdana"/>
          <w:b/>
          <w:caps/>
          <w:sz w:val="18"/>
          <w:szCs w:val="18"/>
        </w:rPr>
        <w:t>1703573</w:t>
      </w: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rPr>
          <w:rFonts w:ascii="Verdana" w:hAnsi="Verdana"/>
          <w:b/>
          <w:caps/>
          <w:sz w:val="18"/>
          <w:szCs w:val="18"/>
        </w:rPr>
      </w:pPr>
    </w:p>
    <w:p w:rsidR="004C0EF7" w:rsidRDefault="004C0EF7" w:rsidP="004C0EF7">
      <w:pPr>
        <w:spacing w:after="160" w:line="259" w:lineRule="auto"/>
        <w:rPr>
          <w:rFonts w:ascii="Verdana" w:hAnsi="Verdana"/>
          <w:b/>
          <w:caps/>
          <w:sz w:val="18"/>
          <w:szCs w:val="18"/>
        </w:rPr>
      </w:pPr>
    </w:p>
    <w:p w:rsidR="003C4C31" w:rsidRDefault="003C4C31" w:rsidP="00B1204E">
      <w:pPr>
        <w:ind w:left="1417" w:right="1417"/>
        <w:rPr>
          <w:rFonts w:ascii="Arial" w:eastAsia="Times New Roman" w:hAnsi="Arial" w:cs="Arial"/>
        </w:rPr>
      </w:pPr>
      <w:r>
        <w:rPr>
          <w:rFonts w:ascii="Arial" w:eastAsia="Times New Roman" w:hAnsi="Arial" w:cs="Arial"/>
        </w:rPr>
        <w:t xml:space="preserve">To whom it may concern, </w:t>
      </w:r>
    </w:p>
    <w:p w:rsidR="003C4C31" w:rsidRDefault="003C4C31" w:rsidP="00B1204E">
      <w:pPr>
        <w:ind w:left="1417" w:right="1417"/>
        <w:rPr>
          <w:rFonts w:ascii="Arial" w:eastAsia="Times New Roman" w:hAnsi="Arial" w:cs="Arial"/>
        </w:rPr>
      </w:pPr>
    </w:p>
    <w:p w:rsidR="006C3DE4" w:rsidRPr="00133F7A" w:rsidRDefault="006C3DE4" w:rsidP="00B1204E">
      <w:pPr>
        <w:ind w:left="1417" w:right="1417"/>
        <w:rPr>
          <w:rFonts w:ascii="Arial" w:eastAsia="Times New Roman" w:hAnsi="Arial" w:cs="Arial"/>
          <w:color w:val="000000" w:themeColor="text1"/>
        </w:rPr>
      </w:pPr>
      <w:r w:rsidRPr="006C3DE4">
        <w:rPr>
          <w:rFonts w:ascii="Arial" w:eastAsia="Times New Roman" w:hAnsi="Arial" w:cs="Arial"/>
        </w:rPr>
        <w:t>I am w</w:t>
      </w:r>
      <w:r w:rsidRPr="00133F7A">
        <w:rPr>
          <w:rFonts w:ascii="Arial" w:eastAsia="Times New Roman" w:hAnsi="Arial" w:cs="Arial"/>
          <w:color w:val="000000" w:themeColor="text1"/>
        </w:rPr>
        <w:t xml:space="preserve">riting to inform you whether a TUPE transfer will be taking place with regards to the employees at Illuminate, and if so what legal obligations both businesses have. I will also be providing a legal and fair redundancy process that can be used in the event that the business finds a need to make redundancies in the future. This email also discusses the business’ options with regards to making changes to employment contracts and the benefits and limitations to doing so. </w:t>
      </w:r>
    </w:p>
    <w:p w:rsidR="006C3DE4" w:rsidRPr="00133F7A" w:rsidRDefault="006C3DE4" w:rsidP="00B1204E">
      <w:pPr>
        <w:ind w:left="1417" w:right="1417"/>
        <w:rPr>
          <w:rFonts w:ascii="Arial" w:eastAsia="Times New Roman" w:hAnsi="Arial" w:cs="Arial"/>
          <w:b/>
          <w:color w:val="000000" w:themeColor="text1"/>
          <w:sz w:val="28"/>
          <w:u w:val="single"/>
        </w:rPr>
      </w:pPr>
    </w:p>
    <w:p w:rsidR="003768F5" w:rsidRPr="00133F7A" w:rsidRDefault="003768F5" w:rsidP="00B1204E">
      <w:pPr>
        <w:ind w:left="1417" w:right="1417"/>
        <w:rPr>
          <w:rFonts w:ascii="Arial" w:eastAsia="Times New Roman" w:hAnsi="Arial" w:cs="Arial"/>
          <w:b/>
          <w:color w:val="000000" w:themeColor="text1"/>
          <w:sz w:val="28"/>
          <w:u w:val="single"/>
        </w:rPr>
      </w:pPr>
      <w:r w:rsidRPr="00133F7A">
        <w:rPr>
          <w:rFonts w:ascii="Arial" w:eastAsia="Times New Roman" w:hAnsi="Arial" w:cs="Arial"/>
          <w:b/>
          <w:color w:val="000000" w:themeColor="text1"/>
          <w:sz w:val="28"/>
          <w:u w:val="single"/>
        </w:rPr>
        <w:t xml:space="preserve">TUPE Transfer? </w:t>
      </w:r>
    </w:p>
    <w:p w:rsidR="006A010A" w:rsidRPr="00133F7A" w:rsidRDefault="006A010A" w:rsidP="00B1204E">
      <w:pPr>
        <w:ind w:left="1417" w:right="1417"/>
        <w:rPr>
          <w:rFonts w:ascii="Arial" w:eastAsia="Times New Roman" w:hAnsi="Arial" w:cs="Arial"/>
          <w:b/>
          <w:color w:val="000000" w:themeColor="text1"/>
          <w:sz w:val="28"/>
          <w:u w:val="single"/>
        </w:rPr>
      </w:pPr>
    </w:p>
    <w:p w:rsidR="00DF14DE" w:rsidRPr="00133F7A" w:rsidRDefault="00170353" w:rsidP="001663EC">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“TUPE stands for Transfer of Undertakings (Protection of Employment).</w:t>
      </w:r>
      <w:r w:rsidR="001663EC" w:rsidRPr="00133F7A">
        <w:rPr>
          <w:rFonts w:ascii="Arial" w:eastAsia="Times New Roman" w:hAnsi="Arial" w:cs="Arial"/>
          <w:color w:val="000000" w:themeColor="text1"/>
        </w:rPr>
        <w:t xml:space="preserve"> </w:t>
      </w:r>
      <w:r w:rsidRPr="00133F7A">
        <w:rPr>
          <w:rFonts w:ascii="Arial" w:eastAsia="Times New Roman" w:hAnsi="Arial" w:cs="Arial"/>
          <w:color w:val="000000" w:themeColor="text1"/>
        </w:rPr>
        <w:t>A 'TUPE transfer' happens when an organisation, or part of it, is transferred from one employer to another or a service is transferred to a new provider, for example when another company takes over the contract for office cleaning” (ACAS, 2021).</w:t>
      </w:r>
    </w:p>
    <w:p w:rsidR="00DF14DE" w:rsidRPr="00133F7A" w:rsidRDefault="00DF14DE" w:rsidP="00B1204E">
      <w:pPr>
        <w:ind w:left="1417" w:right="1417"/>
        <w:rPr>
          <w:rFonts w:ascii="Arial" w:eastAsia="Times New Roman" w:hAnsi="Arial" w:cs="Arial"/>
          <w:color w:val="000000" w:themeColor="text1"/>
        </w:rPr>
      </w:pPr>
    </w:p>
    <w:p w:rsidR="005C459A" w:rsidRPr="00133F7A" w:rsidRDefault="006A010A"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With BBL looking to operate where staff work on both production equipment and general electricity issues, it needs to consider whether it is a TUPE transfer or not.</w:t>
      </w:r>
    </w:p>
    <w:p w:rsidR="005C459A" w:rsidRPr="00133F7A" w:rsidRDefault="005C459A" w:rsidP="00B1204E">
      <w:pPr>
        <w:ind w:left="1417" w:right="1417"/>
        <w:rPr>
          <w:rFonts w:ascii="Arial" w:eastAsia="Times New Roman" w:hAnsi="Arial" w:cs="Arial"/>
          <w:color w:val="000000" w:themeColor="text1"/>
        </w:rPr>
      </w:pPr>
    </w:p>
    <w:p w:rsidR="006A010A" w:rsidRPr="00133F7A" w:rsidRDefault="006A010A"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Based on the</w:t>
      </w:r>
      <w:r w:rsidR="00010847" w:rsidRPr="00133F7A">
        <w:rPr>
          <w:rFonts w:ascii="Arial" w:eastAsia="Times New Roman" w:hAnsi="Arial" w:cs="Arial"/>
          <w:color w:val="000000" w:themeColor="text1"/>
        </w:rPr>
        <w:t>se</w:t>
      </w:r>
      <w:r w:rsidRPr="00133F7A">
        <w:rPr>
          <w:rFonts w:ascii="Arial" w:eastAsia="Times New Roman" w:hAnsi="Arial" w:cs="Arial"/>
          <w:color w:val="000000" w:themeColor="text1"/>
        </w:rPr>
        <w:t xml:space="preserve"> circumstances</w:t>
      </w:r>
      <w:r w:rsidR="00DE4D9A" w:rsidRPr="00133F7A">
        <w:rPr>
          <w:rFonts w:ascii="Arial" w:eastAsia="Times New Roman" w:hAnsi="Arial" w:cs="Arial"/>
          <w:color w:val="000000" w:themeColor="text1"/>
        </w:rPr>
        <w:t xml:space="preserve">, </w:t>
      </w:r>
      <w:r w:rsidR="00010847" w:rsidRPr="00133F7A">
        <w:rPr>
          <w:rFonts w:ascii="Arial" w:eastAsia="Times New Roman" w:hAnsi="Arial" w:cs="Arial"/>
          <w:color w:val="000000" w:themeColor="text1"/>
        </w:rPr>
        <w:t>it could be considered as a service provision change.</w:t>
      </w:r>
      <w:r w:rsidRPr="00133F7A">
        <w:rPr>
          <w:rFonts w:ascii="Arial" w:eastAsia="Times New Roman" w:hAnsi="Arial" w:cs="Arial"/>
          <w:color w:val="000000" w:themeColor="text1"/>
        </w:rPr>
        <w:t xml:space="preserve"> This is where “a client takes over activities from a contractor (known as bringing work in-house or</w:t>
      </w:r>
      <w:r w:rsidR="00B1204E" w:rsidRPr="00133F7A">
        <w:rPr>
          <w:rFonts w:ascii="Arial" w:eastAsia="Times New Roman" w:hAnsi="Arial" w:cs="Arial"/>
          <w:color w:val="000000" w:themeColor="text1"/>
        </w:rPr>
        <w:t xml:space="preserve"> </w:t>
      </w:r>
      <w:r w:rsidRPr="00133F7A">
        <w:rPr>
          <w:rFonts w:ascii="Arial" w:eastAsia="Times New Roman" w:hAnsi="Arial" w:cs="Arial"/>
          <w:color w:val="000000" w:themeColor="text1"/>
        </w:rPr>
        <w:t>insourcing).” (CIPD, 2022).</w:t>
      </w:r>
      <w:r w:rsidR="00010847" w:rsidRPr="00133F7A">
        <w:rPr>
          <w:rFonts w:ascii="Arial" w:eastAsia="Times New Roman" w:hAnsi="Arial" w:cs="Arial"/>
          <w:color w:val="000000" w:themeColor="text1"/>
        </w:rPr>
        <w:t xml:space="preserve"> There is a possibility that Illuminate have more than 15 employees within their workforce with only 15 of them being solely placed to work in BBL</w:t>
      </w:r>
      <w:r w:rsidR="00AB05A4" w:rsidRPr="00133F7A">
        <w:rPr>
          <w:rFonts w:ascii="Arial" w:eastAsia="Times New Roman" w:hAnsi="Arial" w:cs="Arial"/>
          <w:color w:val="000000" w:themeColor="text1"/>
        </w:rPr>
        <w:t xml:space="preserve">, if BBL were to cancel the contract with Illuminate the situation </w:t>
      </w:r>
      <w:r w:rsidR="007E5001" w:rsidRPr="00133F7A">
        <w:rPr>
          <w:rFonts w:ascii="Arial" w:eastAsia="Times New Roman" w:hAnsi="Arial" w:cs="Arial"/>
          <w:color w:val="000000" w:themeColor="text1"/>
        </w:rPr>
        <w:t>can be classed as insourcing. With 15 of Illuminate’s employees being contracted to working at BBL, there is a possibility that they will all be required to transfer over to BBL through a TUPE transfer.</w:t>
      </w:r>
    </w:p>
    <w:p w:rsidR="00C4478D" w:rsidRPr="00133F7A" w:rsidRDefault="00C4478D" w:rsidP="00B1204E">
      <w:pPr>
        <w:ind w:left="1417" w:right="1417"/>
        <w:rPr>
          <w:rFonts w:ascii="Arial" w:eastAsia="Times New Roman" w:hAnsi="Arial" w:cs="Arial"/>
          <w:color w:val="000000" w:themeColor="text1"/>
        </w:rPr>
      </w:pPr>
    </w:p>
    <w:p w:rsidR="00C4478D" w:rsidRPr="00133F7A" w:rsidRDefault="00DE4D9A" w:rsidP="00664420">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However, there is an argument to be had that the scenario</w:t>
      </w:r>
      <w:r w:rsidR="00C4478D" w:rsidRPr="00133F7A">
        <w:rPr>
          <w:rFonts w:ascii="Arial" w:eastAsia="Times New Roman" w:hAnsi="Arial" w:cs="Arial"/>
          <w:color w:val="000000" w:themeColor="text1"/>
        </w:rPr>
        <w:t xml:space="preserve"> </w:t>
      </w:r>
      <w:r w:rsidRPr="00133F7A">
        <w:rPr>
          <w:rFonts w:ascii="Arial" w:eastAsia="Times New Roman" w:hAnsi="Arial" w:cs="Arial"/>
          <w:color w:val="000000" w:themeColor="text1"/>
        </w:rPr>
        <w:t>does not entail all relevant factors to make it</w:t>
      </w:r>
      <w:r w:rsidR="00C4478D" w:rsidRPr="00133F7A">
        <w:rPr>
          <w:rFonts w:ascii="Arial" w:eastAsia="Times New Roman" w:hAnsi="Arial" w:cs="Arial"/>
          <w:color w:val="000000" w:themeColor="text1"/>
        </w:rPr>
        <w:t xml:space="preserve"> a TUPE transfe</w:t>
      </w:r>
      <w:r w:rsidRPr="00133F7A">
        <w:rPr>
          <w:rFonts w:ascii="Arial" w:eastAsia="Times New Roman" w:hAnsi="Arial" w:cs="Arial"/>
          <w:color w:val="000000" w:themeColor="text1"/>
        </w:rPr>
        <w:t xml:space="preserve">r. This </w:t>
      </w:r>
      <w:r w:rsidR="00C4478D" w:rsidRPr="00133F7A">
        <w:rPr>
          <w:rFonts w:ascii="Arial" w:eastAsia="Times New Roman" w:hAnsi="Arial" w:cs="Arial"/>
          <w:color w:val="000000" w:themeColor="text1"/>
        </w:rPr>
        <w:t>is</w:t>
      </w:r>
      <w:r w:rsidRPr="00133F7A">
        <w:rPr>
          <w:rFonts w:ascii="Arial" w:eastAsia="Times New Roman" w:hAnsi="Arial" w:cs="Arial"/>
          <w:color w:val="000000" w:themeColor="text1"/>
        </w:rPr>
        <w:t xml:space="preserve"> because the transfer is</w:t>
      </w:r>
      <w:r w:rsidR="00C4478D" w:rsidRPr="00133F7A">
        <w:rPr>
          <w:rFonts w:ascii="Arial" w:eastAsia="Times New Roman" w:hAnsi="Arial" w:cs="Arial"/>
          <w:color w:val="000000" w:themeColor="text1"/>
        </w:rPr>
        <w:t xml:space="preserve"> not taking place based on the duration of the activities that the illuminate employees carry out. Attending site to install sockets or solving lighting issues may be a single event or be of little duration, </w:t>
      </w:r>
      <w:r w:rsidRPr="00133F7A">
        <w:rPr>
          <w:rFonts w:ascii="Arial" w:eastAsia="Times New Roman" w:hAnsi="Arial" w:cs="Arial"/>
          <w:color w:val="000000" w:themeColor="text1"/>
        </w:rPr>
        <w:t xml:space="preserve">which </w:t>
      </w:r>
      <w:r w:rsidR="00C4478D" w:rsidRPr="00133F7A">
        <w:rPr>
          <w:rFonts w:ascii="Arial" w:eastAsia="Times New Roman" w:hAnsi="Arial" w:cs="Arial"/>
          <w:color w:val="000000" w:themeColor="text1"/>
        </w:rPr>
        <w:t>mean</w:t>
      </w:r>
      <w:r w:rsidR="00B33850" w:rsidRPr="00133F7A">
        <w:rPr>
          <w:rFonts w:ascii="Arial" w:eastAsia="Times New Roman" w:hAnsi="Arial" w:cs="Arial"/>
          <w:color w:val="000000" w:themeColor="text1"/>
        </w:rPr>
        <w:t xml:space="preserve">s that </w:t>
      </w:r>
      <w:r w:rsidR="00C4478D" w:rsidRPr="00133F7A">
        <w:rPr>
          <w:rFonts w:ascii="Arial" w:eastAsia="Times New Roman" w:hAnsi="Arial" w:cs="Arial"/>
          <w:color w:val="000000" w:themeColor="text1"/>
        </w:rPr>
        <w:t xml:space="preserve">a TUPE transfer </w:t>
      </w:r>
      <w:r w:rsidR="00B33850" w:rsidRPr="00133F7A">
        <w:rPr>
          <w:rFonts w:ascii="Arial" w:eastAsia="Times New Roman" w:hAnsi="Arial" w:cs="Arial"/>
          <w:color w:val="000000" w:themeColor="text1"/>
        </w:rPr>
        <w:t xml:space="preserve">may </w:t>
      </w:r>
      <w:r w:rsidR="00C4478D" w:rsidRPr="00133F7A">
        <w:rPr>
          <w:rFonts w:ascii="Arial" w:eastAsia="Times New Roman" w:hAnsi="Arial" w:cs="Arial"/>
          <w:color w:val="000000" w:themeColor="text1"/>
        </w:rPr>
        <w:t>not taking place (CIPD, 2022).</w:t>
      </w:r>
      <w:r w:rsidR="008760B9" w:rsidRPr="00133F7A">
        <w:rPr>
          <w:rFonts w:ascii="Arial" w:eastAsia="Times New Roman" w:hAnsi="Arial" w:cs="Arial"/>
          <w:color w:val="000000" w:themeColor="text1"/>
        </w:rPr>
        <w:t xml:space="preserve"> </w:t>
      </w:r>
      <w:r w:rsidR="00EA7E50" w:rsidRPr="00133F7A">
        <w:rPr>
          <w:rFonts w:ascii="Arial" w:eastAsia="Times New Roman" w:hAnsi="Arial" w:cs="Arial"/>
          <w:color w:val="000000" w:themeColor="text1"/>
        </w:rPr>
        <w:t xml:space="preserve">15 Illuminate employees are contracted to work at BBL 85% of the time, however that does not mean that all of the 15 employees are working at BBL for all of the 85% of the </w:t>
      </w:r>
      <w:r w:rsidR="00EA7E50" w:rsidRPr="00133F7A">
        <w:rPr>
          <w:rFonts w:ascii="Arial" w:eastAsia="Times New Roman" w:hAnsi="Arial" w:cs="Arial"/>
          <w:color w:val="000000" w:themeColor="text1"/>
        </w:rPr>
        <w:lastRenderedPageBreak/>
        <w:t xml:space="preserve">time. A number of employees may work at BBL a lot of the time, others may spend a lot less than 85% of their time working for BBL. This means that it would not be considered to be a TUPE transfer. </w:t>
      </w:r>
    </w:p>
    <w:p w:rsidR="00C4478D" w:rsidRPr="00133F7A" w:rsidRDefault="00C4478D" w:rsidP="00B1204E">
      <w:pPr>
        <w:ind w:left="1417" w:right="1417"/>
        <w:rPr>
          <w:rFonts w:ascii="Arial" w:eastAsia="Times New Roman" w:hAnsi="Arial" w:cs="Arial"/>
          <w:color w:val="000000" w:themeColor="text1"/>
        </w:rPr>
      </w:pPr>
    </w:p>
    <w:p w:rsidR="007B213C" w:rsidRPr="00133F7A" w:rsidRDefault="00C4478D"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Illuminate have a group of 15 employees that work 85% of the time at BBL. This indicates that </w:t>
      </w:r>
      <w:r w:rsidR="00DD433D" w:rsidRPr="00133F7A">
        <w:rPr>
          <w:rFonts w:ascii="Arial" w:eastAsia="Times New Roman" w:hAnsi="Arial" w:cs="Arial"/>
          <w:color w:val="000000" w:themeColor="text1"/>
        </w:rPr>
        <w:t xml:space="preserve">Illuminate </w:t>
      </w:r>
      <w:r w:rsidRPr="00133F7A">
        <w:rPr>
          <w:rFonts w:ascii="Arial" w:eastAsia="Times New Roman" w:hAnsi="Arial" w:cs="Arial"/>
          <w:color w:val="000000" w:themeColor="text1"/>
        </w:rPr>
        <w:t xml:space="preserve">may have more than 15 employees that make up that business, meaning it would be a service provision change as opposed to a business transfer. </w:t>
      </w:r>
    </w:p>
    <w:p w:rsidR="007B213C" w:rsidRPr="00133F7A" w:rsidRDefault="007B213C" w:rsidP="00B1204E">
      <w:pPr>
        <w:ind w:left="1417" w:right="1417"/>
        <w:rPr>
          <w:rFonts w:ascii="Arial" w:eastAsia="Times New Roman" w:hAnsi="Arial" w:cs="Arial"/>
          <w:color w:val="000000" w:themeColor="text1"/>
        </w:rPr>
      </w:pPr>
    </w:p>
    <w:p w:rsidR="00C4478D" w:rsidRPr="00133F7A" w:rsidRDefault="00DD433D"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The 15 employees are part of an ‘organised group’ meaning they can transfer through TUPE (ACAS, 2021). </w:t>
      </w:r>
      <w:r w:rsidR="00C4478D" w:rsidRPr="00133F7A">
        <w:rPr>
          <w:rFonts w:ascii="Arial" w:eastAsia="Times New Roman" w:hAnsi="Arial" w:cs="Arial"/>
          <w:color w:val="000000" w:themeColor="text1"/>
        </w:rPr>
        <w:t>H</w:t>
      </w:r>
      <w:r w:rsidR="00076CEE" w:rsidRPr="00133F7A">
        <w:rPr>
          <w:rFonts w:ascii="Arial" w:eastAsia="Times New Roman" w:hAnsi="Arial" w:cs="Arial"/>
          <w:color w:val="000000" w:themeColor="text1"/>
        </w:rPr>
        <w:t xml:space="preserve">owever, “In order for the TUPE regulations to apply to a service provision change, the following situations should apply immediately before the change takes place… There must be an organised grouping of employees deliberately organised to provide a service” (Lewis &amp; </w:t>
      </w:r>
      <w:proofErr w:type="spellStart"/>
      <w:r w:rsidR="00076CEE" w:rsidRPr="00133F7A">
        <w:rPr>
          <w:rFonts w:ascii="Arial" w:eastAsia="Times New Roman" w:hAnsi="Arial" w:cs="Arial"/>
          <w:color w:val="000000" w:themeColor="text1"/>
        </w:rPr>
        <w:t>Sargeant</w:t>
      </w:r>
      <w:proofErr w:type="spellEnd"/>
      <w:r w:rsidR="00076CEE" w:rsidRPr="00133F7A">
        <w:rPr>
          <w:rFonts w:ascii="Arial" w:eastAsia="Times New Roman" w:hAnsi="Arial" w:cs="Arial"/>
          <w:color w:val="000000" w:themeColor="text1"/>
        </w:rPr>
        <w:t>, 2017).</w:t>
      </w:r>
    </w:p>
    <w:p w:rsidR="003768F5" w:rsidRPr="00133F7A" w:rsidRDefault="003768F5" w:rsidP="003E24C2">
      <w:pPr>
        <w:ind w:right="1417"/>
        <w:rPr>
          <w:rFonts w:ascii="Arial" w:eastAsia="Times New Roman" w:hAnsi="Arial" w:cs="Arial"/>
          <w:color w:val="000000" w:themeColor="text1"/>
        </w:rPr>
      </w:pPr>
    </w:p>
    <w:p w:rsidR="003E24C2" w:rsidRPr="00133F7A" w:rsidRDefault="003E24C2" w:rsidP="003E24C2">
      <w:pPr>
        <w:ind w:right="1417"/>
        <w:rPr>
          <w:rFonts w:ascii="Arial" w:eastAsia="Times New Roman" w:hAnsi="Arial" w:cs="Arial"/>
          <w:b/>
          <w:color w:val="000000" w:themeColor="text1"/>
          <w:sz w:val="28"/>
          <w:u w:val="single"/>
        </w:rPr>
      </w:pPr>
    </w:p>
    <w:p w:rsidR="003768F5" w:rsidRPr="00133F7A" w:rsidRDefault="003768F5" w:rsidP="00B1204E">
      <w:pPr>
        <w:ind w:left="1417" w:right="1417"/>
        <w:rPr>
          <w:rFonts w:ascii="Arial" w:eastAsia="Times New Roman" w:hAnsi="Arial" w:cs="Arial"/>
          <w:b/>
          <w:color w:val="000000" w:themeColor="text1"/>
          <w:sz w:val="28"/>
          <w:u w:val="single"/>
        </w:rPr>
      </w:pPr>
      <w:r w:rsidRPr="00133F7A">
        <w:rPr>
          <w:rFonts w:ascii="Arial" w:eastAsia="Times New Roman" w:hAnsi="Arial" w:cs="Arial"/>
          <w:b/>
          <w:color w:val="000000" w:themeColor="text1"/>
          <w:sz w:val="28"/>
          <w:u w:val="single"/>
        </w:rPr>
        <w:t xml:space="preserve">Legal Obligations - BBL </w:t>
      </w:r>
    </w:p>
    <w:p w:rsidR="00C4478D" w:rsidRPr="00133F7A" w:rsidRDefault="00C4478D" w:rsidP="00B1204E">
      <w:pPr>
        <w:ind w:left="1417" w:right="1417"/>
        <w:rPr>
          <w:rFonts w:ascii="Arial" w:eastAsia="Times New Roman" w:hAnsi="Arial" w:cs="Arial"/>
          <w:b/>
          <w:color w:val="000000" w:themeColor="text1"/>
          <w:sz w:val="28"/>
          <w:u w:val="single"/>
        </w:rPr>
      </w:pPr>
    </w:p>
    <w:p w:rsidR="005C459A" w:rsidRPr="00133F7A" w:rsidRDefault="005C459A"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After deciding whether a TUPE transfer is taking place or not, there are a number of obligations that will need to be abided </w:t>
      </w:r>
      <w:r w:rsidR="00133F7A" w:rsidRPr="00133F7A">
        <w:rPr>
          <w:rFonts w:ascii="Arial" w:eastAsia="Times New Roman" w:hAnsi="Arial" w:cs="Arial"/>
          <w:color w:val="000000" w:themeColor="text1"/>
        </w:rPr>
        <w:t>by</w:t>
      </w:r>
      <w:r w:rsidRPr="00133F7A">
        <w:rPr>
          <w:rFonts w:ascii="Arial" w:eastAsia="Times New Roman" w:hAnsi="Arial" w:cs="Arial"/>
          <w:color w:val="000000" w:themeColor="text1"/>
        </w:rPr>
        <w:t>.</w:t>
      </w:r>
    </w:p>
    <w:p w:rsidR="005C459A" w:rsidRPr="00133F7A" w:rsidRDefault="005C459A" w:rsidP="00B1204E">
      <w:pPr>
        <w:ind w:left="1417" w:right="1417"/>
        <w:rPr>
          <w:rFonts w:ascii="Arial" w:eastAsia="Times New Roman" w:hAnsi="Arial" w:cs="Arial"/>
          <w:color w:val="000000" w:themeColor="text1"/>
        </w:rPr>
      </w:pPr>
    </w:p>
    <w:p w:rsidR="005C459A" w:rsidRPr="00133F7A" w:rsidRDefault="00DD433D"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Big Business Ltd have the obligation to ensure they are informing and consulting the </w:t>
      </w:r>
      <w:r w:rsidR="00F6380F" w:rsidRPr="00133F7A">
        <w:rPr>
          <w:rFonts w:ascii="Arial" w:eastAsia="Times New Roman" w:hAnsi="Arial" w:cs="Arial"/>
          <w:color w:val="000000" w:themeColor="text1"/>
        </w:rPr>
        <w:t>representative of affected</w:t>
      </w:r>
      <w:r w:rsidRPr="00133F7A">
        <w:rPr>
          <w:rFonts w:ascii="Arial" w:eastAsia="Times New Roman" w:hAnsi="Arial" w:cs="Arial"/>
          <w:color w:val="000000" w:themeColor="text1"/>
        </w:rPr>
        <w:t xml:space="preserve"> employees</w:t>
      </w:r>
      <w:r w:rsidR="00F6380F" w:rsidRPr="00133F7A">
        <w:rPr>
          <w:rFonts w:ascii="Arial" w:eastAsia="Times New Roman" w:hAnsi="Arial" w:cs="Arial"/>
          <w:color w:val="000000" w:themeColor="text1"/>
        </w:rPr>
        <w:t xml:space="preserve"> </w:t>
      </w:r>
      <w:r w:rsidR="00DE4D9A" w:rsidRPr="00133F7A">
        <w:rPr>
          <w:rFonts w:ascii="Arial" w:eastAsia="Times New Roman" w:hAnsi="Arial" w:cs="Arial"/>
          <w:color w:val="000000" w:themeColor="text1"/>
        </w:rPr>
        <w:t xml:space="preserve">both before and during the transfer of employees from Illuminate </w:t>
      </w:r>
      <w:r w:rsidR="00F6380F" w:rsidRPr="00133F7A">
        <w:rPr>
          <w:rFonts w:ascii="Arial" w:eastAsia="Times New Roman" w:hAnsi="Arial" w:cs="Arial"/>
          <w:color w:val="000000" w:themeColor="text1"/>
        </w:rPr>
        <w:t>(CIPD, 2022).</w:t>
      </w:r>
      <w:r w:rsidR="00664420" w:rsidRPr="00133F7A">
        <w:rPr>
          <w:rFonts w:ascii="Arial" w:eastAsia="Times New Roman" w:hAnsi="Arial" w:cs="Arial"/>
          <w:color w:val="000000" w:themeColor="text1"/>
        </w:rPr>
        <w:t xml:space="preserve"> </w:t>
      </w:r>
      <w:r w:rsidR="000213FB" w:rsidRPr="00133F7A">
        <w:rPr>
          <w:rFonts w:ascii="Arial" w:eastAsia="Times New Roman" w:hAnsi="Arial" w:cs="Arial"/>
          <w:color w:val="000000" w:themeColor="text1"/>
        </w:rPr>
        <w:t xml:space="preserve">BBL must communicate with Illuminate in order to decide upon whether </w:t>
      </w:r>
      <w:r w:rsidR="009F53E4" w:rsidRPr="00133F7A">
        <w:rPr>
          <w:rFonts w:ascii="Arial" w:eastAsia="Times New Roman" w:hAnsi="Arial" w:cs="Arial"/>
          <w:color w:val="000000" w:themeColor="text1"/>
        </w:rPr>
        <w:t xml:space="preserve">they are taking measures with regards to the transferring employees from Illuminate. Firstly BBL will need to discuss which employees from Illuminate will be transferring over. They will also need to look into employee liability as well as pension requirements. If different, the new transferred employees will need to be enrolled to a new pension scheme. </w:t>
      </w:r>
    </w:p>
    <w:p w:rsidR="005C459A" w:rsidRPr="00133F7A" w:rsidRDefault="005C459A" w:rsidP="00B1204E">
      <w:pPr>
        <w:ind w:left="1417" w:right="1417"/>
        <w:rPr>
          <w:rFonts w:ascii="Arial" w:eastAsia="Times New Roman" w:hAnsi="Arial" w:cs="Arial"/>
          <w:color w:val="000000" w:themeColor="text1"/>
        </w:rPr>
      </w:pPr>
    </w:p>
    <w:p w:rsidR="005C459A" w:rsidRPr="00133F7A" w:rsidRDefault="00DE4D9A"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As part of this process, it is crucial that t</w:t>
      </w:r>
      <w:r w:rsidR="00664420" w:rsidRPr="00133F7A">
        <w:rPr>
          <w:rFonts w:ascii="Arial" w:eastAsia="Times New Roman" w:hAnsi="Arial" w:cs="Arial"/>
          <w:color w:val="000000" w:themeColor="text1"/>
        </w:rPr>
        <w:t xml:space="preserve">hey inform </w:t>
      </w:r>
      <w:r w:rsidRPr="00133F7A">
        <w:rPr>
          <w:rFonts w:ascii="Arial" w:eastAsia="Times New Roman" w:hAnsi="Arial" w:cs="Arial"/>
          <w:color w:val="000000" w:themeColor="text1"/>
        </w:rPr>
        <w:t>any</w:t>
      </w:r>
      <w:r w:rsidR="00664420" w:rsidRPr="00133F7A">
        <w:rPr>
          <w:rFonts w:ascii="Arial" w:eastAsia="Times New Roman" w:hAnsi="Arial" w:cs="Arial"/>
          <w:color w:val="000000" w:themeColor="text1"/>
        </w:rPr>
        <w:t xml:space="preserve"> new transferring employees</w:t>
      </w:r>
      <w:r w:rsidRPr="00133F7A">
        <w:rPr>
          <w:rFonts w:ascii="Arial" w:eastAsia="Times New Roman" w:hAnsi="Arial" w:cs="Arial"/>
          <w:color w:val="000000" w:themeColor="text1"/>
        </w:rPr>
        <w:t xml:space="preserve"> of</w:t>
      </w:r>
      <w:r w:rsidR="00664420" w:rsidRPr="00133F7A">
        <w:rPr>
          <w:rFonts w:ascii="Arial" w:eastAsia="Times New Roman" w:hAnsi="Arial" w:cs="Arial"/>
          <w:color w:val="000000" w:themeColor="text1"/>
        </w:rPr>
        <w:t xml:space="preserve"> when the transfer is going to be taking place, and most importantly the reasons for the transfer itself. </w:t>
      </w:r>
    </w:p>
    <w:p w:rsidR="005C459A" w:rsidRPr="00133F7A" w:rsidRDefault="005C459A" w:rsidP="00B1204E">
      <w:pPr>
        <w:ind w:left="1417" w:right="1417"/>
        <w:rPr>
          <w:rFonts w:ascii="Arial" w:eastAsia="Times New Roman" w:hAnsi="Arial" w:cs="Arial"/>
          <w:color w:val="000000" w:themeColor="text1"/>
        </w:rPr>
      </w:pPr>
    </w:p>
    <w:p w:rsidR="00DD433D" w:rsidRPr="00133F7A" w:rsidRDefault="00DE4D9A"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It should also be noted that it is BBL’s duty to</w:t>
      </w:r>
      <w:r w:rsidR="00664420" w:rsidRPr="00133F7A">
        <w:rPr>
          <w:rFonts w:ascii="Arial" w:eastAsia="Times New Roman" w:hAnsi="Arial" w:cs="Arial"/>
          <w:color w:val="000000" w:themeColor="text1"/>
        </w:rPr>
        <w:t xml:space="preserve"> </w:t>
      </w:r>
      <w:r w:rsidRPr="00133F7A">
        <w:rPr>
          <w:rFonts w:ascii="Arial" w:eastAsia="Times New Roman" w:hAnsi="Arial" w:cs="Arial"/>
          <w:color w:val="000000" w:themeColor="text1"/>
        </w:rPr>
        <w:t>provide employees with meaningful dialogue around the legal</w:t>
      </w:r>
      <w:r w:rsidR="00664420" w:rsidRPr="00133F7A">
        <w:rPr>
          <w:rFonts w:ascii="Arial" w:eastAsia="Times New Roman" w:hAnsi="Arial" w:cs="Arial"/>
          <w:color w:val="000000" w:themeColor="text1"/>
        </w:rPr>
        <w:t xml:space="preserve">, economic and social implications that may occur during the transfer </w:t>
      </w:r>
      <w:r w:rsidRPr="00133F7A">
        <w:rPr>
          <w:rFonts w:ascii="Arial" w:eastAsia="Times New Roman" w:hAnsi="Arial" w:cs="Arial"/>
          <w:color w:val="000000" w:themeColor="text1"/>
        </w:rPr>
        <w:t xml:space="preserve">(Derbyshire &amp; Hardy, 2014) </w:t>
      </w:r>
      <w:r w:rsidR="00664420" w:rsidRPr="00133F7A">
        <w:rPr>
          <w:rFonts w:ascii="Arial" w:eastAsia="Times New Roman" w:hAnsi="Arial" w:cs="Arial"/>
          <w:color w:val="000000" w:themeColor="text1"/>
        </w:rPr>
        <w:t xml:space="preserve">as well as the measures that they foresee might be taken. </w:t>
      </w:r>
      <w:r w:rsidR="00F2436B" w:rsidRPr="00133F7A">
        <w:rPr>
          <w:rFonts w:ascii="Arial" w:eastAsia="Times New Roman" w:hAnsi="Arial" w:cs="Arial"/>
          <w:color w:val="000000" w:themeColor="text1"/>
        </w:rPr>
        <w:t>(Capital Law, 2020).</w:t>
      </w:r>
    </w:p>
    <w:p w:rsidR="00DE4D9A" w:rsidRPr="00133F7A" w:rsidRDefault="00DE4D9A" w:rsidP="00B1204E">
      <w:pPr>
        <w:ind w:left="1417" w:right="1417"/>
        <w:rPr>
          <w:rFonts w:ascii="Arial" w:eastAsia="Times New Roman" w:hAnsi="Arial" w:cs="Arial"/>
          <w:color w:val="000000" w:themeColor="text1"/>
        </w:rPr>
      </w:pPr>
    </w:p>
    <w:p w:rsidR="00DE4D9A" w:rsidRPr="00133F7A" w:rsidRDefault="00DE4D9A"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Some of the implications which employees must be informed of range from those which would indirectly impact the employees position within the company, such as the state of its finances, to those which would have a much more significant impact on the employee’s day-to-day working life, such as start and/or finishing times which differ from those offered in their previous employment (Richardson, 2018).</w:t>
      </w:r>
    </w:p>
    <w:p w:rsidR="00DD433D" w:rsidRPr="00133F7A" w:rsidRDefault="00DD433D" w:rsidP="00FD20A1">
      <w:pPr>
        <w:ind w:right="1417"/>
        <w:rPr>
          <w:rFonts w:ascii="Times New Roman" w:eastAsia="Times New Roman" w:hAnsi="Times New Roman" w:cs="Times New Roman"/>
          <w:color w:val="000000" w:themeColor="text1"/>
        </w:rPr>
      </w:pPr>
    </w:p>
    <w:p w:rsidR="00664420" w:rsidRPr="00133F7A" w:rsidRDefault="00F2436B" w:rsidP="007D4208">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In </w:t>
      </w:r>
      <w:r w:rsidR="0004717E" w:rsidRPr="00133F7A">
        <w:rPr>
          <w:rFonts w:ascii="Arial" w:eastAsia="Times New Roman" w:hAnsi="Arial" w:cs="Arial"/>
          <w:color w:val="000000" w:themeColor="text1"/>
        </w:rPr>
        <w:t>many</w:t>
      </w:r>
      <w:r w:rsidRPr="00133F7A">
        <w:rPr>
          <w:rFonts w:ascii="Arial" w:eastAsia="Times New Roman" w:hAnsi="Arial" w:cs="Arial"/>
          <w:color w:val="000000" w:themeColor="text1"/>
        </w:rPr>
        <w:t xml:space="preserve"> circumstances, </w:t>
      </w:r>
      <w:r w:rsidR="0004717E" w:rsidRPr="00133F7A">
        <w:rPr>
          <w:rFonts w:ascii="Arial" w:eastAsia="Times New Roman" w:hAnsi="Arial" w:cs="Arial"/>
          <w:color w:val="000000" w:themeColor="text1"/>
        </w:rPr>
        <w:t>it will be appropriate for the business to</w:t>
      </w:r>
      <w:r w:rsidRPr="00133F7A">
        <w:rPr>
          <w:rFonts w:ascii="Arial" w:eastAsia="Times New Roman" w:hAnsi="Arial" w:cs="Arial"/>
          <w:color w:val="000000" w:themeColor="text1"/>
        </w:rPr>
        <w:t xml:space="preserve"> consult with a trade union and/or selected employee representatives with regards to any of the affected employees (Capital Law, 2020).</w:t>
      </w:r>
      <w:r w:rsidR="0004717E" w:rsidRPr="00133F7A">
        <w:rPr>
          <w:rFonts w:ascii="Arial" w:eastAsia="Times New Roman" w:hAnsi="Arial" w:cs="Arial"/>
          <w:color w:val="000000" w:themeColor="text1"/>
        </w:rPr>
        <w:t xml:space="preserve"> The representative will be expected to engage in meaningful discussions throughout which they are able to pose questions on behalf of other employees &amp; provide regular updates, keeping employees as informed as possible while discussions are ongoing (ACAS, 2021).</w:t>
      </w:r>
      <w:r w:rsidR="009F53E4" w:rsidRPr="00133F7A">
        <w:rPr>
          <w:rFonts w:ascii="Arial" w:eastAsia="Times New Roman" w:hAnsi="Arial" w:cs="Arial"/>
          <w:color w:val="000000" w:themeColor="text1"/>
        </w:rPr>
        <w:t xml:space="preserve"> If BBL are not taking relevant measures for the Illuminate employees then they will only need to discuss with the relevant trade unions as opposed to them all. </w:t>
      </w:r>
    </w:p>
    <w:p w:rsidR="0004717E" w:rsidRPr="00133F7A" w:rsidRDefault="0004717E" w:rsidP="007D4208">
      <w:pPr>
        <w:ind w:left="1417" w:right="1417"/>
        <w:rPr>
          <w:rFonts w:ascii="Arial" w:eastAsia="Times New Roman" w:hAnsi="Arial" w:cs="Arial"/>
          <w:color w:val="000000" w:themeColor="text1"/>
        </w:rPr>
      </w:pPr>
    </w:p>
    <w:p w:rsidR="0004717E" w:rsidRPr="00133F7A" w:rsidRDefault="0004717E" w:rsidP="007D4208">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Should the organisation fail to consult a representative, either in the form of a trade union or recognised employee representative, employees will be within their rights to make a claim to an employment tribunal and, if successful, could be owed up to 13 weeks’ pay (ACAS</w:t>
      </w:r>
      <w:r w:rsidR="00985BF0" w:rsidRPr="00133F7A">
        <w:rPr>
          <w:rFonts w:ascii="Arial" w:eastAsia="Times New Roman" w:hAnsi="Arial" w:cs="Arial"/>
          <w:color w:val="000000" w:themeColor="text1"/>
        </w:rPr>
        <w:t xml:space="preserve"> B</w:t>
      </w:r>
      <w:r w:rsidRPr="00133F7A">
        <w:rPr>
          <w:rFonts w:ascii="Arial" w:eastAsia="Times New Roman" w:hAnsi="Arial" w:cs="Arial"/>
          <w:color w:val="000000" w:themeColor="text1"/>
        </w:rPr>
        <w:t>, 2021).</w:t>
      </w:r>
    </w:p>
    <w:p w:rsidR="003768F5" w:rsidRPr="00133F7A" w:rsidRDefault="003768F5" w:rsidP="009C2DFE">
      <w:pPr>
        <w:ind w:right="1417"/>
        <w:rPr>
          <w:rFonts w:ascii="Arial" w:eastAsia="Times New Roman" w:hAnsi="Arial" w:cs="Arial"/>
          <w:b/>
          <w:color w:val="000000" w:themeColor="text1"/>
          <w:sz w:val="28"/>
          <w:u w:val="single"/>
        </w:rPr>
      </w:pPr>
    </w:p>
    <w:p w:rsidR="003768F5" w:rsidRPr="00133F7A" w:rsidRDefault="003768F5" w:rsidP="00B1204E">
      <w:pPr>
        <w:ind w:left="1417" w:right="1417"/>
        <w:rPr>
          <w:rFonts w:ascii="Arial" w:eastAsia="Times New Roman" w:hAnsi="Arial" w:cs="Arial"/>
          <w:b/>
          <w:color w:val="000000" w:themeColor="text1"/>
          <w:sz w:val="28"/>
          <w:u w:val="single"/>
        </w:rPr>
      </w:pPr>
      <w:r w:rsidRPr="00133F7A">
        <w:rPr>
          <w:rFonts w:ascii="Arial" w:eastAsia="Times New Roman" w:hAnsi="Arial" w:cs="Arial"/>
          <w:b/>
          <w:color w:val="000000" w:themeColor="text1"/>
          <w:sz w:val="28"/>
          <w:u w:val="single"/>
        </w:rPr>
        <w:t>Legal Obligations - Illuminate</w:t>
      </w:r>
    </w:p>
    <w:p w:rsidR="003768F5" w:rsidRPr="00133F7A" w:rsidRDefault="003768F5" w:rsidP="00B1204E">
      <w:pPr>
        <w:ind w:left="1417" w:right="1417"/>
        <w:rPr>
          <w:rFonts w:ascii="Arial" w:eastAsia="Times New Roman" w:hAnsi="Arial" w:cs="Arial"/>
          <w:color w:val="000000" w:themeColor="text1"/>
          <w:sz w:val="28"/>
        </w:rPr>
      </w:pPr>
    </w:p>
    <w:p w:rsidR="00286735" w:rsidRPr="00133F7A" w:rsidRDefault="00286735"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Similarly to BBL’s obligation, Illuminate must also decide upon which employees are transferring after consulting with BBL. </w:t>
      </w:r>
    </w:p>
    <w:p w:rsidR="00286735" w:rsidRPr="00133F7A" w:rsidRDefault="00286735" w:rsidP="00B1204E">
      <w:pPr>
        <w:ind w:left="1417" w:right="1417"/>
        <w:rPr>
          <w:rFonts w:ascii="Arial" w:eastAsia="Times New Roman" w:hAnsi="Arial" w:cs="Arial"/>
          <w:color w:val="000000" w:themeColor="text1"/>
        </w:rPr>
      </w:pPr>
    </w:p>
    <w:p w:rsidR="00C4478D" w:rsidRPr="00133F7A" w:rsidRDefault="00F6380F"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With this type of transfer, Illuminate also have the obligation to ensure</w:t>
      </w:r>
      <w:r w:rsidR="0004717E" w:rsidRPr="00133F7A">
        <w:rPr>
          <w:rFonts w:ascii="Arial" w:eastAsia="Times New Roman" w:hAnsi="Arial" w:cs="Arial"/>
          <w:color w:val="000000" w:themeColor="text1"/>
        </w:rPr>
        <w:t xml:space="preserve"> that</w:t>
      </w:r>
      <w:r w:rsidRPr="00133F7A">
        <w:rPr>
          <w:rFonts w:ascii="Arial" w:eastAsia="Times New Roman" w:hAnsi="Arial" w:cs="Arial"/>
          <w:color w:val="000000" w:themeColor="text1"/>
        </w:rPr>
        <w:t xml:space="preserve"> they are informing and consulting the representatives of the affected employees</w:t>
      </w:r>
      <w:r w:rsidR="00C4478D" w:rsidRPr="00133F7A">
        <w:rPr>
          <w:rFonts w:ascii="Arial" w:eastAsia="Times New Roman" w:hAnsi="Arial" w:cs="Arial"/>
          <w:color w:val="000000" w:themeColor="text1"/>
        </w:rPr>
        <w:t xml:space="preserve"> (CIPD, 2022)</w:t>
      </w:r>
      <w:r w:rsidR="00F2436B" w:rsidRPr="00133F7A">
        <w:rPr>
          <w:rFonts w:ascii="Arial" w:eastAsia="Times New Roman" w:hAnsi="Arial" w:cs="Arial"/>
          <w:color w:val="000000" w:themeColor="text1"/>
        </w:rPr>
        <w:t>. Similarly to BBL, Illuminate will also have to inform the employees of the date of transfer and reasons, along with implications that may occur</w:t>
      </w:r>
      <w:r w:rsidR="00286735" w:rsidRPr="00133F7A">
        <w:rPr>
          <w:rFonts w:ascii="Arial" w:eastAsia="Times New Roman" w:hAnsi="Arial" w:cs="Arial"/>
          <w:color w:val="000000" w:themeColor="text1"/>
        </w:rPr>
        <w:t xml:space="preserve"> </w:t>
      </w:r>
      <w:r w:rsidR="00F2436B" w:rsidRPr="00133F7A">
        <w:rPr>
          <w:rFonts w:ascii="Arial" w:eastAsia="Times New Roman" w:hAnsi="Arial" w:cs="Arial"/>
          <w:color w:val="000000" w:themeColor="text1"/>
        </w:rPr>
        <w:t>(Capital Law, 2020)</w:t>
      </w:r>
      <w:r w:rsidR="00286735" w:rsidRPr="00133F7A">
        <w:rPr>
          <w:rFonts w:ascii="Arial" w:eastAsia="Times New Roman" w:hAnsi="Arial" w:cs="Arial"/>
          <w:color w:val="000000" w:themeColor="text1"/>
        </w:rPr>
        <w:t>. It is vital that Illuminate consult with and inform the relevant trade unions of the transfer, who the transfer will effect when this will be taking place.</w:t>
      </w:r>
    </w:p>
    <w:p w:rsidR="003768F5" w:rsidRPr="00133F7A" w:rsidRDefault="003768F5" w:rsidP="00B1204E">
      <w:pPr>
        <w:ind w:left="1417" w:right="1417"/>
        <w:rPr>
          <w:rFonts w:ascii="Arial" w:eastAsia="Times New Roman" w:hAnsi="Arial" w:cs="Arial"/>
          <w:color w:val="000000" w:themeColor="text1"/>
          <w:sz w:val="28"/>
        </w:rPr>
      </w:pPr>
    </w:p>
    <w:p w:rsidR="003768F5" w:rsidRPr="00133F7A" w:rsidRDefault="00F6380F" w:rsidP="00985BF0">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Illuminate have the obligation to give Big Business Ltd information in writing with regards to the employees that are transferring to them, along with all of the rights and </w:t>
      </w:r>
      <w:r w:rsidRPr="00133F7A">
        <w:rPr>
          <w:rFonts w:ascii="Arial" w:eastAsia="Times New Roman" w:hAnsi="Arial" w:cs="Arial"/>
          <w:color w:val="000000" w:themeColor="text1"/>
        </w:rPr>
        <w:lastRenderedPageBreak/>
        <w:t>obligations towards them. The information required to be given to BBL includes age and identity of the transferring employees, “written particulars of employment (under section 1 of the Employment Rights Act 1996) and details of any tribunal claims that the transferor reasonably believes might be brought” (CIPD , 2021)</w:t>
      </w:r>
      <w:r w:rsidR="00837957" w:rsidRPr="00133F7A">
        <w:rPr>
          <w:rFonts w:ascii="Arial" w:eastAsia="Times New Roman" w:hAnsi="Arial" w:cs="Arial"/>
          <w:color w:val="000000" w:themeColor="text1"/>
        </w:rPr>
        <w:t>. If Illuminate wit</w:t>
      </w:r>
      <w:r w:rsidR="003E120B" w:rsidRPr="00133F7A">
        <w:rPr>
          <w:rFonts w:ascii="Arial" w:eastAsia="Times New Roman" w:hAnsi="Arial" w:cs="Arial"/>
          <w:color w:val="000000" w:themeColor="text1"/>
        </w:rPr>
        <w:t>hheld</w:t>
      </w:r>
      <w:r w:rsidR="00837957" w:rsidRPr="00133F7A">
        <w:rPr>
          <w:rFonts w:ascii="Arial" w:eastAsia="Times New Roman" w:hAnsi="Arial" w:cs="Arial"/>
          <w:color w:val="000000" w:themeColor="text1"/>
        </w:rPr>
        <w:t xml:space="preserve"> information from BBL, it could be subject to a employment tribunal with compensation starting from £500 per employee based on </w:t>
      </w:r>
      <w:r w:rsidR="003E120B" w:rsidRPr="00133F7A">
        <w:rPr>
          <w:rFonts w:ascii="Arial" w:eastAsia="Times New Roman" w:hAnsi="Arial" w:cs="Arial"/>
          <w:color w:val="000000" w:themeColor="text1"/>
        </w:rPr>
        <w:t xml:space="preserve">which information was withheld (CIPD, 2021). </w:t>
      </w:r>
    </w:p>
    <w:p w:rsidR="00286735" w:rsidRPr="00133F7A" w:rsidRDefault="00286735" w:rsidP="00985BF0">
      <w:pPr>
        <w:ind w:left="1417" w:right="1417"/>
        <w:rPr>
          <w:rFonts w:ascii="Arial" w:eastAsia="Times New Roman" w:hAnsi="Arial" w:cs="Arial"/>
          <w:color w:val="000000" w:themeColor="text1"/>
        </w:rPr>
      </w:pPr>
    </w:p>
    <w:p w:rsidR="00286735" w:rsidRPr="00133F7A" w:rsidRDefault="00286735" w:rsidP="00985BF0">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Illuminate must highlight to affected employees any changes to their pension schemes and should consult the representatives of the affect</w:t>
      </w:r>
      <w:r w:rsidR="001719DB" w:rsidRPr="00133F7A">
        <w:rPr>
          <w:rFonts w:ascii="Arial" w:eastAsia="Times New Roman" w:hAnsi="Arial" w:cs="Arial"/>
          <w:color w:val="000000" w:themeColor="text1"/>
        </w:rPr>
        <w:t xml:space="preserve">ed employees regarding the transfer. </w:t>
      </w:r>
    </w:p>
    <w:p w:rsidR="003768F5" w:rsidRPr="00133F7A" w:rsidRDefault="003768F5" w:rsidP="00B1204E">
      <w:pPr>
        <w:ind w:left="1417" w:right="1417"/>
        <w:rPr>
          <w:rFonts w:ascii="Arial" w:eastAsia="Times New Roman" w:hAnsi="Arial" w:cs="Arial"/>
          <w:color w:val="000000" w:themeColor="text1"/>
        </w:rPr>
      </w:pPr>
    </w:p>
    <w:p w:rsidR="003768F5" w:rsidRPr="00133F7A" w:rsidRDefault="00774AF0" w:rsidP="00774AF0">
      <w:pPr>
        <w:ind w:left="1417" w:right="1417"/>
        <w:rPr>
          <w:rFonts w:ascii="Arial" w:eastAsia="Times New Roman" w:hAnsi="Arial" w:cs="Arial"/>
          <w:b/>
          <w:color w:val="000000" w:themeColor="text1"/>
          <w:sz w:val="28"/>
          <w:u w:val="single"/>
        </w:rPr>
      </w:pPr>
      <w:r w:rsidRPr="00133F7A">
        <w:rPr>
          <w:rFonts w:ascii="Arial" w:eastAsia="Times New Roman" w:hAnsi="Arial" w:cs="Arial"/>
          <w:b/>
          <w:color w:val="000000" w:themeColor="text1"/>
          <w:sz w:val="28"/>
          <w:u w:val="single"/>
        </w:rPr>
        <w:t xml:space="preserve">Possible Redundancies - </w:t>
      </w:r>
      <w:r w:rsidR="00E77318" w:rsidRPr="00133F7A">
        <w:rPr>
          <w:rFonts w:ascii="Arial" w:eastAsia="Times New Roman" w:hAnsi="Arial" w:cs="Arial"/>
          <w:b/>
          <w:color w:val="000000" w:themeColor="text1"/>
          <w:sz w:val="28"/>
          <w:u w:val="single"/>
        </w:rPr>
        <w:t>Advice Regarding LIFO</w:t>
      </w:r>
    </w:p>
    <w:p w:rsidR="005C459A" w:rsidRPr="00133F7A" w:rsidRDefault="005C459A" w:rsidP="00F72B8F">
      <w:pPr>
        <w:ind w:right="1417"/>
        <w:rPr>
          <w:rFonts w:ascii="Arial" w:hAnsi="Arial" w:cs="Arial"/>
          <w:color w:val="000000" w:themeColor="text1"/>
        </w:rPr>
      </w:pPr>
    </w:p>
    <w:p w:rsidR="005C459A" w:rsidRPr="00133F7A" w:rsidRDefault="005C459A" w:rsidP="00774AF0">
      <w:pPr>
        <w:ind w:left="1417" w:right="1417"/>
        <w:rPr>
          <w:rFonts w:ascii="Arial" w:hAnsi="Arial" w:cs="Arial"/>
          <w:color w:val="000000" w:themeColor="text1"/>
        </w:rPr>
      </w:pPr>
    </w:p>
    <w:p w:rsidR="001921F0" w:rsidRPr="00133F7A" w:rsidRDefault="00852230" w:rsidP="00774AF0">
      <w:pPr>
        <w:ind w:left="1417" w:right="1417"/>
        <w:rPr>
          <w:rFonts w:ascii="Arial" w:hAnsi="Arial" w:cs="Arial"/>
          <w:color w:val="000000" w:themeColor="text1"/>
        </w:rPr>
      </w:pPr>
      <w:r w:rsidRPr="00133F7A">
        <w:rPr>
          <w:rFonts w:ascii="Arial" w:hAnsi="Arial" w:cs="Arial"/>
          <w:color w:val="000000" w:themeColor="text1"/>
        </w:rPr>
        <w:t xml:space="preserve">Using a LIFO (Last in First Out) approach solely focusses on employees that have recently joined the business and does not take into account their skillset and value to the business. It can be used as part of a selection criteria during these processes but </w:t>
      </w:r>
      <w:r w:rsidR="001921F0" w:rsidRPr="00133F7A">
        <w:rPr>
          <w:rFonts w:ascii="Arial" w:hAnsi="Arial" w:cs="Arial"/>
          <w:color w:val="000000" w:themeColor="text1"/>
        </w:rPr>
        <w:t>cannot</w:t>
      </w:r>
      <w:r w:rsidRPr="00133F7A">
        <w:rPr>
          <w:rFonts w:ascii="Arial" w:hAnsi="Arial" w:cs="Arial"/>
          <w:color w:val="000000" w:themeColor="text1"/>
        </w:rPr>
        <w:t xml:space="preserve"> be utilised as the primary process for redundancies within the business (CIPD, 2021).</w:t>
      </w:r>
    </w:p>
    <w:p w:rsidR="001921F0" w:rsidRPr="00133F7A" w:rsidRDefault="001921F0" w:rsidP="00774AF0">
      <w:pPr>
        <w:ind w:left="1417" w:right="1417"/>
        <w:rPr>
          <w:rFonts w:ascii="Arial" w:hAnsi="Arial" w:cs="Arial"/>
          <w:color w:val="000000" w:themeColor="text1"/>
        </w:rPr>
      </w:pPr>
    </w:p>
    <w:p w:rsidR="00852230" w:rsidRPr="00133F7A" w:rsidRDefault="001921F0" w:rsidP="00774AF0">
      <w:pPr>
        <w:ind w:left="1417" w:right="1417"/>
        <w:rPr>
          <w:rFonts w:ascii="Arial" w:hAnsi="Arial" w:cs="Arial"/>
          <w:color w:val="000000" w:themeColor="text1"/>
        </w:rPr>
      </w:pPr>
      <w:r w:rsidRPr="00133F7A">
        <w:rPr>
          <w:rFonts w:ascii="Arial" w:hAnsi="Arial" w:cs="Arial"/>
          <w:color w:val="000000" w:themeColor="text1"/>
        </w:rPr>
        <w:t xml:space="preserve">It is very important to note that the Illuminate employees have their </w:t>
      </w:r>
      <w:r w:rsidR="00F60ECC" w:rsidRPr="00133F7A">
        <w:rPr>
          <w:rFonts w:ascii="Arial" w:hAnsi="Arial" w:cs="Arial"/>
          <w:color w:val="000000" w:themeColor="text1"/>
        </w:rPr>
        <w:t xml:space="preserve">continuous service </w:t>
      </w:r>
      <w:r w:rsidRPr="00133F7A">
        <w:rPr>
          <w:rFonts w:ascii="Arial" w:hAnsi="Arial" w:cs="Arial"/>
          <w:color w:val="000000" w:themeColor="text1"/>
        </w:rPr>
        <w:t xml:space="preserve">preserved </w:t>
      </w:r>
      <w:r w:rsidR="00F60ECC" w:rsidRPr="00133F7A">
        <w:rPr>
          <w:rFonts w:ascii="Arial" w:hAnsi="Arial" w:cs="Arial"/>
          <w:color w:val="000000" w:themeColor="text1"/>
        </w:rPr>
        <w:t>under the TUPE transfer. This means that if the business wanted to use a LIFO approach for redundancies, it might not necessarily include the Illuminate employees as their length of service is continued and carried over into BBL.</w:t>
      </w:r>
    </w:p>
    <w:p w:rsidR="00852230" w:rsidRPr="00133F7A" w:rsidRDefault="00852230" w:rsidP="00774AF0">
      <w:pPr>
        <w:ind w:left="1417" w:right="1417"/>
        <w:rPr>
          <w:rFonts w:ascii="Arial" w:hAnsi="Arial" w:cs="Arial"/>
          <w:color w:val="000000" w:themeColor="text1"/>
        </w:rPr>
      </w:pPr>
    </w:p>
    <w:p w:rsidR="003768F5" w:rsidRPr="00133F7A" w:rsidRDefault="003768F5" w:rsidP="00774AF0">
      <w:pPr>
        <w:ind w:left="1417" w:right="1417"/>
        <w:rPr>
          <w:rFonts w:ascii="Arial" w:hAnsi="Arial" w:cs="Arial"/>
          <w:color w:val="000000" w:themeColor="text1"/>
        </w:rPr>
      </w:pPr>
      <w:r w:rsidRPr="00133F7A">
        <w:rPr>
          <w:rFonts w:ascii="Arial" w:hAnsi="Arial" w:cs="Arial"/>
          <w:color w:val="000000" w:themeColor="text1"/>
        </w:rPr>
        <w:t>If BBL undertakes the transfer of Illuminate employees</w:t>
      </w:r>
      <w:r w:rsidR="00B16750" w:rsidRPr="00133F7A">
        <w:rPr>
          <w:rFonts w:ascii="Arial" w:hAnsi="Arial" w:cs="Arial"/>
          <w:color w:val="000000" w:themeColor="text1"/>
        </w:rPr>
        <w:t xml:space="preserve"> and the risk of redundancy lurking after 9 months, it could be an option that the business offers alternative employment for some of the affected employees. As the electrical engineers are only </w:t>
      </w:r>
      <w:r w:rsidR="00C216DE" w:rsidRPr="00133F7A">
        <w:rPr>
          <w:rFonts w:ascii="Arial" w:hAnsi="Arial" w:cs="Arial"/>
          <w:color w:val="000000" w:themeColor="text1"/>
        </w:rPr>
        <w:t xml:space="preserve">currently </w:t>
      </w:r>
      <w:r w:rsidR="00B16750" w:rsidRPr="00133F7A">
        <w:rPr>
          <w:rFonts w:ascii="Arial" w:hAnsi="Arial" w:cs="Arial"/>
          <w:color w:val="000000" w:themeColor="text1"/>
        </w:rPr>
        <w:t xml:space="preserve">operating in the Southampton and Portsmouth sites, it may be worth the business operating electrical engineers across all four sites and running in Cardiff and Newport </w:t>
      </w:r>
      <w:r w:rsidR="00C216DE" w:rsidRPr="00133F7A">
        <w:rPr>
          <w:rFonts w:ascii="Arial" w:hAnsi="Arial" w:cs="Arial"/>
          <w:color w:val="000000" w:themeColor="text1"/>
        </w:rPr>
        <w:t xml:space="preserve">as well as Southampton and Portsmouth </w:t>
      </w:r>
      <w:r w:rsidR="00B16750" w:rsidRPr="00133F7A">
        <w:rPr>
          <w:rFonts w:ascii="Arial" w:hAnsi="Arial" w:cs="Arial"/>
          <w:color w:val="000000" w:themeColor="text1"/>
        </w:rPr>
        <w:t>to avoid the redundancy process and costs.</w:t>
      </w:r>
    </w:p>
    <w:p w:rsidR="0004717E" w:rsidRPr="00133F7A" w:rsidRDefault="0004717E" w:rsidP="00774AF0">
      <w:pPr>
        <w:ind w:left="1417" w:right="1417"/>
        <w:rPr>
          <w:rFonts w:ascii="Arial" w:hAnsi="Arial" w:cs="Arial"/>
          <w:color w:val="000000" w:themeColor="text1"/>
        </w:rPr>
      </w:pPr>
    </w:p>
    <w:p w:rsidR="0004717E" w:rsidRPr="00133F7A" w:rsidRDefault="0004717E" w:rsidP="0004717E">
      <w:pPr>
        <w:ind w:left="1417" w:right="1417"/>
        <w:rPr>
          <w:rFonts w:ascii="Arial" w:hAnsi="Arial" w:cs="Arial"/>
          <w:color w:val="000000" w:themeColor="text1"/>
        </w:rPr>
      </w:pPr>
      <w:r w:rsidRPr="00133F7A">
        <w:rPr>
          <w:rFonts w:ascii="Arial" w:hAnsi="Arial" w:cs="Arial"/>
          <w:color w:val="000000" w:themeColor="text1"/>
        </w:rPr>
        <w:t xml:space="preserve">However, it should be taken into consideration that the reliance on a mobility clause within an employee’s contract to soften the potential impact of redundancies is not always the safest option, as seen in Kellogg Brown </w:t>
      </w:r>
      <w:r w:rsidRPr="00133F7A">
        <w:rPr>
          <w:rFonts w:ascii="Arial" w:hAnsi="Arial" w:cs="Arial"/>
          <w:color w:val="000000" w:themeColor="text1"/>
        </w:rPr>
        <w:lastRenderedPageBreak/>
        <w:t xml:space="preserve">Ltd v Fitton (2016), where the employee(s) in question were dismissed following their refusal to work from an alternative location as per the mobility clause implemented with the contract. Upon review, it was established that the employee’s stance was not deemed unreasonable meaning that the dismissals were unfair. </w:t>
      </w:r>
    </w:p>
    <w:p w:rsidR="001921F0" w:rsidRPr="00133F7A" w:rsidRDefault="001921F0" w:rsidP="0004717E">
      <w:pPr>
        <w:ind w:left="1417" w:right="1417"/>
        <w:rPr>
          <w:rFonts w:ascii="Arial" w:hAnsi="Arial" w:cs="Arial"/>
          <w:color w:val="000000" w:themeColor="text1"/>
        </w:rPr>
      </w:pPr>
    </w:p>
    <w:p w:rsidR="001921F0" w:rsidRPr="00133F7A" w:rsidRDefault="001921F0" w:rsidP="0004717E">
      <w:pPr>
        <w:ind w:left="1417" w:right="1417"/>
        <w:rPr>
          <w:rFonts w:ascii="Arial" w:hAnsi="Arial" w:cs="Arial"/>
          <w:color w:val="000000" w:themeColor="text1"/>
        </w:rPr>
      </w:pPr>
      <w:r w:rsidRPr="00133F7A">
        <w:rPr>
          <w:rFonts w:ascii="Arial" w:hAnsi="Arial" w:cs="Arial"/>
          <w:color w:val="000000" w:themeColor="text1"/>
        </w:rPr>
        <w:t>Another point to consider is the fact that Illuminate employees cannot be treated any differently to the BBL employees just because they were subject to a TUPE transfer. The redundancy process would effect both companies as there are more redundancies being made than the number of transferred employees from Illuminate.</w:t>
      </w:r>
    </w:p>
    <w:p w:rsidR="003768F5" w:rsidRPr="00133F7A" w:rsidRDefault="003768F5" w:rsidP="009F259D">
      <w:pPr>
        <w:ind w:right="1417"/>
        <w:rPr>
          <w:rFonts w:ascii="Arial" w:hAnsi="Arial" w:cs="Arial"/>
          <w:color w:val="000000" w:themeColor="text1"/>
          <w:highlight w:val="green"/>
        </w:rPr>
      </w:pPr>
    </w:p>
    <w:p w:rsidR="00E77318" w:rsidRPr="00133F7A" w:rsidRDefault="00E77318" w:rsidP="00B1204E">
      <w:pPr>
        <w:ind w:left="1417" w:right="1417"/>
        <w:rPr>
          <w:rFonts w:ascii="Arial" w:hAnsi="Arial" w:cs="Arial"/>
          <w:b/>
          <w:color w:val="000000" w:themeColor="text1"/>
          <w:u w:val="single"/>
        </w:rPr>
      </w:pPr>
      <w:r w:rsidRPr="00133F7A">
        <w:rPr>
          <w:rFonts w:ascii="Arial" w:hAnsi="Arial" w:cs="Arial"/>
          <w:b/>
          <w:color w:val="000000" w:themeColor="text1"/>
          <w:u w:val="single"/>
        </w:rPr>
        <w:t>Potential Age Discrimination Claims</w:t>
      </w:r>
    </w:p>
    <w:p w:rsidR="00F83BEE" w:rsidRPr="00133F7A" w:rsidRDefault="003768F5" w:rsidP="00B1204E">
      <w:pPr>
        <w:ind w:left="1417" w:right="1417"/>
        <w:rPr>
          <w:rFonts w:ascii="Arial" w:hAnsi="Arial" w:cs="Arial"/>
          <w:color w:val="000000" w:themeColor="text1"/>
        </w:rPr>
      </w:pPr>
      <w:r w:rsidRPr="00133F7A">
        <w:rPr>
          <w:rFonts w:ascii="Arial" w:hAnsi="Arial" w:cs="Arial"/>
          <w:color w:val="000000" w:themeColor="text1"/>
        </w:rPr>
        <w:t xml:space="preserve">With the IWU (Industrial Workers Union) pushing a ‘last in, first out’ (LIFO) process, comes with the risk of unfair dismissal claims for the business as well as other claims. For example, the use of the LIFO process during redundancies is less encouraged as it </w:t>
      </w:r>
      <w:r w:rsidR="00F83BEE" w:rsidRPr="00133F7A">
        <w:rPr>
          <w:rFonts w:ascii="Arial" w:hAnsi="Arial" w:cs="Arial"/>
          <w:color w:val="000000" w:themeColor="text1"/>
        </w:rPr>
        <w:t xml:space="preserve">has potential to </w:t>
      </w:r>
      <w:r w:rsidRPr="00133F7A">
        <w:rPr>
          <w:rFonts w:ascii="Arial" w:hAnsi="Arial" w:cs="Arial"/>
          <w:color w:val="000000" w:themeColor="text1"/>
        </w:rPr>
        <w:t>discriminate against employees</w:t>
      </w:r>
      <w:r w:rsidR="00133F7A" w:rsidRPr="00133F7A">
        <w:rPr>
          <w:rFonts w:ascii="Arial" w:hAnsi="Arial" w:cs="Arial"/>
          <w:color w:val="000000" w:themeColor="text1"/>
        </w:rPr>
        <w:t>, with those who are younger naturally being at the company for a shorter period of time,</w:t>
      </w:r>
      <w:r w:rsidRPr="00133F7A">
        <w:rPr>
          <w:rFonts w:ascii="Arial" w:hAnsi="Arial" w:cs="Arial"/>
          <w:color w:val="000000" w:themeColor="text1"/>
        </w:rPr>
        <w:t xml:space="preserve"> giving them the right to challenge and claim </w:t>
      </w:r>
      <w:r w:rsidR="00B16750" w:rsidRPr="00133F7A">
        <w:rPr>
          <w:rFonts w:ascii="Arial" w:hAnsi="Arial" w:cs="Arial"/>
          <w:color w:val="000000" w:themeColor="text1"/>
        </w:rPr>
        <w:t xml:space="preserve">age </w:t>
      </w:r>
      <w:r w:rsidRPr="00133F7A">
        <w:rPr>
          <w:rFonts w:ascii="Arial" w:hAnsi="Arial" w:cs="Arial"/>
          <w:color w:val="000000" w:themeColor="text1"/>
        </w:rPr>
        <w:t>discrimination</w:t>
      </w:r>
      <w:r w:rsidR="00C216DE" w:rsidRPr="00133F7A">
        <w:rPr>
          <w:rFonts w:ascii="Arial" w:hAnsi="Arial" w:cs="Arial"/>
          <w:color w:val="000000" w:themeColor="text1"/>
        </w:rPr>
        <w:t xml:space="preserve"> against the business</w:t>
      </w:r>
      <w:r w:rsidRPr="00133F7A">
        <w:rPr>
          <w:rFonts w:ascii="Arial" w:hAnsi="Arial" w:cs="Arial"/>
          <w:color w:val="000000" w:themeColor="text1"/>
        </w:rPr>
        <w:t xml:space="preserve"> (Landau Law, 2022).</w:t>
      </w:r>
    </w:p>
    <w:p w:rsidR="00F83BEE" w:rsidRPr="00133F7A" w:rsidRDefault="00F83BEE" w:rsidP="00B1204E">
      <w:pPr>
        <w:ind w:left="1417" w:right="1417"/>
        <w:rPr>
          <w:rFonts w:ascii="Arial" w:hAnsi="Arial" w:cs="Arial"/>
          <w:color w:val="000000" w:themeColor="text1"/>
          <w:highlight w:val="green"/>
        </w:rPr>
      </w:pPr>
    </w:p>
    <w:p w:rsidR="00F83BEE" w:rsidRPr="00133F7A" w:rsidRDefault="00F83BEE" w:rsidP="00B1204E">
      <w:pPr>
        <w:ind w:left="1417" w:right="1417"/>
        <w:rPr>
          <w:rFonts w:ascii="Arial" w:hAnsi="Arial" w:cs="Arial"/>
          <w:color w:val="000000" w:themeColor="text1"/>
        </w:rPr>
      </w:pPr>
      <w:r w:rsidRPr="00133F7A">
        <w:rPr>
          <w:rFonts w:ascii="Arial" w:hAnsi="Arial" w:cs="Arial"/>
          <w:color w:val="000000" w:themeColor="text1"/>
        </w:rPr>
        <w:t>As well as raising potential age discrimination claims, the LIFO process of redundancy can in some circumstances be seen to be discriminatory against women. Statistically, women tend to spend fewer years working for an individual organisation, partly down to breaks for childcare (Davidson Morris, 2020).</w:t>
      </w:r>
    </w:p>
    <w:p w:rsidR="00F83BEE" w:rsidRPr="00133F7A" w:rsidRDefault="00F83BEE" w:rsidP="00B1204E">
      <w:pPr>
        <w:ind w:left="1417" w:right="1417"/>
        <w:rPr>
          <w:rFonts w:ascii="Arial" w:hAnsi="Arial" w:cs="Arial"/>
          <w:color w:val="000000" w:themeColor="text1"/>
        </w:rPr>
      </w:pPr>
    </w:p>
    <w:p w:rsidR="00F83BEE" w:rsidRPr="00133F7A" w:rsidRDefault="00F83BEE" w:rsidP="00B1204E">
      <w:pPr>
        <w:ind w:left="1417" w:right="1417"/>
        <w:rPr>
          <w:rFonts w:ascii="Arial" w:hAnsi="Arial" w:cs="Arial"/>
          <w:color w:val="000000" w:themeColor="text1"/>
        </w:rPr>
      </w:pPr>
      <w:r w:rsidRPr="00133F7A">
        <w:rPr>
          <w:rFonts w:ascii="Arial" w:hAnsi="Arial" w:cs="Arial"/>
          <w:color w:val="000000" w:themeColor="text1"/>
        </w:rPr>
        <w:t>In the case of Joanne Allan v Oakley Builders and Groundwork Contractors Ltd. (2019), Mrs Allan was claiming age discrimination based on being the eldest in the group of the employees being made redundant. It is worth noting that all redundancies in that case were female, where both age and sex are protected characteristics under the Equality Act 2010. Mrs Allan felt there was age discrimination against her and therefore claimed against the business. However, at tribunal it was found that no discrimination had taken place.</w:t>
      </w:r>
    </w:p>
    <w:p w:rsidR="00F83BEE" w:rsidRPr="00133F7A" w:rsidRDefault="00F83BEE" w:rsidP="00B1204E">
      <w:pPr>
        <w:ind w:left="1417" w:right="1417"/>
        <w:rPr>
          <w:rFonts w:ascii="Arial" w:hAnsi="Arial" w:cs="Arial"/>
          <w:color w:val="000000" w:themeColor="text1"/>
        </w:rPr>
      </w:pPr>
    </w:p>
    <w:p w:rsidR="00F83BEE" w:rsidRPr="00133F7A" w:rsidRDefault="00F83BEE" w:rsidP="00B1204E">
      <w:pPr>
        <w:ind w:left="1417" w:right="1417"/>
        <w:rPr>
          <w:rFonts w:ascii="Arial" w:hAnsi="Arial" w:cs="Arial"/>
          <w:color w:val="000000" w:themeColor="text1"/>
        </w:rPr>
      </w:pPr>
      <w:r w:rsidRPr="00133F7A">
        <w:rPr>
          <w:rFonts w:ascii="Arial" w:hAnsi="Arial" w:cs="Arial"/>
          <w:color w:val="000000" w:themeColor="text1"/>
        </w:rPr>
        <w:t>If the business was to use the LIFO method of reducing headcount, it may lead to a loss of skills within the workforce. The business may have recently recruited a highly skilled member of staff, but based on the LIFO process being undertaken, that skillset will be lost.</w:t>
      </w:r>
    </w:p>
    <w:p w:rsidR="00E77318" w:rsidRPr="00133F7A" w:rsidRDefault="00E77318" w:rsidP="009C2DFE">
      <w:pPr>
        <w:ind w:right="1417"/>
        <w:rPr>
          <w:rFonts w:ascii="Arial" w:hAnsi="Arial" w:cs="Arial"/>
          <w:color w:val="000000" w:themeColor="text1"/>
          <w:highlight w:val="green"/>
        </w:rPr>
      </w:pPr>
    </w:p>
    <w:p w:rsidR="00E77318" w:rsidRPr="00133F7A" w:rsidRDefault="00E77318" w:rsidP="00B1204E">
      <w:pPr>
        <w:ind w:left="1417" w:right="1417"/>
        <w:rPr>
          <w:rFonts w:ascii="Arial" w:hAnsi="Arial" w:cs="Arial"/>
          <w:b/>
          <w:color w:val="000000" w:themeColor="text1"/>
          <w:u w:val="single"/>
        </w:rPr>
      </w:pPr>
      <w:r w:rsidRPr="00133F7A">
        <w:rPr>
          <w:rFonts w:ascii="Arial" w:hAnsi="Arial" w:cs="Arial"/>
          <w:b/>
          <w:color w:val="000000" w:themeColor="text1"/>
          <w:u w:val="single"/>
        </w:rPr>
        <w:lastRenderedPageBreak/>
        <w:t>Recommendation</w:t>
      </w:r>
      <w:r w:rsidR="003C4C31" w:rsidRPr="00133F7A">
        <w:rPr>
          <w:rFonts w:ascii="Arial" w:hAnsi="Arial" w:cs="Arial"/>
          <w:b/>
          <w:color w:val="000000" w:themeColor="text1"/>
          <w:u w:val="single"/>
        </w:rPr>
        <w:t xml:space="preserve"> to the Business</w:t>
      </w:r>
    </w:p>
    <w:p w:rsidR="003768F5" w:rsidRPr="00133F7A" w:rsidRDefault="00F83BEE" w:rsidP="00B1204E">
      <w:pPr>
        <w:ind w:left="1417" w:right="1417"/>
        <w:rPr>
          <w:rFonts w:ascii="Arial" w:hAnsi="Arial" w:cs="Arial"/>
          <w:color w:val="000000" w:themeColor="text1"/>
        </w:rPr>
      </w:pPr>
      <w:r w:rsidRPr="00133F7A">
        <w:rPr>
          <w:rFonts w:ascii="Arial" w:hAnsi="Arial" w:cs="Arial"/>
          <w:color w:val="000000" w:themeColor="text1"/>
        </w:rPr>
        <w:t xml:space="preserve">I would advise that the business uses a more purposeful selection criteria in order to decide upon who in the business will be made redundant. The business should look to opt for a scoring criteria that can clearly differentiate between aspects such as attendance records, disciplinary records and skillset. By using this method, and scoring each category, it will be evident which employees are the least scoring and therefore at risk of redundancy. </w:t>
      </w:r>
    </w:p>
    <w:p w:rsidR="0004717E" w:rsidRPr="00133F7A" w:rsidRDefault="0004717E" w:rsidP="00B1204E">
      <w:pPr>
        <w:ind w:left="1417" w:right="1417"/>
        <w:rPr>
          <w:rFonts w:ascii="Arial" w:hAnsi="Arial" w:cs="Arial"/>
          <w:color w:val="000000" w:themeColor="text1"/>
          <w:highlight w:val="green"/>
        </w:rPr>
      </w:pPr>
    </w:p>
    <w:p w:rsidR="0004717E" w:rsidRPr="00133F7A" w:rsidRDefault="0004717E" w:rsidP="00B1204E">
      <w:pPr>
        <w:ind w:left="1417" w:right="1417"/>
        <w:rPr>
          <w:rFonts w:ascii="Arial" w:hAnsi="Arial" w:cs="Arial"/>
          <w:color w:val="000000" w:themeColor="text1"/>
        </w:rPr>
      </w:pPr>
      <w:r w:rsidRPr="00133F7A">
        <w:rPr>
          <w:rFonts w:ascii="Arial" w:hAnsi="Arial" w:cs="Arial"/>
          <w:color w:val="000000" w:themeColor="text1"/>
        </w:rPr>
        <w:t>When monitoring records of attendance, the importance of accuracy cannot be understated &amp; employers should ensure that records of leave due to illness or maternity. Even when based on skillset, employers should be cautious when gauging an employee’s ability to conduct their role during periods of time where they are likely to be fatigued (</w:t>
      </w:r>
      <w:proofErr w:type="spellStart"/>
      <w:r w:rsidRPr="00133F7A">
        <w:rPr>
          <w:rFonts w:ascii="Arial" w:hAnsi="Arial" w:cs="Arial"/>
          <w:color w:val="000000" w:themeColor="text1"/>
        </w:rPr>
        <w:t>ie</w:t>
      </w:r>
      <w:proofErr w:type="spellEnd"/>
      <w:r w:rsidRPr="00133F7A">
        <w:rPr>
          <w:rFonts w:ascii="Arial" w:hAnsi="Arial" w:cs="Arial"/>
          <w:color w:val="000000" w:themeColor="text1"/>
        </w:rPr>
        <w:t>. The months leading up to maternity), or inexperienced in their role (Veale, 2021).</w:t>
      </w:r>
    </w:p>
    <w:p w:rsidR="003768F5" w:rsidRPr="00133F7A" w:rsidRDefault="003768F5" w:rsidP="003E24C2">
      <w:pPr>
        <w:ind w:right="1417"/>
        <w:rPr>
          <w:rFonts w:ascii="Arial" w:eastAsia="Times New Roman" w:hAnsi="Arial" w:cs="Arial"/>
          <w:color w:val="000000" w:themeColor="text1"/>
          <w:highlight w:val="green"/>
        </w:rPr>
      </w:pPr>
    </w:p>
    <w:p w:rsidR="00F83BEE" w:rsidRPr="00133F7A" w:rsidRDefault="00F83BEE"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shd w:val="clear" w:color="auto" w:fill="FFFFFF"/>
        </w:rPr>
        <w:t>T</w:t>
      </w:r>
      <w:r w:rsidR="0004717E" w:rsidRPr="00133F7A">
        <w:rPr>
          <w:rFonts w:ascii="Arial" w:eastAsia="Times New Roman" w:hAnsi="Arial" w:cs="Arial"/>
          <w:color w:val="000000" w:themeColor="text1"/>
          <w:shd w:val="clear" w:color="auto" w:fill="FFFFFF"/>
        </w:rPr>
        <w:t>o summarise, my recommendation around the use of</w:t>
      </w:r>
      <w:r w:rsidRPr="00133F7A">
        <w:rPr>
          <w:rFonts w:ascii="Arial" w:eastAsia="Times New Roman" w:hAnsi="Arial" w:cs="Arial"/>
          <w:color w:val="000000" w:themeColor="text1"/>
          <w:shd w:val="clear" w:color="auto" w:fill="FFFFFF"/>
        </w:rPr>
        <w:t xml:space="preserve"> LIFO</w:t>
      </w:r>
      <w:r w:rsidR="0004717E" w:rsidRPr="00133F7A">
        <w:rPr>
          <w:rFonts w:ascii="Arial" w:eastAsia="Times New Roman" w:hAnsi="Arial" w:cs="Arial"/>
          <w:color w:val="000000" w:themeColor="text1"/>
          <w:shd w:val="clear" w:color="auto" w:fill="FFFFFF"/>
        </w:rPr>
        <w:t xml:space="preserve"> as a</w:t>
      </w:r>
      <w:r w:rsidRPr="00133F7A">
        <w:rPr>
          <w:rFonts w:ascii="Arial" w:eastAsia="Times New Roman" w:hAnsi="Arial" w:cs="Arial"/>
          <w:color w:val="000000" w:themeColor="text1"/>
          <w:shd w:val="clear" w:color="auto" w:fill="FFFFFF"/>
        </w:rPr>
        <w:t xml:space="preserve"> method of redundancy </w:t>
      </w:r>
      <w:r w:rsidR="0004717E" w:rsidRPr="00133F7A">
        <w:rPr>
          <w:rFonts w:ascii="Arial" w:eastAsia="Times New Roman" w:hAnsi="Arial" w:cs="Arial"/>
          <w:color w:val="000000" w:themeColor="text1"/>
          <w:shd w:val="clear" w:color="auto" w:fill="FFFFFF"/>
        </w:rPr>
        <w:t xml:space="preserve">is that it should be </w:t>
      </w:r>
      <w:r w:rsidRPr="00133F7A">
        <w:rPr>
          <w:rFonts w:ascii="Arial" w:eastAsia="Times New Roman" w:hAnsi="Arial" w:cs="Arial"/>
          <w:color w:val="000000" w:themeColor="text1"/>
          <w:shd w:val="clear" w:color="auto" w:fill="FFFFFF"/>
        </w:rPr>
        <w:t>“used by employers as a “tie breaker” for selecting for redundancy where all other factors are equal” (Thomas, 2019)</w:t>
      </w:r>
      <w:r w:rsidR="0004717E" w:rsidRPr="00133F7A">
        <w:rPr>
          <w:rFonts w:ascii="Arial" w:eastAsia="Times New Roman" w:hAnsi="Arial" w:cs="Arial"/>
          <w:color w:val="000000" w:themeColor="text1"/>
          <w:shd w:val="clear" w:color="auto" w:fill="FFFFFF"/>
        </w:rPr>
        <w:t xml:space="preserve">, as opposed to relying on it as the primary rationale for redundancy selection. </w:t>
      </w:r>
    </w:p>
    <w:p w:rsidR="00076CEE" w:rsidRPr="00133F7A" w:rsidRDefault="00076CEE" w:rsidP="009C2DFE">
      <w:pPr>
        <w:ind w:right="1417"/>
        <w:rPr>
          <w:rFonts w:ascii="Arial" w:eastAsia="Times New Roman" w:hAnsi="Arial" w:cs="Arial"/>
          <w:color w:val="000000" w:themeColor="text1"/>
          <w:highlight w:val="green"/>
        </w:rPr>
      </w:pPr>
    </w:p>
    <w:p w:rsidR="003768F5" w:rsidRPr="00133F7A" w:rsidRDefault="00076CEE" w:rsidP="00B1204E">
      <w:pPr>
        <w:ind w:left="1417" w:right="1417"/>
        <w:rPr>
          <w:rFonts w:ascii="Arial" w:eastAsia="Times New Roman" w:hAnsi="Arial" w:cs="Arial"/>
          <w:b/>
          <w:color w:val="000000" w:themeColor="text1"/>
          <w:sz w:val="28"/>
          <w:u w:val="single"/>
        </w:rPr>
      </w:pPr>
      <w:r w:rsidRPr="00133F7A">
        <w:rPr>
          <w:rFonts w:ascii="Arial" w:eastAsia="Times New Roman" w:hAnsi="Arial" w:cs="Arial"/>
          <w:b/>
          <w:color w:val="000000" w:themeColor="text1"/>
          <w:sz w:val="28"/>
          <w:u w:val="single"/>
        </w:rPr>
        <w:t>Legally Compliant and Fair Redundancy Process</w:t>
      </w:r>
    </w:p>
    <w:p w:rsidR="00D8374B" w:rsidRPr="00133F7A" w:rsidRDefault="00D8374B" w:rsidP="00B1204E">
      <w:pPr>
        <w:ind w:left="1417" w:right="1417"/>
        <w:rPr>
          <w:color w:val="000000" w:themeColor="text1"/>
        </w:rPr>
      </w:pPr>
    </w:p>
    <w:p w:rsidR="00D8374B" w:rsidRPr="00133F7A" w:rsidRDefault="006A010A" w:rsidP="00B1204E">
      <w:pPr>
        <w:ind w:left="1417" w:right="1417"/>
        <w:rPr>
          <w:rFonts w:ascii="Arial" w:hAnsi="Arial" w:cs="Arial"/>
          <w:color w:val="000000" w:themeColor="text1"/>
        </w:rPr>
      </w:pPr>
      <w:r w:rsidRPr="00133F7A">
        <w:rPr>
          <w:rFonts w:ascii="Arial" w:hAnsi="Arial" w:cs="Arial"/>
          <w:color w:val="000000" w:themeColor="text1"/>
        </w:rPr>
        <w:t>I</w:t>
      </w:r>
      <w:r w:rsidR="0004717E" w:rsidRPr="00133F7A">
        <w:rPr>
          <w:rFonts w:ascii="Arial" w:hAnsi="Arial" w:cs="Arial"/>
          <w:color w:val="000000" w:themeColor="text1"/>
        </w:rPr>
        <w:t xml:space="preserve">n the unfortunate scenario in which there </w:t>
      </w:r>
      <w:r w:rsidRPr="00133F7A">
        <w:rPr>
          <w:rFonts w:ascii="Arial" w:hAnsi="Arial" w:cs="Arial"/>
          <w:color w:val="000000" w:themeColor="text1"/>
        </w:rPr>
        <w:t>are any redundancies to be made, it is vital</w:t>
      </w:r>
      <w:r w:rsidR="0004717E" w:rsidRPr="00133F7A">
        <w:rPr>
          <w:rFonts w:ascii="Arial" w:hAnsi="Arial" w:cs="Arial"/>
          <w:color w:val="000000" w:themeColor="text1"/>
        </w:rPr>
        <w:t xml:space="preserve"> that</w:t>
      </w:r>
      <w:r w:rsidRPr="00133F7A">
        <w:rPr>
          <w:rFonts w:ascii="Arial" w:hAnsi="Arial" w:cs="Arial"/>
          <w:color w:val="000000" w:themeColor="text1"/>
        </w:rPr>
        <w:t xml:space="preserve"> the business has a robust process</w:t>
      </w:r>
      <w:r w:rsidR="0004717E" w:rsidRPr="00133F7A">
        <w:rPr>
          <w:rFonts w:ascii="Arial" w:hAnsi="Arial" w:cs="Arial"/>
          <w:color w:val="000000" w:themeColor="text1"/>
        </w:rPr>
        <w:t xml:space="preserve"> in place to guard against any potential claims which might arise</w:t>
      </w:r>
      <w:r w:rsidRPr="00133F7A">
        <w:rPr>
          <w:rFonts w:ascii="Arial" w:hAnsi="Arial" w:cs="Arial"/>
          <w:color w:val="000000" w:themeColor="text1"/>
        </w:rPr>
        <w:t xml:space="preserve">. With the LIFO process posing a threat of </w:t>
      </w:r>
      <w:r w:rsidR="00EF7730" w:rsidRPr="00133F7A">
        <w:rPr>
          <w:rFonts w:ascii="Arial" w:hAnsi="Arial" w:cs="Arial"/>
          <w:color w:val="000000" w:themeColor="text1"/>
        </w:rPr>
        <w:t xml:space="preserve">age </w:t>
      </w:r>
      <w:r w:rsidRPr="00133F7A">
        <w:rPr>
          <w:rFonts w:ascii="Arial" w:hAnsi="Arial" w:cs="Arial"/>
          <w:color w:val="000000" w:themeColor="text1"/>
        </w:rPr>
        <w:t>discrimination</w:t>
      </w:r>
      <w:r w:rsidR="0004717E" w:rsidRPr="00133F7A">
        <w:rPr>
          <w:rFonts w:ascii="Arial" w:hAnsi="Arial" w:cs="Arial"/>
          <w:color w:val="000000" w:themeColor="text1"/>
        </w:rPr>
        <w:t xml:space="preserve"> and potential</w:t>
      </w:r>
      <w:r w:rsidRPr="00133F7A">
        <w:rPr>
          <w:rFonts w:ascii="Arial" w:hAnsi="Arial" w:cs="Arial"/>
          <w:color w:val="000000" w:themeColor="text1"/>
        </w:rPr>
        <w:t xml:space="preserve"> claims </w:t>
      </w:r>
      <w:r w:rsidR="0004717E" w:rsidRPr="00133F7A">
        <w:rPr>
          <w:rFonts w:ascii="Arial" w:hAnsi="Arial" w:cs="Arial"/>
          <w:color w:val="000000" w:themeColor="text1"/>
        </w:rPr>
        <w:t>against</w:t>
      </w:r>
      <w:r w:rsidRPr="00133F7A">
        <w:rPr>
          <w:rFonts w:ascii="Arial" w:hAnsi="Arial" w:cs="Arial"/>
          <w:color w:val="000000" w:themeColor="text1"/>
        </w:rPr>
        <w:t xml:space="preserve"> the business</w:t>
      </w:r>
      <w:r w:rsidR="0004717E" w:rsidRPr="00133F7A">
        <w:rPr>
          <w:rFonts w:ascii="Arial" w:hAnsi="Arial" w:cs="Arial"/>
          <w:color w:val="000000" w:themeColor="text1"/>
        </w:rPr>
        <w:t>,</w:t>
      </w:r>
      <w:r w:rsidRPr="00133F7A">
        <w:rPr>
          <w:rFonts w:ascii="Arial" w:hAnsi="Arial" w:cs="Arial"/>
          <w:color w:val="000000" w:themeColor="text1"/>
        </w:rPr>
        <w:t xml:space="preserve"> the need for a</w:t>
      </w:r>
      <w:r w:rsidR="0004717E" w:rsidRPr="00133F7A">
        <w:rPr>
          <w:rFonts w:ascii="Arial" w:hAnsi="Arial" w:cs="Arial"/>
          <w:color w:val="000000" w:themeColor="text1"/>
        </w:rPr>
        <w:t xml:space="preserve">n alternative </w:t>
      </w:r>
      <w:r w:rsidRPr="00133F7A">
        <w:rPr>
          <w:rFonts w:ascii="Arial" w:hAnsi="Arial" w:cs="Arial"/>
          <w:color w:val="000000" w:themeColor="text1"/>
        </w:rPr>
        <w:t xml:space="preserve">process is </w:t>
      </w:r>
      <w:r w:rsidR="0004717E" w:rsidRPr="00133F7A">
        <w:rPr>
          <w:rFonts w:ascii="Arial" w:hAnsi="Arial" w:cs="Arial"/>
          <w:color w:val="000000" w:themeColor="text1"/>
        </w:rPr>
        <w:t>evident</w:t>
      </w:r>
      <w:r w:rsidRPr="00133F7A">
        <w:rPr>
          <w:rFonts w:ascii="Arial" w:hAnsi="Arial" w:cs="Arial"/>
          <w:color w:val="000000" w:themeColor="text1"/>
        </w:rPr>
        <w:t xml:space="preserve">. </w:t>
      </w:r>
      <w:r w:rsidR="00875122" w:rsidRPr="00133F7A">
        <w:rPr>
          <w:rFonts w:ascii="Arial" w:hAnsi="Arial" w:cs="Arial"/>
          <w:color w:val="000000" w:themeColor="text1"/>
        </w:rPr>
        <w:t xml:space="preserve">It is recommended that the business uses a strict scoring criteria to identify employees that are at risk. This ensures the business is operating a fair redundancy process. </w:t>
      </w:r>
    </w:p>
    <w:p w:rsidR="00F55A4D" w:rsidRPr="00133F7A" w:rsidRDefault="00F55A4D" w:rsidP="00B1204E">
      <w:pPr>
        <w:ind w:left="1417" w:right="1417"/>
        <w:rPr>
          <w:rFonts w:ascii="Arial" w:hAnsi="Arial" w:cs="Arial"/>
          <w:color w:val="000000" w:themeColor="text1"/>
        </w:rPr>
      </w:pPr>
    </w:p>
    <w:p w:rsidR="00F55A4D" w:rsidRPr="00133F7A" w:rsidRDefault="00F55A4D" w:rsidP="00B1204E">
      <w:pPr>
        <w:ind w:left="1417" w:right="1417"/>
        <w:rPr>
          <w:rFonts w:ascii="Arial" w:hAnsi="Arial" w:cs="Arial"/>
          <w:b/>
          <w:color w:val="000000" w:themeColor="text1"/>
          <w:u w:val="single"/>
        </w:rPr>
      </w:pPr>
      <w:r w:rsidRPr="00133F7A">
        <w:rPr>
          <w:rFonts w:ascii="Arial" w:hAnsi="Arial" w:cs="Arial"/>
          <w:b/>
          <w:color w:val="000000" w:themeColor="text1"/>
          <w:u w:val="single"/>
        </w:rPr>
        <w:t>Identify the Pool</w:t>
      </w:r>
    </w:p>
    <w:p w:rsidR="00B16750" w:rsidRPr="00133F7A" w:rsidRDefault="00B16750" w:rsidP="00B1204E">
      <w:pPr>
        <w:ind w:left="1417" w:right="1417"/>
        <w:rPr>
          <w:rFonts w:ascii="Arial" w:hAnsi="Arial" w:cs="Arial"/>
          <w:color w:val="000000" w:themeColor="text1"/>
        </w:rPr>
      </w:pPr>
      <w:r w:rsidRPr="00133F7A">
        <w:rPr>
          <w:rFonts w:ascii="Arial" w:hAnsi="Arial" w:cs="Arial"/>
          <w:color w:val="000000" w:themeColor="text1"/>
        </w:rPr>
        <w:t xml:space="preserve">The first stage of the process is identifying the pool of employees that are at risk of redundancy and should be discussed with the Union. In this case, the pool of affected employees will be the electrical engineers, including the transferred Illuminate employees. </w:t>
      </w:r>
      <w:r w:rsidR="00875122" w:rsidRPr="00133F7A">
        <w:rPr>
          <w:rFonts w:ascii="Arial" w:hAnsi="Arial" w:cs="Arial"/>
          <w:color w:val="000000" w:themeColor="text1"/>
        </w:rPr>
        <w:t>As previously mentioned, it is vital the business operates a fair process to avoid unfair dismissal claims or discrimination claims.</w:t>
      </w:r>
    </w:p>
    <w:p w:rsidR="00B16750" w:rsidRPr="00133F7A" w:rsidRDefault="00B16750" w:rsidP="00B1204E">
      <w:pPr>
        <w:ind w:left="1417" w:right="1417"/>
        <w:rPr>
          <w:rFonts w:ascii="Arial" w:hAnsi="Arial" w:cs="Arial"/>
          <w:color w:val="000000" w:themeColor="text1"/>
        </w:rPr>
      </w:pPr>
    </w:p>
    <w:p w:rsidR="00F55A4D" w:rsidRPr="00133F7A" w:rsidRDefault="00F55A4D" w:rsidP="00B1204E">
      <w:pPr>
        <w:ind w:left="1417" w:right="1417"/>
        <w:rPr>
          <w:rFonts w:ascii="Arial" w:hAnsi="Arial" w:cs="Arial"/>
          <w:b/>
          <w:color w:val="000000" w:themeColor="text1"/>
          <w:u w:val="single"/>
        </w:rPr>
      </w:pPr>
      <w:r w:rsidRPr="00133F7A">
        <w:rPr>
          <w:rFonts w:ascii="Arial" w:hAnsi="Arial" w:cs="Arial"/>
          <w:b/>
          <w:color w:val="000000" w:themeColor="text1"/>
          <w:u w:val="single"/>
        </w:rPr>
        <w:lastRenderedPageBreak/>
        <w:t>Communicating the Potential Redundancies</w:t>
      </w:r>
    </w:p>
    <w:p w:rsidR="00B16750" w:rsidRPr="00133F7A" w:rsidRDefault="00B16750" w:rsidP="00B1204E">
      <w:pPr>
        <w:ind w:left="1417" w:right="1417"/>
        <w:rPr>
          <w:rFonts w:ascii="Arial" w:hAnsi="Arial" w:cs="Arial"/>
          <w:color w:val="000000" w:themeColor="text1"/>
        </w:rPr>
      </w:pPr>
      <w:r w:rsidRPr="00133F7A">
        <w:rPr>
          <w:rFonts w:ascii="Arial" w:hAnsi="Arial" w:cs="Arial"/>
          <w:color w:val="000000" w:themeColor="text1"/>
        </w:rPr>
        <w:t xml:space="preserve">The business needs to communicate to the affected employees </w:t>
      </w:r>
      <w:r w:rsidR="00875122" w:rsidRPr="00133F7A">
        <w:rPr>
          <w:rFonts w:ascii="Arial" w:hAnsi="Arial" w:cs="Arial"/>
          <w:color w:val="000000" w:themeColor="text1"/>
        </w:rPr>
        <w:t xml:space="preserve">and clearly outline </w:t>
      </w:r>
      <w:r w:rsidRPr="00133F7A">
        <w:rPr>
          <w:rFonts w:ascii="Arial" w:hAnsi="Arial" w:cs="Arial"/>
          <w:color w:val="000000" w:themeColor="text1"/>
        </w:rPr>
        <w:t>how many redundancies will be taking place</w:t>
      </w:r>
      <w:r w:rsidR="00875122" w:rsidRPr="00133F7A">
        <w:rPr>
          <w:rFonts w:ascii="Arial" w:hAnsi="Arial" w:cs="Arial"/>
          <w:color w:val="000000" w:themeColor="text1"/>
        </w:rPr>
        <w:t xml:space="preserve"> within the business</w:t>
      </w:r>
      <w:r w:rsidRPr="00133F7A">
        <w:rPr>
          <w:rFonts w:ascii="Arial" w:hAnsi="Arial" w:cs="Arial"/>
          <w:color w:val="000000" w:themeColor="text1"/>
        </w:rPr>
        <w:t xml:space="preserve">, but is </w:t>
      </w:r>
      <w:r w:rsidR="00875122" w:rsidRPr="00133F7A">
        <w:rPr>
          <w:rFonts w:ascii="Arial" w:hAnsi="Arial" w:cs="Arial"/>
          <w:color w:val="000000" w:themeColor="text1"/>
        </w:rPr>
        <w:t>fundamental</w:t>
      </w:r>
      <w:r w:rsidRPr="00133F7A">
        <w:rPr>
          <w:rFonts w:ascii="Arial" w:hAnsi="Arial" w:cs="Arial"/>
          <w:color w:val="000000" w:themeColor="text1"/>
        </w:rPr>
        <w:t xml:space="preserve"> to explain that the redundancy is only a possibility and will be subject to a full consultation process. </w:t>
      </w:r>
      <w:r w:rsidR="00875122" w:rsidRPr="00133F7A">
        <w:rPr>
          <w:rFonts w:ascii="Arial" w:hAnsi="Arial" w:cs="Arial"/>
          <w:color w:val="000000" w:themeColor="text1"/>
        </w:rPr>
        <w:t xml:space="preserve">By making sure the employees are aware it is only a possibility, it </w:t>
      </w:r>
      <w:r w:rsidRPr="00133F7A">
        <w:rPr>
          <w:rFonts w:ascii="Arial" w:hAnsi="Arial" w:cs="Arial"/>
          <w:color w:val="000000" w:themeColor="text1"/>
        </w:rPr>
        <w:t xml:space="preserve">secures the business from </w:t>
      </w:r>
      <w:r w:rsidR="00875122" w:rsidRPr="00133F7A">
        <w:rPr>
          <w:rFonts w:ascii="Arial" w:hAnsi="Arial" w:cs="Arial"/>
          <w:color w:val="000000" w:themeColor="text1"/>
        </w:rPr>
        <w:t xml:space="preserve">potential </w:t>
      </w:r>
      <w:r w:rsidRPr="00133F7A">
        <w:rPr>
          <w:rFonts w:ascii="Arial" w:hAnsi="Arial" w:cs="Arial"/>
          <w:color w:val="000000" w:themeColor="text1"/>
        </w:rPr>
        <w:t xml:space="preserve">claims that the decision was intended. </w:t>
      </w:r>
    </w:p>
    <w:p w:rsidR="00B16750" w:rsidRPr="00133F7A" w:rsidRDefault="00B16750" w:rsidP="00B1204E">
      <w:pPr>
        <w:ind w:left="1417" w:right="1417"/>
        <w:rPr>
          <w:color w:val="000000" w:themeColor="text1"/>
        </w:rPr>
      </w:pPr>
    </w:p>
    <w:p w:rsidR="00F55A4D" w:rsidRPr="00133F7A" w:rsidRDefault="00F55A4D" w:rsidP="00B1204E">
      <w:pPr>
        <w:ind w:left="1417" w:right="1417"/>
        <w:rPr>
          <w:rFonts w:ascii="Arial" w:hAnsi="Arial" w:cs="Arial"/>
          <w:b/>
          <w:color w:val="000000" w:themeColor="text1"/>
          <w:u w:val="single"/>
        </w:rPr>
      </w:pPr>
      <w:r w:rsidRPr="00133F7A">
        <w:rPr>
          <w:rFonts w:ascii="Arial" w:hAnsi="Arial" w:cs="Arial"/>
          <w:b/>
          <w:color w:val="000000" w:themeColor="text1"/>
          <w:u w:val="single"/>
        </w:rPr>
        <w:t>Selection Criteria</w:t>
      </w:r>
    </w:p>
    <w:p w:rsidR="00D8374B" w:rsidRPr="00133F7A" w:rsidRDefault="00B16750" w:rsidP="00B1204E">
      <w:pPr>
        <w:ind w:left="1417" w:right="1417"/>
        <w:rPr>
          <w:rFonts w:ascii="Arial" w:hAnsi="Arial" w:cs="Arial"/>
          <w:color w:val="000000" w:themeColor="text1"/>
        </w:rPr>
      </w:pPr>
      <w:r w:rsidRPr="00133F7A">
        <w:rPr>
          <w:rFonts w:ascii="Arial" w:hAnsi="Arial" w:cs="Arial"/>
          <w:color w:val="000000" w:themeColor="text1"/>
        </w:rPr>
        <w:t xml:space="preserve">The selection criteria </w:t>
      </w:r>
      <w:r w:rsidR="00875122" w:rsidRPr="00133F7A">
        <w:rPr>
          <w:rFonts w:ascii="Arial" w:hAnsi="Arial" w:cs="Arial"/>
          <w:color w:val="000000" w:themeColor="text1"/>
        </w:rPr>
        <w:t xml:space="preserve">for the redundancies </w:t>
      </w:r>
      <w:r w:rsidRPr="00133F7A">
        <w:rPr>
          <w:rFonts w:ascii="Arial" w:hAnsi="Arial" w:cs="Arial"/>
          <w:color w:val="000000" w:themeColor="text1"/>
        </w:rPr>
        <w:t>needs to be explained to the affected employees. To be a fair selection process</w:t>
      </w:r>
      <w:r w:rsidR="00875122" w:rsidRPr="00133F7A">
        <w:rPr>
          <w:rFonts w:ascii="Arial" w:hAnsi="Arial" w:cs="Arial"/>
          <w:color w:val="000000" w:themeColor="text1"/>
        </w:rPr>
        <w:t xml:space="preserve">, the selection criteria </w:t>
      </w:r>
      <w:r w:rsidRPr="00133F7A">
        <w:rPr>
          <w:rFonts w:ascii="Arial" w:hAnsi="Arial" w:cs="Arial"/>
          <w:color w:val="000000" w:themeColor="text1"/>
        </w:rPr>
        <w:t>needs to take into consideration, length of service, attendance records, as well as any disciplinary records on file. These categories can be added to a matrix</w:t>
      </w:r>
      <w:r w:rsidR="00875122" w:rsidRPr="00133F7A">
        <w:rPr>
          <w:rFonts w:ascii="Arial" w:hAnsi="Arial" w:cs="Arial"/>
          <w:color w:val="000000" w:themeColor="text1"/>
        </w:rPr>
        <w:t>, weighted with a score per category based on importance</w:t>
      </w:r>
      <w:r w:rsidRPr="00133F7A">
        <w:rPr>
          <w:rFonts w:ascii="Arial" w:hAnsi="Arial" w:cs="Arial"/>
          <w:color w:val="000000" w:themeColor="text1"/>
        </w:rPr>
        <w:t xml:space="preserve"> </w:t>
      </w:r>
      <w:r w:rsidR="00875122" w:rsidRPr="00133F7A">
        <w:rPr>
          <w:rFonts w:ascii="Arial" w:hAnsi="Arial" w:cs="Arial"/>
          <w:color w:val="000000" w:themeColor="text1"/>
        </w:rPr>
        <w:t xml:space="preserve">and will be used to </w:t>
      </w:r>
      <w:r w:rsidRPr="00133F7A">
        <w:rPr>
          <w:rFonts w:ascii="Arial" w:hAnsi="Arial" w:cs="Arial"/>
          <w:color w:val="000000" w:themeColor="text1"/>
        </w:rPr>
        <w:t xml:space="preserve">score the employees based on the evidence. </w:t>
      </w:r>
      <w:r w:rsidR="008F1DFE" w:rsidRPr="00133F7A">
        <w:rPr>
          <w:rFonts w:ascii="Arial" w:hAnsi="Arial" w:cs="Arial"/>
          <w:color w:val="000000" w:themeColor="text1"/>
        </w:rPr>
        <w:t>Once the process of scoring has ended, the business will need to write to each employee identified at risk</w:t>
      </w:r>
      <w:r w:rsidR="00875122" w:rsidRPr="00133F7A">
        <w:rPr>
          <w:rFonts w:ascii="Arial" w:hAnsi="Arial" w:cs="Arial"/>
          <w:color w:val="000000" w:themeColor="text1"/>
        </w:rPr>
        <w:t xml:space="preserve"> (usually the lowest scoring) </w:t>
      </w:r>
      <w:r w:rsidR="008F1DFE" w:rsidRPr="00133F7A">
        <w:rPr>
          <w:rFonts w:ascii="Arial" w:hAnsi="Arial" w:cs="Arial"/>
          <w:color w:val="000000" w:themeColor="text1"/>
        </w:rPr>
        <w:t>detailing the reason for selection for redundancy. Each employee will be invited to a consultation meeting to discuss their selection</w:t>
      </w:r>
      <w:r w:rsidR="00875122" w:rsidRPr="00133F7A">
        <w:rPr>
          <w:rFonts w:ascii="Arial" w:hAnsi="Arial" w:cs="Arial"/>
          <w:color w:val="000000" w:themeColor="text1"/>
        </w:rPr>
        <w:t xml:space="preserve"> and raise any issues or concerns they have.</w:t>
      </w:r>
    </w:p>
    <w:p w:rsidR="00D8374B" w:rsidRPr="00133F7A" w:rsidRDefault="00D8374B" w:rsidP="00B1204E">
      <w:pPr>
        <w:ind w:left="1417" w:right="1417"/>
        <w:rPr>
          <w:color w:val="000000" w:themeColor="text1"/>
        </w:rPr>
      </w:pPr>
    </w:p>
    <w:p w:rsidR="00F55A4D" w:rsidRPr="00133F7A" w:rsidRDefault="00F55A4D" w:rsidP="00B1204E">
      <w:pPr>
        <w:ind w:left="1417" w:right="1417"/>
        <w:rPr>
          <w:rFonts w:ascii="Arial" w:hAnsi="Arial" w:cs="Arial"/>
          <w:b/>
          <w:color w:val="000000" w:themeColor="text1"/>
          <w:u w:val="single"/>
        </w:rPr>
      </w:pPr>
      <w:r w:rsidRPr="00133F7A">
        <w:rPr>
          <w:rFonts w:ascii="Arial" w:hAnsi="Arial" w:cs="Arial"/>
          <w:b/>
          <w:color w:val="000000" w:themeColor="text1"/>
          <w:u w:val="single"/>
        </w:rPr>
        <w:t>Consultation Meetings</w:t>
      </w:r>
    </w:p>
    <w:p w:rsidR="0041440E" w:rsidRPr="00133F7A" w:rsidRDefault="0041440E" w:rsidP="00B1204E">
      <w:pPr>
        <w:ind w:left="1417" w:right="1417"/>
        <w:rPr>
          <w:rFonts w:ascii="Arial" w:hAnsi="Arial" w:cs="Arial"/>
          <w:color w:val="000000" w:themeColor="text1"/>
        </w:rPr>
      </w:pPr>
      <w:r w:rsidRPr="00133F7A">
        <w:rPr>
          <w:rFonts w:ascii="Arial" w:hAnsi="Arial" w:cs="Arial"/>
          <w:color w:val="000000" w:themeColor="text1"/>
        </w:rPr>
        <w:t>An individual consultation meeting will need to take place that gives the employee the opportunity to suggest ways in which the business can avoid redundancies, challenge their reason for selection, and consider alternative employment (if applicable). The business must remind the employee that they are entitled to have a colleague or trade union representative with them during this meeting should they choose to. Any employees unaccompanied</w:t>
      </w:r>
      <w:r w:rsidR="00875122" w:rsidRPr="00133F7A">
        <w:rPr>
          <w:rFonts w:ascii="Arial" w:hAnsi="Arial" w:cs="Arial"/>
          <w:color w:val="000000" w:themeColor="text1"/>
        </w:rPr>
        <w:t xml:space="preserve"> by a colleague or trade union representative</w:t>
      </w:r>
      <w:r w:rsidRPr="00133F7A">
        <w:rPr>
          <w:rFonts w:ascii="Arial" w:hAnsi="Arial" w:cs="Arial"/>
          <w:color w:val="000000" w:themeColor="text1"/>
        </w:rPr>
        <w:t xml:space="preserve"> must be asked if they are satisfied to continue with the meeting</w:t>
      </w:r>
      <w:r w:rsidR="00875122" w:rsidRPr="00133F7A">
        <w:rPr>
          <w:rFonts w:ascii="Arial" w:hAnsi="Arial" w:cs="Arial"/>
          <w:color w:val="000000" w:themeColor="text1"/>
        </w:rPr>
        <w:t>, with this being captured as part of the notes.</w:t>
      </w:r>
    </w:p>
    <w:p w:rsidR="005E170D" w:rsidRPr="00133F7A" w:rsidRDefault="005E170D" w:rsidP="00B1204E">
      <w:pPr>
        <w:ind w:left="1417" w:right="1417"/>
        <w:rPr>
          <w:rFonts w:ascii="Arial" w:hAnsi="Arial" w:cs="Arial"/>
          <w:color w:val="000000" w:themeColor="text1"/>
        </w:rPr>
      </w:pPr>
    </w:p>
    <w:p w:rsidR="005E170D" w:rsidRPr="00133F7A" w:rsidRDefault="005E170D" w:rsidP="00B1204E">
      <w:pPr>
        <w:ind w:left="1417" w:right="1417"/>
        <w:rPr>
          <w:rFonts w:ascii="Arial" w:hAnsi="Arial" w:cs="Arial"/>
          <w:color w:val="000000" w:themeColor="text1"/>
        </w:rPr>
      </w:pPr>
      <w:r w:rsidRPr="00133F7A">
        <w:rPr>
          <w:rFonts w:ascii="Arial" w:hAnsi="Arial" w:cs="Arial"/>
          <w:color w:val="000000" w:themeColor="text1"/>
        </w:rPr>
        <w:t xml:space="preserve">As well as having individual consultation meetings, collective consultation meetings should also take place to give employees ample opportunity to voice their opinions and thoughts around the process. </w:t>
      </w:r>
      <w:r w:rsidR="000626F0" w:rsidRPr="00133F7A">
        <w:rPr>
          <w:rFonts w:ascii="Arial" w:hAnsi="Arial" w:cs="Arial"/>
          <w:color w:val="000000" w:themeColor="text1"/>
        </w:rPr>
        <w:t>These meetings are vital as the business is making more than 20 redundancies (GOV.UK, 2022). Employees of both BBL and Illuminate can nominate representatives within the workforce to attend collective consultation meetings where reasons for the redundancy and potential methods to avoid redundancies will be discussed.</w:t>
      </w:r>
    </w:p>
    <w:p w:rsidR="0041440E" w:rsidRPr="00133F7A" w:rsidRDefault="0041440E" w:rsidP="00B1204E">
      <w:pPr>
        <w:ind w:left="1417" w:right="1417"/>
        <w:rPr>
          <w:rFonts w:ascii="Arial" w:hAnsi="Arial" w:cs="Arial"/>
          <w:color w:val="000000" w:themeColor="text1"/>
        </w:rPr>
      </w:pPr>
    </w:p>
    <w:p w:rsidR="00F55A4D" w:rsidRPr="00133F7A" w:rsidRDefault="00F55A4D" w:rsidP="00B1204E">
      <w:pPr>
        <w:ind w:left="1417" w:right="1417"/>
        <w:rPr>
          <w:rFonts w:ascii="Arial" w:hAnsi="Arial" w:cs="Arial"/>
          <w:b/>
          <w:color w:val="000000" w:themeColor="text1"/>
          <w:u w:val="single"/>
        </w:rPr>
      </w:pPr>
      <w:r w:rsidRPr="00133F7A">
        <w:rPr>
          <w:rFonts w:ascii="Arial" w:hAnsi="Arial" w:cs="Arial"/>
          <w:b/>
          <w:color w:val="000000" w:themeColor="text1"/>
          <w:u w:val="single"/>
        </w:rPr>
        <w:lastRenderedPageBreak/>
        <w:t>Follow Up Meetings</w:t>
      </w:r>
    </w:p>
    <w:p w:rsidR="0041440E" w:rsidRPr="00133F7A" w:rsidRDefault="0041440E" w:rsidP="00B1204E">
      <w:pPr>
        <w:ind w:left="1417" w:right="1417"/>
        <w:rPr>
          <w:rFonts w:ascii="Arial" w:hAnsi="Arial" w:cs="Arial"/>
          <w:color w:val="000000" w:themeColor="text1"/>
        </w:rPr>
      </w:pPr>
      <w:r w:rsidRPr="00133F7A">
        <w:rPr>
          <w:rFonts w:ascii="Arial" w:hAnsi="Arial" w:cs="Arial"/>
          <w:color w:val="000000" w:themeColor="text1"/>
        </w:rPr>
        <w:t>The follow up meeting comes after the employees identified as at risk of redundancy based on the scoring criteria have received letters confirming so. The reason for selection and scores must be shared with the individual, along with the mention of suitable alternative employment</w:t>
      </w:r>
      <w:r w:rsidR="00875122" w:rsidRPr="00133F7A">
        <w:rPr>
          <w:rFonts w:ascii="Arial" w:hAnsi="Arial" w:cs="Arial"/>
          <w:color w:val="000000" w:themeColor="text1"/>
        </w:rPr>
        <w:t xml:space="preserve"> (if applicable)</w:t>
      </w:r>
      <w:r w:rsidRPr="00133F7A">
        <w:rPr>
          <w:rFonts w:ascii="Arial" w:hAnsi="Arial" w:cs="Arial"/>
          <w:color w:val="000000" w:themeColor="text1"/>
        </w:rPr>
        <w:t>. The business must then explain the redundancy package and explain the right of appeal to the individual.</w:t>
      </w:r>
    </w:p>
    <w:p w:rsidR="0041440E" w:rsidRPr="00133F7A" w:rsidRDefault="0041440E" w:rsidP="00B1204E">
      <w:pPr>
        <w:ind w:left="1417" w:right="1417"/>
        <w:rPr>
          <w:rFonts w:ascii="Arial" w:hAnsi="Arial" w:cs="Arial"/>
          <w:color w:val="000000" w:themeColor="text1"/>
        </w:rPr>
      </w:pPr>
    </w:p>
    <w:p w:rsidR="00F55A4D" w:rsidRPr="00133F7A" w:rsidRDefault="00F55A4D" w:rsidP="00B1204E">
      <w:pPr>
        <w:ind w:left="1417" w:right="1417"/>
        <w:rPr>
          <w:rFonts w:ascii="Arial" w:hAnsi="Arial" w:cs="Arial"/>
          <w:b/>
          <w:color w:val="000000" w:themeColor="text1"/>
          <w:u w:val="single"/>
        </w:rPr>
      </w:pPr>
      <w:r w:rsidRPr="00133F7A">
        <w:rPr>
          <w:rFonts w:ascii="Arial" w:hAnsi="Arial" w:cs="Arial"/>
          <w:b/>
          <w:color w:val="000000" w:themeColor="text1"/>
          <w:u w:val="single"/>
        </w:rPr>
        <w:t>Confirmation of Redundancy</w:t>
      </w:r>
    </w:p>
    <w:p w:rsidR="0041440E" w:rsidRPr="00133F7A" w:rsidRDefault="0041440E" w:rsidP="00B1204E">
      <w:pPr>
        <w:ind w:left="1417" w:right="1417"/>
        <w:rPr>
          <w:rFonts w:ascii="Arial" w:hAnsi="Arial" w:cs="Arial"/>
          <w:color w:val="000000" w:themeColor="text1"/>
        </w:rPr>
      </w:pPr>
      <w:r w:rsidRPr="00133F7A">
        <w:rPr>
          <w:rFonts w:ascii="Arial" w:hAnsi="Arial" w:cs="Arial"/>
          <w:color w:val="000000" w:themeColor="text1"/>
        </w:rPr>
        <w:t xml:space="preserve">The confirmation of redundancy must be made in writing and detail the date in which they are redundant, whether they are working their notice period </w:t>
      </w:r>
      <w:r w:rsidR="00875122" w:rsidRPr="00133F7A">
        <w:rPr>
          <w:rFonts w:ascii="Arial" w:hAnsi="Arial" w:cs="Arial"/>
          <w:color w:val="000000" w:themeColor="text1"/>
        </w:rPr>
        <w:t xml:space="preserve">or not </w:t>
      </w:r>
      <w:r w:rsidRPr="00133F7A">
        <w:rPr>
          <w:rFonts w:ascii="Arial" w:hAnsi="Arial" w:cs="Arial"/>
          <w:color w:val="000000" w:themeColor="text1"/>
        </w:rPr>
        <w:t>and their right of appeal.</w:t>
      </w:r>
    </w:p>
    <w:p w:rsidR="00875122" w:rsidRPr="00133F7A" w:rsidRDefault="00875122" w:rsidP="00B1204E">
      <w:pPr>
        <w:ind w:left="1417" w:right="1417"/>
        <w:rPr>
          <w:rFonts w:ascii="Arial" w:hAnsi="Arial" w:cs="Arial"/>
          <w:color w:val="000000" w:themeColor="text1"/>
        </w:rPr>
      </w:pPr>
    </w:p>
    <w:p w:rsidR="00B16750" w:rsidRPr="00133F7A" w:rsidRDefault="00875122" w:rsidP="003E24C2">
      <w:pPr>
        <w:ind w:left="1417" w:right="1417"/>
        <w:rPr>
          <w:rFonts w:ascii="Arial" w:hAnsi="Arial" w:cs="Arial"/>
          <w:color w:val="000000" w:themeColor="text1"/>
        </w:rPr>
      </w:pPr>
      <w:r w:rsidRPr="00133F7A">
        <w:rPr>
          <w:rFonts w:ascii="Arial" w:hAnsi="Arial" w:cs="Arial"/>
          <w:color w:val="000000" w:themeColor="text1"/>
        </w:rPr>
        <w:t xml:space="preserve">This will be considered a legal and fair process for the business to use, should there be a need for redundancies. </w:t>
      </w:r>
      <w:r w:rsidR="009F259D" w:rsidRPr="00133F7A">
        <w:rPr>
          <w:rFonts w:ascii="Arial" w:hAnsi="Arial" w:cs="Arial"/>
          <w:color w:val="000000" w:themeColor="text1"/>
        </w:rPr>
        <w:t>As a recommendation to the business, it would be suggested that if there were to be any redundancies made within the workforce, this process is undertaken.</w:t>
      </w:r>
    </w:p>
    <w:p w:rsidR="00B16750" w:rsidRPr="00133F7A" w:rsidRDefault="00B16750" w:rsidP="00B1204E">
      <w:pPr>
        <w:ind w:left="1417" w:right="1417"/>
        <w:rPr>
          <w:rFonts w:ascii="Times New Roman" w:eastAsia="Times New Roman" w:hAnsi="Times New Roman" w:cs="Times New Roman"/>
          <w:color w:val="000000" w:themeColor="text1"/>
        </w:rPr>
      </w:pPr>
    </w:p>
    <w:p w:rsidR="00B16750" w:rsidRPr="00133F7A" w:rsidRDefault="00B16750" w:rsidP="00B1204E">
      <w:pPr>
        <w:ind w:left="1417" w:right="1417"/>
        <w:rPr>
          <w:rFonts w:ascii="Arial" w:eastAsia="Times New Roman" w:hAnsi="Arial" w:cs="Arial"/>
          <w:b/>
          <w:color w:val="000000" w:themeColor="text1"/>
          <w:sz w:val="28"/>
          <w:u w:val="single"/>
        </w:rPr>
      </w:pPr>
      <w:r w:rsidRPr="00133F7A">
        <w:rPr>
          <w:rFonts w:ascii="Arial" w:eastAsia="Times New Roman" w:hAnsi="Arial" w:cs="Arial"/>
          <w:b/>
          <w:color w:val="000000" w:themeColor="text1"/>
          <w:sz w:val="28"/>
          <w:u w:val="single"/>
        </w:rPr>
        <w:t xml:space="preserve">What are the options in terms of seeking to make the change to the terms and conditions? </w:t>
      </w:r>
    </w:p>
    <w:p w:rsidR="00B16750" w:rsidRPr="00133F7A" w:rsidRDefault="00B16750" w:rsidP="00B1204E">
      <w:pPr>
        <w:ind w:left="1417" w:right="1417"/>
        <w:rPr>
          <w:rFonts w:ascii="Arial" w:eastAsia="Times New Roman" w:hAnsi="Arial" w:cs="Arial"/>
          <w:b/>
          <w:color w:val="000000" w:themeColor="text1"/>
          <w:sz w:val="28"/>
          <w:u w:val="single"/>
        </w:rPr>
      </w:pPr>
    </w:p>
    <w:p w:rsidR="004F1C3E" w:rsidRPr="00133F7A" w:rsidRDefault="004F1C3E" w:rsidP="00377D5F">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When changing employment contracts, it is vital the business considers the three options before deciding upon their method. The three options are:</w:t>
      </w:r>
    </w:p>
    <w:p w:rsidR="004F1C3E" w:rsidRPr="00133F7A" w:rsidRDefault="004F1C3E" w:rsidP="00377D5F">
      <w:pPr>
        <w:ind w:left="1417" w:right="1417"/>
        <w:rPr>
          <w:rFonts w:ascii="Arial" w:eastAsia="Times New Roman" w:hAnsi="Arial" w:cs="Arial"/>
          <w:color w:val="000000" w:themeColor="text1"/>
        </w:rPr>
      </w:pPr>
    </w:p>
    <w:p w:rsidR="004F1C3E" w:rsidRPr="00133F7A" w:rsidRDefault="004F1C3E" w:rsidP="004F1C3E">
      <w:pPr>
        <w:pStyle w:val="ListParagraph"/>
        <w:numPr>
          <w:ilvl w:val="0"/>
          <w:numId w:val="2"/>
        </w:numPr>
        <w:ind w:right="1417"/>
        <w:rPr>
          <w:rFonts w:ascii="Arial" w:eastAsia="Times New Roman" w:hAnsi="Arial" w:cs="Arial"/>
          <w:color w:val="000000" w:themeColor="text1"/>
        </w:rPr>
      </w:pPr>
      <w:r w:rsidRPr="00133F7A">
        <w:rPr>
          <w:rFonts w:ascii="Arial" w:eastAsia="Times New Roman" w:hAnsi="Arial" w:cs="Arial"/>
          <w:color w:val="000000" w:themeColor="text1"/>
        </w:rPr>
        <w:t>Voluntary Agreement</w:t>
      </w:r>
    </w:p>
    <w:p w:rsidR="004F1C3E" w:rsidRPr="00133F7A" w:rsidRDefault="004F1C3E" w:rsidP="004F1C3E">
      <w:pPr>
        <w:pStyle w:val="ListParagraph"/>
        <w:numPr>
          <w:ilvl w:val="0"/>
          <w:numId w:val="2"/>
        </w:numPr>
        <w:ind w:right="1417"/>
        <w:rPr>
          <w:rFonts w:ascii="Arial" w:eastAsia="Times New Roman" w:hAnsi="Arial" w:cs="Arial"/>
          <w:color w:val="000000" w:themeColor="text1"/>
        </w:rPr>
      </w:pPr>
      <w:r w:rsidRPr="00133F7A">
        <w:rPr>
          <w:rFonts w:ascii="Arial" w:eastAsia="Times New Roman" w:hAnsi="Arial" w:cs="Arial"/>
          <w:color w:val="000000" w:themeColor="text1"/>
        </w:rPr>
        <w:t>Unilateral imposition of change</w:t>
      </w:r>
    </w:p>
    <w:p w:rsidR="004F1C3E" w:rsidRPr="00133F7A" w:rsidRDefault="004F1C3E" w:rsidP="004F1C3E">
      <w:pPr>
        <w:pStyle w:val="ListParagraph"/>
        <w:numPr>
          <w:ilvl w:val="0"/>
          <w:numId w:val="2"/>
        </w:numPr>
        <w:ind w:right="1417"/>
        <w:rPr>
          <w:rFonts w:ascii="Arial" w:eastAsia="Times New Roman" w:hAnsi="Arial" w:cs="Arial"/>
          <w:color w:val="000000" w:themeColor="text1"/>
        </w:rPr>
      </w:pPr>
      <w:r w:rsidRPr="00133F7A">
        <w:rPr>
          <w:rFonts w:ascii="Arial" w:eastAsia="Times New Roman" w:hAnsi="Arial" w:cs="Arial"/>
          <w:color w:val="000000" w:themeColor="text1"/>
        </w:rPr>
        <w:t>Dismissal and re-engage</w:t>
      </w:r>
    </w:p>
    <w:p w:rsidR="004F1C3E" w:rsidRPr="00133F7A" w:rsidRDefault="004F1C3E" w:rsidP="007E3AA5">
      <w:pPr>
        <w:ind w:right="1417"/>
        <w:rPr>
          <w:rFonts w:ascii="Arial" w:eastAsia="Times New Roman" w:hAnsi="Arial" w:cs="Arial"/>
          <w:color w:val="000000" w:themeColor="text1"/>
        </w:rPr>
      </w:pPr>
    </w:p>
    <w:p w:rsidR="00377D5F" w:rsidRPr="00133F7A" w:rsidRDefault="00377D5F" w:rsidP="00377D5F">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With the change in the contract of employment being quite substantial, it would be courteous of the business to get the consent of the employees to make this change, even if there is a contractual right to make the change. If the business does not communicate with employees and obtain consent, it may lead to “a decrease in commitment and performance, if employees do not support the changes, or feel they have not had the opportunity to inform decisions” (ACAS A, 2021).</w:t>
      </w:r>
      <w:r w:rsidR="004F1C3E" w:rsidRPr="00133F7A">
        <w:rPr>
          <w:rFonts w:ascii="Arial" w:eastAsia="Times New Roman" w:hAnsi="Arial" w:cs="Arial"/>
          <w:color w:val="000000" w:themeColor="text1"/>
        </w:rPr>
        <w:t xml:space="preserve"> When making such changes to an employment contract, the business </w:t>
      </w:r>
      <w:r w:rsidR="00ED347C" w:rsidRPr="00133F7A">
        <w:rPr>
          <w:rFonts w:ascii="Arial" w:eastAsia="Times New Roman" w:hAnsi="Arial" w:cs="Arial"/>
          <w:color w:val="000000" w:themeColor="text1"/>
        </w:rPr>
        <w:t>needs to provide sufficient notice to the employees in order to avoid potential claims of unfair dismissal</w:t>
      </w:r>
    </w:p>
    <w:p w:rsidR="00377D5F" w:rsidRPr="00133F7A" w:rsidRDefault="00377D5F" w:rsidP="00377D5F">
      <w:pPr>
        <w:ind w:left="1417" w:right="1417"/>
        <w:rPr>
          <w:rFonts w:ascii="Arial" w:eastAsia="Times New Roman" w:hAnsi="Arial" w:cs="Arial"/>
          <w:color w:val="000000" w:themeColor="text1"/>
        </w:rPr>
      </w:pPr>
    </w:p>
    <w:p w:rsidR="00F56133" w:rsidRPr="00133F7A" w:rsidRDefault="00F56133"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The business will be changing all employment contracts to implement the mobility clause, this means that it is </w:t>
      </w:r>
      <w:r w:rsidRPr="00133F7A">
        <w:rPr>
          <w:rFonts w:ascii="Arial" w:eastAsia="Times New Roman" w:hAnsi="Arial" w:cs="Arial"/>
          <w:color w:val="000000" w:themeColor="text1"/>
        </w:rPr>
        <w:lastRenderedPageBreak/>
        <w:t xml:space="preserve">necessary a collective consultation is had with the employees regarding the change. This is also where the business should discuss the pay review as this is will also be incorporated into the new contract of employment (Wilson Browne Solicitors, 2022). </w:t>
      </w:r>
    </w:p>
    <w:p w:rsidR="00ED347C" w:rsidRPr="00133F7A" w:rsidRDefault="00ED347C" w:rsidP="00B1204E">
      <w:pPr>
        <w:ind w:left="1417" w:right="1417"/>
        <w:rPr>
          <w:rFonts w:ascii="Arial" w:eastAsia="Times New Roman" w:hAnsi="Arial" w:cs="Arial"/>
          <w:color w:val="000000" w:themeColor="text1"/>
        </w:rPr>
      </w:pPr>
    </w:p>
    <w:p w:rsidR="00ED347C" w:rsidRPr="00133F7A" w:rsidRDefault="00ED347C"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If the business opts for the unilateral </w:t>
      </w:r>
      <w:r w:rsidR="00476D65" w:rsidRPr="00133F7A">
        <w:rPr>
          <w:rFonts w:ascii="Arial" w:eastAsia="Times New Roman" w:hAnsi="Arial" w:cs="Arial"/>
          <w:color w:val="000000" w:themeColor="text1"/>
        </w:rPr>
        <w:t xml:space="preserve">imposition of the change, there is a risk of unfair dismissal claims from the employees against the business. </w:t>
      </w:r>
    </w:p>
    <w:p w:rsidR="00F56133" w:rsidRPr="00133F7A" w:rsidRDefault="00F56133" w:rsidP="00B1204E">
      <w:pPr>
        <w:ind w:left="1417" w:right="1417"/>
        <w:rPr>
          <w:rFonts w:ascii="Arial" w:eastAsia="Times New Roman" w:hAnsi="Arial" w:cs="Arial"/>
          <w:color w:val="000000" w:themeColor="text1"/>
        </w:rPr>
      </w:pPr>
    </w:p>
    <w:p w:rsidR="00F56133" w:rsidRPr="00133F7A" w:rsidRDefault="00F56133"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During the consultation meetings, the employees must be told that if an agreement of the new terms cannot be met through the process of consultation meetings, the business will have to consider giving notice for contract termination for the current contracts, with the view of immediately offering the employees a new contract with the new terms (Wilson Browne Solicitors, 2022).</w:t>
      </w:r>
      <w:r w:rsidR="00ED347C" w:rsidRPr="00133F7A">
        <w:rPr>
          <w:rFonts w:ascii="Arial" w:eastAsia="Times New Roman" w:hAnsi="Arial" w:cs="Arial"/>
          <w:color w:val="000000" w:themeColor="text1"/>
        </w:rPr>
        <w:t xml:space="preserve"> This is the business’ dismiss and re-engage option.</w:t>
      </w:r>
    </w:p>
    <w:p w:rsidR="00F56133" w:rsidRPr="00133F7A" w:rsidRDefault="00F56133" w:rsidP="00B1204E">
      <w:pPr>
        <w:ind w:left="1417" w:right="1417"/>
        <w:rPr>
          <w:rFonts w:ascii="Arial" w:eastAsia="Times New Roman" w:hAnsi="Arial" w:cs="Arial"/>
          <w:color w:val="000000" w:themeColor="text1"/>
        </w:rPr>
      </w:pPr>
    </w:p>
    <w:p w:rsidR="00F83BEE" w:rsidRPr="00133F7A" w:rsidRDefault="00F56133" w:rsidP="009C2DF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The business must make it very clear that it will only terminate contracts if absolutely necessary, and would much prefer the alterations to the contracts to be settled on a voluntary basis (Wilson Browne Solicitors, 2022)</w:t>
      </w:r>
    </w:p>
    <w:p w:rsidR="006725FF" w:rsidRPr="00133F7A" w:rsidRDefault="006725FF" w:rsidP="007E3AA5">
      <w:pPr>
        <w:ind w:right="1417"/>
        <w:rPr>
          <w:rFonts w:ascii="Arial" w:eastAsia="Times New Roman" w:hAnsi="Arial" w:cs="Arial"/>
          <w:b/>
          <w:color w:val="000000" w:themeColor="text1"/>
          <w:sz w:val="28"/>
          <w:u w:val="single"/>
        </w:rPr>
      </w:pPr>
    </w:p>
    <w:p w:rsidR="00377D5F" w:rsidRPr="00133F7A" w:rsidRDefault="00B16750" w:rsidP="009F259D">
      <w:pPr>
        <w:ind w:left="1417" w:right="1417"/>
        <w:rPr>
          <w:rFonts w:ascii="Arial" w:eastAsia="Times New Roman" w:hAnsi="Arial" w:cs="Arial"/>
          <w:b/>
          <w:color w:val="000000" w:themeColor="text1"/>
          <w:sz w:val="28"/>
          <w:u w:val="single"/>
        </w:rPr>
      </w:pPr>
      <w:r w:rsidRPr="00133F7A">
        <w:rPr>
          <w:rFonts w:ascii="Arial" w:eastAsia="Times New Roman" w:hAnsi="Arial" w:cs="Arial"/>
          <w:b/>
          <w:color w:val="000000" w:themeColor="text1"/>
          <w:sz w:val="28"/>
          <w:u w:val="single"/>
        </w:rPr>
        <w:t xml:space="preserve">Does the clause help Management? </w:t>
      </w:r>
    </w:p>
    <w:p w:rsidR="00377D5F" w:rsidRPr="00133F7A" w:rsidRDefault="00377D5F" w:rsidP="00B1204E">
      <w:pPr>
        <w:ind w:left="1417" w:right="1417"/>
        <w:rPr>
          <w:rFonts w:ascii="Arial" w:eastAsia="Times New Roman" w:hAnsi="Arial" w:cs="Arial"/>
          <w:color w:val="000000" w:themeColor="text1"/>
        </w:rPr>
      </w:pPr>
    </w:p>
    <w:p w:rsidR="004E6A15" w:rsidRPr="00133F7A" w:rsidRDefault="009C2DFE"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It gives the business the opportunity to encourage the employees to agree to the changes in the contract of employment voluntarily before having to resort to possibly terminating contracts and reissuing with the new changes already implemented. With the new contract of employment and pay review, it is likely to help management as employees may be more likely to accept these changes based on the new pay rate. </w:t>
      </w:r>
    </w:p>
    <w:p w:rsidR="00476D65" w:rsidRPr="00133F7A" w:rsidRDefault="00476D65" w:rsidP="00B1204E">
      <w:pPr>
        <w:ind w:left="1417" w:right="1417"/>
        <w:rPr>
          <w:rFonts w:ascii="Arial" w:eastAsia="Times New Roman" w:hAnsi="Arial" w:cs="Arial"/>
          <w:color w:val="000000" w:themeColor="text1"/>
        </w:rPr>
      </w:pPr>
    </w:p>
    <w:p w:rsidR="00476D65" w:rsidRPr="00133F7A" w:rsidRDefault="00476D65" w:rsidP="00B1204E">
      <w:pPr>
        <w:ind w:left="1417" w:right="1417"/>
        <w:rPr>
          <w:rFonts w:ascii="Arial" w:eastAsia="Times New Roman" w:hAnsi="Arial" w:cs="Arial"/>
          <w:color w:val="000000" w:themeColor="text1"/>
        </w:rPr>
      </w:pPr>
      <w:r w:rsidRPr="00133F7A">
        <w:rPr>
          <w:rFonts w:ascii="Arial" w:eastAsia="Times New Roman" w:hAnsi="Arial" w:cs="Arial"/>
          <w:color w:val="000000" w:themeColor="text1"/>
        </w:rPr>
        <w:t xml:space="preserve">However, there is the expectation that when implementing changes in an employment contract that the business acts responsibility and reasonably. The clause of mobility may not be considered reasonable to an employment tribunal, but </w:t>
      </w:r>
      <w:r w:rsidR="007F75D9" w:rsidRPr="00133F7A">
        <w:rPr>
          <w:rFonts w:ascii="Arial" w:eastAsia="Times New Roman" w:hAnsi="Arial" w:cs="Arial"/>
          <w:color w:val="000000" w:themeColor="text1"/>
        </w:rPr>
        <w:t>if the business indicates their consultations and reasoning behind the change, it may be accepted in an employment tribunal should the business be taken there.</w:t>
      </w:r>
    </w:p>
    <w:p w:rsidR="00B16750" w:rsidRPr="00133F7A" w:rsidRDefault="00B16750" w:rsidP="009F259D">
      <w:pPr>
        <w:ind w:right="1417"/>
        <w:rPr>
          <w:rFonts w:ascii="Arial" w:eastAsia="Times New Roman" w:hAnsi="Arial" w:cs="Arial"/>
          <w:b/>
          <w:color w:val="000000" w:themeColor="text1"/>
          <w:sz w:val="28"/>
          <w:u w:val="single"/>
        </w:rPr>
      </w:pPr>
    </w:p>
    <w:p w:rsidR="00B16750" w:rsidRPr="00133F7A" w:rsidRDefault="004E6A15" w:rsidP="00B1204E">
      <w:pPr>
        <w:ind w:left="1417" w:right="1417"/>
        <w:rPr>
          <w:rFonts w:ascii="Arial" w:eastAsia="Times New Roman" w:hAnsi="Arial" w:cs="Arial"/>
          <w:b/>
          <w:color w:val="000000" w:themeColor="text1"/>
          <w:sz w:val="28"/>
          <w:u w:val="single"/>
        </w:rPr>
      </w:pPr>
      <w:r w:rsidRPr="00133F7A">
        <w:rPr>
          <w:rFonts w:ascii="Arial" w:eastAsia="Times New Roman" w:hAnsi="Arial" w:cs="Arial"/>
          <w:b/>
          <w:color w:val="000000" w:themeColor="text1"/>
          <w:sz w:val="28"/>
          <w:u w:val="single"/>
        </w:rPr>
        <w:t>A</w:t>
      </w:r>
      <w:r w:rsidR="00B16750" w:rsidRPr="00133F7A">
        <w:rPr>
          <w:rFonts w:ascii="Arial" w:eastAsia="Times New Roman" w:hAnsi="Arial" w:cs="Arial"/>
          <w:b/>
          <w:color w:val="000000" w:themeColor="text1"/>
          <w:sz w:val="28"/>
          <w:u w:val="single"/>
        </w:rPr>
        <w:t xml:space="preserve">dvantages and </w:t>
      </w:r>
      <w:r w:rsidRPr="00133F7A">
        <w:rPr>
          <w:rFonts w:ascii="Arial" w:eastAsia="Times New Roman" w:hAnsi="Arial" w:cs="Arial"/>
          <w:b/>
          <w:color w:val="000000" w:themeColor="text1"/>
          <w:sz w:val="28"/>
          <w:u w:val="single"/>
        </w:rPr>
        <w:t>D</w:t>
      </w:r>
      <w:r w:rsidR="00B16750" w:rsidRPr="00133F7A">
        <w:rPr>
          <w:rFonts w:ascii="Arial" w:eastAsia="Times New Roman" w:hAnsi="Arial" w:cs="Arial"/>
          <w:b/>
          <w:color w:val="000000" w:themeColor="text1"/>
          <w:sz w:val="28"/>
          <w:u w:val="single"/>
        </w:rPr>
        <w:t xml:space="preserve">isadvantages of </w:t>
      </w:r>
      <w:r w:rsidRPr="00133F7A">
        <w:rPr>
          <w:rFonts w:ascii="Arial" w:eastAsia="Times New Roman" w:hAnsi="Arial" w:cs="Arial"/>
          <w:b/>
          <w:color w:val="000000" w:themeColor="text1"/>
          <w:sz w:val="28"/>
          <w:u w:val="single"/>
        </w:rPr>
        <w:t>the Options Identified</w:t>
      </w:r>
    </w:p>
    <w:p w:rsidR="00B16750" w:rsidRPr="00133F7A" w:rsidRDefault="00B16750" w:rsidP="00B1204E">
      <w:pPr>
        <w:ind w:left="1417" w:right="1417"/>
        <w:rPr>
          <w:color w:val="000000" w:themeColor="text1"/>
        </w:rPr>
      </w:pPr>
    </w:p>
    <w:p w:rsidR="00051868" w:rsidRPr="00133F7A" w:rsidRDefault="00051868" w:rsidP="00051868">
      <w:pPr>
        <w:ind w:left="1417" w:right="1417"/>
        <w:rPr>
          <w:rFonts w:ascii="Arial" w:hAnsi="Arial" w:cs="Arial"/>
          <w:color w:val="000000" w:themeColor="text1"/>
        </w:rPr>
      </w:pPr>
      <w:r w:rsidRPr="00133F7A">
        <w:rPr>
          <w:rFonts w:ascii="Arial" w:hAnsi="Arial" w:cs="Arial"/>
          <w:color w:val="000000" w:themeColor="text1"/>
        </w:rPr>
        <w:t xml:space="preserve">One of the main advantages of employees voluntarily agreeing to the change of employment contract is that they are less likely to challenge the business legally, </w:t>
      </w:r>
      <w:r w:rsidRPr="00133F7A">
        <w:rPr>
          <w:rFonts w:ascii="Arial" w:hAnsi="Arial" w:cs="Arial"/>
          <w:color w:val="000000" w:themeColor="text1"/>
        </w:rPr>
        <w:lastRenderedPageBreak/>
        <w:t>giving the business more of an advantage.</w:t>
      </w:r>
      <w:r w:rsidRPr="00133F7A">
        <w:rPr>
          <w:rFonts w:ascii="Arial" w:hAnsi="Arial" w:cs="Arial"/>
          <w:color w:val="000000" w:themeColor="text1"/>
        </w:rPr>
        <w:t xml:space="preserve"> However, after conducting the survey, the business has seen that employees are not in favour of greater mobility in the workplace and therefore voluntary agreement is unlikely.</w:t>
      </w:r>
    </w:p>
    <w:p w:rsidR="00051868" w:rsidRPr="00133F7A" w:rsidRDefault="00051868" w:rsidP="00051868">
      <w:pPr>
        <w:ind w:left="1417" w:right="1417"/>
        <w:rPr>
          <w:rFonts w:ascii="Arial" w:hAnsi="Arial" w:cs="Arial"/>
          <w:color w:val="000000" w:themeColor="text1"/>
        </w:rPr>
      </w:pPr>
    </w:p>
    <w:p w:rsidR="00A4104E" w:rsidRPr="00133F7A" w:rsidRDefault="004E6A15" w:rsidP="00051868">
      <w:pPr>
        <w:ind w:left="1417" w:right="1417"/>
        <w:rPr>
          <w:rFonts w:ascii="Arial" w:hAnsi="Arial" w:cs="Arial"/>
          <w:color w:val="000000" w:themeColor="text1"/>
        </w:rPr>
      </w:pPr>
      <w:r w:rsidRPr="00133F7A">
        <w:rPr>
          <w:rFonts w:ascii="Arial" w:hAnsi="Arial" w:cs="Arial"/>
          <w:color w:val="000000" w:themeColor="text1"/>
        </w:rPr>
        <w:t>One of the advantages of conducting consultation meetings is that everyone in the business should feel involved and a part of the changes that are being made (ACAS, 2022). However, collective consultation mee</w:t>
      </w:r>
      <w:r w:rsidR="00B33850" w:rsidRPr="00133F7A">
        <w:rPr>
          <w:rFonts w:ascii="Arial" w:hAnsi="Arial" w:cs="Arial"/>
          <w:color w:val="000000" w:themeColor="text1"/>
        </w:rPr>
        <w:t>tings may cause employees to become disengaged with their role and the business if they are not satisfied with the proposed changes discussed within the collective consultation meetings. This means it is likely to have a negative impact on the employee’s commitment to work throughout the consultation process and therefore damaging the business’ productivity levels at the same time (Berry, 2013).</w:t>
      </w:r>
      <w:r w:rsidR="002B0A17" w:rsidRPr="00133F7A">
        <w:rPr>
          <w:rFonts w:ascii="Arial" w:hAnsi="Arial" w:cs="Arial"/>
          <w:color w:val="000000" w:themeColor="text1"/>
        </w:rPr>
        <w:t xml:space="preserve"> </w:t>
      </w:r>
    </w:p>
    <w:p w:rsidR="002B0A17" w:rsidRPr="00133F7A" w:rsidRDefault="002B0A17" w:rsidP="00B1204E">
      <w:pPr>
        <w:ind w:left="1417" w:right="1417"/>
        <w:rPr>
          <w:rFonts w:ascii="Arial" w:hAnsi="Arial" w:cs="Arial"/>
          <w:color w:val="000000" w:themeColor="text1"/>
        </w:rPr>
      </w:pPr>
    </w:p>
    <w:p w:rsidR="002B0A17" w:rsidRPr="00133F7A" w:rsidRDefault="002B0A17" w:rsidP="00B1204E">
      <w:pPr>
        <w:ind w:left="1417" w:right="1417"/>
        <w:rPr>
          <w:rFonts w:ascii="Arial" w:hAnsi="Arial" w:cs="Arial"/>
          <w:color w:val="000000" w:themeColor="text1"/>
        </w:rPr>
      </w:pPr>
      <w:r w:rsidRPr="00133F7A">
        <w:rPr>
          <w:rFonts w:ascii="Arial" w:hAnsi="Arial" w:cs="Arial"/>
          <w:color w:val="000000" w:themeColor="text1"/>
        </w:rPr>
        <w:t>“</w:t>
      </w:r>
      <w:r w:rsidRPr="00133F7A">
        <w:rPr>
          <w:rFonts w:ascii="Arial" w:hAnsi="Arial" w:cs="Arial"/>
          <w:i/>
          <w:color w:val="000000" w:themeColor="text1"/>
        </w:rPr>
        <w:t xml:space="preserve">Getting the collective consultation wrong can result in claims for protective awards in the value of 90 </w:t>
      </w:r>
      <w:proofErr w:type="spellStart"/>
      <w:r w:rsidRPr="00133F7A">
        <w:rPr>
          <w:rFonts w:ascii="Arial" w:hAnsi="Arial" w:cs="Arial"/>
          <w:i/>
          <w:color w:val="000000" w:themeColor="text1"/>
        </w:rPr>
        <w:t>days</w:t>
      </w:r>
      <w:proofErr w:type="spellEnd"/>
      <w:r w:rsidRPr="00133F7A">
        <w:rPr>
          <w:rFonts w:ascii="Arial" w:hAnsi="Arial" w:cs="Arial"/>
          <w:i/>
          <w:color w:val="000000" w:themeColor="text1"/>
        </w:rPr>
        <w:t xml:space="preserve"> pay per emp</w:t>
      </w:r>
      <w:r w:rsidR="003D3FEC" w:rsidRPr="00133F7A">
        <w:rPr>
          <w:rFonts w:ascii="Arial" w:hAnsi="Arial" w:cs="Arial"/>
          <w:i/>
          <w:color w:val="000000" w:themeColor="text1"/>
        </w:rPr>
        <w:t>l</w:t>
      </w:r>
      <w:r w:rsidRPr="00133F7A">
        <w:rPr>
          <w:rFonts w:ascii="Arial" w:hAnsi="Arial" w:cs="Arial"/>
          <w:i/>
          <w:color w:val="000000" w:themeColor="text1"/>
        </w:rPr>
        <w:t>o</w:t>
      </w:r>
      <w:r w:rsidR="00B2393A" w:rsidRPr="00133F7A">
        <w:rPr>
          <w:rFonts w:ascii="Arial" w:hAnsi="Arial" w:cs="Arial"/>
          <w:i/>
          <w:color w:val="000000" w:themeColor="text1"/>
        </w:rPr>
        <w:t>y</w:t>
      </w:r>
      <w:r w:rsidRPr="00133F7A">
        <w:rPr>
          <w:rFonts w:ascii="Arial" w:hAnsi="Arial" w:cs="Arial"/>
          <w:i/>
          <w:color w:val="000000" w:themeColor="text1"/>
        </w:rPr>
        <w:t>ee</w:t>
      </w:r>
      <w:r w:rsidRPr="00133F7A">
        <w:rPr>
          <w:rFonts w:ascii="Arial" w:hAnsi="Arial" w:cs="Arial"/>
          <w:color w:val="000000" w:themeColor="text1"/>
        </w:rPr>
        <w:t>” (Davies, 2011).</w:t>
      </w:r>
    </w:p>
    <w:p w:rsidR="004E6A15" w:rsidRPr="00133F7A" w:rsidRDefault="004E6A15" w:rsidP="0004717E">
      <w:pPr>
        <w:ind w:right="1417"/>
        <w:rPr>
          <w:rFonts w:ascii="Arial" w:hAnsi="Arial" w:cs="Arial"/>
          <w:color w:val="000000" w:themeColor="text1"/>
        </w:rPr>
      </w:pPr>
    </w:p>
    <w:p w:rsidR="006725FF" w:rsidRPr="00133F7A" w:rsidRDefault="006725FF" w:rsidP="00B1204E">
      <w:pPr>
        <w:ind w:left="1417" w:right="1417"/>
        <w:rPr>
          <w:rFonts w:ascii="Arial" w:hAnsi="Arial" w:cs="Arial"/>
          <w:color w:val="000000" w:themeColor="text1"/>
        </w:rPr>
      </w:pPr>
      <w:r w:rsidRPr="00133F7A">
        <w:rPr>
          <w:rFonts w:ascii="Arial" w:hAnsi="Arial" w:cs="Arial"/>
          <w:color w:val="000000" w:themeColor="text1"/>
        </w:rPr>
        <w:t xml:space="preserve">Introducing such a clause into the business for all employees </w:t>
      </w:r>
      <w:r w:rsidR="00A83F6A" w:rsidRPr="00133F7A">
        <w:rPr>
          <w:rFonts w:ascii="Arial" w:hAnsi="Arial" w:cs="Arial"/>
          <w:color w:val="000000" w:themeColor="text1"/>
        </w:rPr>
        <w:t xml:space="preserve">can be a risk. With it being apparent in the last staff survey that the idea of increased mobility in the business was not well received, the business runs the risk of demotivating it’s employees and may struggle to retain them. However, based on the fact that they will be getting a pay increased relating to the increased mobility, it may satisfy some individuals more. </w:t>
      </w:r>
    </w:p>
    <w:p w:rsidR="006725FF" w:rsidRPr="00133F7A" w:rsidRDefault="006725FF" w:rsidP="00B1204E">
      <w:pPr>
        <w:ind w:left="1417" w:right="1417"/>
        <w:rPr>
          <w:color w:val="000000" w:themeColor="text1"/>
        </w:rPr>
      </w:pPr>
    </w:p>
    <w:p w:rsidR="00051868" w:rsidRPr="00133F7A" w:rsidRDefault="00AB616B" w:rsidP="00B1204E">
      <w:pPr>
        <w:ind w:left="1417" w:right="1417"/>
        <w:rPr>
          <w:rFonts w:ascii="Arial" w:hAnsi="Arial" w:cs="Arial"/>
          <w:color w:val="000000" w:themeColor="text1"/>
        </w:rPr>
      </w:pPr>
      <w:r w:rsidRPr="00133F7A">
        <w:rPr>
          <w:rFonts w:ascii="Arial" w:hAnsi="Arial" w:cs="Arial"/>
          <w:color w:val="000000" w:themeColor="text1"/>
        </w:rPr>
        <w:t>With regards to the business making unilateral changes to the contract, BBL has the advantage of creating changes as they wish as opposed to consulting other parties. As mentioned previously, this method can cause claims for unfair dismissal and potentially a large number of employment tribunal claims</w:t>
      </w:r>
      <w:r w:rsidR="008F51B2" w:rsidRPr="00133F7A">
        <w:rPr>
          <w:rFonts w:ascii="Arial" w:hAnsi="Arial" w:cs="Arial"/>
          <w:color w:val="000000" w:themeColor="text1"/>
        </w:rPr>
        <w:t>.</w:t>
      </w:r>
      <w:r w:rsidR="00B72739" w:rsidRPr="00133F7A">
        <w:rPr>
          <w:rFonts w:ascii="Arial" w:hAnsi="Arial" w:cs="Arial"/>
          <w:color w:val="000000" w:themeColor="text1"/>
        </w:rPr>
        <w:t xml:space="preserve"> Also can be seen as breach of contract (</w:t>
      </w:r>
      <w:proofErr w:type="spellStart"/>
      <w:r w:rsidR="00B72739" w:rsidRPr="00133F7A">
        <w:rPr>
          <w:rFonts w:ascii="Arial" w:hAnsi="Arial" w:cs="Arial"/>
          <w:color w:val="000000" w:themeColor="text1"/>
        </w:rPr>
        <w:t>Upcounsel</w:t>
      </w:r>
      <w:proofErr w:type="spellEnd"/>
      <w:r w:rsidR="00B72739" w:rsidRPr="00133F7A">
        <w:rPr>
          <w:rFonts w:ascii="Arial" w:hAnsi="Arial" w:cs="Arial"/>
          <w:color w:val="000000" w:themeColor="text1"/>
        </w:rPr>
        <w:t>, 2022).</w:t>
      </w:r>
    </w:p>
    <w:p w:rsidR="008F51B2" w:rsidRPr="00133F7A" w:rsidRDefault="008F51B2" w:rsidP="00B1204E">
      <w:pPr>
        <w:ind w:left="1417" w:right="1417"/>
        <w:rPr>
          <w:rFonts w:ascii="Arial" w:hAnsi="Arial" w:cs="Arial"/>
          <w:color w:val="000000" w:themeColor="text1"/>
        </w:rPr>
      </w:pPr>
    </w:p>
    <w:p w:rsidR="006725FF" w:rsidRDefault="008F51B2" w:rsidP="007E3AA5">
      <w:pPr>
        <w:ind w:left="1417" w:right="1417"/>
        <w:rPr>
          <w:rFonts w:ascii="Arial" w:hAnsi="Arial" w:cs="Arial"/>
          <w:color w:val="000000" w:themeColor="text1"/>
        </w:rPr>
      </w:pPr>
      <w:r w:rsidRPr="00133F7A">
        <w:rPr>
          <w:rFonts w:ascii="Arial" w:hAnsi="Arial" w:cs="Arial"/>
          <w:color w:val="000000" w:themeColor="text1"/>
        </w:rPr>
        <w:t xml:space="preserve">Termination and </w:t>
      </w:r>
      <w:r w:rsidR="007730DF" w:rsidRPr="00133F7A">
        <w:rPr>
          <w:rFonts w:ascii="Arial" w:hAnsi="Arial" w:cs="Arial"/>
          <w:color w:val="000000" w:themeColor="text1"/>
        </w:rPr>
        <w:t xml:space="preserve">re engagement of employment contacts </w:t>
      </w:r>
      <w:r w:rsidR="00A149CE" w:rsidRPr="00133F7A">
        <w:rPr>
          <w:rFonts w:ascii="Arial" w:hAnsi="Arial" w:cs="Arial"/>
          <w:color w:val="000000" w:themeColor="text1"/>
        </w:rPr>
        <w:t>gives the business more flexibility, however there is the potential of unfair dismissal claims and lack of trust with the organisation</w:t>
      </w:r>
      <w:r w:rsidR="007A6990" w:rsidRPr="00133F7A">
        <w:rPr>
          <w:rFonts w:ascii="Arial" w:hAnsi="Arial" w:cs="Arial"/>
          <w:color w:val="000000" w:themeColor="text1"/>
        </w:rPr>
        <w:t>. It is legal but businesses should explore other alternatives (CIPD</w:t>
      </w:r>
      <w:r w:rsidR="00AF44F6" w:rsidRPr="00133F7A">
        <w:rPr>
          <w:rFonts w:ascii="Arial" w:hAnsi="Arial" w:cs="Arial"/>
          <w:color w:val="000000" w:themeColor="text1"/>
        </w:rPr>
        <w:t xml:space="preserve"> A, </w:t>
      </w:r>
      <w:r w:rsidR="007A6990" w:rsidRPr="00133F7A">
        <w:rPr>
          <w:rFonts w:ascii="Arial" w:hAnsi="Arial" w:cs="Arial"/>
          <w:color w:val="000000" w:themeColor="text1"/>
        </w:rPr>
        <w:t>202</w:t>
      </w:r>
      <w:r w:rsidR="00AF44F6" w:rsidRPr="00133F7A">
        <w:rPr>
          <w:rFonts w:ascii="Arial" w:hAnsi="Arial" w:cs="Arial"/>
          <w:color w:val="000000" w:themeColor="text1"/>
        </w:rPr>
        <w:t>2).</w:t>
      </w:r>
    </w:p>
    <w:p w:rsidR="00AA6F8F" w:rsidRDefault="00AA6F8F" w:rsidP="007E3AA5">
      <w:pPr>
        <w:ind w:left="1417" w:right="1417"/>
        <w:rPr>
          <w:rFonts w:ascii="Arial" w:hAnsi="Arial" w:cs="Arial"/>
          <w:color w:val="000000" w:themeColor="text1"/>
        </w:rPr>
      </w:pPr>
    </w:p>
    <w:p w:rsidR="00AA6F8F" w:rsidRDefault="00AA6F8F" w:rsidP="007E3AA5">
      <w:pPr>
        <w:ind w:left="1417" w:right="1417"/>
        <w:rPr>
          <w:rFonts w:ascii="Arial" w:hAnsi="Arial" w:cs="Arial"/>
          <w:color w:val="000000" w:themeColor="text1"/>
        </w:rPr>
      </w:pPr>
    </w:p>
    <w:p w:rsidR="00AA6F8F" w:rsidRDefault="00AA6F8F" w:rsidP="007E3AA5">
      <w:pPr>
        <w:ind w:left="1417" w:right="1417"/>
        <w:rPr>
          <w:rFonts w:ascii="Arial" w:hAnsi="Arial" w:cs="Arial"/>
          <w:color w:val="000000" w:themeColor="text1"/>
        </w:rPr>
      </w:pPr>
    </w:p>
    <w:p w:rsidR="00AA6F8F" w:rsidRDefault="00AA6F8F" w:rsidP="007E3AA5">
      <w:pPr>
        <w:ind w:left="1417" w:right="1417"/>
        <w:rPr>
          <w:rFonts w:ascii="Arial" w:hAnsi="Arial" w:cs="Arial"/>
          <w:color w:val="000000" w:themeColor="text1"/>
        </w:rPr>
      </w:pPr>
    </w:p>
    <w:p w:rsidR="00AA6F8F" w:rsidRPr="00133F7A" w:rsidRDefault="00AA6F8F" w:rsidP="007E3AA5">
      <w:pPr>
        <w:ind w:left="1417" w:right="1417"/>
        <w:rPr>
          <w:rFonts w:ascii="Arial" w:hAnsi="Arial" w:cs="Arial"/>
          <w:color w:val="000000" w:themeColor="text1"/>
        </w:rPr>
      </w:pPr>
      <w:bookmarkStart w:id="0" w:name="_GoBack"/>
      <w:bookmarkEnd w:id="0"/>
    </w:p>
    <w:p w:rsidR="006725FF" w:rsidRDefault="006725FF"/>
    <w:p w:rsidR="003768F5" w:rsidRPr="007636A0" w:rsidRDefault="003768F5">
      <w:pPr>
        <w:rPr>
          <w:b/>
          <w:sz w:val="28"/>
          <w:u w:val="single"/>
        </w:rPr>
      </w:pPr>
      <w:r w:rsidRPr="007636A0">
        <w:rPr>
          <w:b/>
          <w:sz w:val="28"/>
          <w:u w:val="single"/>
        </w:rPr>
        <w:lastRenderedPageBreak/>
        <w:t>References</w:t>
      </w:r>
    </w:p>
    <w:p w:rsidR="00DD433D" w:rsidRDefault="00DD433D"/>
    <w:p w:rsidR="00B33850" w:rsidRPr="007636A0" w:rsidRDefault="00B33850" w:rsidP="00B33850">
      <w:pPr>
        <w:rPr>
          <w:rFonts w:ascii="Arial" w:hAnsi="Arial" w:cs="Arial"/>
        </w:rPr>
      </w:pPr>
      <w:r w:rsidRPr="007636A0">
        <w:rPr>
          <w:rFonts w:ascii="Arial" w:hAnsi="Arial" w:cs="Arial"/>
        </w:rPr>
        <w:t>ACAS. (2021) “</w:t>
      </w:r>
      <w:r w:rsidRPr="007636A0">
        <w:rPr>
          <w:rFonts w:ascii="Arial" w:hAnsi="Arial" w:cs="Arial"/>
          <w:i/>
        </w:rPr>
        <w:t>Handling a TUPE transfer: step by step</w:t>
      </w:r>
      <w:r w:rsidRPr="007636A0">
        <w:rPr>
          <w:rFonts w:ascii="Arial" w:hAnsi="Arial" w:cs="Arial"/>
        </w:rPr>
        <w:t xml:space="preserve">” (Online) Available at: </w:t>
      </w:r>
      <w:hyperlink r:id="rId6" w:history="1">
        <w:r w:rsidRPr="007636A0">
          <w:rPr>
            <w:rStyle w:val="Hyperlink"/>
            <w:rFonts w:ascii="Arial" w:hAnsi="Arial" w:cs="Arial"/>
          </w:rPr>
          <w:t>https://www.acas.org.uk/handling-a-tupe-transfer-step-by-step</w:t>
        </w:r>
      </w:hyperlink>
      <w:r w:rsidRPr="007636A0">
        <w:rPr>
          <w:rFonts w:ascii="Arial" w:hAnsi="Arial" w:cs="Arial"/>
        </w:rPr>
        <w:t xml:space="preserve"> (Accessed: 19 Feb 2022)</w:t>
      </w:r>
    </w:p>
    <w:p w:rsidR="004E6A15" w:rsidRPr="007636A0" w:rsidRDefault="004E6A15">
      <w:pPr>
        <w:rPr>
          <w:rFonts w:ascii="Arial" w:hAnsi="Arial" w:cs="Arial"/>
        </w:rPr>
      </w:pPr>
    </w:p>
    <w:p w:rsidR="00B33850" w:rsidRPr="007636A0" w:rsidRDefault="00B33850">
      <w:pPr>
        <w:rPr>
          <w:rFonts w:ascii="Arial" w:hAnsi="Arial" w:cs="Arial"/>
        </w:rPr>
      </w:pPr>
      <w:r w:rsidRPr="007636A0">
        <w:rPr>
          <w:rFonts w:ascii="Arial" w:hAnsi="Arial" w:cs="Arial"/>
        </w:rPr>
        <w:t>ACAS. (2021) “</w:t>
      </w:r>
      <w:r w:rsidRPr="007636A0">
        <w:rPr>
          <w:rFonts w:ascii="Arial" w:hAnsi="Arial" w:cs="Arial"/>
          <w:i/>
        </w:rPr>
        <w:t xml:space="preserve">Managing staff redundancies: step by step” I(Online) Available at: </w:t>
      </w:r>
      <w:hyperlink r:id="rId7" w:history="1">
        <w:r w:rsidRPr="007636A0">
          <w:rPr>
            <w:rStyle w:val="Hyperlink"/>
            <w:rFonts w:ascii="Arial" w:hAnsi="Arial" w:cs="Arial"/>
          </w:rPr>
          <w:t>https://www.acas.org.uk/manage-staff-redundancies/redundancy-consultations</w:t>
        </w:r>
      </w:hyperlink>
      <w:r w:rsidRPr="007636A0">
        <w:rPr>
          <w:rFonts w:ascii="Arial" w:hAnsi="Arial" w:cs="Arial"/>
        </w:rPr>
        <w:t xml:space="preserve"> (Accessed: 23 Feb 2022)</w:t>
      </w:r>
    </w:p>
    <w:p w:rsidR="00DF7AE7" w:rsidRPr="007636A0" w:rsidRDefault="00DF7AE7">
      <w:pPr>
        <w:rPr>
          <w:rFonts w:ascii="Arial" w:hAnsi="Arial" w:cs="Arial"/>
        </w:rPr>
      </w:pPr>
    </w:p>
    <w:p w:rsidR="00DF7AE7" w:rsidRPr="007636A0" w:rsidRDefault="00DF7AE7">
      <w:pPr>
        <w:rPr>
          <w:rFonts w:ascii="Arial" w:hAnsi="Arial" w:cs="Arial"/>
        </w:rPr>
      </w:pPr>
      <w:r w:rsidRPr="007636A0">
        <w:rPr>
          <w:rFonts w:ascii="Arial" w:hAnsi="Arial" w:cs="Arial"/>
        </w:rPr>
        <w:t>ACAS A. (2021) “</w:t>
      </w:r>
      <w:r w:rsidRPr="007636A0">
        <w:rPr>
          <w:rFonts w:ascii="Arial" w:hAnsi="Arial" w:cs="Arial"/>
          <w:i/>
        </w:rPr>
        <w:t>Making changes to employment contracts – employer responsibilities</w:t>
      </w:r>
      <w:r w:rsidRPr="007636A0">
        <w:rPr>
          <w:rFonts w:ascii="Arial" w:hAnsi="Arial" w:cs="Arial"/>
        </w:rPr>
        <w:t xml:space="preserve">” (Online) Available at: </w:t>
      </w:r>
      <w:hyperlink r:id="rId8" w:history="1">
        <w:r w:rsidRPr="007636A0">
          <w:rPr>
            <w:rStyle w:val="Hyperlink"/>
            <w:rFonts w:ascii="Arial" w:hAnsi="Arial" w:cs="Arial"/>
          </w:rPr>
          <w:t>https://www.acas.org.uk/changing-an-employment-contract/employer-responsibilities</w:t>
        </w:r>
      </w:hyperlink>
      <w:r w:rsidRPr="007636A0">
        <w:rPr>
          <w:rFonts w:ascii="Arial" w:hAnsi="Arial" w:cs="Arial"/>
        </w:rPr>
        <w:t xml:space="preserve"> (Accessed: 21 Feb 2022)</w:t>
      </w:r>
    </w:p>
    <w:p w:rsidR="00985BF0" w:rsidRPr="007636A0" w:rsidRDefault="00985BF0">
      <w:pPr>
        <w:rPr>
          <w:rFonts w:ascii="Arial" w:hAnsi="Arial" w:cs="Arial"/>
        </w:rPr>
      </w:pPr>
    </w:p>
    <w:p w:rsidR="002B0A17" w:rsidRPr="007636A0" w:rsidRDefault="00985BF0">
      <w:pPr>
        <w:rPr>
          <w:rFonts w:ascii="Arial" w:hAnsi="Arial" w:cs="Arial"/>
        </w:rPr>
      </w:pPr>
      <w:r w:rsidRPr="007636A0">
        <w:rPr>
          <w:rFonts w:ascii="Arial" w:hAnsi="Arial" w:cs="Arial"/>
        </w:rPr>
        <w:t>ACAS B. (2021) “</w:t>
      </w:r>
      <w:r w:rsidRPr="007636A0">
        <w:rPr>
          <w:rFonts w:ascii="Arial" w:hAnsi="Arial" w:cs="Arial"/>
          <w:i/>
        </w:rPr>
        <w:t>Employee rights during a TUPE transfer</w:t>
      </w:r>
      <w:r w:rsidRPr="007636A0">
        <w:rPr>
          <w:rFonts w:ascii="Arial" w:hAnsi="Arial" w:cs="Arial"/>
        </w:rPr>
        <w:t xml:space="preserve">” (Online) Available at: </w:t>
      </w:r>
      <w:hyperlink r:id="rId9" w:history="1">
        <w:r w:rsidRPr="007636A0">
          <w:rPr>
            <w:rStyle w:val="Hyperlink"/>
            <w:rFonts w:ascii="Arial" w:hAnsi="Arial" w:cs="Arial"/>
          </w:rPr>
          <w:t>https://www.acas.org.uk/employee-rights-during-a-tupe-transfer/how-your-employer-should-inform-and-consult-you-during-tupe</w:t>
        </w:r>
      </w:hyperlink>
      <w:r w:rsidRPr="007636A0">
        <w:rPr>
          <w:rFonts w:ascii="Arial" w:hAnsi="Arial" w:cs="Arial"/>
        </w:rPr>
        <w:t xml:space="preserve"> (Accessed: 22 Feb 2022)</w:t>
      </w:r>
    </w:p>
    <w:p w:rsidR="004E6A15" w:rsidRPr="007636A0" w:rsidRDefault="004E6A15">
      <w:pPr>
        <w:rPr>
          <w:rFonts w:ascii="Arial" w:hAnsi="Arial" w:cs="Arial"/>
        </w:rPr>
      </w:pPr>
    </w:p>
    <w:p w:rsidR="00F2436B" w:rsidRPr="007636A0" w:rsidRDefault="00F2436B">
      <w:pPr>
        <w:rPr>
          <w:rFonts w:ascii="Arial" w:hAnsi="Arial" w:cs="Arial"/>
        </w:rPr>
      </w:pPr>
      <w:r w:rsidRPr="007636A0">
        <w:rPr>
          <w:rFonts w:ascii="Arial" w:hAnsi="Arial" w:cs="Arial"/>
        </w:rPr>
        <w:t>Capital Law. (2020) “</w:t>
      </w:r>
    </w:p>
    <w:p w:rsidR="00F2436B" w:rsidRPr="007636A0" w:rsidRDefault="00F2436B">
      <w:pPr>
        <w:rPr>
          <w:rFonts w:ascii="Arial" w:hAnsi="Arial" w:cs="Arial"/>
        </w:rPr>
      </w:pPr>
    </w:p>
    <w:p w:rsidR="00AF44F6" w:rsidRPr="00AF44F6" w:rsidRDefault="007A6990" w:rsidP="00AF44F6">
      <w:pPr>
        <w:rPr>
          <w:rFonts w:ascii="Arial" w:hAnsi="Arial" w:cs="Arial"/>
          <w:b/>
          <w:bCs/>
        </w:rPr>
      </w:pPr>
      <w:r>
        <w:rPr>
          <w:rFonts w:ascii="Arial" w:hAnsi="Arial" w:cs="Arial"/>
        </w:rPr>
        <w:t xml:space="preserve">CIPD, A. (2022) </w:t>
      </w:r>
      <w:r w:rsidR="00AF44F6">
        <w:rPr>
          <w:rFonts w:ascii="Arial" w:hAnsi="Arial" w:cs="Arial"/>
        </w:rPr>
        <w:t>“</w:t>
      </w:r>
      <w:r w:rsidR="00AF44F6" w:rsidRPr="00AF44F6">
        <w:rPr>
          <w:rFonts w:ascii="Arial" w:hAnsi="Arial" w:cs="Arial"/>
          <w:bCs/>
          <w:i/>
        </w:rPr>
        <w:t>'Fire and rehire' – guidance for employers</w:t>
      </w:r>
      <w:r w:rsidR="00AF44F6">
        <w:rPr>
          <w:rFonts w:ascii="Arial" w:hAnsi="Arial" w:cs="Arial"/>
          <w:bCs/>
          <w:i/>
        </w:rPr>
        <w:t xml:space="preserve">” </w:t>
      </w:r>
      <w:r w:rsidR="00AF44F6">
        <w:rPr>
          <w:rFonts w:ascii="Arial" w:hAnsi="Arial" w:cs="Arial"/>
          <w:bCs/>
        </w:rPr>
        <w:t>(Online) Available at:</w:t>
      </w:r>
      <w:r w:rsidR="00AF44F6" w:rsidRPr="00AF44F6">
        <w:t xml:space="preserve"> </w:t>
      </w:r>
      <w:hyperlink r:id="rId10" w:history="1">
        <w:r w:rsidR="00AF44F6" w:rsidRPr="006869EB">
          <w:rPr>
            <w:rStyle w:val="Hyperlink"/>
            <w:rFonts w:ascii="Arial" w:hAnsi="Arial" w:cs="Arial"/>
            <w:bCs/>
          </w:rPr>
          <w:t>https://www.cipd.co.uk/knowledge/fundamentals/emp-law/terms-conditions/fire-rehire-employer-guidance#gref</w:t>
        </w:r>
      </w:hyperlink>
      <w:r w:rsidR="00AF44F6">
        <w:rPr>
          <w:rFonts w:ascii="Arial" w:hAnsi="Arial" w:cs="Arial"/>
          <w:bCs/>
        </w:rPr>
        <w:t xml:space="preserve"> (Accessed: 20 Jul 2022)</w:t>
      </w:r>
    </w:p>
    <w:p w:rsidR="007A6990" w:rsidRPr="00AF44F6" w:rsidRDefault="007A6990" w:rsidP="006A010A">
      <w:pPr>
        <w:rPr>
          <w:rFonts w:ascii="Arial" w:hAnsi="Arial" w:cs="Arial"/>
          <w:i/>
        </w:rPr>
      </w:pPr>
    </w:p>
    <w:p w:rsidR="007A6990" w:rsidRDefault="007A6990" w:rsidP="006A010A">
      <w:pPr>
        <w:rPr>
          <w:rFonts w:ascii="Arial" w:hAnsi="Arial" w:cs="Arial"/>
        </w:rPr>
      </w:pPr>
    </w:p>
    <w:p w:rsidR="006A010A" w:rsidRPr="007636A0" w:rsidRDefault="006A010A" w:rsidP="006A010A">
      <w:pPr>
        <w:rPr>
          <w:rFonts w:ascii="Arial" w:hAnsi="Arial" w:cs="Arial"/>
        </w:rPr>
      </w:pPr>
      <w:r w:rsidRPr="007636A0">
        <w:rPr>
          <w:rFonts w:ascii="Arial" w:hAnsi="Arial" w:cs="Arial"/>
        </w:rPr>
        <w:t xml:space="preserve">CIPD. (2022) “A GUIDE TO TUPE TRANSFERS” (Online) Available at: </w:t>
      </w:r>
      <w:hyperlink r:id="rId11" w:history="1">
        <w:r w:rsidRPr="007636A0">
          <w:rPr>
            <w:rStyle w:val="Hyperlink"/>
            <w:rFonts w:ascii="Arial" w:hAnsi="Arial" w:cs="Arial"/>
          </w:rPr>
          <w:t>https://www.cipd.co.uk/Images/8208-a-guide-to-tupe-transfers-web_tcm18-44310.pdf</w:t>
        </w:r>
      </w:hyperlink>
      <w:r w:rsidRPr="007636A0">
        <w:rPr>
          <w:rFonts w:ascii="Arial" w:hAnsi="Arial" w:cs="Arial"/>
        </w:rPr>
        <w:t xml:space="preserve"> (Accessed: 19 Feb 2022)</w:t>
      </w:r>
    </w:p>
    <w:p w:rsidR="006A010A" w:rsidRPr="007636A0" w:rsidRDefault="006A010A">
      <w:pPr>
        <w:rPr>
          <w:rFonts w:ascii="Arial" w:hAnsi="Arial" w:cs="Arial"/>
        </w:rPr>
      </w:pPr>
    </w:p>
    <w:p w:rsidR="00F6380F" w:rsidRPr="007636A0" w:rsidRDefault="00F6380F">
      <w:pPr>
        <w:rPr>
          <w:rFonts w:ascii="Arial" w:hAnsi="Arial" w:cs="Arial"/>
        </w:rPr>
      </w:pPr>
      <w:r w:rsidRPr="007636A0">
        <w:rPr>
          <w:rFonts w:ascii="Arial" w:hAnsi="Arial" w:cs="Arial"/>
        </w:rPr>
        <w:t>CIPD. (2021) “</w:t>
      </w:r>
      <w:r w:rsidRPr="007636A0">
        <w:rPr>
          <w:rFonts w:ascii="Arial" w:hAnsi="Arial" w:cs="Arial"/>
          <w:i/>
        </w:rPr>
        <w:t>Transfer of undertakings (TUPE): an introduction</w:t>
      </w:r>
      <w:r w:rsidRPr="007636A0">
        <w:rPr>
          <w:rFonts w:ascii="Arial" w:hAnsi="Arial" w:cs="Arial"/>
        </w:rPr>
        <w:t xml:space="preserve">” (Online) Available at: </w:t>
      </w:r>
      <w:hyperlink r:id="rId12" w:anchor="gref" w:history="1">
        <w:r w:rsidRPr="007636A0">
          <w:rPr>
            <w:rStyle w:val="Hyperlink"/>
            <w:rFonts w:ascii="Arial" w:hAnsi="Arial" w:cs="Arial"/>
          </w:rPr>
          <w:t>https://www.cipd.co.uk/knowledge/fundamentals/emp-law/tupe/factsheet#gref</w:t>
        </w:r>
      </w:hyperlink>
      <w:r w:rsidRPr="007636A0">
        <w:rPr>
          <w:rFonts w:ascii="Arial" w:hAnsi="Arial" w:cs="Arial"/>
        </w:rPr>
        <w:t xml:space="preserve"> (Accessed 19 Feb 2022)</w:t>
      </w:r>
    </w:p>
    <w:p w:rsidR="00F6380F" w:rsidRPr="007636A0" w:rsidRDefault="00F6380F">
      <w:pPr>
        <w:rPr>
          <w:rFonts w:ascii="Arial" w:hAnsi="Arial" w:cs="Arial"/>
        </w:rPr>
      </w:pPr>
    </w:p>
    <w:p w:rsidR="007636A0" w:rsidRPr="007636A0" w:rsidRDefault="007636A0" w:rsidP="007636A0">
      <w:pPr>
        <w:rPr>
          <w:rFonts w:ascii="Arial" w:hAnsi="Arial" w:cs="Arial"/>
        </w:rPr>
      </w:pPr>
      <w:r w:rsidRPr="007636A0">
        <w:rPr>
          <w:rFonts w:ascii="Arial" w:hAnsi="Arial" w:cs="Arial"/>
        </w:rPr>
        <w:t>Davidson Morris. (2020) “</w:t>
      </w:r>
      <w:r w:rsidRPr="007636A0">
        <w:rPr>
          <w:rFonts w:ascii="Arial" w:hAnsi="Arial" w:cs="Arial"/>
          <w:i/>
        </w:rPr>
        <w:t xml:space="preserve">Last In First Out (Fair Redundancy?)” </w:t>
      </w:r>
      <w:r w:rsidRPr="007636A0">
        <w:rPr>
          <w:rFonts w:ascii="Arial" w:hAnsi="Arial" w:cs="Arial"/>
        </w:rPr>
        <w:t xml:space="preserve">(Online) Available at: </w:t>
      </w:r>
      <w:hyperlink r:id="rId13" w:history="1">
        <w:r w:rsidRPr="007636A0">
          <w:rPr>
            <w:rStyle w:val="Hyperlink"/>
            <w:rFonts w:ascii="Arial" w:hAnsi="Arial" w:cs="Arial"/>
          </w:rPr>
          <w:t>https://www.davidsonmorris.com/last-in-first-out/</w:t>
        </w:r>
      </w:hyperlink>
      <w:r w:rsidRPr="007636A0">
        <w:rPr>
          <w:rFonts w:ascii="Arial" w:hAnsi="Arial" w:cs="Arial"/>
        </w:rPr>
        <w:t xml:space="preserve"> (Accessed: 22 Feb 2022)</w:t>
      </w:r>
    </w:p>
    <w:p w:rsidR="007636A0" w:rsidRPr="007636A0" w:rsidRDefault="007636A0" w:rsidP="007636A0">
      <w:pPr>
        <w:rPr>
          <w:rFonts w:ascii="Arial" w:hAnsi="Arial" w:cs="Arial"/>
        </w:rPr>
      </w:pPr>
    </w:p>
    <w:p w:rsidR="002B0A17" w:rsidRPr="007636A0" w:rsidRDefault="002B0A17">
      <w:pPr>
        <w:rPr>
          <w:rFonts w:ascii="Arial" w:hAnsi="Arial" w:cs="Arial"/>
        </w:rPr>
      </w:pPr>
      <w:r w:rsidRPr="007636A0">
        <w:rPr>
          <w:rFonts w:ascii="Arial" w:hAnsi="Arial" w:cs="Arial"/>
        </w:rPr>
        <w:t>Davies, A. (2011) “</w:t>
      </w:r>
      <w:r w:rsidRPr="007636A0">
        <w:rPr>
          <w:rFonts w:ascii="Arial" w:hAnsi="Arial" w:cs="Arial"/>
          <w:i/>
        </w:rPr>
        <w:t xml:space="preserve">Workplace Law Handbook 2011: Employment Law and Human Resources” </w:t>
      </w:r>
      <w:r w:rsidRPr="007636A0">
        <w:rPr>
          <w:rFonts w:ascii="Arial" w:hAnsi="Arial" w:cs="Arial"/>
        </w:rPr>
        <w:t>Cambridgeshire : Workplace Law Group</w:t>
      </w:r>
    </w:p>
    <w:p w:rsidR="0088438E" w:rsidRPr="007636A0" w:rsidRDefault="0088438E">
      <w:pPr>
        <w:rPr>
          <w:rFonts w:ascii="Arial" w:hAnsi="Arial" w:cs="Arial"/>
        </w:rPr>
      </w:pPr>
    </w:p>
    <w:p w:rsidR="0088438E" w:rsidRPr="007636A0" w:rsidRDefault="0088438E" w:rsidP="0088438E">
      <w:pPr>
        <w:rPr>
          <w:rFonts w:ascii="Arial" w:hAnsi="Arial" w:cs="Arial"/>
        </w:rPr>
      </w:pPr>
      <w:r w:rsidRPr="007636A0">
        <w:rPr>
          <w:rFonts w:ascii="Arial" w:hAnsi="Arial" w:cs="Arial"/>
        </w:rPr>
        <w:t>Derbyshire, W. &amp; Hardy, S. (2014) “</w:t>
      </w:r>
      <w:r w:rsidRPr="007636A0">
        <w:rPr>
          <w:rFonts w:ascii="Arial" w:hAnsi="Arial" w:cs="Arial"/>
          <w:i/>
        </w:rPr>
        <w:t xml:space="preserve">TUPE : Law &amp; Practice A Guide to the TUPE Regulations” </w:t>
      </w:r>
      <w:r w:rsidRPr="007636A0">
        <w:rPr>
          <w:rFonts w:ascii="Arial" w:hAnsi="Arial" w:cs="Arial"/>
        </w:rPr>
        <w:t xml:space="preserve">London : </w:t>
      </w:r>
      <w:proofErr w:type="spellStart"/>
      <w:r w:rsidRPr="007636A0">
        <w:rPr>
          <w:rFonts w:ascii="Arial" w:hAnsi="Arial" w:cs="Arial"/>
        </w:rPr>
        <w:t>Spiramus</w:t>
      </w:r>
      <w:proofErr w:type="spellEnd"/>
      <w:r w:rsidRPr="007636A0">
        <w:rPr>
          <w:rFonts w:ascii="Arial" w:hAnsi="Arial" w:cs="Arial"/>
        </w:rPr>
        <w:t xml:space="preserve"> Press</w:t>
      </w:r>
    </w:p>
    <w:p w:rsidR="002B0A17" w:rsidRPr="007636A0" w:rsidRDefault="002B0A17">
      <w:pPr>
        <w:rPr>
          <w:rFonts w:ascii="Arial" w:hAnsi="Arial" w:cs="Arial"/>
        </w:rPr>
      </w:pPr>
    </w:p>
    <w:p w:rsidR="000626F0" w:rsidRPr="000626F0" w:rsidRDefault="000626F0" w:rsidP="009F259D">
      <w:pPr>
        <w:rPr>
          <w:rFonts w:ascii="Arial" w:hAnsi="Arial" w:cs="Arial"/>
        </w:rPr>
      </w:pPr>
      <w:r>
        <w:rPr>
          <w:rFonts w:ascii="Arial" w:hAnsi="Arial" w:cs="Arial"/>
        </w:rPr>
        <w:t>GOV.UK. (2022) “</w:t>
      </w:r>
      <w:r>
        <w:rPr>
          <w:rFonts w:ascii="Arial" w:hAnsi="Arial" w:cs="Arial"/>
          <w:i/>
        </w:rPr>
        <w:t xml:space="preserve">Making Staff Redundant” </w:t>
      </w:r>
      <w:r>
        <w:rPr>
          <w:rFonts w:ascii="Arial" w:hAnsi="Arial" w:cs="Arial"/>
        </w:rPr>
        <w:t xml:space="preserve">(Online) Available at: </w:t>
      </w:r>
      <w:hyperlink r:id="rId14" w:history="1">
        <w:r w:rsidRPr="006869EB">
          <w:rPr>
            <w:rStyle w:val="Hyperlink"/>
            <w:rFonts w:ascii="Arial" w:hAnsi="Arial" w:cs="Arial"/>
          </w:rPr>
          <w:t>https://www.gov.uk/staff-redundant/redundancy-consultations#:~:text=You%20must%20follow%20'collective%20consultation,consult%20employees%20and%20their%20representatives</w:t>
        </w:r>
      </w:hyperlink>
      <w:r w:rsidRPr="000626F0">
        <w:rPr>
          <w:rFonts w:ascii="Arial" w:hAnsi="Arial" w:cs="Arial"/>
        </w:rPr>
        <w:t>.</w:t>
      </w:r>
      <w:r>
        <w:rPr>
          <w:rFonts w:ascii="Arial" w:hAnsi="Arial" w:cs="Arial"/>
        </w:rPr>
        <w:t xml:space="preserve"> (Accessed: 20 Jul 2022)</w:t>
      </w:r>
    </w:p>
    <w:p w:rsidR="000626F0" w:rsidRDefault="000626F0" w:rsidP="009F259D">
      <w:pPr>
        <w:rPr>
          <w:rFonts w:ascii="Arial" w:hAnsi="Arial" w:cs="Arial"/>
        </w:rPr>
      </w:pPr>
    </w:p>
    <w:p w:rsidR="009F259D" w:rsidRDefault="009F259D" w:rsidP="009F259D">
      <w:pPr>
        <w:rPr>
          <w:rFonts w:ascii="Arial" w:hAnsi="Arial" w:cs="Arial"/>
        </w:rPr>
      </w:pPr>
      <w:r w:rsidRPr="0004717E">
        <w:rPr>
          <w:rFonts w:ascii="Arial" w:hAnsi="Arial" w:cs="Arial"/>
        </w:rPr>
        <w:t xml:space="preserve">Joanne Allan v Oakley Builders and Groundwork Contractors Ltd. </w:t>
      </w:r>
      <w:r>
        <w:rPr>
          <w:rFonts w:ascii="Arial" w:hAnsi="Arial" w:cs="Arial"/>
        </w:rPr>
        <w:t>[</w:t>
      </w:r>
      <w:r w:rsidRPr="0004717E">
        <w:rPr>
          <w:rFonts w:ascii="Arial" w:hAnsi="Arial" w:cs="Arial"/>
        </w:rPr>
        <w:t>2019</w:t>
      </w:r>
      <w:r>
        <w:rPr>
          <w:rFonts w:ascii="Arial" w:hAnsi="Arial" w:cs="Arial"/>
        </w:rPr>
        <w:t xml:space="preserve">] </w:t>
      </w:r>
      <w:r w:rsidRPr="009F259D">
        <w:rPr>
          <w:rFonts w:ascii="Arial" w:hAnsi="Arial" w:cs="Arial"/>
        </w:rPr>
        <w:t>1403798/2018</w:t>
      </w:r>
    </w:p>
    <w:p w:rsidR="009F259D" w:rsidRDefault="009F259D" w:rsidP="009F259D">
      <w:pPr>
        <w:rPr>
          <w:rFonts w:ascii="Arial" w:hAnsi="Arial" w:cs="Arial"/>
        </w:rPr>
      </w:pPr>
    </w:p>
    <w:p w:rsidR="009F259D" w:rsidRDefault="009F259D" w:rsidP="009F259D">
      <w:pPr>
        <w:rPr>
          <w:rFonts w:ascii="Arial" w:hAnsi="Arial" w:cs="Arial"/>
        </w:rPr>
      </w:pPr>
      <w:r w:rsidRPr="0004717E">
        <w:rPr>
          <w:rFonts w:ascii="Arial" w:hAnsi="Arial" w:cs="Arial"/>
        </w:rPr>
        <w:lastRenderedPageBreak/>
        <w:t xml:space="preserve">Kellogg Brown Ltd v Fitton </w:t>
      </w:r>
      <w:r>
        <w:rPr>
          <w:rFonts w:ascii="Arial" w:hAnsi="Arial" w:cs="Arial"/>
        </w:rPr>
        <w:t>[</w:t>
      </w:r>
      <w:r w:rsidRPr="0004717E">
        <w:rPr>
          <w:rFonts w:ascii="Arial" w:hAnsi="Arial" w:cs="Arial"/>
        </w:rPr>
        <w:t>2016</w:t>
      </w:r>
      <w:r>
        <w:rPr>
          <w:rFonts w:ascii="Arial" w:hAnsi="Arial" w:cs="Arial"/>
        </w:rPr>
        <w:t xml:space="preserve">] </w:t>
      </w:r>
      <w:r w:rsidRPr="009F259D">
        <w:rPr>
          <w:rFonts w:ascii="Arial" w:hAnsi="Arial" w:cs="Arial"/>
        </w:rPr>
        <w:t>UKEAT 0205_16_2111</w:t>
      </w:r>
    </w:p>
    <w:p w:rsidR="009F259D" w:rsidRPr="00956C89" w:rsidRDefault="009F259D" w:rsidP="009F259D"/>
    <w:p w:rsidR="003768F5" w:rsidRDefault="003768F5">
      <w:pPr>
        <w:rPr>
          <w:rFonts w:ascii="Arial" w:hAnsi="Arial" w:cs="Arial"/>
        </w:rPr>
      </w:pPr>
      <w:r w:rsidRPr="007636A0">
        <w:rPr>
          <w:rFonts w:ascii="Arial" w:hAnsi="Arial" w:cs="Arial"/>
        </w:rPr>
        <w:t>Landau Law. (2022) “</w:t>
      </w:r>
      <w:r w:rsidRPr="007636A0">
        <w:rPr>
          <w:rFonts w:ascii="Arial" w:hAnsi="Arial" w:cs="Arial"/>
          <w:i/>
        </w:rPr>
        <w:t>Employment law – Redundancy</w:t>
      </w:r>
      <w:r w:rsidRPr="007636A0">
        <w:rPr>
          <w:rFonts w:ascii="Arial" w:hAnsi="Arial" w:cs="Arial"/>
        </w:rPr>
        <w:t xml:space="preserve">” (Online) Available at: </w:t>
      </w:r>
      <w:hyperlink r:id="rId15" w:history="1">
        <w:r w:rsidRPr="007636A0">
          <w:rPr>
            <w:rStyle w:val="Hyperlink"/>
            <w:rFonts w:ascii="Arial" w:hAnsi="Arial" w:cs="Arial"/>
          </w:rPr>
          <w:t>https://landaulaw.co.uk/redundancy/</w:t>
        </w:r>
      </w:hyperlink>
      <w:r w:rsidRPr="007636A0">
        <w:rPr>
          <w:rFonts w:ascii="Arial" w:hAnsi="Arial" w:cs="Arial"/>
        </w:rPr>
        <w:t xml:space="preserve"> (Accessed: 18 Feb 2022)</w:t>
      </w:r>
    </w:p>
    <w:p w:rsidR="00FD20A1" w:rsidRDefault="00FD20A1">
      <w:pPr>
        <w:rPr>
          <w:rFonts w:ascii="Arial" w:hAnsi="Arial" w:cs="Arial"/>
        </w:rPr>
      </w:pPr>
    </w:p>
    <w:p w:rsidR="00FD20A1" w:rsidRPr="00FD20A1" w:rsidRDefault="00FD20A1" w:rsidP="00FD20A1">
      <w:pPr>
        <w:rPr>
          <w:rFonts w:ascii="Arial" w:eastAsia="Times New Roman" w:hAnsi="Arial" w:cs="Arial"/>
          <w:color w:val="000000" w:themeColor="text1"/>
        </w:rPr>
      </w:pPr>
      <w:r>
        <w:rPr>
          <w:rFonts w:ascii="Arial" w:hAnsi="Arial" w:cs="Arial"/>
        </w:rPr>
        <w:t>Lewis</w:t>
      </w:r>
      <w:r w:rsidRPr="00FD20A1">
        <w:rPr>
          <w:rFonts w:ascii="Arial" w:hAnsi="Arial" w:cs="Arial"/>
          <w:color w:val="000000" w:themeColor="text1"/>
        </w:rPr>
        <w:t xml:space="preserve">, </w:t>
      </w:r>
      <w:r>
        <w:rPr>
          <w:rFonts w:ascii="Arial" w:hAnsi="Arial" w:cs="Arial"/>
          <w:color w:val="000000" w:themeColor="text1"/>
        </w:rPr>
        <w:t xml:space="preserve">D. </w:t>
      </w:r>
      <w:r w:rsidRPr="00FD20A1">
        <w:rPr>
          <w:rFonts w:ascii="Arial" w:hAnsi="Arial" w:cs="Arial"/>
          <w:color w:val="000000" w:themeColor="text1"/>
        </w:rPr>
        <w:t xml:space="preserve">&amp; </w:t>
      </w:r>
      <w:proofErr w:type="spellStart"/>
      <w:r w:rsidRPr="00FD20A1">
        <w:rPr>
          <w:rFonts w:ascii="Arial" w:eastAsia="Times New Roman" w:hAnsi="Arial" w:cs="Arial"/>
          <w:color w:val="000000" w:themeColor="text1"/>
        </w:rPr>
        <w:t>Sargeant</w:t>
      </w:r>
      <w:proofErr w:type="spellEnd"/>
      <w:r w:rsidRPr="00FD20A1">
        <w:rPr>
          <w:rFonts w:ascii="Arial" w:eastAsia="Times New Roman" w:hAnsi="Arial" w:cs="Arial"/>
          <w:color w:val="000000" w:themeColor="text1"/>
        </w:rPr>
        <w:t>,</w:t>
      </w:r>
      <w:r>
        <w:rPr>
          <w:rFonts w:ascii="Arial" w:eastAsia="Times New Roman" w:hAnsi="Arial" w:cs="Arial"/>
          <w:color w:val="000000" w:themeColor="text1"/>
        </w:rPr>
        <w:t xml:space="preserve"> M.</w:t>
      </w:r>
      <w:r w:rsidRPr="00FD20A1">
        <w:rPr>
          <w:rFonts w:ascii="Arial" w:eastAsia="Times New Roman" w:hAnsi="Arial" w:cs="Arial"/>
          <w:color w:val="000000" w:themeColor="text1"/>
        </w:rPr>
        <w:t xml:space="preserve"> </w:t>
      </w:r>
      <w:r>
        <w:rPr>
          <w:rFonts w:ascii="Arial" w:eastAsia="Times New Roman" w:hAnsi="Arial" w:cs="Arial"/>
          <w:color w:val="000000" w:themeColor="text1"/>
        </w:rPr>
        <w:t>(</w:t>
      </w:r>
      <w:r w:rsidRPr="00FD20A1">
        <w:rPr>
          <w:rFonts w:ascii="Arial" w:eastAsia="Times New Roman" w:hAnsi="Arial" w:cs="Arial"/>
          <w:color w:val="000000" w:themeColor="text1"/>
        </w:rPr>
        <w:t>2017</w:t>
      </w:r>
      <w:r>
        <w:rPr>
          <w:rFonts w:ascii="Arial" w:eastAsia="Times New Roman" w:hAnsi="Arial" w:cs="Arial"/>
          <w:color w:val="000000" w:themeColor="text1"/>
        </w:rPr>
        <w:t>) “</w:t>
      </w:r>
      <w:r w:rsidRPr="00FD20A1">
        <w:rPr>
          <w:rFonts w:ascii="Arial" w:eastAsia="Times New Roman" w:hAnsi="Arial" w:cs="Arial"/>
          <w:color w:val="000000" w:themeColor="text1"/>
        </w:rPr>
        <w:t>Employment Law</w:t>
      </w:r>
      <w:r>
        <w:rPr>
          <w:rFonts w:ascii="Arial" w:eastAsia="Times New Roman" w:hAnsi="Arial" w:cs="Arial"/>
          <w:color w:val="000000" w:themeColor="text1"/>
        </w:rPr>
        <w:t xml:space="preserve"> </w:t>
      </w:r>
      <w:r w:rsidRPr="00FD20A1">
        <w:rPr>
          <w:rFonts w:ascii="Arial" w:eastAsia="Times New Roman" w:hAnsi="Arial" w:cs="Arial"/>
          <w:color w:val="000000" w:themeColor="text1"/>
        </w:rPr>
        <w:t>The Essentials</w:t>
      </w:r>
      <w:r>
        <w:rPr>
          <w:rFonts w:ascii="Arial" w:eastAsia="Times New Roman" w:hAnsi="Arial" w:cs="Arial"/>
          <w:color w:val="000000" w:themeColor="text1"/>
        </w:rPr>
        <w:t>” London : Kogan Page</w:t>
      </w:r>
    </w:p>
    <w:p w:rsidR="00F83BEE" w:rsidRPr="007636A0" w:rsidRDefault="00F83BEE">
      <w:pPr>
        <w:rPr>
          <w:rFonts w:ascii="Arial" w:hAnsi="Arial" w:cs="Arial"/>
        </w:rPr>
      </w:pPr>
    </w:p>
    <w:p w:rsidR="007636A0" w:rsidRPr="007636A0" w:rsidRDefault="007636A0" w:rsidP="007636A0">
      <w:pPr>
        <w:rPr>
          <w:rFonts w:ascii="Arial" w:hAnsi="Arial" w:cs="Arial"/>
        </w:rPr>
      </w:pPr>
      <w:r w:rsidRPr="007636A0">
        <w:rPr>
          <w:rFonts w:ascii="Arial" w:hAnsi="Arial" w:cs="Arial"/>
        </w:rPr>
        <w:t xml:space="preserve">Richardson, R. (2018) “Selling a business where TUPE applies – what do you need to tell your employees?” (Online) Available at: </w:t>
      </w:r>
      <w:hyperlink r:id="rId16" w:history="1">
        <w:r w:rsidRPr="007636A0">
          <w:rPr>
            <w:rStyle w:val="Hyperlink"/>
            <w:rFonts w:ascii="Arial" w:hAnsi="Arial" w:cs="Arial"/>
          </w:rPr>
          <w:t>https://www.tughans.com/news-insights/selling-a-business-where-tupe-applies-what-do-you-need-to-tell-your-employees/</w:t>
        </w:r>
      </w:hyperlink>
      <w:r w:rsidRPr="007636A0">
        <w:rPr>
          <w:rFonts w:ascii="Arial" w:hAnsi="Arial" w:cs="Arial"/>
        </w:rPr>
        <w:t xml:space="preserve"> (Accessed: 22 Feb 2022)</w:t>
      </w:r>
    </w:p>
    <w:p w:rsidR="007636A0" w:rsidRPr="007636A0" w:rsidRDefault="007636A0" w:rsidP="007636A0">
      <w:pPr>
        <w:rPr>
          <w:rFonts w:ascii="Arial" w:hAnsi="Arial" w:cs="Arial"/>
        </w:rPr>
      </w:pPr>
    </w:p>
    <w:p w:rsidR="00F83BEE" w:rsidRPr="007636A0" w:rsidRDefault="00F83BEE">
      <w:pPr>
        <w:rPr>
          <w:rFonts w:ascii="Arial" w:hAnsi="Arial" w:cs="Arial"/>
        </w:rPr>
      </w:pPr>
      <w:r w:rsidRPr="007636A0">
        <w:rPr>
          <w:rFonts w:ascii="Arial" w:hAnsi="Arial" w:cs="Arial"/>
        </w:rPr>
        <w:t>Thomas, H. (2019) “</w:t>
      </w:r>
      <w:r w:rsidRPr="007636A0">
        <w:rPr>
          <w:rFonts w:ascii="Arial" w:hAnsi="Arial" w:cs="Arial"/>
          <w:i/>
        </w:rPr>
        <w:t>Can employers still use the “last in, first out” criterion as a method of redundancy selection?”</w:t>
      </w:r>
      <w:r w:rsidRPr="007636A0">
        <w:rPr>
          <w:rFonts w:ascii="Arial" w:hAnsi="Arial" w:cs="Arial"/>
        </w:rPr>
        <w:t xml:space="preserve"> (Online) Available at: </w:t>
      </w:r>
      <w:hyperlink r:id="rId17" w:history="1">
        <w:r w:rsidRPr="007636A0">
          <w:rPr>
            <w:rStyle w:val="Hyperlink"/>
            <w:rFonts w:ascii="Arial" w:hAnsi="Arial" w:cs="Arial"/>
          </w:rPr>
          <w:t>https://www.markellaw.co.uk/insights/can-employers-still-use-the-last-in-first-out-criterion-as-a-method-of-redundancy-selection/</w:t>
        </w:r>
      </w:hyperlink>
      <w:r w:rsidRPr="007636A0">
        <w:rPr>
          <w:rFonts w:ascii="Arial" w:hAnsi="Arial" w:cs="Arial"/>
        </w:rPr>
        <w:t xml:space="preserve"> (Accessed: 22 Feb 2022)</w:t>
      </w:r>
    </w:p>
    <w:p w:rsidR="00F56133" w:rsidRPr="007636A0" w:rsidRDefault="00F56133">
      <w:pPr>
        <w:rPr>
          <w:rFonts w:ascii="Arial" w:hAnsi="Arial" w:cs="Arial"/>
        </w:rPr>
      </w:pPr>
    </w:p>
    <w:p w:rsidR="00B72739" w:rsidRPr="00B72739" w:rsidRDefault="00B72739" w:rsidP="007636A0">
      <w:pPr>
        <w:rPr>
          <w:rFonts w:ascii="Arial" w:hAnsi="Arial" w:cs="Arial"/>
        </w:rPr>
      </w:pPr>
      <w:proofErr w:type="spellStart"/>
      <w:r>
        <w:rPr>
          <w:rFonts w:ascii="Arial" w:hAnsi="Arial" w:cs="Arial"/>
        </w:rPr>
        <w:t>Upcounsel</w:t>
      </w:r>
      <w:proofErr w:type="spellEnd"/>
      <w:r>
        <w:rPr>
          <w:rFonts w:ascii="Arial" w:hAnsi="Arial" w:cs="Arial"/>
        </w:rPr>
        <w:t xml:space="preserve">. (2022) </w:t>
      </w:r>
      <w:r w:rsidRPr="00B72739">
        <w:rPr>
          <w:rFonts w:ascii="Arial" w:hAnsi="Arial" w:cs="Arial"/>
          <w:i/>
        </w:rPr>
        <w:t>“What Is Unilateral Contract: Everything You Need to Know</w:t>
      </w:r>
      <w:r>
        <w:rPr>
          <w:rFonts w:ascii="Arial" w:hAnsi="Arial" w:cs="Arial"/>
          <w:i/>
        </w:rPr>
        <w:t>”</w:t>
      </w:r>
      <w:r>
        <w:rPr>
          <w:rFonts w:ascii="Arial" w:hAnsi="Arial" w:cs="Arial"/>
        </w:rPr>
        <w:t xml:space="preserve"> (Online) Available at:</w:t>
      </w:r>
      <w:r w:rsidRPr="00B72739">
        <w:t xml:space="preserve"> </w:t>
      </w:r>
      <w:hyperlink r:id="rId18" w:history="1">
        <w:r w:rsidRPr="006869EB">
          <w:rPr>
            <w:rStyle w:val="Hyperlink"/>
            <w:rFonts w:ascii="Arial" w:hAnsi="Arial" w:cs="Arial"/>
          </w:rPr>
          <w:t>https://www.upcounsel.com/what-is-unilateral-contract</w:t>
        </w:r>
      </w:hyperlink>
      <w:r>
        <w:rPr>
          <w:rFonts w:ascii="Arial" w:hAnsi="Arial" w:cs="Arial"/>
        </w:rPr>
        <w:t xml:space="preserve"> (Accessed: 20 Jul 2022)</w:t>
      </w:r>
    </w:p>
    <w:p w:rsidR="00B72739" w:rsidRDefault="00B72739" w:rsidP="007636A0">
      <w:pPr>
        <w:rPr>
          <w:rFonts w:ascii="Arial" w:hAnsi="Arial" w:cs="Arial"/>
        </w:rPr>
      </w:pPr>
    </w:p>
    <w:p w:rsidR="007636A0" w:rsidRPr="007636A0" w:rsidRDefault="007636A0" w:rsidP="007636A0">
      <w:pPr>
        <w:rPr>
          <w:rFonts w:ascii="Arial" w:hAnsi="Arial" w:cs="Arial"/>
        </w:rPr>
      </w:pPr>
      <w:r w:rsidRPr="007636A0">
        <w:rPr>
          <w:rFonts w:ascii="Arial" w:hAnsi="Arial" w:cs="Arial"/>
        </w:rPr>
        <w:t>Veale, L. (2021) “</w:t>
      </w:r>
      <w:r w:rsidRPr="007636A0">
        <w:rPr>
          <w:rFonts w:ascii="Arial" w:hAnsi="Arial" w:cs="Arial"/>
          <w:i/>
        </w:rPr>
        <w:t>Redundancy during or after maternity leave: how the law is failing women</w:t>
      </w:r>
      <w:r w:rsidRPr="007636A0">
        <w:rPr>
          <w:rFonts w:ascii="Arial" w:hAnsi="Arial" w:cs="Arial"/>
        </w:rPr>
        <w:t xml:space="preserve">” (Online) Available at: </w:t>
      </w:r>
      <w:hyperlink r:id="rId19" w:history="1">
        <w:r w:rsidRPr="007636A0">
          <w:rPr>
            <w:rStyle w:val="Hyperlink"/>
            <w:rFonts w:ascii="Arial" w:hAnsi="Arial" w:cs="Arial"/>
          </w:rPr>
          <w:t>https://www.lag.org.uk/article/210401/redundancy-during-or-after-maternity-leave--how-the-law-is-failing-women</w:t>
        </w:r>
      </w:hyperlink>
      <w:r w:rsidRPr="007636A0">
        <w:rPr>
          <w:rFonts w:ascii="Arial" w:hAnsi="Arial" w:cs="Arial"/>
        </w:rPr>
        <w:t xml:space="preserve"> (Accessed: 22 Feb 2022)</w:t>
      </w:r>
    </w:p>
    <w:p w:rsidR="007636A0" w:rsidRPr="007636A0" w:rsidRDefault="007636A0" w:rsidP="007636A0">
      <w:pPr>
        <w:rPr>
          <w:rFonts w:ascii="Arial" w:hAnsi="Arial" w:cs="Arial"/>
        </w:rPr>
      </w:pPr>
    </w:p>
    <w:p w:rsidR="00F56133" w:rsidRDefault="00F56133">
      <w:pPr>
        <w:rPr>
          <w:rFonts w:ascii="Arial" w:eastAsia="Times New Roman" w:hAnsi="Arial" w:cs="Arial"/>
        </w:rPr>
      </w:pPr>
      <w:r w:rsidRPr="007636A0">
        <w:rPr>
          <w:rFonts w:ascii="Arial" w:eastAsia="Times New Roman" w:hAnsi="Arial" w:cs="Arial"/>
        </w:rPr>
        <w:t>Wilson Browne Solicitors. (2022) “</w:t>
      </w:r>
      <w:r w:rsidRPr="007636A0">
        <w:rPr>
          <w:rFonts w:ascii="Arial" w:eastAsia="Times New Roman" w:hAnsi="Arial" w:cs="Arial"/>
          <w:i/>
        </w:rPr>
        <w:t>Guide To Changing Terms And Conditions</w:t>
      </w:r>
      <w:r w:rsidRPr="007636A0">
        <w:rPr>
          <w:rFonts w:ascii="Arial" w:eastAsia="Times New Roman" w:hAnsi="Arial" w:cs="Arial"/>
        </w:rPr>
        <w:t>” (Online) Available at:</w:t>
      </w:r>
      <w:r w:rsidRPr="007636A0">
        <w:rPr>
          <w:rFonts w:ascii="Arial" w:hAnsi="Arial" w:cs="Arial"/>
        </w:rPr>
        <w:t xml:space="preserve"> </w:t>
      </w:r>
      <w:hyperlink r:id="rId20" w:history="1">
        <w:r w:rsidRPr="007636A0">
          <w:rPr>
            <w:rStyle w:val="Hyperlink"/>
            <w:rFonts w:ascii="Arial" w:eastAsia="Times New Roman" w:hAnsi="Arial" w:cs="Arial"/>
          </w:rPr>
          <w:t>https://www.wilsonbrowne.co.uk/guides/guide-to-changing-terms-and-conditions/</w:t>
        </w:r>
      </w:hyperlink>
      <w:r w:rsidRPr="007636A0">
        <w:rPr>
          <w:rFonts w:ascii="Arial" w:eastAsia="Times New Roman" w:hAnsi="Arial" w:cs="Arial"/>
        </w:rPr>
        <w:t xml:space="preserve"> (Accessed: 22 Feb 2022)</w:t>
      </w:r>
    </w:p>
    <w:p w:rsidR="00F60ECC" w:rsidRDefault="00F60ECC">
      <w:pPr>
        <w:rPr>
          <w:rFonts w:ascii="Arial" w:eastAsia="Times New Roman" w:hAnsi="Arial" w:cs="Arial"/>
        </w:rPr>
      </w:pPr>
    </w:p>
    <w:p w:rsidR="00F60ECC" w:rsidRPr="00F60ECC" w:rsidRDefault="00F60ECC" w:rsidP="00F60ECC">
      <w:pPr>
        <w:rPr>
          <w:rFonts w:ascii="Arial" w:eastAsia="Times New Roman" w:hAnsi="Arial" w:cs="Arial"/>
          <w:b/>
          <w:bCs/>
        </w:rPr>
      </w:pPr>
      <w:proofErr w:type="spellStart"/>
      <w:r>
        <w:rPr>
          <w:rFonts w:ascii="Arial" w:eastAsia="Times New Roman" w:hAnsi="Arial" w:cs="Arial"/>
        </w:rPr>
        <w:t>XpertHR</w:t>
      </w:r>
      <w:proofErr w:type="spellEnd"/>
      <w:r>
        <w:rPr>
          <w:rFonts w:ascii="Arial" w:eastAsia="Times New Roman" w:hAnsi="Arial" w:cs="Arial"/>
        </w:rPr>
        <w:t xml:space="preserve"> (2022) “</w:t>
      </w:r>
      <w:r w:rsidRPr="00F60ECC">
        <w:rPr>
          <w:rFonts w:ascii="Arial" w:eastAsia="Times New Roman" w:hAnsi="Arial" w:cs="Arial"/>
          <w:bCs/>
          <w:i/>
        </w:rPr>
        <w:t>Where employees are TUPE transferred does their continuous service start from the date of the transfer or from the start of employment with the transferor?”</w:t>
      </w:r>
      <w:r>
        <w:rPr>
          <w:rFonts w:ascii="Arial" w:eastAsia="Times New Roman" w:hAnsi="Arial" w:cs="Arial"/>
          <w:bCs/>
          <w:i/>
        </w:rPr>
        <w:t xml:space="preserve"> </w:t>
      </w:r>
      <w:r>
        <w:rPr>
          <w:rFonts w:ascii="Arial" w:eastAsia="Times New Roman" w:hAnsi="Arial" w:cs="Arial"/>
          <w:bCs/>
        </w:rPr>
        <w:t xml:space="preserve">(Online) Available at: </w:t>
      </w:r>
      <w:hyperlink r:id="rId21" w:history="1">
        <w:r w:rsidRPr="006869EB">
          <w:rPr>
            <w:rStyle w:val="Hyperlink"/>
            <w:rFonts w:ascii="Arial" w:eastAsia="Times New Roman" w:hAnsi="Arial" w:cs="Arial"/>
            <w:bCs/>
          </w:rPr>
          <w:t>https://www.xperthr.co.uk/faq/where-employees-are-tupe-transferred-does-their-continuous-service-start-from-the-date-of-the-transfer-or-from-the-start-of-employment-with-the-transferor/55930/</w:t>
        </w:r>
      </w:hyperlink>
      <w:r>
        <w:rPr>
          <w:rFonts w:ascii="Arial" w:eastAsia="Times New Roman" w:hAnsi="Arial" w:cs="Arial"/>
          <w:bCs/>
        </w:rPr>
        <w:t xml:space="preserve"> (Accessed: 20 Jul 2022)</w:t>
      </w:r>
    </w:p>
    <w:p w:rsidR="00F60ECC" w:rsidRPr="007636A0" w:rsidRDefault="00F60ECC">
      <w:pPr>
        <w:rPr>
          <w:rFonts w:ascii="Arial" w:eastAsia="Times New Roman" w:hAnsi="Arial" w:cs="Arial"/>
        </w:rPr>
      </w:pPr>
    </w:p>
    <w:p w:rsidR="00985BF0" w:rsidRDefault="00985BF0"/>
    <w:p w:rsidR="009F259D" w:rsidRPr="00956C89" w:rsidRDefault="009F259D"/>
    <w:sectPr w:rsidR="009F259D" w:rsidRPr="00956C89" w:rsidSect="00055A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F71EA"/>
    <w:multiLevelType w:val="hybridMultilevel"/>
    <w:tmpl w:val="E10E9BCA"/>
    <w:lvl w:ilvl="0" w:tplc="04090001">
      <w:start w:val="1"/>
      <w:numFmt w:val="bullet"/>
      <w:lvlText w:val=""/>
      <w:lvlJc w:val="left"/>
      <w:pPr>
        <w:ind w:left="2137" w:hanging="360"/>
      </w:pPr>
      <w:rPr>
        <w:rFonts w:ascii="Symbol" w:hAnsi="Symbol" w:hint="default"/>
      </w:rPr>
    </w:lvl>
    <w:lvl w:ilvl="1" w:tplc="04090003" w:tentative="1">
      <w:start w:val="1"/>
      <w:numFmt w:val="bullet"/>
      <w:lvlText w:val="o"/>
      <w:lvlJc w:val="left"/>
      <w:pPr>
        <w:ind w:left="2857" w:hanging="360"/>
      </w:pPr>
      <w:rPr>
        <w:rFonts w:ascii="Courier New" w:hAnsi="Courier New" w:cs="Courier New" w:hint="default"/>
      </w:rPr>
    </w:lvl>
    <w:lvl w:ilvl="2" w:tplc="04090005" w:tentative="1">
      <w:start w:val="1"/>
      <w:numFmt w:val="bullet"/>
      <w:lvlText w:val=""/>
      <w:lvlJc w:val="left"/>
      <w:pPr>
        <w:ind w:left="3577" w:hanging="360"/>
      </w:pPr>
      <w:rPr>
        <w:rFonts w:ascii="Wingdings" w:hAnsi="Wingdings" w:hint="default"/>
      </w:rPr>
    </w:lvl>
    <w:lvl w:ilvl="3" w:tplc="04090001" w:tentative="1">
      <w:start w:val="1"/>
      <w:numFmt w:val="bullet"/>
      <w:lvlText w:val=""/>
      <w:lvlJc w:val="left"/>
      <w:pPr>
        <w:ind w:left="4297" w:hanging="360"/>
      </w:pPr>
      <w:rPr>
        <w:rFonts w:ascii="Symbol" w:hAnsi="Symbol" w:hint="default"/>
      </w:rPr>
    </w:lvl>
    <w:lvl w:ilvl="4" w:tplc="04090003" w:tentative="1">
      <w:start w:val="1"/>
      <w:numFmt w:val="bullet"/>
      <w:lvlText w:val="o"/>
      <w:lvlJc w:val="left"/>
      <w:pPr>
        <w:ind w:left="5017" w:hanging="360"/>
      </w:pPr>
      <w:rPr>
        <w:rFonts w:ascii="Courier New" w:hAnsi="Courier New" w:cs="Courier New" w:hint="default"/>
      </w:rPr>
    </w:lvl>
    <w:lvl w:ilvl="5" w:tplc="04090005" w:tentative="1">
      <w:start w:val="1"/>
      <w:numFmt w:val="bullet"/>
      <w:lvlText w:val=""/>
      <w:lvlJc w:val="left"/>
      <w:pPr>
        <w:ind w:left="5737" w:hanging="360"/>
      </w:pPr>
      <w:rPr>
        <w:rFonts w:ascii="Wingdings" w:hAnsi="Wingdings" w:hint="default"/>
      </w:rPr>
    </w:lvl>
    <w:lvl w:ilvl="6" w:tplc="04090001" w:tentative="1">
      <w:start w:val="1"/>
      <w:numFmt w:val="bullet"/>
      <w:lvlText w:val=""/>
      <w:lvlJc w:val="left"/>
      <w:pPr>
        <w:ind w:left="6457" w:hanging="360"/>
      </w:pPr>
      <w:rPr>
        <w:rFonts w:ascii="Symbol" w:hAnsi="Symbol" w:hint="default"/>
      </w:rPr>
    </w:lvl>
    <w:lvl w:ilvl="7" w:tplc="04090003" w:tentative="1">
      <w:start w:val="1"/>
      <w:numFmt w:val="bullet"/>
      <w:lvlText w:val="o"/>
      <w:lvlJc w:val="left"/>
      <w:pPr>
        <w:ind w:left="7177" w:hanging="360"/>
      </w:pPr>
      <w:rPr>
        <w:rFonts w:ascii="Courier New" w:hAnsi="Courier New" w:cs="Courier New" w:hint="default"/>
      </w:rPr>
    </w:lvl>
    <w:lvl w:ilvl="8" w:tplc="04090005" w:tentative="1">
      <w:start w:val="1"/>
      <w:numFmt w:val="bullet"/>
      <w:lvlText w:val=""/>
      <w:lvlJc w:val="left"/>
      <w:pPr>
        <w:ind w:left="7897" w:hanging="360"/>
      </w:pPr>
      <w:rPr>
        <w:rFonts w:ascii="Wingdings" w:hAnsi="Wingdings" w:hint="default"/>
      </w:rPr>
    </w:lvl>
  </w:abstractNum>
  <w:abstractNum w:abstractNumId="1" w15:restartNumberingAfterBreak="0">
    <w:nsid w:val="5BA0428A"/>
    <w:multiLevelType w:val="multilevel"/>
    <w:tmpl w:val="BA7C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F5"/>
    <w:rsid w:val="00010847"/>
    <w:rsid w:val="000213FB"/>
    <w:rsid w:val="0004717E"/>
    <w:rsid w:val="00051868"/>
    <w:rsid w:val="00055AF5"/>
    <w:rsid w:val="000626F0"/>
    <w:rsid w:val="00076CEE"/>
    <w:rsid w:val="000C4CEE"/>
    <w:rsid w:val="00116F8C"/>
    <w:rsid w:val="00133F7A"/>
    <w:rsid w:val="001663EC"/>
    <w:rsid w:val="00170353"/>
    <w:rsid w:val="00170B99"/>
    <w:rsid w:val="001719DB"/>
    <w:rsid w:val="001756B2"/>
    <w:rsid w:val="001921F0"/>
    <w:rsid w:val="00286735"/>
    <w:rsid w:val="002B0A17"/>
    <w:rsid w:val="002F6E83"/>
    <w:rsid w:val="003768F5"/>
    <w:rsid w:val="00377D5F"/>
    <w:rsid w:val="003C4C31"/>
    <w:rsid w:val="003D3FEC"/>
    <w:rsid w:val="003E120B"/>
    <w:rsid w:val="003E24C2"/>
    <w:rsid w:val="0041440E"/>
    <w:rsid w:val="00476D65"/>
    <w:rsid w:val="004C0EF7"/>
    <w:rsid w:val="004E6A15"/>
    <w:rsid w:val="004F1C3E"/>
    <w:rsid w:val="004F7C3D"/>
    <w:rsid w:val="00507963"/>
    <w:rsid w:val="005C459A"/>
    <w:rsid w:val="005E170D"/>
    <w:rsid w:val="00664420"/>
    <w:rsid w:val="006725FF"/>
    <w:rsid w:val="006A010A"/>
    <w:rsid w:val="006C3DE4"/>
    <w:rsid w:val="007636A0"/>
    <w:rsid w:val="007730DF"/>
    <w:rsid w:val="00774AF0"/>
    <w:rsid w:val="007A6990"/>
    <w:rsid w:val="007B213C"/>
    <w:rsid w:val="007D4208"/>
    <w:rsid w:val="007E3AA5"/>
    <w:rsid w:val="007E5001"/>
    <w:rsid w:val="007F75D9"/>
    <w:rsid w:val="00837957"/>
    <w:rsid w:val="00852230"/>
    <w:rsid w:val="00875122"/>
    <w:rsid w:val="008760B9"/>
    <w:rsid w:val="0088438E"/>
    <w:rsid w:val="008B711B"/>
    <w:rsid w:val="008F1DFE"/>
    <w:rsid w:val="008F51B2"/>
    <w:rsid w:val="009334FA"/>
    <w:rsid w:val="00956C89"/>
    <w:rsid w:val="00985BF0"/>
    <w:rsid w:val="009C2DFE"/>
    <w:rsid w:val="009F259D"/>
    <w:rsid w:val="009F53E4"/>
    <w:rsid w:val="00A149CE"/>
    <w:rsid w:val="00A14C6B"/>
    <w:rsid w:val="00A4104E"/>
    <w:rsid w:val="00A83F6A"/>
    <w:rsid w:val="00AA6F8F"/>
    <w:rsid w:val="00AB05A4"/>
    <w:rsid w:val="00AB616B"/>
    <w:rsid w:val="00AF1D3D"/>
    <w:rsid w:val="00AF44F6"/>
    <w:rsid w:val="00B02167"/>
    <w:rsid w:val="00B1204E"/>
    <w:rsid w:val="00B16750"/>
    <w:rsid w:val="00B2393A"/>
    <w:rsid w:val="00B33850"/>
    <w:rsid w:val="00B72739"/>
    <w:rsid w:val="00B8510A"/>
    <w:rsid w:val="00BD3FFE"/>
    <w:rsid w:val="00C216DE"/>
    <w:rsid w:val="00C34A5C"/>
    <w:rsid w:val="00C4478D"/>
    <w:rsid w:val="00C609B5"/>
    <w:rsid w:val="00C63277"/>
    <w:rsid w:val="00CA571A"/>
    <w:rsid w:val="00D21046"/>
    <w:rsid w:val="00D8374B"/>
    <w:rsid w:val="00D875FA"/>
    <w:rsid w:val="00D943E6"/>
    <w:rsid w:val="00DC2590"/>
    <w:rsid w:val="00DD433D"/>
    <w:rsid w:val="00DE4D9A"/>
    <w:rsid w:val="00DF14DE"/>
    <w:rsid w:val="00DF7AE7"/>
    <w:rsid w:val="00E70143"/>
    <w:rsid w:val="00E751F8"/>
    <w:rsid w:val="00E77318"/>
    <w:rsid w:val="00EA7E50"/>
    <w:rsid w:val="00ED347C"/>
    <w:rsid w:val="00EF7730"/>
    <w:rsid w:val="00F2436B"/>
    <w:rsid w:val="00F4607A"/>
    <w:rsid w:val="00F55A4D"/>
    <w:rsid w:val="00F56133"/>
    <w:rsid w:val="00F60ECC"/>
    <w:rsid w:val="00F6380F"/>
    <w:rsid w:val="00F72B8F"/>
    <w:rsid w:val="00F83BEE"/>
    <w:rsid w:val="00FD2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09217B"/>
  <w15:chartTrackingRefBased/>
  <w15:docId w15:val="{45AD45DE-D3E0-AB4C-AF62-096B37E8B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EC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68F5"/>
    <w:rPr>
      <w:color w:val="0563C1" w:themeColor="hyperlink"/>
      <w:u w:val="single"/>
    </w:rPr>
  </w:style>
  <w:style w:type="character" w:styleId="UnresolvedMention">
    <w:name w:val="Unresolved Mention"/>
    <w:basedOn w:val="DefaultParagraphFont"/>
    <w:uiPriority w:val="99"/>
    <w:semiHidden/>
    <w:unhideWhenUsed/>
    <w:rsid w:val="003768F5"/>
    <w:rPr>
      <w:color w:val="605E5C"/>
      <w:shd w:val="clear" w:color="auto" w:fill="E1DFDD"/>
    </w:rPr>
  </w:style>
  <w:style w:type="paragraph" w:styleId="NormalWeb">
    <w:name w:val="Normal (Web)"/>
    <w:basedOn w:val="Normal"/>
    <w:uiPriority w:val="99"/>
    <w:semiHidden/>
    <w:unhideWhenUsed/>
    <w:rsid w:val="00F6380F"/>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B33850"/>
    <w:rPr>
      <w:color w:val="954F72" w:themeColor="followedHyperlink"/>
      <w:u w:val="single"/>
    </w:rPr>
  </w:style>
  <w:style w:type="character" w:customStyle="1" w:styleId="Heading1Char">
    <w:name w:val="Heading 1 Char"/>
    <w:basedOn w:val="DefaultParagraphFont"/>
    <w:link w:val="Heading1"/>
    <w:uiPriority w:val="9"/>
    <w:rsid w:val="00F60EC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F1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76133">
      <w:bodyDiv w:val="1"/>
      <w:marLeft w:val="0"/>
      <w:marRight w:val="0"/>
      <w:marTop w:val="0"/>
      <w:marBottom w:val="0"/>
      <w:divBdr>
        <w:top w:val="none" w:sz="0" w:space="0" w:color="auto"/>
        <w:left w:val="none" w:sz="0" w:space="0" w:color="auto"/>
        <w:bottom w:val="none" w:sz="0" w:space="0" w:color="auto"/>
        <w:right w:val="none" w:sz="0" w:space="0" w:color="auto"/>
      </w:divBdr>
    </w:div>
    <w:div w:id="57632852">
      <w:bodyDiv w:val="1"/>
      <w:marLeft w:val="0"/>
      <w:marRight w:val="0"/>
      <w:marTop w:val="0"/>
      <w:marBottom w:val="0"/>
      <w:divBdr>
        <w:top w:val="none" w:sz="0" w:space="0" w:color="auto"/>
        <w:left w:val="none" w:sz="0" w:space="0" w:color="auto"/>
        <w:bottom w:val="none" w:sz="0" w:space="0" w:color="auto"/>
        <w:right w:val="none" w:sz="0" w:space="0" w:color="auto"/>
      </w:divBdr>
    </w:div>
    <w:div w:id="77020149">
      <w:bodyDiv w:val="1"/>
      <w:marLeft w:val="0"/>
      <w:marRight w:val="0"/>
      <w:marTop w:val="0"/>
      <w:marBottom w:val="0"/>
      <w:divBdr>
        <w:top w:val="none" w:sz="0" w:space="0" w:color="auto"/>
        <w:left w:val="none" w:sz="0" w:space="0" w:color="auto"/>
        <w:bottom w:val="none" w:sz="0" w:space="0" w:color="auto"/>
        <w:right w:val="none" w:sz="0" w:space="0" w:color="auto"/>
      </w:divBdr>
    </w:div>
    <w:div w:id="106630068">
      <w:bodyDiv w:val="1"/>
      <w:marLeft w:val="0"/>
      <w:marRight w:val="0"/>
      <w:marTop w:val="0"/>
      <w:marBottom w:val="0"/>
      <w:divBdr>
        <w:top w:val="none" w:sz="0" w:space="0" w:color="auto"/>
        <w:left w:val="none" w:sz="0" w:space="0" w:color="auto"/>
        <w:bottom w:val="none" w:sz="0" w:space="0" w:color="auto"/>
        <w:right w:val="none" w:sz="0" w:space="0" w:color="auto"/>
      </w:divBdr>
    </w:div>
    <w:div w:id="174812385">
      <w:bodyDiv w:val="1"/>
      <w:marLeft w:val="0"/>
      <w:marRight w:val="0"/>
      <w:marTop w:val="0"/>
      <w:marBottom w:val="0"/>
      <w:divBdr>
        <w:top w:val="none" w:sz="0" w:space="0" w:color="auto"/>
        <w:left w:val="none" w:sz="0" w:space="0" w:color="auto"/>
        <w:bottom w:val="none" w:sz="0" w:space="0" w:color="auto"/>
        <w:right w:val="none" w:sz="0" w:space="0" w:color="auto"/>
      </w:divBdr>
    </w:div>
    <w:div w:id="196280609">
      <w:bodyDiv w:val="1"/>
      <w:marLeft w:val="0"/>
      <w:marRight w:val="0"/>
      <w:marTop w:val="0"/>
      <w:marBottom w:val="0"/>
      <w:divBdr>
        <w:top w:val="none" w:sz="0" w:space="0" w:color="auto"/>
        <w:left w:val="none" w:sz="0" w:space="0" w:color="auto"/>
        <w:bottom w:val="none" w:sz="0" w:space="0" w:color="auto"/>
        <w:right w:val="none" w:sz="0" w:space="0" w:color="auto"/>
      </w:divBdr>
    </w:div>
    <w:div w:id="253049345">
      <w:bodyDiv w:val="1"/>
      <w:marLeft w:val="0"/>
      <w:marRight w:val="0"/>
      <w:marTop w:val="0"/>
      <w:marBottom w:val="0"/>
      <w:divBdr>
        <w:top w:val="none" w:sz="0" w:space="0" w:color="auto"/>
        <w:left w:val="none" w:sz="0" w:space="0" w:color="auto"/>
        <w:bottom w:val="none" w:sz="0" w:space="0" w:color="auto"/>
        <w:right w:val="none" w:sz="0" w:space="0" w:color="auto"/>
      </w:divBdr>
    </w:div>
    <w:div w:id="282079176">
      <w:bodyDiv w:val="1"/>
      <w:marLeft w:val="0"/>
      <w:marRight w:val="0"/>
      <w:marTop w:val="0"/>
      <w:marBottom w:val="0"/>
      <w:divBdr>
        <w:top w:val="none" w:sz="0" w:space="0" w:color="auto"/>
        <w:left w:val="none" w:sz="0" w:space="0" w:color="auto"/>
        <w:bottom w:val="none" w:sz="0" w:space="0" w:color="auto"/>
        <w:right w:val="none" w:sz="0" w:space="0" w:color="auto"/>
      </w:divBdr>
      <w:divsChild>
        <w:div w:id="1379620703">
          <w:marLeft w:val="0"/>
          <w:marRight w:val="0"/>
          <w:marTop w:val="0"/>
          <w:marBottom w:val="0"/>
          <w:divBdr>
            <w:top w:val="none" w:sz="0" w:space="0" w:color="auto"/>
            <w:left w:val="none" w:sz="0" w:space="0" w:color="auto"/>
            <w:bottom w:val="none" w:sz="0" w:space="0" w:color="auto"/>
            <w:right w:val="none" w:sz="0" w:space="0" w:color="auto"/>
          </w:divBdr>
        </w:div>
        <w:div w:id="1847089966">
          <w:marLeft w:val="0"/>
          <w:marRight w:val="0"/>
          <w:marTop w:val="0"/>
          <w:marBottom w:val="0"/>
          <w:divBdr>
            <w:top w:val="none" w:sz="0" w:space="0" w:color="auto"/>
            <w:left w:val="none" w:sz="0" w:space="0" w:color="auto"/>
            <w:bottom w:val="none" w:sz="0" w:space="0" w:color="auto"/>
            <w:right w:val="none" w:sz="0" w:space="0" w:color="auto"/>
          </w:divBdr>
        </w:div>
      </w:divsChild>
    </w:div>
    <w:div w:id="283778155">
      <w:bodyDiv w:val="1"/>
      <w:marLeft w:val="0"/>
      <w:marRight w:val="0"/>
      <w:marTop w:val="0"/>
      <w:marBottom w:val="0"/>
      <w:divBdr>
        <w:top w:val="none" w:sz="0" w:space="0" w:color="auto"/>
        <w:left w:val="none" w:sz="0" w:space="0" w:color="auto"/>
        <w:bottom w:val="none" w:sz="0" w:space="0" w:color="auto"/>
        <w:right w:val="none" w:sz="0" w:space="0" w:color="auto"/>
      </w:divBdr>
    </w:div>
    <w:div w:id="405105847">
      <w:bodyDiv w:val="1"/>
      <w:marLeft w:val="0"/>
      <w:marRight w:val="0"/>
      <w:marTop w:val="0"/>
      <w:marBottom w:val="0"/>
      <w:divBdr>
        <w:top w:val="none" w:sz="0" w:space="0" w:color="auto"/>
        <w:left w:val="none" w:sz="0" w:space="0" w:color="auto"/>
        <w:bottom w:val="none" w:sz="0" w:space="0" w:color="auto"/>
        <w:right w:val="none" w:sz="0" w:space="0" w:color="auto"/>
      </w:divBdr>
    </w:div>
    <w:div w:id="478159974">
      <w:bodyDiv w:val="1"/>
      <w:marLeft w:val="0"/>
      <w:marRight w:val="0"/>
      <w:marTop w:val="0"/>
      <w:marBottom w:val="0"/>
      <w:divBdr>
        <w:top w:val="none" w:sz="0" w:space="0" w:color="auto"/>
        <w:left w:val="none" w:sz="0" w:space="0" w:color="auto"/>
        <w:bottom w:val="none" w:sz="0" w:space="0" w:color="auto"/>
        <w:right w:val="none" w:sz="0" w:space="0" w:color="auto"/>
      </w:divBdr>
    </w:div>
    <w:div w:id="588931699">
      <w:bodyDiv w:val="1"/>
      <w:marLeft w:val="0"/>
      <w:marRight w:val="0"/>
      <w:marTop w:val="0"/>
      <w:marBottom w:val="0"/>
      <w:divBdr>
        <w:top w:val="none" w:sz="0" w:space="0" w:color="auto"/>
        <w:left w:val="none" w:sz="0" w:space="0" w:color="auto"/>
        <w:bottom w:val="none" w:sz="0" w:space="0" w:color="auto"/>
        <w:right w:val="none" w:sz="0" w:space="0" w:color="auto"/>
      </w:divBdr>
    </w:div>
    <w:div w:id="616566893">
      <w:bodyDiv w:val="1"/>
      <w:marLeft w:val="0"/>
      <w:marRight w:val="0"/>
      <w:marTop w:val="0"/>
      <w:marBottom w:val="0"/>
      <w:divBdr>
        <w:top w:val="none" w:sz="0" w:space="0" w:color="auto"/>
        <w:left w:val="none" w:sz="0" w:space="0" w:color="auto"/>
        <w:bottom w:val="none" w:sz="0" w:space="0" w:color="auto"/>
        <w:right w:val="none" w:sz="0" w:space="0" w:color="auto"/>
      </w:divBdr>
    </w:div>
    <w:div w:id="699011840">
      <w:bodyDiv w:val="1"/>
      <w:marLeft w:val="0"/>
      <w:marRight w:val="0"/>
      <w:marTop w:val="0"/>
      <w:marBottom w:val="0"/>
      <w:divBdr>
        <w:top w:val="none" w:sz="0" w:space="0" w:color="auto"/>
        <w:left w:val="none" w:sz="0" w:space="0" w:color="auto"/>
        <w:bottom w:val="none" w:sz="0" w:space="0" w:color="auto"/>
        <w:right w:val="none" w:sz="0" w:space="0" w:color="auto"/>
      </w:divBdr>
    </w:div>
    <w:div w:id="769744292">
      <w:bodyDiv w:val="1"/>
      <w:marLeft w:val="0"/>
      <w:marRight w:val="0"/>
      <w:marTop w:val="0"/>
      <w:marBottom w:val="0"/>
      <w:divBdr>
        <w:top w:val="none" w:sz="0" w:space="0" w:color="auto"/>
        <w:left w:val="none" w:sz="0" w:space="0" w:color="auto"/>
        <w:bottom w:val="none" w:sz="0" w:space="0" w:color="auto"/>
        <w:right w:val="none" w:sz="0" w:space="0" w:color="auto"/>
      </w:divBdr>
    </w:div>
    <w:div w:id="874543320">
      <w:bodyDiv w:val="1"/>
      <w:marLeft w:val="0"/>
      <w:marRight w:val="0"/>
      <w:marTop w:val="0"/>
      <w:marBottom w:val="0"/>
      <w:divBdr>
        <w:top w:val="none" w:sz="0" w:space="0" w:color="auto"/>
        <w:left w:val="none" w:sz="0" w:space="0" w:color="auto"/>
        <w:bottom w:val="none" w:sz="0" w:space="0" w:color="auto"/>
        <w:right w:val="none" w:sz="0" w:space="0" w:color="auto"/>
      </w:divBdr>
    </w:div>
    <w:div w:id="977958749">
      <w:bodyDiv w:val="1"/>
      <w:marLeft w:val="0"/>
      <w:marRight w:val="0"/>
      <w:marTop w:val="0"/>
      <w:marBottom w:val="0"/>
      <w:divBdr>
        <w:top w:val="none" w:sz="0" w:space="0" w:color="auto"/>
        <w:left w:val="none" w:sz="0" w:space="0" w:color="auto"/>
        <w:bottom w:val="none" w:sz="0" w:space="0" w:color="auto"/>
        <w:right w:val="none" w:sz="0" w:space="0" w:color="auto"/>
      </w:divBdr>
    </w:div>
    <w:div w:id="1106345027">
      <w:bodyDiv w:val="1"/>
      <w:marLeft w:val="0"/>
      <w:marRight w:val="0"/>
      <w:marTop w:val="0"/>
      <w:marBottom w:val="0"/>
      <w:divBdr>
        <w:top w:val="none" w:sz="0" w:space="0" w:color="auto"/>
        <w:left w:val="none" w:sz="0" w:space="0" w:color="auto"/>
        <w:bottom w:val="none" w:sz="0" w:space="0" w:color="auto"/>
        <w:right w:val="none" w:sz="0" w:space="0" w:color="auto"/>
      </w:divBdr>
    </w:div>
    <w:div w:id="1159728251">
      <w:bodyDiv w:val="1"/>
      <w:marLeft w:val="0"/>
      <w:marRight w:val="0"/>
      <w:marTop w:val="0"/>
      <w:marBottom w:val="0"/>
      <w:divBdr>
        <w:top w:val="none" w:sz="0" w:space="0" w:color="auto"/>
        <w:left w:val="none" w:sz="0" w:space="0" w:color="auto"/>
        <w:bottom w:val="none" w:sz="0" w:space="0" w:color="auto"/>
        <w:right w:val="none" w:sz="0" w:space="0" w:color="auto"/>
      </w:divBdr>
    </w:div>
    <w:div w:id="1205026836">
      <w:bodyDiv w:val="1"/>
      <w:marLeft w:val="0"/>
      <w:marRight w:val="0"/>
      <w:marTop w:val="0"/>
      <w:marBottom w:val="0"/>
      <w:divBdr>
        <w:top w:val="none" w:sz="0" w:space="0" w:color="auto"/>
        <w:left w:val="none" w:sz="0" w:space="0" w:color="auto"/>
        <w:bottom w:val="none" w:sz="0" w:space="0" w:color="auto"/>
        <w:right w:val="none" w:sz="0" w:space="0" w:color="auto"/>
      </w:divBdr>
    </w:div>
    <w:div w:id="1216695718">
      <w:bodyDiv w:val="1"/>
      <w:marLeft w:val="0"/>
      <w:marRight w:val="0"/>
      <w:marTop w:val="0"/>
      <w:marBottom w:val="0"/>
      <w:divBdr>
        <w:top w:val="none" w:sz="0" w:space="0" w:color="auto"/>
        <w:left w:val="none" w:sz="0" w:space="0" w:color="auto"/>
        <w:bottom w:val="none" w:sz="0" w:space="0" w:color="auto"/>
        <w:right w:val="none" w:sz="0" w:space="0" w:color="auto"/>
      </w:divBdr>
    </w:div>
    <w:div w:id="1272931619">
      <w:bodyDiv w:val="1"/>
      <w:marLeft w:val="0"/>
      <w:marRight w:val="0"/>
      <w:marTop w:val="0"/>
      <w:marBottom w:val="0"/>
      <w:divBdr>
        <w:top w:val="none" w:sz="0" w:space="0" w:color="auto"/>
        <w:left w:val="none" w:sz="0" w:space="0" w:color="auto"/>
        <w:bottom w:val="none" w:sz="0" w:space="0" w:color="auto"/>
        <w:right w:val="none" w:sz="0" w:space="0" w:color="auto"/>
      </w:divBdr>
    </w:div>
    <w:div w:id="1298147862">
      <w:bodyDiv w:val="1"/>
      <w:marLeft w:val="0"/>
      <w:marRight w:val="0"/>
      <w:marTop w:val="0"/>
      <w:marBottom w:val="0"/>
      <w:divBdr>
        <w:top w:val="none" w:sz="0" w:space="0" w:color="auto"/>
        <w:left w:val="none" w:sz="0" w:space="0" w:color="auto"/>
        <w:bottom w:val="none" w:sz="0" w:space="0" w:color="auto"/>
        <w:right w:val="none" w:sz="0" w:space="0" w:color="auto"/>
      </w:divBdr>
    </w:div>
    <w:div w:id="1317874155">
      <w:bodyDiv w:val="1"/>
      <w:marLeft w:val="0"/>
      <w:marRight w:val="0"/>
      <w:marTop w:val="0"/>
      <w:marBottom w:val="0"/>
      <w:divBdr>
        <w:top w:val="none" w:sz="0" w:space="0" w:color="auto"/>
        <w:left w:val="none" w:sz="0" w:space="0" w:color="auto"/>
        <w:bottom w:val="none" w:sz="0" w:space="0" w:color="auto"/>
        <w:right w:val="none" w:sz="0" w:space="0" w:color="auto"/>
      </w:divBdr>
      <w:divsChild>
        <w:div w:id="1058626359">
          <w:marLeft w:val="0"/>
          <w:marRight w:val="0"/>
          <w:marTop w:val="0"/>
          <w:marBottom w:val="0"/>
          <w:divBdr>
            <w:top w:val="none" w:sz="0" w:space="0" w:color="auto"/>
            <w:left w:val="none" w:sz="0" w:space="0" w:color="auto"/>
            <w:bottom w:val="none" w:sz="0" w:space="0" w:color="auto"/>
            <w:right w:val="none" w:sz="0" w:space="0" w:color="auto"/>
          </w:divBdr>
        </w:div>
        <w:div w:id="2062943184">
          <w:marLeft w:val="0"/>
          <w:marRight w:val="0"/>
          <w:marTop w:val="0"/>
          <w:marBottom w:val="0"/>
          <w:divBdr>
            <w:top w:val="none" w:sz="0" w:space="0" w:color="auto"/>
            <w:left w:val="none" w:sz="0" w:space="0" w:color="auto"/>
            <w:bottom w:val="none" w:sz="0" w:space="0" w:color="auto"/>
            <w:right w:val="none" w:sz="0" w:space="0" w:color="auto"/>
          </w:divBdr>
        </w:div>
      </w:divsChild>
    </w:div>
    <w:div w:id="1333215648">
      <w:bodyDiv w:val="1"/>
      <w:marLeft w:val="0"/>
      <w:marRight w:val="0"/>
      <w:marTop w:val="0"/>
      <w:marBottom w:val="0"/>
      <w:divBdr>
        <w:top w:val="none" w:sz="0" w:space="0" w:color="auto"/>
        <w:left w:val="none" w:sz="0" w:space="0" w:color="auto"/>
        <w:bottom w:val="none" w:sz="0" w:space="0" w:color="auto"/>
        <w:right w:val="none" w:sz="0" w:space="0" w:color="auto"/>
      </w:divBdr>
    </w:div>
    <w:div w:id="1377119167">
      <w:bodyDiv w:val="1"/>
      <w:marLeft w:val="0"/>
      <w:marRight w:val="0"/>
      <w:marTop w:val="0"/>
      <w:marBottom w:val="0"/>
      <w:divBdr>
        <w:top w:val="none" w:sz="0" w:space="0" w:color="auto"/>
        <w:left w:val="none" w:sz="0" w:space="0" w:color="auto"/>
        <w:bottom w:val="none" w:sz="0" w:space="0" w:color="auto"/>
        <w:right w:val="none" w:sz="0" w:space="0" w:color="auto"/>
      </w:divBdr>
    </w:div>
    <w:div w:id="1426875764">
      <w:bodyDiv w:val="1"/>
      <w:marLeft w:val="0"/>
      <w:marRight w:val="0"/>
      <w:marTop w:val="0"/>
      <w:marBottom w:val="0"/>
      <w:divBdr>
        <w:top w:val="none" w:sz="0" w:space="0" w:color="auto"/>
        <w:left w:val="none" w:sz="0" w:space="0" w:color="auto"/>
        <w:bottom w:val="none" w:sz="0" w:space="0" w:color="auto"/>
        <w:right w:val="none" w:sz="0" w:space="0" w:color="auto"/>
      </w:divBdr>
    </w:div>
    <w:div w:id="1533612304">
      <w:bodyDiv w:val="1"/>
      <w:marLeft w:val="0"/>
      <w:marRight w:val="0"/>
      <w:marTop w:val="0"/>
      <w:marBottom w:val="0"/>
      <w:divBdr>
        <w:top w:val="none" w:sz="0" w:space="0" w:color="auto"/>
        <w:left w:val="none" w:sz="0" w:space="0" w:color="auto"/>
        <w:bottom w:val="none" w:sz="0" w:space="0" w:color="auto"/>
        <w:right w:val="none" w:sz="0" w:space="0" w:color="auto"/>
      </w:divBdr>
    </w:div>
    <w:div w:id="1552418178">
      <w:bodyDiv w:val="1"/>
      <w:marLeft w:val="0"/>
      <w:marRight w:val="0"/>
      <w:marTop w:val="0"/>
      <w:marBottom w:val="0"/>
      <w:divBdr>
        <w:top w:val="none" w:sz="0" w:space="0" w:color="auto"/>
        <w:left w:val="none" w:sz="0" w:space="0" w:color="auto"/>
        <w:bottom w:val="none" w:sz="0" w:space="0" w:color="auto"/>
        <w:right w:val="none" w:sz="0" w:space="0" w:color="auto"/>
      </w:divBdr>
    </w:div>
    <w:div w:id="1580022503">
      <w:bodyDiv w:val="1"/>
      <w:marLeft w:val="0"/>
      <w:marRight w:val="0"/>
      <w:marTop w:val="0"/>
      <w:marBottom w:val="0"/>
      <w:divBdr>
        <w:top w:val="none" w:sz="0" w:space="0" w:color="auto"/>
        <w:left w:val="none" w:sz="0" w:space="0" w:color="auto"/>
        <w:bottom w:val="none" w:sz="0" w:space="0" w:color="auto"/>
        <w:right w:val="none" w:sz="0" w:space="0" w:color="auto"/>
      </w:divBdr>
    </w:div>
    <w:div w:id="1611627210">
      <w:bodyDiv w:val="1"/>
      <w:marLeft w:val="0"/>
      <w:marRight w:val="0"/>
      <w:marTop w:val="0"/>
      <w:marBottom w:val="0"/>
      <w:divBdr>
        <w:top w:val="none" w:sz="0" w:space="0" w:color="auto"/>
        <w:left w:val="none" w:sz="0" w:space="0" w:color="auto"/>
        <w:bottom w:val="none" w:sz="0" w:space="0" w:color="auto"/>
        <w:right w:val="none" w:sz="0" w:space="0" w:color="auto"/>
      </w:divBdr>
    </w:div>
    <w:div w:id="1614942043">
      <w:bodyDiv w:val="1"/>
      <w:marLeft w:val="0"/>
      <w:marRight w:val="0"/>
      <w:marTop w:val="0"/>
      <w:marBottom w:val="0"/>
      <w:divBdr>
        <w:top w:val="none" w:sz="0" w:space="0" w:color="auto"/>
        <w:left w:val="none" w:sz="0" w:space="0" w:color="auto"/>
        <w:bottom w:val="none" w:sz="0" w:space="0" w:color="auto"/>
        <w:right w:val="none" w:sz="0" w:space="0" w:color="auto"/>
      </w:divBdr>
    </w:div>
    <w:div w:id="1621447328">
      <w:bodyDiv w:val="1"/>
      <w:marLeft w:val="0"/>
      <w:marRight w:val="0"/>
      <w:marTop w:val="0"/>
      <w:marBottom w:val="0"/>
      <w:divBdr>
        <w:top w:val="none" w:sz="0" w:space="0" w:color="auto"/>
        <w:left w:val="none" w:sz="0" w:space="0" w:color="auto"/>
        <w:bottom w:val="none" w:sz="0" w:space="0" w:color="auto"/>
        <w:right w:val="none" w:sz="0" w:space="0" w:color="auto"/>
      </w:divBdr>
    </w:div>
    <w:div w:id="1706564887">
      <w:bodyDiv w:val="1"/>
      <w:marLeft w:val="0"/>
      <w:marRight w:val="0"/>
      <w:marTop w:val="0"/>
      <w:marBottom w:val="0"/>
      <w:divBdr>
        <w:top w:val="none" w:sz="0" w:space="0" w:color="auto"/>
        <w:left w:val="none" w:sz="0" w:space="0" w:color="auto"/>
        <w:bottom w:val="none" w:sz="0" w:space="0" w:color="auto"/>
        <w:right w:val="none" w:sz="0" w:space="0" w:color="auto"/>
      </w:divBdr>
    </w:div>
    <w:div w:id="1798600800">
      <w:bodyDiv w:val="1"/>
      <w:marLeft w:val="0"/>
      <w:marRight w:val="0"/>
      <w:marTop w:val="0"/>
      <w:marBottom w:val="0"/>
      <w:divBdr>
        <w:top w:val="none" w:sz="0" w:space="0" w:color="auto"/>
        <w:left w:val="none" w:sz="0" w:space="0" w:color="auto"/>
        <w:bottom w:val="none" w:sz="0" w:space="0" w:color="auto"/>
        <w:right w:val="none" w:sz="0" w:space="0" w:color="auto"/>
      </w:divBdr>
    </w:div>
    <w:div w:id="1835760943">
      <w:bodyDiv w:val="1"/>
      <w:marLeft w:val="0"/>
      <w:marRight w:val="0"/>
      <w:marTop w:val="0"/>
      <w:marBottom w:val="0"/>
      <w:divBdr>
        <w:top w:val="none" w:sz="0" w:space="0" w:color="auto"/>
        <w:left w:val="none" w:sz="0" w:space="0" w:color="auto"/>
        <w:bottom w:val="none" w:sz="0" w:space="0" w:color="auto"/>
        <w:right w:val="none" w:sz="0" w:space="0" w:color="auto"/>
      </w:divBdr>
    </w:div>
    <w:div w:id="1865553767">
      <w:bodyDiv w:val="1"/>
      <w:marLeft w:val="0"/>
      <w:marRight w:val="0"/>
      <w:marTop w:val="0"/>
      <w:marBottom w:val="0"/>
      <w:divBdr>
        <w:top w:val="none" w:sz="0" w:space="0" w:color="auto"/>
        <w:left w:val="none" w:sz="0" w:space="0" w:color="auto"/>
        <w:bottom w:val="none" w:sz="0" w:space="0" w:color="auto"/>
        <w:right w:val="none" w:sz="0" w:space="0" w:color="auto"/>
      </w:divBdr>
    </w:div>
    <w:div w:id="1874227402">
      <w:bodyDiv w:val="1"/>
      <w:marLeft w:val="0"/>
      <w:marRight w:val="0"/>
      <w:marTop w:val="0"/>
      <w:marBottom w:val="0"/>
      <w:divBdr>
        <w:top w:val="none" w:sz="0" w:space="0" w:color="auto"/>
        <w:left w:val="none" w:sz="0" w:space="0" w:color="auto"/>
        <w:bottom w:val="none" w:sz="0" w:space="0" w:color="auto"/>
        <w:right w:val="none" w:sz="0" w:space="0" w:color="auto"/>
      </w:divBdr>
    </w:div>
    <w:div w:id="1948582186">
      <w:bodyDiv w:val="1"/>
      <w:marLeft w:val="0"/>
      <w:marRight w:val="0"/>
      <w:marTop w:val="0"/>
      <w:marBottom w:val="0"/>
      <w:divBdr>
        <w:top w:val="none" w:sz="0" w:space="0" w:color="auto"/>
        <w:left w:val="none" w:sz="0" w:space="0" w:color="auto"/>
        <w:bottom w:val="none" w:sz="0" w:space="0" w:color="auto"/>
        <w:right w:val="none" w:sz="0" w:space="0" w:color="auto"/>
      </w:divBdr>
    </w:div>
    <w:div w:id="1983264483">
      <w:bodyDiv w:val="1"/>
      <w:marLeft w:val="0"/>
      <w:marRight w:val="0"/>
      <w:marTop w:val="0"/>
      <w:marBottom w:val="0"/>
      <w:divBdr>
        <w:top w:val="none" w:sz="0" w:space="0" w:color="auto"/>
        <w:left w:val="none" w:sz="0" w:space="0" w:color="auto"/>
        <w:bottom w:val="none" w:sz="0" w:space="0" w:color="auto"/>
        <w:right w:val="none" w:sz="0" w:space="0" w:color="auto"/>
      </w:divBdr>
    </w:div>
    <w:div w:id="2036802548">
      <w:bodyDiv w:val="1"/>
      <w:marLeft w:val="0"/>
      <w:marRight w:val="0"/>
      <w:marTop w:val="0"/>
      <w:marBottom w:val="0"/>
      <w:divBdr>
        <w:top w:val="none" w:sz="0" w:space="0" w:color="auto"/>
        <w:left w:val="none" w:sz="0" w:space="0" w:color="auto"/>
        <w:bottom w:val="none" w:sz="0" w:space="0" w:color="auto"/>
        <w:right w:val="none" w:sz="0" w:space="0" w:color="auto"/>
      </w:divBdr>
    </w:div>
    <w:div w:id="205982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hanging-an-employment-contract/employer-responsibilities" TargetMode="External"/><Relationship Id="rId13" Type="http://schemas.openxmlformats.org/officeDocument/2006/relationships/hyperlink" Target="https://www.davidsonmorris.com/last-in-first-out/" TargetMode="External"/><Relationship Id="rId18" Type="http://schemas.openxmlformats.org/officeDocument/2006/relationships/hyperlink" Target="https://www.upcounsel.com/what-is-unilateral-contract" TargetMode="External"/><Relationship Id="rId3" Type="http://schemas.openxmlformats.org/officeDocument/2006/relationships/settings" Target="settings.xml"/><Relationship Id="rId21" Type="http://schemas.openxmlformats.org/officeDocument/2006/relationships/hyperlink" Target="https://www.xperthr.co.uk/faq/where-employees-are-tupe-transferred-does-their-continuous-service-start-from-the-date-of-the-transfer-or-from-the-start-of-employment-with-the-transferor/55930/" TargetMode="External"/><Relationship Id="rId7" Type="http://schemas.openxmlformats.org/officeDocument/2006/relationships/hyperlink" Target="https://www.acas.org.uk/manage-staff-redundancies/redundancy-consultations" TargetMode="External"/><Relationship Id="rId12" Type="http://schemas.openxmlformats.org/officeDocument/2006/relationships/hyperlink" Target="https://www.cipd.co.uk/knowledge/fundamentals/emp-law/tupe/factsheet" TargetMode="External"/><Relationship Id="rId17" Type="http://schemas.openxmlformats.org/officeDocument/2006/relationships/hyperlink" Target="https://www.markellaw.co.uk/insights/can-employers-still-use-the-last-in-first-out-criterion-as-a-method-of-redundancy-selection/" TargetMode="External"/><Relationship Id="rId2" Type="http://schemas.openxmlformats.org/officeDocument/2006/relationships/styles" Target="styles.xml"/><Relationship Id="rId16" Type="http://schemas.openxmlformats.org/officeDocument/2006/relationships/hyperlink" Target="https://www.tughans.com/news-insights/selling-a-business-where-tupe-applies-what-do-you-need-to-tell-your-employees/" TargetMode="External"/><Relationship Id="rId20" Type="http://schemas.openxmlformats.org/officeDocument/2006/relationships/hyperlink" Target="https://www.wilsonbrowne.co.uk/guides/guide-to-changing-terms-and-conditions/" TargetMode="External"/><Relationship Id="rId1" Type="http://schemas.openxmlformats.org/officeDocument/2006/relationships/numbering" Target="numbering.xml"/><Relationship Id="rId6" Type="http://schemas.openxmlformats.org/officeDocument/2006/relationships/hyperlink" Target="https://www.acas.org.uk/handling-a-tupe-transfer-step-by-step" TargetMode="External"/><Relationship Id="rId11" Type="http://schemas.openxmlformats.org/officeDocument/2006/relationships/hyperlink" Target="https://www.cipd.co.uk/Images/8208-a-guide-to-tupe-transfers-web_tcm18-44310.pdf" TargetMode="External"/><Relationship Id="rId5" Type="http://schemas.openxmlformats.org/officeDocument/2006/relationships/image" Target="media/image1.png"/><Relationship Id="rId15" Type="http://schemas.openxmlformats.org/officeDocument/2006/relationships/hyperlink" Target="https://landaulaw.co.uk/redundancy/" TargetMode="External"/><Relationship Id="rId23" Type="http://schemas.openxmlformats.org/officeDocument/2006/relationships/theme" Target="theme/theme1.xml"/><Relationship Id="rId10" Type="http://schemas.openxmlformats.org/officeDocument/2006/relationships/hyperlink" Target="https://www.cipd.co.uk/knowledge/fundamentals/emp-law/terms-conditions/fire-rehire-employer-guidance#gref" TargetMode="External"/><Relationship Id="rId19" Type="http://schemas.openxmlformats.org/officeDocument/2006/relationships/hyperlink" Target="https://www.lag.org.uk/article/210401/redundancy-during-or-after-maternity-leave--how-the-law-is-failing-women" TargetMode="External"/><Relationship Id="rId4" Type="http://schemas.openxmlformats.org/officeDocument/2006/relationships/webSettings" Target="webSettings.xml"/><Relationship Id="rId9" Type="http://schemas.openxmlformats.org/officeDocument/2006/relationships/hyperlink" Target="https://www.acas.org.uk/employee-rights-during-a-tupe-transfer/how-your-employer-should-inform-and-consult-you-during-tupe" TargetMode="External"/><Relationship Id="rId14" Type="http://schemas.openxmlformats.org/officeDocument/2006/relationships/hyperlink" Target="https://www.gov.uk/staff-redundant/redundancy-consultations#:~:text=You%20must%20follow%20'collective%20consultation,consult%20employees%20and%20their%20representativ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900</TotalTime>
  <Pages>13</Pages>
  <Words>4133</Words>
  <Characters>23562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106</cp:revision>
  <dcterms:created xsi:type="dcterms:W3CDTF">2022-02-08T20:08:00Z</dcterms:created>
  <dcterms:modified xsi:type="dcterms:W3CDTF">2022-07-22T08:04:00Z</dcterms:modified>
</cp:coreProperties>
</file>