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E0F" w14:textId="77777777" w:rsidR="00D722CE" w:rsidRDefault="00D722CE" w:rsidP="00D722CE">
      <w:pPr>
        <w:pStyle w:val="NormalWeb"/>
        <w:spacing w:before="0" w:beforeAutospacing="0" w:after="0" w:afterAutospacing="0"/>
        <w:ind w:left="-180" w:right="-334"/>
      </w:pPr>
      <w:bookmarkStart w:id="0" w:name="_Hlk526433641"/>
      <w:r>
        <w:rPr>
          <w:noProof/>
        </w:rPr>
        <w:drawing>
          <wp:inline distT="0" distB="0" distL="0" distR="0" wp14:anchorId="753775E8" wp14:editId="6BB34ACD">
            <wp:extent cx="1905000" cy="635000"/>
            <wp:effectExtent l="19050" t="1905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B016043" w14:textId="77777777" w:rsidR="00D722CE" w:rsidRDefault="00D722CE" w:rsidP="00D722CE">
      <w:pPr>
        <w:pStyle w:val="NormalWeb"/>
        <w:spacing w:before="0" w:beforeAutospacing="0" w:after="0" w:afterAutospacing="0"/>
        <w:ind w:left="-180" w:right="-334"/>
      </w:pPr>
    </w:p>
    <w:p w14:paraId="3ED6C9E0" w14:textId="77777777" w:rsidR="00D722CE" w:rsidRDefault="00D722CE" w:rsidP="00D722CE">
      <w:pPr>
        <w:pStyle w:val="NormalWeb"/>
        <w:spacing w:before="0" w:beforeAutospacing="0" w:after="0" w:afterAutospacing="0"/>
        <w:ind w:left="-180" w:right="-334"/>
      </w:pPr>
    </w:p>
    <w:p w14:paraId="510B608E" w14:textId="77777777" w:rsidR="00D722CE" w:rsidRDefault="00D722CE" w:rsidP="00D722C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C83FAAF" w14:textId="77777777" w:rsidR="00D722CE" w:rsidRPr="00230F35" w:rsidRDefault="00D722CE" w:rsidP="00D722C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34CFE9" w14:textId="77777777" w:rsidR="00D722CE" w:rsidRPr="00230F35" w:rsidRDefault="00D722CE" w:rsidP="00D722CE">
      <w:pPr>
        <w:rPr>
          <w:rFonts w:ascii="Arial" w:hAnsi="Arial" w:cs="Arial"/>
          <w:sz w:val="28"/>
          <w:szCs w:val="28"/>
          <w:lang w:val="cy-GB"/>
        </w:rPr>
      </w:pPr>
    </w:p>
    <w:p w14:paraId="3B18EA4C" w14:textId="77777777" w:rsidR="00D722CE" w:rsidRDefault="00D722CE" w:rsidP="00D722CE">
      <w:pPr>
        <w:pStyle w:val="Heading3"/>
        <w:jc w:val="center"/>
        <w:rPr>
          <w:lang w:val="cy-GB"/>
        </w:rPr>
      </w:pPr>
      <w:r>
        <w:rPr>
          <w:lang w:val="cy-GB"/>
        </w:rPr>
        <w:t>THIS SHEET MUST BE THE FIRST PAGE OF THE ASSIGNMENT YOU ARE SUBMITTING  (DO NOT SEND AS A SEPARATE FILE)</w:t>
      </w:r>
    </w:p>
    <w:p w14:paraId="45E1387B" w14:textId="77777777" w:rsidR="00D722CE" w:rsidRDefault="00D722CE" w:rsidP="00D722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6"/>
        <w:gridCol w:w="423"/>
        <w:gridCol w:w="1503"/>
        <w:gridCol w:w="283"/>
        <w:gridCol w:w="1791"/>
      </w:tblGrid>
      <w:tr w:rsidR="00D722CE" w:rsidRPr="00230F35" w14:paraId="05BFCD57" w14:textId="77777777" w:rsidTr="007C3839">
        <w:trPr>
          <w:trHeight w:val="614"/>
        </w:trPr>
        <w:tc>
          <w:tcPr>
            <w:tcW w:w="8856" w:type="dxa"/>
            <w:gridSpan w:val="5"/>
          </w:tcPr>
          <w:p w14:paraId="6C409C79" w14:textId="77777777" w:rsidR="00D722CE" w:rsidRPr="00230F35" w:rsidRDefault="00D722CE" w:rsidP="007C383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722CE" w:rsidRPr="00230F35" w14:paraId="6694DC1C" w14:textId="77777777" w:rsidTr="007C3839">
        <w:trPr>
          <w:trHeight w:val="718"/>
        </w:trPr>
        <w:tc>
          <w:tcPr>
            <w:tcW w:w="8856" w:type="dxa"/>
            <w:gridSpan w:val="5"/>
          </w:tcPr>
          <w:p w14:paraId="2A352DFE" w14:textId="77777777" w:rsidR="00D722CE" w:rsidRPr="0063343F" w:rsidRDefault="00D722CE" w:rsidP="007C3839">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b/>
                <w:sz w:val="22"/>
                <w:szCs w:val="22"/>
              </w:rPr>
              <w:t>Elizabeth Flynn</w:t>
            </w:r>
          </w:p>
          <w:p w14:paraId="55322344" w14:textId="77777777" w:rsidR="00D722CE" w:rsidRPr="00230F35" w:rsidRDefault="00D722CE" w:rsidP="007C3839">
            <w:pPr>
              <w:pStyle w:val="NormalWeb"/>
              <w:spacing w:before="0" w:beforeAutospacing="0" w:after="0" w:afterAutospacing="0"/>
              <w:ind w:right="34"/>
              <w:rPr>
                <w:rFonts w:ascii="Arial" w:hAnsi="Arial" w:cs="Arial"/>
                <w:sz w:val="22"/>
                <w:szCs w:val="22"/>
              </w:rPr>
            </w:pPr>
          </w:p>
          <w:p w14:paraId="7F7FD82B" w14:textId="77777777" w:rsidR="00D722CE" w:rsidRPr="0063343F" w:rsidRDefault="00D722CE" w:rsidP="007C3839">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b/>
                <w:sz w:val="22"/>
                <w:szCs w:val="22"/>
              </w:rPr>
              <w:t>1805402@student.uwtsd.ac.uk</w:t>
            </w:r>
          </w:p>
        </w:tc>
      </w:tr>
      <w:tr w:rsidR="00D722CE" w:rsidRPr="00230F35" w14:paraId="455AC5AC" w14:textId="77777777" w:rsidTr="007C3839">
        <w:trPr>
          <w:trHeight w:val="849"/>
        </w:trPr>
        <w:tc>
          <w:tcPr>
            <w:tcW w:w="4788" w:type="dxa"/>
          </w:tcPr>
          <w:p w14:paraId="77CD0CFD" w14:textId="5E85C879" w:rsidR="00D722CE" w:rsidRPr="0063343F" w:rsidRDefault="00D722CE" w:rsidP="007C3839">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b/>
                <w:sz w:val="22"/>
                <w:szCs w:val="22"/>
              </w:rPr>
              <w:t>HPCA700</w:t>
            </w:r>
            <w:r w:rsidR="00F610DC">
              <w:rPr>
                <w:rFonts w:ascii="Arial" w:hAnsi="Arial" w:cs="Arial"/>
                <w:b/>
                <w:sz w:val="22"/>
                <w:szCs w:val="22"/>
              </w:rPr>
              <w:t>2</w:t>
            </w:r>
          </w:p>
          <w:p w14:paraId="1078388E" w14:textId="77777777" w:rsidR="00D722CE" w:rsidRPr="00230F35" w:rsidRDefault="00D722CE" w:rsidP="007C3839">
            <w:pPr>
              <w:pStyle w:val="NormalWeb"/>
              <w:spacing w:before="0" w:beforeAutospacing="0" w:after="0" w:afterAutospacing="0"/>
              <w:ind w:right="34"/>
              <w:rPr>
                <w:rFonts w:ascii="Arial" w:hAnsi="Arial" w:cs="Arial"/>
                <w:sz w:val="22"/>
                <w:szCs w:val="22"/>
              </w:rPr>
            </w:pPr>
          </w:p>
          <w:p w14:paraId="78E6E42C" w14:textId="5F6CE302" w:rsidR="00D722CE" w:rsidRPr="0063343F" w:rsidRDefault="00D722CE" w:rsidP="00F610DC">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Pr>
                <w:rFonts w:ascii="Arial" w:hAnsi="Arial" w:cs="Arial"/>
                <w:sz w:val="22"/>
                <w:szCs w:val="22"/>
              </w:rPr>
              <w:t xml:space="preserve"> </w:t>
            </w:r>
            <w:r w:rsidR="00F610DC">
              <w:rPr>
                <w:rFonts w:ascii="Arial" w:hAnsi="Arial" w:cs="Arial"/>
                <w:b/>
                <w:sz w:val="22"/>
                <w:szCs w:val="22"/>
              </w:rPr>
              <w:t>Researching Contemporary Cosmologies</w:t>
            </w:r>
          </w:p>
          <w:p w14:paraId="4CCC6166" w14:textId="77777777" w:rsidR="00D722CE" w:rsidRPr="00230F35" w:rsidRDefault="00D722CE" w:rsidP="007C3839">
            <w:pPr>
              <w:pStyle w:val="NormalWeb"/>
              <w:spacing w:before="0" w:beforeAutospacing="0" w:after="0" w:afterAutospacing="0"/>
              <w:ind w:right="34"/>
              <w:rPr>
                <w:rFonts w:ascii="Arial" w:hAnsi="Arial" w:cs="Arial"/>
                <w:sz w:val="22"/>
                <w:szCs w:val="22"/>
              </w:rPr>
            </w:pPr>
          </w:p>
        </w:tc>
        <w:tc>
          <w:tcPr>
            <w:tcW w:w="2266" w:type="dxa"/>
            <w:gridSpan w:val="3"/>
          </w:tcPr>
          <w:p w14:paraId="57C151CE" w14:textId="77777777" w:rsidR="00D722CE" w:rsidRDefault="00D722CE" w:rsidP="007C383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E6C3E2E" w14:textId="77777777" w:rsidR="00D722CE" w:rsidRDefault="00D722CE" w:rsidP="007C3839"/>
          <w:p w14:paraId="099A253C" w14:textId="77777777" w:rsidR="00D722CE" w:rsidRPr="0063343F" w:rsidRDefault="00D722CE" w:rsidP="007C3839">
            <w:pPr>
              <w:rPr>
                <w:rFonts w:ascii="Arial" w:hAnsi="Arial" w:cs="Arial"/>
                <w:b/>
                <w:sz w:val="22"/>
                <w:szCs w:val="22"/>
              </w:rPr>
            </w:pPr>
            <w:r>
              <w:rPr>
                <w:rFonts w:ascii="Arial" w:hAnsi="Arial" w:cs="Arial"/>
                <w:b/>
                <w:sz w:val="22"/>
                <w:szCs w:val="22"/>
              </w:rPr>
              <w:t>1805402</w:t>
            </w:r>
          </w:p>
        </w:tc>
        <w:tc>
          <w:tcPr>
            <w:tcW w:w="1802" w:type="dxa"/>
          </w:tcPr>
          <w:p w14:paraId="79931CF3" w14:textId="77777777" w:rsidR="00D722CE" w:rsidRPr="00230F35" w:rsidRDefault="00D722CE" w:rsidP="007C383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CA9249" w14:textId="77777777" w:rsidR="00D722CE" w:rsidRPr="0063343F" w:rsidRDefault="00D722CE" w:rsidP="007C3839">
            <w:pPr>
              <w:pStyle w:val="NormalWeb"/>
              <w:spacing w:before="0" w:beforeAutospacing="0" w:after="0" w:afterAutospacing="0"/>
              <w:ind w:right="34"/>
              <w:rPr>
                <w:rFonts w:ascii="Arial" w:hAnsi="Arial" w:cs="Arial"/>
                <w:b/>
                <w:sz w:val="22"/>
                <w:szCs w:val="22"/>
              </w:rPr>
            </w:pPr>
            <w:r w:rsidRPr="0063343F">
              <w:rPr>
                <w:rFonts w:ascii="Arial" w:hAnsi="Arial" w:cs="Arial"/>
                <w:b/>
                <w:sz w:val="22"/>
                <w:szCs w:val="22"/>
              </w:rPr>
              <w:t>No</w:t>
            </w:r>
          </w:p>
        </w:tc>
      </w:tr>
      <w:tr w:rsidR="00D722CE" w:rsidRPr="00230F35" w14:paraId="0AA2E498" w14:textId="77777777" w:rsidTr="007C3839">
        <w:trPr>
          <w:trHeight w:val="1139"/>
        </w:trPr>
        <w:tc>
          <w:tcPr>
            <w:tcW w:w="8856" w:type="dxa"/>
            <w:gridSpan w:val="5"/>
          </w:tcPr>
          <w:p w14:paraId="7841D9A7" w14:textId="3671C4D4" w:rsidR="00D722CE" w:rsidRDefault="00D722CE" w:rsidP="007C3839">
            <w:pPr>
              <w:pStyle w:val="NormalWeb"/>
              <w:spacing w:before="0" w:beforeAutospacing="0" w:after="0" w:afterAutospacing="0"/>
              <w:ind w:right="34"/>
              <w:rPr>
                <w:rFonts w:ascii="Times New Roman" w:hAnsi="Times New Roman"/>
                <w:b/>
                <w:sz w:val="24"/>
              </w:rPr>
            </w:pPr>
            <w:r w:rsidRPr="00230F35">
              <w:rPr>
                <w:rFonts w:ascii="Arial" w:hAnsi="Arial" w:cs="Arial"/>
                <w:sz w:val="22"/>
                <w:szCs w:val="22"/>
              </w:rPr>
              <w:t>Assignment title:</w:t>
            </w:r>
            <w:r>
              <w:rPr>
                <w:rFonts w:ascii="Arial" w:hAnsi="Arial" w:cs="Arial"/>
                <w:sz w:val="22"/>
                <w:szCs w:val="22"/>
              </w:rPr>
              <w:t xml:space="preserve"> </w:t>
            </w:r>
            <w:r w:rsidR="00EC66F2" w:rsidRPr="00EC66F2">
              <w:rPr>
                <w:rFonts w:ascii="Arial" w:hAnsi="Arial" w:cs="Arial"/>
                <w:b/>
                <w:sz w:val="22"/>
              </w:rPr>
              <w:t>A Critical Comparison of the Methodologies Employed in Two Research Papers</w:t>
            </w:r>
          </w:p>
          <w:p w14:paraId="4598C18C" w14:textId="77777777" w:rsidR="00EC66F2" w:rsidRPr="00EC66F2" w:rsidRDefault="00EC66F2" w:rsidP="007C3839">
            <w:pPr>
              <w:pStyle w:val="NormalWeb"/>
              <w:spacing w:before="0" w:beforeAutospacing="0" w:after="0" w:afterAutospacing="0"/>
              <w:ind w:right="34"/>
              <w:rPr>
                <w:rFonts w:ascii="Arial" w:hAnsi="Arial" w:cs="Arial"/>
                <w:b/>
                <w:sz w:val="22"/>
                <w:szCs w:val="22"/>
              </w:rPr>
            </w:pPr>
          </w:p>
          <w:p w14:paraId="1147CD7D" w14:textId="4883C7AA" w:rsidR="00D722CE" w:rsidRPr="0063343F" w:rsidRDefault="00D722CE" w:rsidP="007C3839">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sidR="00EC66F2">
              <w:rPr>
                <w:rFonts w:ascii="Arial" w:hAnsi="Arial" w:cs="Arial"/>
                <w:b/>
                <w:sz w:val="22"/>
                <w:szCs w:val="22"/>
              </w:rPr>
              <w:t>18</w:t>
            </w:r>
            <w:r w:rsidR="00EC66F2" w:rsidRPr="00EC66F2">
              <w:rPr>
                <w:rFonts w:ascii="Arial" w:hAnsi="Arial" w:cs="Arial"/>
                <w:b/>
                <w:sz w:val="22"/>
                <w:szCs w:val="22"/>
                <w:vertAlign w:val="superscript"/>
              </w:rPr>
              <w:t>th</w:t>
            </w:r>
            <w:r w:rsidR="00EC66F2">
              <w:rPr>
                <w:rFonts w:ascii="Arial" w:hAnsi="Arial" w:cs="Arial"/>
                <w:b/>
                <w:sz w:val="22"/>
                <w:szCs w:val="22"/>
              </w:rPr>
              <w:t xml:space="preserve"> March 2019</w:t>
            </w:r>
          </w:p>
        </w:tc>
      </w:tr>
      <w:tr w:rsidR="00D722CE" w:rsidRPr="00230F35" w14:paraId="723201EA" w14:textId="77777777" w:rsidTr="007C3839">
        <w:trPr>
          <w:trHeight w:val="978"/>
        </w:trPr>
        <w:tc>
          <w:tcPr>
            <w:tcW w:w="8856" w:type="dxa"/>
            <w:gridSpan w:val="5"/>
            <w:tcBorders>
              <w:bottom w:val="single" w:sz="4" w:space="0" w:color="000000"/>
            </w:tcBorders>
          </w:tcPr>
          <w:p w14:paraId="262846D4" w14:textId="7E1F5EB5" w:rsidR="00D722CE" w:rsidRPr="00230F35" w:rsidRDefault="00D722CE" w:rsidP="007C383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Box>
                </w:ffData>
              </w:fldChar>
            </w:r>
            <w:bookmarkStart w:id="1" w:name="Check13"/>
            <w:r>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7141FF">
              <w:rPr>
                <w:rFonts w:ascii="Arial" w:hAnsi="Arial" w:cs="Arial"/>
                <w:sz w:val="22"/>
                <w:szCs w:val="22"/>
              </w:rPr>
              <w:fldChar w:fldCharType="begin">
                <w:ffData>
                  <w:name w:val="Check14"/>
                  <w:enabled/>
                  <w:calcOnExit w:val="0"/>
                  <w:checkBox>
                    <w:sizeAuto/>
                    <w:default w:val="0"/>
                  </w:checkBox>
                </w:ffData>
              </w:fldChar>
            </w:r>
            <w:bookmarkStart w:id="2" w:name="Check14"/>
            <w:r w:rsidR="007141FF">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sidR="007141FF">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7141FF">
              <w:rPr>
                <w:rFonts w:ascii="Arial" w:hAnsi="Arial" w:cs="Arial"/>
                <w:sz w:val="22"/>
                <w:szCs w:val="22"/>
              </w:rPr>
              <w:fldChar w:fldCharType="begin">
                <w:ffData>
                  <w:name w:val="Check15"/>
                  <w:enabled/>
                  <w:calcOnExit w:val="0"/>
                  <w:checkBox>
                    <w:sizeAuto/>
                    <w:default w:val="1"/>
                  </w:checkBox>
                </w:ffData>
              </w:fldChar>
            </w:r>
            <w:bookmarkStart w:id="3" w:name="Check15"/>
            <w:r w:rsidR="007141FF">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sidR="007141FF">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7163CC">
              <w:rPr>
                <w:rFonts w:ascii="Arial" w:hAnsi="Arial" w:cs="Arial"/>
                <w:sz w:val="22"/>
                <w:szCs w:val="22"/>
              </w:rPr>
              <w:fldChar w:fldCharType="begin">
                <w:ffData>
                  <w:name w:val="Check16"/>
                  <w:enabled/>
                  <w:calcOnExit w:val="0"/>
                  <w:checkBox>
                    <w:sizeAuto/>
                    <w:default w:val="0"/>
                  </w:checkBox>
                </w:ffData>
              </w:fldChar>
            </w:r>
            <w:bookmarkStart w:id="4" w:name="Check16"/>
            <w:r w:rsidR="007163CC">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sidR="007163CC">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722CE" w:rsidRPr="00230F35" w14:paraId="64B04726" w14:textId="77777777" w:rsidTr="007C3839">
        <w:trPr>
          <w:trHeight w:val="978"/>
        </w:trPr>
        <w:tc>
          <w:tcPr>
            <w:tcW w:w="8856" w:type="dxa"/>
            <w:gridSpan w:val="5"/>
            <w:shd w:val="clear" w:color="auto" w:fill="D9D9D9"/>
          </w:tcPr>
          <w:p w14:paraId="0380521E" w14:textId="77777777" w:rsidR="00D722CE" w:rsidRPr="00230F35" w:rsidRDefault="00D722CE" w:rsidP="007C383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CDAEFC9" w14:textId="77777777" w:rsidR="00D722CE" w:rsidRDefault="00D722CE" w:rsidP="007C383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62DD647" w14:textId="5531CC01" w:rsidR="00D722CE" w:rsidRDefault="00D722CE" w:rsidP="007C383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EC66F2">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286C68">
              <w:rPr>
                <w:rFonts w:ascii="Arial" w:hAnsi="Arial" w:cs="Arial"/>
                <w:sz w:val="22"/>
                <w:szCs w:val="22"/>
              </w:rPr>
            </w:r>
            <w:r w:rsidR="00286C68">
              <w:rPr>
                <w:rFonts w:ascii="Arial" w:hAnsi="Arial" w:cs="Arial"/>
                <w:sz w:val="22"/>
                <w:szCs w:val="22"/>
              </w:rPr>
              <w:fldChar w:fldCharType="separate"/>
            </w:r>
            <w:r>
              <w:rPr>
                <w:rFonts w:ascii="Arial" w:hAnsi="Arial" w:cs="Arial"/>
                <w:sz w:val="22"/>
                <w:szCs w:val="22"/>
              </w:rPr>
              <w:fldChar w:fldCharType="end"/>
            </w:r>
          </w:p>
          <w:p w14:paraId="478216C4" w14:textId="77777777" w:rsidR="00D722CE" w:rsidRPr="00230F35" w:rsidRDefault="00D722CE" w:rsidP="007C383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722CE" w:rsidRPr="00230F35" w14:paraId="3992CCE6" w14:textId="77777777" w:rsidTr="007C3839">
        <w:trPr>
          <w:trHeight w:val="3972"/>
        </w:trPr>
        <w:tc>
          <w:tcPr>
            <w:tcW w:w="8856" w:type="dxa"/>
            <w:gridSpan w:val="5"/>
          </w:tcPr>
          <w:p w14:paraId="59A676DD" w14:textId="77777777" w:rsidR="00D722CE" w:rsidRDefault="00D722CE" w:rsidP="007C3839">
            <w:pPr>
              <w:rPr>
                <w:rFonts w:ascii="Arial" w:hAnsi="Arial"/>
                <w:b/>
              </w:rPr>
            </w:pPr>
          </w:p>
          <w:p w14:paraId="622AD200" w14:textId="77777777" w:rsidR="00D722CE" w:rsidRPr="00116CE6" w:rsidRDefault="00D722CE" w:rsidP="007C383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D722CE" w:rsidRPr="00116CE6" w14:paraId="68E5B987" w14:textId="77777777" w:rsidTr="007C3839">
              <w:tc>
                <w:tcPr>
                  <w:tcW w:w="6970" w:type="dxa"/>
                </w:tcPr>
                <w:p w14:paraId="1FC74269" w14:textId="77777777" w:rsidR="00D722CE" w:rsidRPr="00116CE6" w:rsidRDefault="00D722CE" w:rsidP="007C3839">
                  <w:pPr>
                    <w:rPr>
                      <w:rFonts w:ascii="Arial" w:hAnsi="Arial"/>
                      <w:sz w:val="20"/>
                      <w:szCs w:val="20"/>
                    </w:rPr>
                  </w:pPr>
                </w:p>
                <w:p w14:paraId="3A4B8C03" w14:textId="77777777" w:rsidR="00D722CE" w:rsidRPr="00116CE6" w:rsidRDefault="00D722CE" w:rsidP="007C383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472F12" w14:textId="77777777" w:rsidR="00D722CE" w:rsidRPr="00116CE6" w:rsidRDefault="00D722CE" w:rsidP="007C3839">
                  <w:pPr>
                    <w:rPr>
                      <w:rFonts w:ascii="Arial" w:hAnsi="Arial"/>
                      <w:sz w:val="20"/>
                      <w:szCs w:val="20"/>
                    </w:rPr>
                  </w:pPr>
                </w:p>
              </w:tc>
            </w:tr>
            <w:tr w:rsidR="00D722CE" w:rsidRPr="00116CE6" w14:paraId="64D10FAB" w14:textId="77777777" w:rsidTr="007C3839">
              <w:tc>
                <w:tcPr>
                  <w:tcW w:w="6970" w:type="dxa"/>
                </w:tcPr>
                <w:p w14:paraId="500B50C6" w14:textId="77777777" w:rsidR="00D722CE" w:rsidRPr="00116CE6" w:rsidRDefault="00D722CE" w:rsidP="007C3839">
                  <w:pPr>
                    <w:rPr>
                      <w:rFonts w:ascii="Arial" w:hAnsi="Arial"/>
                      <w:sz w:val="20"/>
                      <w:szCs w:val="20"/>
                    </w:rPr>
                  </w:pPr>
                </w:p>
                <w:p w14:paraId="5D26A8E0" w14:textId="77777777" w:rsidR="00D722CE" w:rsidRPr="00116CE6" w:rsidRDefault="00D722CE" w:rsidP="007C383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297743" w14:textId="77777777" w:rsidR="00D722CE" w:rsidRPr="00116CE6" w:rsidRDefault="00D722CE" w:rsidP="007C3839">
                  <w:pPr>
                    <w:rPr>
                      <w:rFonts w:ascii="Arial" w:hAnsi="Arial"/>
                      <w:sz w:val="20"/>
                      <w:szCs w:val="20"/>
                    </w:rPr>
                  </w:pPr>
                </w:p>
              </w:tc>
            </w:tr>
            <w:tr w:rsidR="00D722CE" w:rsidRPr="00116CE6" w14:paraId="034C1FE0" w14:textId="77777777" w:rsidTr="007C3839">
              <w:tc>
                <w:tcPr>
                  <w:tcW w:w="6970" w:type="dxa"/>
                </w:tcPr>
                <w:p w14:paraId="4352F427" w14:textId="77777777" w:rsidR="00D722CE" w:rsidRPr="00116CE6" w:rsidRDefault="00D722CE" w:rsidP="007C3839">
                  <w:pPr>
                    <w:rPr>
                      <w:rFonts w:ascii="Arial" w:hAnsi="Arial"/>
                      <w:sz w:val="20"/>
                      <w:szCs w:val="20"/>
                    </w:rPr>
                  </w:pPr>
                </w:p>
                <w:p w14:paraId="606D5E9F" w14:textId="77777777" w:rsidR="00D722CE" w:rsidRPr="00116CE6" w:rsidRDefault="00D722CE" w:rsidP="007C383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ED3ED86" w14:textId="77777777" w:rsidR="00D722CE" w:rsidRPr="00116CE6" w:rsidRDefault="00D722CE" w:rsidP="007C3839">
                  <w:pPr>
                    <w:rPr>
                      <w:rFonts w:ascii="Arial" w:hAnsi="Arial"/>
                      <w:sz w:val="20"/>
                      <w:szCs w:val="20"/>
                    </w:rPr>
                  </w:pPr>
                </w:p>
              </w:tc>
            </w:tr>
            <w:tr w:rsidR="00D722CE" w:rsidRPr="00116CE6" w14:paraId="49EE843C" w14:textId="77777777" w:rsidTr="007C3839">
              <w:tc>
                <w:tcPr>
                  <w:tcW w:w="6970" w:type="dxa"/>
                </w:tcPr>
                <w:p w14:paraId="1A6F80F6" w14:textId="77777777" w:rsidR="00D722CE" w:rsidRDefault="00D722CE" w:rsidP="007C3839">
                  <w:pPr>
                    <w:rPr>
                      <w:rFonts w:ascii="Arial" w:hAnsi="Arial"/>
                      <w:sz w:val="20"/>
                      <w:szCs w:val="20"/>
                    </w:rPr>
                  </w:pPr>
                </w:p>
                <w:p w14:paraId="42B313C5" w14:textId="77777777" w:rsidR="00D722CE" w:rsidRPr="00022345" w:rsidRDefault="00D722CE" w:rsidP="007C3839">
                  <w:pPr>
                    <w:rPr>
                      <w:rFonts w:ascii="Arial" w:hAnsi="Arial"/>
                      <w:b/>
                      <w:sz w:val="20"/>
                      <w:szCs w:val="20"/>
                    </w:rPr>
                  </w:pPr>
                  <w:r w:rsidRPr="00022345">
                    <w:rPr>
                      <w:rFonts w:ascii="Arial" w:hAnsi="Arial"/>
                      <w:b/>
                      <w:sz w:val="20"/>
                      <w:szCs w:val="20"/>
                    </w:rPr>
                    <w:t>Final Mark</w:t>
                  </w:r>
                </w:p>
                <w:p w14:paraId="6B0A3219" w14:textId="77777777" w:rsidR="00D722CE" w:rsidRPr="00116CE6" w:rsidRDefault="00D722CE" w:rsidP="007C3839">
                  <w:pPr>
                    <w:rPr>
                      <w:rFonts w:ascii="Arial" w:hAnsi="Arial"/>
                      <w:sz w:val="20"/>
                      <w:szCs w:val="20"/>
                    </w:rPr>
                  </w:pPr>
                </w:p>
              </w:tc>
              <w:tc>
                <w:tcPr>
                  <w:tcW w:w="1660" w:type="dxa"/>
                </w:tcPr>
                <w:p w14:paraId="0130D881" w14:textId="77777777" w:rsidR="00D722CE" w:rsidRPr="00116CE6" w:rsidRDefault="00D722CE" w:rsidP="007C3839">
                  <w:pPr>
                    <w:rPr>
                      <w:rFonts w:ascii="Arial" w:hAnsi="Arial"/>
                      <w:sz w:val="20"/>
                      <w:szCs w:val="20"/>
                    </w:rPr>
                  </w:pPr>
                </w:p>
              </w:tc>
            </w:tr>
          </w:tbl>
          <w:p w14:paraId="5E53D48D" w14:textId="77777777" w:rsidR="00D722CE" w:rsidRDefault="00D722CE" w:rsidP="007C3839">
            <w:pPr>
              <w:pStyle w:val="NormalWeb"/>
              <w:spacing w:before="0" w:beforeAutospacing="0" w:after="0" w:afterAutospacing="0"/>
              <w:ind w:left="142" w:right="34"/>
              <w:rPr>
                <w:rFonts w:ascii="Arial" w:hAnsi="Arial" w:cs="Arial"/>
                <w:b/>
                <w:sz w:val="22"/>
                <w:szCs w:val="22"/>
              </w:rPr>
            </w:pPr>
          </w:p>
          <w:p w14:paraId="510E19F6" w14:textId="77777777" w:rsidR="00D722CE" w:rsidRPr="00230F35" w:rsidRDefault="00D722CE" w:rsidP="007C383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06CC0F" w14:textId="77777777" w:rsidR="00D722CE" w:rsidRDefault="00D722CE" w:rsidP="007C3839">
            <w:pPr>
              <w:pStyle w:val="NormalWeb"/>
              <w:spacing w:before="0" w:beforeAutospacing="0" w:after="0" w:afterAutospacing="0"/>
              <w:rPr>
                <w:rFonts w:ascii="Arial" w:hAnsi="Arial" w:cs="Arial"/>
                <w:b/>
                <w:sz w:val="22"/>
                <w:szCs w:val="22"/>
              </w:rPr>
            </w:pPr>
          </w:p>
          <w:p w14:paraId="10CF1F30" w14:textId="77777777" w:rsidR="00D722CE" w:rsidRDefault="00D722CE" w:rsidP="007C3839">
            <w:pPr>
              <w:pStyle w:val="NormalWeb"/>
              <w:spacing w:before="0" w:beforeAutospacing="0" w:after="0" w:afterAutospacing="0"/>
              <w:rPr>
                <w:rFonts w:ascii="Arial" w:hAnsi="Arial" w:cs="Arial"/>
                <w:b/>
                <w:sz w:val="22"/>
                <w:szCs w:val="22"/>
              </w:rPr>
            </w:pPr>
          </w:p>
          <w:p w14:paraId="74EC2FB4" w14:textId="77777777" w:rsidR="00D722CE" w:rsidRDefault="00D722CE" w:rsidP="007C3839">
            <w:pPr>
              <w:pStyle w:val="NormalWeb"/>
              <w:spacing w:before="0" w:beforeAutospacing="0" w:after="0" w:afterAutospacing="0"/>
              <w:rPr>
                <w:rFonts w:ascii="Arial" w:hAnsi="Arial" w:cs="Arial"/>
                <w:b/>
                <w:sz w:val="22"/>
                <w:szCs w:val="22"/>
              </w:rPr>
            </w:pPr>
          </w:p>
          <w:p w14:paraId="23EF003B" w14:textId="77777777" w:rsidR="00D722CE" w:rsidRDefault="00D722CE" w:rsidP="007C3839">
            <w:pPr>
              <w:pStyle w:val="NormalWeb"/>
              <w:spacing w:before="0" w:beforeAutospacing="0" w:after="0" w:afterAutospacing="0"/>
              <w:rPr>
                <w:rFonts w:ascii="Arial" w:hAnsi="Arial" w:cs="Arial"/>
                <w:b/>
                <w:sz w:val="22"/>
                <w:szCs w:val="22"/>
              </w:rPr>
            </w:pPr>
          </w:p>
          <w:p w14:paraId="22E8AA62" w14:textId="77777777" w:rsidR="00D722CE" w:rsidRDefault="00D722CE" w:rsidP="007C3839">
            <w:pPr>
              <w:pStyle w:val="NormalWeb"/>
              <w:spacing w:before="0" w:beforeAutospacing="0" w:after="0" w:afterAutospacing="0"/>
              <w:rPr>
                <w:rFonts w:ascii="Arial" w:hAnsi="Arial" w:cs="Arial"/>
                <w:b/>
                <w:sz w:val="22"/>
                <w:szCs w:val="22"/>
              </w:rPr>
            </w:pPr>
          </w:p>
          <w:p w14:paraId="52DD2800" w14:textId="77777777" w:rsidR="00D722CE" w:rsidRPr="00230F35" w:rsidRDefault="00D722CE" w:rsidP="007C3839">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w:t>
            </w:r>
          </w:p>
          <w:p w14:paraId="09545CE6" w14:textId="77777777" w:rsidR="00D722CE" w:rsidRDefault="00D722CE" w:rsidP="007C383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47C8F51" w14:textId="77777777" w:rsidR="00D722CE" w:rsidRPr="00001C3B" w:rsidRDefault="00D722CE" w:rsidP="007C3839">
            <w:pPr>
              <w:pStyle w:val="NormalWeb"/>
              <w:rPr>
                <w:rFonts w:ascii="Arial" w:hAnsi="Arial" w:cs="Arial"/>
                <w:sz w:val="22"/>
                <w:szCs w:val="22"/>
              </w:rPr>
            </w:pPr>
          </w:p>
        </w:tc>
      </w:tr>
      <w:tr w:rsidR="00D722CE" w:rsidRPr="00230F35" w14:paraId="65192D38" w14:textId="77777777" w:rsidTr="007C3839">
        <w:trPr>
          <w:trHeight w:val="492"/>
        </w:trPr>
        <w:tc>
          <w:tcPr>
            <w:tcW w:w="6768" w:type="dxa"/>
            <w:gridSpan w:val="3"/>
          </w:tcPr>
          <w:p w14:paraId="4FCB6F6B" w14:textId="77777777" w:rsidR="00D722CE" w:rsidRPr="00230F35" w:rsidRDefault="00D722CE" w:rsidP="007C383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A7E29DF" w14:textId="77777777" w:rsidR="00D722CE" w:rsidRPr="00230F35" w:rsidRDefault="00D722CE" w:rsidP="007C3839">
            <w:pPr>
              <w:pStyle w:val="NormalWeb"/>
              <w:spacing w:after="0"/>
              <w:ind w:left="142" w:right="34"/>
              <w:rPr>
                <w:rFonts w:ascii="Arial" w:hAnsi="Arial" w:cs="Arial"/>
                <w:sz w:val="22"/>
                <w:szCs w:val="22"/>
              </w:rPr>
            </w:pPr>
            <w:r w:rsidRPr="00230F35">
              <w:rPr>
                <w:rFonts w:ascii="Arial" w:hAnsi="Arial" w:cs="Arial"/>
                <w:sz w:val="22"/>
                <w:szCs w:val="22"/>
              </w:rPr>
              <w:t>Date:</w:t>
            </w:r>
          </w:p>
        </w:tc>
      </w:tr>
      <w:tr w:rsidR="00D722CE" w:rsidRPr="002F467C" w14:paraId="3628FD33" w14:textId="77777777" w:rsidTr="007C3839">
        <w:tc>
          <w:tcPr>
            <w:tcW w:w="8856" w:type="dxa"/>
            <w:gridSpan w:val="5"/>
          </w:tcPr>
          <w:p w14:paraId="11E8BC0D" w14:textId="77777777" w:rsidR="00D722CE" w:rsidRPr="00230F35" w:rsidRDefault="00D722CE" w:rsidP="007C3839">
            <w:pPr>
              <w:pStyle w:val="NormalWeb"/>
              <w:spacing w:before="0" w:beforeAutospacing="0" w:after="0" w:afterAutospacing="0"/>
              <w:ind w:right="-334"/>
              <w:rPr>
                <w:rFonts w:ascii="Arial" w:hAnsi="Arial" w:cs="Arial"/>
                <w:bCs/>
                <w:i/>
                <w:sz w:val="22"/>
                <w:szCs w:val="22"/>
              </w:rPr>
            </w:pPr>
          </w:p>
          <w:p w14:paraId="2882F81F" w14:textId="77777777" w:rsidR="00D722CE" w:rsidRPr="00230F35" w:rsidRDefault="00D722CE" w:rsidP="007C383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37575FC" w14:textId="77777777" w:rsidR="00D722CE" w:rsidRPr="00230F35" w:rsidRDefault="00D722CE" w:rsidP="007C3839">
            <w:pPr>
              <w:pStyle w:val="NormalWeb"/>
              <w:spacing w:before="0" w:beforeAutospacing="0" w:after="0" w:afterAutospacing="0"/>
              <w:ind w:right="-334"/>
              <w:rPr>
                <w:rFonts w:ascii="Arial" w:hAnsi="Arial" w:cs="Arial"/>
                <w:b/>
                <w:bCs/>
                <w:sz w:val="22"/>
                <w:szCs w:val="22"/>
              </w:rPr>
            </w:pPr>
          </w:p>
          <w:p w14:paraId="0C3C0B48"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898E9D"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1631057D"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71AC47FA"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79522B2B"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604EF972"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50C468C0"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19F35B87"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280B125A"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4BCBC509" w14:textId="77777777" w:rsidR="00D722CE" w:rsidRDefault="00D722CE" w:rsidP="007C3839">
            <w:pPr>
              <w:pStyle w:val="NormalWeb"/>
              <w:spacing w:before="0" w:beforeAutospacing="0" w:after="0" w:afterAutospacing="0"/>
              <w:ind w:right="-334"/>
              <w:rPr>
                <w:rFonts w:ascii="Arial" w:hAnsi="Arial" w:cs="Arial"/>
                <w:bCs/>
                <w:sz w:val="22"/>
                <w:szCs w:val="22"/>
              </w:rPr>
            </w:pPr>
          </w:p>
          <w:p w14:paraId="6352C8E7"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79F22F90"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5B17ABDC"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tc>
      </w:tr>
      <w:tr w:rsidR="00D722CE" w:rsidRPr="002F467C" w14:paraId="19474912" w14:textId="77777777" w:rsidTr="007C3839">
        <w:trPr>
          <w:trHeight w:val="720"/>
        </w:trPr>
        <w:tc>
          <w:tcPr>
            <w:tcW w:w="5211" w:type="dxa"/>
            <w:gridSpan w:val="2"/>
          </w:tcPr>
          <w:p w14:paraId="5D86650B"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7DF36D5"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722CE" w:rsidRPr="002F467C" w14:paraId="59307D10" w14:textId="77777777" w:rsidTr="007C3839">
        <w:trPr>
          <w:trHeight w:val="720"/>
        </w:trPr>
        <w:tc>
          <w:tcPr>
            <w:tcW w:w="8856" w:type="dxa"/>
            <w:gridSpan w:val="5"/>
          </w:tcPr>
          <w:p w14:paraId="5ECAFA26" w14:textId="77777777" w:rsidR="00D722CE" w:rsidRPr="00B34964" w:rsidRDefault="00D722CE" w:rsidP="007C3839">
            <w:pPr>
              <w:rPr>
                <w:rFonts w:ascii="Arial" w:hAnsi="Arial" w:cs="Arial"/>
                <w:b/>
                <w:sz w:val="22"/>
                <w:szCs w:val="22"/>
              </w:rPr>
            </w:pPr>
            <w:r w:rsidRPr="00B34964">
              <w:rPr>
                <w:rFonts w:ascii="Arial" w:hAnsi="Arial" w:cs="Arial"/>
                <w:b/>
                <w:sz w:val="22"/>
                <w:szCs w:val="22"/>
              </w:rPr>
              <w:t>External Examiner’s comments (if relevant)</w:t>
            </w:r>
          </w:p>
          <w:p w14:paraId="2BEB7001"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023494EF"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36423BA3"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25F6B981"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053759D1"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377D5322"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5DEB1FA2"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2029735A"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713B13F1" w14:textId="77777777" w:rsidR="00D722CE" w:rsidRDefault="00D722CE" w:rsidP="007C3839">
            <w:pPr>
              <w:pStyle w:val="NormalWeb"/>
              <w:spacing w:before="0" w:beforeAutospacing="0" w:after="0" w:afterAutospacing="0"/>
              <w:ind w:right="-334"/>
              <w:rPr>
                <w:rFonts w:ascii="Arial" w:hAnsi="Arial" w:cs="Arial"/>
                <w:bCs/>
                <w:sz w:val="22"/>
                <w:szCs w:val="22"/>
              </w:rPr>
            </w:pPr>
          </w:p>
          <w:p w14:paraId="0278F300"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p w14:paraId="750EF095" w14:textId="77777777" w:rsidR="00D722CE" w:rsidRPr="00230F35" w:rsidRDefault="00D722CE" w:rsidP="007C3839">
            <w:pPr>
              <w:pStyle w:val="NormalWeb"/>
              <w:spacing w:before="0" w:beforeAutospacing="0" w:after="0" w:afterAutospacing="0"/>
              <w:ind w:right="-334"/>
              <w:rPr>
                <w:rFonts w:ascii="Arial" w:hAnsi="Arial" w:cs="Arial"/>
                <w:bCs/>
                <w:sz w:val="22"/>
                <w:szCs w:val="22"/>
              </w:rPr>
            </w:pPr>
          </w:p>
        </w:tc>
      </w:tr>
      <w:tr w:rsidR="00D722CE" w:rsidRPr="002F467C" w14:paraId="765E3BEA" w14:textId="77777777" w:rsidTr="007C3839">
        <w:trPr>
          <w:trHeight w:val="720"/>
        </w:trPr>
        <w:tc>
          <w:tcPr>
            <w:tcW w:w="5211" w:type="dxa"/>
            <w:gridSpan w:val="2"/>
          </w:tcPr>
          <w:p w14:paraId="343AC62D" w14:textId="77777777" w:rsidR="00D722CE" w:rsidRPr="00230F35" w:rsidRDefault="00D722CE" w:rsidP="007C3839">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DD16D63" w14:textId="77777777" w:rsidR="00D722CE" w:rsidRPr="00230F35" w:rsidRDefault="00D722CE" w:rsidP="007C3839">
            <w:pPr>
              <w:rPr>
                <w:rFonts w:ascii="Arial" w:hAnsi="Arial" w:cs="Arial"/>
                <w:sz w:val="22"/>
                <w:szCs w:val="22"/>
              </w:rPr>
            </w:pPr>
            <w:r w:rsidRPr="00230F35">
              <w:rPr>
                <w:rFonts w:ascii="Arial" w:hAnsi="Arial" w:cs="Arial"/>
                <w:sz w:val="22"/>
                <w:szCs w:val="22"/>
              </w:rPr>
              <w:t>Date:</w:t>
            </w:r>
          </w:p>
        </w:tc>
      </w:tr>
    </w:tbl>
    <w:p w14:paraId="182D6EC1"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21FEA793"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416F747D" w14:textId="77777777" w:rsidR="00D722CE" w:rsidRDefault="00D722CE" w:rsidP="00D722CE">
      <w:pPr>
        <w:pStyle w:val="NormalWeb"/>
        <w:spacing w:before="0" w:beforeAutospacing="0" w:after="0" w:afterAutospacing="0"/>
        <w:ind w:right="-334"/>
        <w:rPr>
          <w:rFonts w:ascii="Trebuchet MS" w:hAnsi="Trebuchet MS" w:cs="Tahoma"/>
          <w:bCs/>
          <w:sz w:val="24"/>
          <w:szCs w:val="24"/>
        </w:rPr>
        <w:sectPr w:rsidR="00D722CE" w:rsidSect="007C3839">
          <w:footerReference w:type="default" r:id="rId8"/>
          <w:pgSz w:w="12240" w:h="15840"/>
          <w:pgMar w:top="567" w:right="1797" w:bottom="567" w:left="1797" w:header="567" w:footer="720" w:gutter="0"/>
          <w:pgNumType w:start="1"/>
          <w:cols w:space="720"/>
        </w:sectPr>
      </w:pPr>
    </w:p>
    <w:bookmarkEnd w:id="0"/>
    <w:p w14:paraId="6BD4C130" w14:textId="410B9269" w:rsidR="00D722CE" w:rsidRPr="007141FF" w:rsidRDefault="00F74C47" w:rsidP="00D722CE">
      <w:pPr>
        <w:pStyle w:val="NormalWeb"/>
        <w:spacing w:before="0" w:beforeAutospacing="0" w:after="0" w:afterAutospacing="0"/>
        <w:ind w:right="-334"/>
        <w:rPr>
          <w:rFonts w:ascii="Times New Roman" w:hAnsi="Times New Roman"/>
          <w:sz w:val="24"/>
        </w:rPr>
      </w:pPr>
      <w:r>
        <w:rPr>
          <w:rFonts w:ascii="Times New Roman" w:hAnsi="Times New Roman"/>
          <w:b/>
          <w:sz w:val="24"/>
        </w:rPr>
        <w:lastRenderedPageBreak/>
        <w:t>T</w:t>
      </w:r>
      <w:r w:rsidR="007141FF">
        <w:rPr>
          <w:rFonts w:ascii="Times New Roman" w:hAnsi="Times New Roman"/>
          <w:b/>
          <w:sz w:val="24"/>
        </w:rPr>
        <w:t xml:space="preserve">itle: </w:t>
      </w:r>
      <w:r w:rsidR="00FE0205" w:rsidRPr="00810F10">
        <w:rPr>
          <w:rFonts w:ascii="Times New Roman" w:hAnsi="Times New Roman"/>
          <w:sz w:val="24"/>
        </w:rPr>
        <w:t>A Critical Comparison of the Methodologies Employed in Two Research Papers</w:t>
      </w:r>
    </w:p>
    <w:p w14:paraId="2C861889" w14:textId="06153DB8" w:rsidR="00D722CE" w:rsidRDefault="00D722CE" w:rsidP="00D722CE">
      <w:pPr>
        <w:pStyle w:val="NormalWeb"/>
        <w:spacing w:before="0" w:beforeAutospacing="0" w:after="0" w:afterAutospacing="0"/>
        <w:ind w:right="-334"/>
        <w:rPr>
          <w:rFonts w:ascii="Times New Roman" w:hAnsi="Times New Roman"/>
          <w:bCs/>
          <w:sz w:val="24"/>
          <w:szCs w:val="24"/>
        </w:rPr>
      </w:pPr>
      <w:r w:rsidRPr="007141FF">
        <w:rPr>
          <w:rFonts w:ascii="Times New Roman" w:hAnsi="Times New Roman"/>
          <w:b/>
          <w:bCs/>
          <w:sz w:val="24"/>
          <w:szCs w:val="24"/>
        </w:rPr>
        <w:t>Word count</w:t>
      </w:r>
      <w:r>
        <w:rPr>
          <w:rFonts w:ascii="Times New Roman" w:hAnsi="Times New Roman"/>
          <w:bCs/>
          <w:sz w:val="24"/>
          <w:szCs w:val="24"/>
        </w:rPr>
        <w:t xml:space="preserve">: </w:t>
      </w:r>
      <w:r w:rsidR="00991675">
        <w:rPr>
          <w:rFonts w:ascii="Times New Roman" w:hAnsi="Times New Roman"/>
          <w:bCs/>
          <w:sz w:val="24"/>
          <w:szCs w:val="24"/>
        </w:rPr>
        <w:t>10</w:t>
      </w:r>
      <w:r w:rsidR="00874C8D">
        <w:rPr>
          <w:rFonts w:ascii="Times New Roman" w:hAnsi="Times New Roman"/>
          <w:bCs/>
          <w:sz w:val="24"/>
          <w:szCs w:val="24"/>
        </w:rPr>
        <w:t>4</w:t>
      </w:r>
      <w:r w:rsidR="00711A45">
        <w:rPr>
          <w:rFonts w:ascii="Times New Roman" w:hAnsi="Times New Roman"/>
          <w:bCs/>
          <w:sz w:val="24"/>
          <w:szCs w:val="24"/>
        </w:rPr>
        <w:t>7</w:t>
      </w:r>
    </w:p>
    <w:p w14:paraId="0C8625F6" w14:textId="77777777" w:rsidR="009467FF" w:rsidRDefault="009467FF" w:rsidP="00D722CE">
      <w:pPr>
        <w:pStyle w:val="NormalWeb"/>
        <w:spacing w:before="0" w:beforeAutospacing="0" w:after="0" w:afterAutospacing="0"/>
        <w:ind w:right="-334"/>
        <w:rPr>
          <w:rFonts w:ascii="Times New Roman" w:hAnsi="Times New Roman"/>
          <w:bCs/>
          <w:sz w:val="24"/>
          <w:szCs w:val="24"/>
        </w:rPr>
      </w:pPr>
    </w:p>
    <w:p w14:paraId="35C15533" w14:textId="77777777" w:rsidR="000078FB" w:rsidRDefault="000078FB" w:rsidP="00853738">
      <w:pPr>
        <w:pStyle w:val="NormalWeb"/>
        <w:spacing w:before="0" w:beforeAutospacing="0" w:after="0" w:afterAutospacing="0"/>
        <w:ind w:right="-334"/>
        <w:jc w:val="both"/>
        <w:rPr>
          <w:rFonts w:ascii="Times New Roman" w:hAnsi="Times New Roman"/>
          <w:b/>
          <w:bCs/>
          <w:sz w:val="24"/>
          <w:szCs w:val="24"/>
        </w:rPr>
      </w:pPr>
      <w:r>
        <w:rPr>
          <w:rFonts w:ascii="Times New Roman" w:hAnsi="Times New Roman"/>
          <w:b/>
          <w:bCs/>
          <w:sz w:val="24"/>
          <w:szCs w:val="24"/>
        </w:rPr>
        <w:t>Introduction</w:t>
      </w:r>
    </w:p>
    <w:p w14:paraId="288AEE67" w14:textId="256A3998" w:rsidR="00C525BA" w:rsidRDefault="00D722CE" w:rsidP="00853738">
      <w:pPr>
        <w:pStyle w:val="NormalWeb"/>
        <w:spacing w:before="0" w:beforeAutospacing="0" w:after="0" w:afterAutospacing="0"/>
        <w:ind w:right="-334"/>
        <w:jc w:val="both"/>
        <w:rPr>
          <w:rFonts w:ascii="Times New Roman" w:hAnsi="Times New Roman"/>
          <w:sz w:val="24"/>
        </w:rPr>
      </w:pPr>
      <w:r w:rsidRPr="007C14E9">
        <w:rPr>
          <w:rFonts w:ascii="Times New Roman" w:hAnsi="Times New Roman"/>
          <w:bCs/>
          <w:sz w:val="24"/>
          <w:szCs w:val="24"/>
        </w:rPr>
        <w:t xml:space="preserve">This essay will </w:t>
      </w:r>
      <w:r w:rsidR="001429ED">
        <w:rPr>
          <w:rFonts w:ascii="Times New Roman" w:hAnsi="Times New Roman"/>
          <w:bCs/>
          <w:sz w:val="24"/>
          <w:szCs w:val="24"/>
        </w:rPr>
        <w:t xml:space="preserve">compare and contrast the methodologies </w:t>
      </w:r>
      <w:r w:rsidR="00E32DDF">
        <w:rPr>
          <w:rFonts w:ascii="Times New Roman" w:hAnsi="Times New Roman"/>
          <w:bCs/>
          <w:sz w:val="24"/>
          <w:szCs w:val="24"/>
        </w:rPr>
        <w:t xml:space="preserve">employed </w:t>
      </w:r>
      <w:r w:rsidR="005231A6">
        <w:rPr>
          <w:rFonts w:ascii="Times New Roman" w:hAnsi="Times New Roman"/>
          <w:bCs/>
          <w:sz w:val="24"/>
          <w:szCs w:val="24"/>
        </w:rPr>
        <w:t>in two research papers</w:t>
      </w:r>
      <w:r w:rsidR="00E32DDF">
        <w:rPr>
          <w:rFonts w:ascii="Times New Roman" w:hAnsi="Times New Roman"/>
          <w:bCs/>
          <w:sz w:val="24"/>
          <w:szCs w:val="24"/>
        </w:rPr>
        <w:t xml:space="preserve">: </w:t>
      </w:r>
      <w:r w:rsidR="00E32DDF" w:rsidRPr="00B62FB9">
        <w:rPr>
          <w:rFonts w:ascii="Times New Roman" w:hAnsi="Times New Roman"/>
          <w:sz w:val="24"/>
        </w:rPr>
        <w:t>‘Inconsistency of Belie</w:t>
      </w:r>
      <w:r w:rsidR="005231A6">
        <w:rPr>
          <w:rFonts w:ascii="Times New Roman" w:hAnsi="Times New Roman"/>
          <w:sz w:val="24"/>
        </w:rPr>
        <w:t>f</w:t>
      </w:r>
      <w:r w:rsidR="00E32DDF" w:rsidRPr="00B62FB9">
        <w:rPr>
          <w:rFonts w:ascii="Times New Roman" w:hAnsi="Times New Roman"/>
          <w:sz w:val="24"/>
        </w:rPr>
        <w:t>’</w:t>
      </w:r>
      <w:r w:rsidR="00E32DDF">
        <w:rPr>
          <w:rFonts w:ascii="Times New Roman" w:hAnsi="Times New Roman"/>
          <w:sz w:val="24"/>
        </w:rPr>
        <w:t xml:space="preserve"> by</w:t>
      </w:r>
      <w:r w:rsidR="005231A6">
        <w:rPr>
          <w:rFonts w:ascii="Times New Roman" w:hAnsi="Times New Roman"/>
          <w:sz w:val="24"/>
        </w:rPr>
        <w:t xml:space="preserve"> </w:t>
      </w:r>
      <w:r w:rsidR="00E32DDF">
        <w:rPr>
          <w:rFonts w:ascii="Times New Roman" w:hAnsi="Times New Roman"/>
          <w:bCs/>
          <w:sz w:val="24"/>
          <w:szCs w:val="24"/>
        </w:rPr>
        <w:t>Brink</w:t>
      </w:r>
      <w:r w:rsidR="00E32DDF">
        <w:rPr>
          <w:rFonts w:ascii="Times New Roman" w:hAnsi="Times New Roman"/>
          <w:sz w:val="24"/>
        </w:rPr>
        <w:t xml:space="preserve"> and </w:t>
      </w:r>
      <w:r w:rsidR="00E32DDF" w:rsidRPr="00B62FB9">
        <w:rPr>
          <w:rFonts w:ascii="Times New Roman" w:hAnsi="Times New Roman"/>
          <w:sz w:val="24"/>
        </w:rPr>
        <w:t>‘Private Belief’</w:t>
      </w:r>
      <w:r w:rsidR="00E32DDF">
        <w:rPr>
          <w:rFonts w:ascii="Times New Roman" w:hAnsi="Times New Roman"/>
          <w:sz w:val="24"/>
        </w:rPr>
        <w:t xml:space="preserve"> by Walter and</w:t>
      </w:r>
      <w:r w:rsidR="005231A6">
        <w:rPr>
          <w:rFonts w:ascii="Times New Roman" w:hAnsi="Times New Roman"/>
          <w:sz w:val="24"/>
        </w:rPr>
        <w:t xml:space="preserve"> </w:t>
      </w:r>
      <w:r w:rsidR="00E32DDF">
        <w:rPr>
          <w:rFonts w:ascii="Times New Roman" w:hAnsi="Times New Roman"/>
          <w:sz w:val="24"/>
        </w:rPr>
        <w:t>Waterhouse.</w:t>
      </w:r>
      <w:r w:rsidR="00EE707F">
        <w:rPr>
          <w:rStyle w:val="FootnoteReference"/>
          <w:rFonts w:ascii="Times New Roman" w:hAnsi="Times New Roman"/>
          <w:sz w:val="24"/>
        </w:rPr>
        <w:footnoteReference w:id="1"/>
      </w:r>
      <w:r w:rsidR="00A66305">
        <w:rPr>
          <w:rFonts w:ascii="Times New Roman" w:hAnsi="Times New Roman"/>
          <w:sz w:val="24"/>
        </w:rPr>
        <w:t xml:space="preserve"> </w:t>
      </w:r>
      <w:r w:rsidR="005B1EA3">
        <w:rPr>
          <w:rFonts w:ascii="Times New Roman" w:hAnsi="Times New Roman"/>
          <w:sz w:val="24"/>
        </w:rPr>
        <w:t xml:space="preserve">Written twenty-one years </w:t>
      </w:r>
      <w:r w:rsidR="00AF47DB">
        <w:rPr>
          <w:rFonts w:ascii="Times New Roman" w:hAnsi="Times New Roman"/>
          <w:sz w:val="24"/>
        </w:rPr>
        <w:t xml:space="preserve">and an ocean </w:t>
      </w:r>
      <w:r w:rsidR="005B1EA3">
        <w:rPr>
          <w:rFonts w:ascii="Times New Roman" w:hAnsi="Times New Roman"/>
          <w:sz w:val="24"/>
        </w:rPr>
        <w:t>apart (Brink,</w:t>
      </w:r>
      <w:r w:rsidR="00AF47DB">
        <w:rPr>
          <w:rFonts w:ascii="Times New Roman" w:hAnsi="Times New Roman"/>
          <w:sz w:val="24"/>
        </w:rPr>
        <w:t xml:space="preserve"> </w:t>
      </w:r>
      <w:r w:rsidR="005B1EA3">
        <w:rPr>
          <w:rFonts w:ascii="Times New Roman" w:hAnsi="Times New Roman"/>
          <w:sz w:val="24"/>
        </w:rPr>
        <w:t>1978</w:t>
      </w:r>
      <w:r w:rsidR="00AF47DB">
        <w:rPr>
          <w:rFonts w:ascii="Times New Roman" w:hAnsi="Times New Roman"/>
          <w:sz w:val="24"/>
        </w:rPr>
        <w:t>, Chicago</w:t>
      </w:r>
      <w:r w:rsidR="005B1EA3">
        <w:rPr>
          <w:rFonts w:ascii="Times New Roman" w:hAnsi="Times New Roman"/>
          <w:sz w:val="24"/>
        </w:rPr>
        <w:t>; Walter and Waterhouse, 1999</w:t>
      </w:r>
      <w:r w:rsidR="00AF47DB">
        <w:rPr>
          <w:rFonts w:ascii="Times New Roman" w:hAnsi="Times New Roman"/>
          <w:sz w:val="24"/>
        </w:rPr>
        <w:t>, South-West England</w:t>
      </w:r>
      <w:r w:rsidR="005B1EA3">
        <w:rPr>
          <w:rFonts w:ascii="Times New Roman" w:hAnsi="Times New Roman"/>
          <w:sz w:val="24"/>
        </w:rPr>
        <w:t xml:space="preserve">), both papers seek to understand the place reincarnation occupies within the personal cosmologies of members of their chosen </w:t>
      </w:r>
      <w:r w:rsidR="0087493A">
        <w:rPr>
          <w:rFonts w:ascii="Times New Roman" w:hAnsi="Times New Roman"/>
          <w:sz w:val="24"/>
        </w:rPr>
        <w:t>subject-groups.</w:t>
      </w:r>
      <w:r w:rsidR="005B1EA3">
        <w:rPr>
          <w:rStyle w:val="FootnoteReference"/>
          <w:rFonts w:ascii="Times New Roman" w:hAnsi="Times New Roman"/>
          <w:sz w:val="24"/>
        </w:rPr>
        <w:footnoteReference w:id="2"/>
      </w:r>
      <w:r w:rsidR="005B7668">
        <w:rPr>
          <w:rFonts w:ascii="Times New Roman" w:hAnsi="Times New Roman"/>
          <w:sz w:val="24"/>
        </w:rPr>
        <w:t xml:space="preserve"> This essay will analyse the methodologies described in each paper</w:t>
      </w:r>
      <w:r w:rsidR="00AA14A4">
        <w:rPr>
          <w:rFonts w:ascii="Times New Roman" w:hAnsi="Times New Roman"/>
          <w:sz w:val="24"/>
        </w:rPr>
        <w:t>,</w:t>
      </w:r>
      <w:r w:rsidR="005B7668">
        <w:rPr>
          <w:rFonts w:ascii="Times New Roman" w:hAnsi="Times New Roman"/>
          <w:sz w:val="24"/>
        </w:rPr>
        <w:t xml:space="preserve"> focussing on: </w:t>
      </w:r>
      <w:r w:rsidR="00AA14A4">
        <w:rPr>
          <w:rFonts w:ascii="Times New Roman" w:hAnsi="Times New Roman"/>
          <w:sz w:val="24"/>
        </w:rPr>
        <w:t>the existence of a</w:t>
      </w:r>
      <w:r w:rsidR="005B7668">
        <w:rPr>
          <w:rFonts w:ascii="Times New Roman" w:hAnsi="Times New Roman"/>
          <w:sz w:val="24"/>
        </w:rPr>
        <w:t xml:space="preserve"> relationship</w:t>
      </w:r>
      <w:r w:rsidR="00AA14A4">
        <w:rPr>
          <w:rFonts w:ascii="Times New Roman" w:hAnsi="Times New Roman"/>
          <w:sz w:val="24"/>
        </w:rPr>
        <w:t xml:space="preserve"> between previous scholarship</w:t>
      </w:r>
      <w:r w:rsidR="005B7668">
        <w:rPr>
          <w:rFonts w:ascii="Times New Roman" w:hAnsi="Times New Roman"/>
          <w:sz w:val="24"/>
        </w:rPr>
        <w:t xml:space="preserve"> and </w:t>
      </w:r>
      <w:r w:rsidR="00D92346">
        <w:rPr>
          <w:rFonts w:ascii="Times New Roman" w:hAnsi="Times New Roman"/>
          <w:sz w:val="24"/>
        </w:rPr>
        <w:t>these papers,</w:t>
      </w:r>
      <w:r w:rsidR="005B7668">
        <w:rPr>
          <w:rFonts w:ascii="Times New Roman" w:hAnsi="Times New Roman"/>
          <w:sz w:val="24"/>
        </w:rPr>
        <w:t xml:space="preserve"> </w:t>
      </w:r>
      <w:r w:rsidR="00AA14A4">
        <w:rPr>
          <w:rFonts w:ascii="Times New Roman" w:hAnsi="Times New Roman"/>
          <w:sz w:val="24"/>
        </w:rPr>
        <w:t xml:space="preserve">and </w:t>
      </w:r>
      <w:r w:rsidR="005B7668">
        <w:rPr>
          <w:rFonts w:ascii="Times New Roman" w:hAnsi="Times New Roman"/>
          <w:sz w:val="24"/>
        </w:rPr>
        <w:t xml:space="preserve">how such a relationship </w:t>
      </w:r>
      <w:r w:rsidR="00AA14A4">
        <w:rPr>
          <w:rFonts w:ascii="Times New Roman" w:hAnsi="Times New Roman"/>
          <w:sz w:val="24"/>
        </w:rPr>
        <w:t>may have</w:t>
      </w:r>
      <w:r w:rsidR="00D800B3" w:rsidRPr="00D800B3">
        <w:rPr>
          <w:rFonts w:ascii="Times New Roman" w:hAnsi="Times New Roman"/>
          <w:sz w:val="24"/>
        </w:rPr>
        <w:t xml:space="preserve"> informed</w:t>
      </w:r>
      <w:r w:rsidR="005B7668">
        <w:rPr>
          <w:rFonts w:ascii="Times New Roman" w:hAnsi="Times New Roman"/>
          <w:sz w:val="24"/>
        </w:rPr>
        <w:t xml:space="preserve"> </w:t>
      </w:r>
      <w:r w:rsidR="00AA14A4">
        <w:rPr>
          <w:rFonts w:ascii="Times New Roman" w:hAnsi="Times New Roman"/>
          <w:sz w:val="24"/>
        </w:rPr>
        <w:t xml:space="preserve">both the </w:t>
      </w:r>
      <w:r w:rsidR="005B7668">
        <w:rPr>
          <w:rFonts w:ascii="Times New Roman" w:hAnsi="Times New Roman"/>
          <w:sz w:val="24"/>
        </w:rPr>
        <w:t>research methodolog</w:t>
      </w:r>
      <w:r w:rsidR="00D92346">
        <w:rPr>
          <w:rFonts w:ascii="Times New Roman" w:hAnsi="Times New Roman"/>
          <w:sz w:val="24"/>
        </w:rPr>
        <w:t>ies</w:t>
      </w:r>
      <w:r w:rsidR="00AA14A4">
        <w:rPr>
          <w:rFonts w:ascii="Times New Roman" w:hAnsi="Times New Roman"/>
          <w:sz w:val="24"/>
        </w:rPr>
        <w:t xml:space="preserve"> and sample size chosen.</w:t>
      </w:r>
      <w:r w:rsidR="00C847EB">
        <w:rPr>
          <w:rFonts w:ascii="Times New Roman" w:hAnsi="Times New Roman"/>
          <w:sz w:val="24"/>
        </w:rPr>
        <w:t xml:space="preserve"> </w:t>
      </w:r>
    </w:p>
    <w:p w14:paraId="3455D536" w14:textId="77777777" w:rsidR="00EE4FF7" w:rsidRDefault="00EE4FF7" w:rsidP="00853738">
      <w:pPr>
        <w:pStyle w:val="NormalWeb"/>
        <w:spacing w:before="0" w:beforeAutospacing="0" w:after="0" w:afterAutospacing="0"/>
        <w:ind w:right="-334"/>
        <w:jc w:val="both"/>
        <w:rPr>
          <w:rFonts w:ascii="Times New Roman" w:hAnsi="Times New Roman"/>
          <w:b/>
          <w:bCs/>
          <w:sz w:val="24"/>
          <w:szCs w:val="24"/>
        </w:rPr>
      </w:pPr>
    </w:p>
    <w:p w14:paraId="5A9D299B" w14:textId="525D80BB" w:rsidR="000078FB" w:rsidRDefault="000C4B9B" w:rsidP="00853738">
      <w:pPr>
        <w:pStyle w:val="NormalWeb"/>
        <w:spacing w:before="0" w:beforeAutospacing="0" w:after="0" w:afterAutospacing="0"/>
        <w:ind w:right="-334"/>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Underlying </w:t>
      </w:r>
      <w:r w:rsidR="000078FB">
        <w:rPr>
          <w:rFonts w:ascii="Times New Roman" w:hAnsi="Times New Roman"/>
          <w:b/>
          <w:bCs/>
          <w:color w:val="000000" w:themeColor="text1"/>
          <w:sz w:val="24"/>
          <w:szCs w:val="24"/>
        </w:rPr>
        <w:t>Theory</w:t>
      </w:r>
    </w:p>
    <w:p w14:paraId="6ADB37F1" w14:textId="7C67FA1E" w:rsidR="00680348" w:rsidRDefault="00CE0C19" w:rsidP="00853738">
      <w:pPr>
        <w:pStyle w:val="NormalWeb"/>
        <w:spacing w:before="0" w:beforeAutospacing="0" w:after="0" w:afterAutospacing="0"/>
        <w:ind w:right="-334"/>
        <w:jc w:val="both"/>
        <w:rPr>
          <w:rFonts w:ascii="Times New Roman" w:hAnsi="Times New Roman"/>
          <w:bCs/>
          <w:color w:val="000000" w:themeColor="text1"/>
          <w:sz w:val="24"/>
          <w:szCs w:val="24"/>
        </w:rPr>
      </w:pPr>
      <w:r>
        <w:rPr>
          <w:rFonts w:ascii="Times New Roman" w:hAnsi="Times New Roman"/>
          <w:bCs/>
          <w:color w:val="000000" w:themeColor="text1"/>
          <w:sz w:val="24"/>
          <w:szCs w:val="24"/>
        </w:rPr>
        <w:t>Hennink, Hutter, and Bailey</w:t>
      </w:r>
      <w:r w:rsidR="00D800B3">
        <w:rPr>
          <w:rFonts w:ascii="Times New Roman" w:hAnsi="Times New Roman"/>
          <w:bCs/>
          <w:color w:val="000000" w:themeColor="text1"/>
          <w:sz w:val="24"/>
          <w:szCs w:val="24"/>
        </w:rPr>
        <w:t xml:space="preserve"> state</w:t>
      </w:r>
      <w:r>
        <w:rPr>
          <w:rFonts w:ascii="Times New Roman" w:hAnsi="Times New Roman"/>
          <w:bCs/>
          <w:color w:val="000000" w:themeColor="text1"/>
          <w:sz w:val="24"/>
          <w:szCs w:val="24"/>
        </w:rPr>
        <w:t xml:space="preserve"> that making ‘pre-existing ideas’ on a research subject ‘explicit’ is ‘necessary’ </w:t>
      </w:r>
      <w:r w:rsidR="005B1EA3">
        <w:rPr>
          <w:rFonts w:ascii="Times New Roman" w:hAnsi="Times New Roman"/>
          <w:bCs/>
          <w:color w:val="000000" w:themeColor="text1"/>
          <w:sz w:val="24"/>
          <w:szCs w:val="24"/>
        </w:rPr>
        <w:t>to</w:t>
      </w:r>
      <w:r>
        <w:rPr>
          <w:rFonts w:ascii="Times New Roman" w:hAnsi="Times New Roman"/>
          <w:bCs/>
          <w:color w:val="000000" w:themeColor="text1"/>
          <w:sz w:val="24"/>
          <w:szCs w:val="24"/>
        </w:rPr>
        <w:t xml:space="preserve"> effectively ‘design’ and ‘develop’ future research.</w:t>
      </w:r>
      <w:r>
        <w:rPr>
          <w:rStyle w:val="FootnoteReference"/>
          <w:rFonts w:ascii="Times New Roman" w:hAnsi="Times New Roman"/>
          <w:bCs/>
          <w:color w:val="000000" w:themeColor="text1"/>
          <w:sz w:val="24"/>
          <w:szCs w:val="24"/>
        </w:rPr>
        <w:footnoteReference w:id="3"/>
      </w:r>
      <w:r w:rsidR="00CB504E">
        <w:rPr>
          <w:rFonts w:ascii="Times New Roman" w:hAnsi="Times New Roman"/>
          <w:bCs/>
          <w:color w:val="000000" w:themeColor="text1"/>
          <w:sz w:val="24"/>
          <w:szCs w:val="24"/>
        </w:rPr>
        <w:t xml:space="preserve"> </w:t>
      </w:r>
      <w:r w:rsidR="00E728C1">
        <w:rPr>
          <w:rFonts w:ascii="Times New Roman" w:hAnsi="Times New Roman"/>
          <w:bCs/>
          <w:color w:val="000000" w:themeColor="text1"/>
          <w:sz w:val="24"/>
          <w:szCs w:val="24"/>
        </w:rPr>
        <w:t xml:space="preserve">This, they contend, is crucial </w:t>
      </w:r>
      <w:r w:rsidR="005B1EA3">
        <w:rPr>
          <w:rFonts w:ascii="Times New Roman" w:hAnsi="Times New Roman"/>
          <w:bCs/>
          <w:color w:val="000000" w:themeColor="text1"/>
          <w:sz w:val="24"/>
          <w:szCs w:val="24"/>
        </w:rPr>
        <w:t>to</w:t>
      </w:r>
      <w:r w:rsidR="00E728C1">
        <w:rPr>
          <w:rFonts w:ascii="Times New Roman" w:hAnsi="Times New Roman"/>
          <w:bCs/>
          <w:color w:val="000000" w:themeColor="text1"/>
          <w:sz w:val="24"/>
          <w:szCs w:val="24"/>
        </w:rPr>
        <w:t xml:space="preserve"> ‘check the validity’ of </w:t>
      </w:r>
      <w:r w:rsidR="007C43FE">
        <w:rPr>
          <w:rFonts w:ascii="Times New Roman" w:hAnsi="Times New Roman"/>
          <w:bCs/>
          <w:color w:val="000000" w:themeColor="text1"/>
          <w:sz w:val="24"/>
          <w:szCs w:val="24"/>
        </w:rPr>
        <w:t xml:space="preserve">chosen research </w:t>
      </w:r>
      <w:r w:rsidR="00E728C1">
        <w:rPr>
          <w:rFonts w:ascii="Times New Roman" w:hAnsi="Times New Roman"/>
          <w:bCs/>
          <w:color w:val="000000" w:themeColor="text1"/>
          <w:sz w:val="24"/>
          <w:szCs w:val="24"/>
        </w:rPr>
        <w:t>methods.</w:t>
      </w:r>
      <w:r w:rsidR="00E728C1">
        <w:rPr>
          <w:rStyle w:val="FootnoteReference"/>
          <w:rFonts w:ascii="Times New Roman" w:hAnsi="Times New Roman"/>
          <w:bCs/>
          <w:color w:val="000000" w:themeColor="text1"/>
          <w:sz w:val="24"/>
          <w:szCs w:val="24"/>
        </w:rPr>
        <w:footnoteReference w:id="4"/>
      </w:r>
      <w:r w:rsidR="00A72105">
        <w:rPr>
          <w:rFonts w:ascii="Times New Roman" w:hAnsi="Times New Roman"/>
          <w:bCs/>
          <w:color w:val="000000" w:themeColor="text1"/>
          <w:sz w:val="24"/>
          <w:szCs w:val="24"/>
        </w:rPr>
        <w:t xml:space="preserve"> </w:t>
      </w:r>
      <w:r w:rsidR="002D0796">
        <w:rPr>
          <w:rFonts w:ascii="Times New Roman" w:hAnsi="Times New Roman"/>
          <w:bCs/>
          <w:color w:val="000000" w:themeColor="text1"/>
          <w:sz w:val="24"/>
          <w:szCs w:val="24"/>
        </w:rPr>
        <w:t>A</w:t>
      </w:r>
      <w:r w:rsidR="00D81FFB">
        <w:rPr>
          <w:rFonts w:ascii="Times New Roman" w:hAnsi="Times New Roman"/>
          <w:bCs/>
          <w:color w:val="000000" w:themeColor="text1"/>
          <w:sz w:val="24"/>
          <w:szCs w:val="24"/>
        </w:rPr>
        <w:t>s Bell notes,</w:t>
      </w:r>
      <w:r w:rsidR="002D0796">
        <w:rPr>
          <w:rFonts w:ascii="Times New Roman" w:hAnsi="Times New Roman"/>
          <w:bCs/>
          <w:color w:val="000000" w:themeColor="text1"/>
          <w:sz w:val="24"/>
          <w:szCs w:val="24"/>
        </w:rPr>
        <w:t xml:space="preserve"> this should</w:t>
      </w:r>
      <w:r w:rsidR="00523EA3">
        <w:rPr>
          <w:rFonts w:ascii="Times New Roman" w:hAnsi="Times New Roman"/>
          <w:bCs/>
          <w:color w:val="000000" w:themeColor="text1"/>
          <w:sz w:val="24"/>
          <w:szCs w:val="24"/>
        </w:rPr>
        <w:t xml:space="preserve"> allow the reader to glance at ‘the state of knowledge</w:t>
      </w:r>
      <w:r w:rsidR="00680348">
        <w:rPr>
          <w:rFonts w:ascii="Times New Roman" w:hAnsi="Times New Roman"/>
          <w:bCs/>
          <w:color w:val="000000" w:themeColor="text1"/>
          <w:sz w:val="24"/>
          <w:szCs w:val="24"/>
        </w:rPr>
        <w:t>’ together with ‘</w:t>
      </w:r>
      <w:r w:rsidR="00523EA3">
        <w:rPr>
          <w:rFonts w:ascii="Times New Roman" w:hAnsi="Times New Roman"/>
          <w:bCs/>
          <w:color w:val="000000" w:themeColor="text1"/>
          <w:sz w:val="24"/>
          <w:szCs w:val="24"/>
        </w:rPr>
        <w:t>major questions in the subject’.</w:t>
      </w:r>
      <w:r w:rsidR="00523EA3">
        <w:rPr>
          <w:rStyle w:val="FootnoteReference"/>
          <w:rFonts w:ascii="Times New Roman" w:hAnsi="Times New Roman"/>
          <w:bCs/>
          <w:color w:val="000000" w:themeColor="text1"/>
          <w:sz w:val="24"/>
          <w:szCs w:val="24"/>
        </w:rPr>
        <w:footnoteReference w:id="5"/>
      </w:r>
      <w:r w:rsidR="00587FB2">
        <w:rPr>
          <w:rFonts w:ascii="Times New Roman" w:hAnsi="Times New Roman"/>
          <w:bCs/>
          <w:color w:val="000000" w:themeColor="text1"/>
          <w:sz w:val="24"/>
          <w:szCs w:val="24"/>
        </w:rPr>
        <w:t xml:space="preserve"> Accurate and relevant positioning of research within </w:t>
      </w:r>
      <w:r w:rsidR="00680348">
        <w:rPr>
          <w:rFonts w:ascii="Times New Roman" w:hAnsi="Times New Roman"/>
          <w:bCs/>
          <w:color w:val="000000" w:themeColor="text1"/>
          <w:sz w:val="24"/>
          <w:szCs w:val="24"/>
        </w:rPr>
        <w:t>a</w:t>
      </w:r>
      <w:r w:rsidR="00587FB2">
        <w:rPr>
          <w:rFonts w:ascii="Times New Roman" w:hAnsi="Times New Roman"/>
          <w:bCs/>
          <w:color w:val="000000" w:themeColor="text1"/>
          <w:sz w:val="24"/>
          <w:szCs w:val="24"/>
        </w:rPr>
        <w:t xml:space="preserve"> wider academic framework is, then, not only crucial to understand the field, but also in designing an appropriate methodological vehicle for that research.</w:t>
      </w:r>
      <w:r w:rsidR="00B27208">
        <w:rPr>
          <w:rFonts w:ascii="Times New Roman" w:hAnsi="Times New Roman"/>
          <w:bCs/>
          <w:color w:val="000000" w:themeColor="text1"/>
          <w:sz w:val="24"/>
          <w:szCs w:val="24"/>
        </w:rPr>
        <w:t xml:space="preserve"> </w:t>
      </w:r>
      <w:r w:rsidR="00FA7C05">
        <w:rPr>
          <w:rFonts w:ascii="Times New Roman" w:hAnsi="Times New Roman"/>
          <w:bCs/>
          <w:color w:val="000000" w:themeColor="text1"/>
          <w:sz w:val="24"/>
          <w:szCs w:val="24"/>
        </w:rPr>
        <w:t>Q</w:t>
      </w:r>
      <w:r w:rsidR="00AF47DB">
        <w:rPr>
          <w:rFonts w:ascii="Times New Roman" w:hAnsi="Times New Roman"/>
          <w:bCs/>
          <w:color w:val="000000" w:themeColor="text1"/>
          <w:sz w:val="24"/>
          <w:szCs w:val="24"/>
        </w:rPr>
        <w:t xml:space="preserve">uantitative research appears more ‘scientific’, with an ‘outsider looking in’ on </w:t>
      </w:r>
      <w:r w:rsidR="00B353CE">
        <w:rPr>
          <w:rFonts w:ascii="Times New Roman" w:hAnsi="Times New Roman"/>
          <w:bCs/>
          <w:color w:val="000000" w:themeColor="text1"/>
          <w:sz w:val="24"/>
          <w:szCs w:val="24"/>
        </w:rPr>
        <w:t>research subjects</w:t>
      </w:r>
      <w:r w:rsidR="007C43FE">
        <w:rPr>
          <w:rFonts w:ascii="Times New Roman" w:hAnsi="Times New Roman"/>
          <w:bCs/>
          <w:color w:val="000000" w:themeColor="text1"/>
          <w:sz w:val="24"/>
          <w:szCs w:val="24"/>
        </w:rPr>
        <w:t xml:space="preserve"> whereas</w:t>
      </w:r>
      <w:r w:rsidR="00AF47DB">
        <w:rPr>
          <w:rFonts w:ascii="Times New Roman" w:hAnsi="Times New Roman"/>
          <w:bCs/>
          <w:color w:val="000000" w:themeColor="text1"/>
          <w:sz w:val="24"/>
          <w:szCs w:val="24"/>
        </w:rPr>
        <w:t xml:space="preserve"> qualitative research</w:t>
      </w:r>
      <w:r w:rsidR="00B73E7B">
        <w:rPr>
          <w:rFonts w:ascii="Times New Roman" w:hAnsi="Times New Roman"/>
          <w:bCs/>
          <w:color w:val="000000" w:themeColor="text1"/>
          <w:sz w:val="24"/>
          <w:szCs w:val="24"/>
        </w:rPr>
        <w:t>er</w:t>
      </w:r>
      <w:r w:rsidR="00DC287E">
        <w:rPr>
          <w:rFonts w:ascii="Times New Roman" w:hAnsi="Times New Roman"/>
          <w:bCs/>
          <w:color w:val="000000" w:themeColor="text1"/>
          <w:sz w:val="24"/>
          <w:szCs w:val="24"/>
        </w:rPr>
        <w:t xml:space="preserve">s experience a ‘strong urge’ to close the gap between themselves and their subjects, hoping to </w:t>
      </w:r>
      <w:r w:rsidR="007C43FE">
        <w:rPr>
          <w:rFonts w:ascii="Times New Roman" w:hAnsi="Times New Roman"/>
          <w:bCs/>
          <w:color w:val="000000" w:themeColor="text1"/>
          <w:sz w:val="24"/>
          <w:szCs w:val="24"/>
        </w:rPr>
        <w:t>understand as</w:t>
      </w:r>
      <w:r w:rsidR="00DC287E">
        <w:rPr>
          <w:rFonts w:ascii="Times New Roman" w:hAnsi="Times New Roman"/>
          <w:bCs/>
          <w:color w:val="000000" w:themeColor="text1"/>
          <w:sz w:val="24"/>
          <w:szCs w:val="24"/>
        </w:rPr>
        <w:t xml:space="preserve"> an ‘insider’.</w:t>
      </w:r>
      <w:r w:rsidR="00936367">
        <w:rPr>
          <w:rStyle w:val="FootnoteReference"/>
          <w:rFonts w:ascii="Times New Roman" w:hAnsi="Times New Roman"/>
          <w:bCs/>
          <w:color w:val="000000" w:themeColor="text1"/>
          <w:sz w:val="24"/>
          <w:szCs w:val="24"/>
        </w:rPr>
        <w:footnoteReference w:id="6"/>
      </w:r>
      <w:r w:rsidR="00070E41">
        <w:rPr>
          <w:rFonts w:ascii="Times New Roman" w:hAnsi="Times New Roman"/>
          <w:bCs/>
          <w:color w:val="000000" w:themeColor="text1"/>
          <w:sz w:val="24"/>
          <w:szCs w:val="24"/>
        </w:rPr>
        <w:t xml:space="preserve"> </w:t>
      </w:r>
      <w:r w:rsidR="002D1EA5">
        <w:rPr>
          <w:rFonts w:ascii="Times New Roman" w:hAnsi="Times New Roman"/>
          <w:bCs/>
          <w:color w:val="000000" w:themeColor="text1"/>
          <w:sz w:val="24"/>
          <w:szCs w:val="24"/>
        </w:rPr>
        <w:t xml:space="preserve">Despite investigating similar topics, </w:t>
      </w:r>
      <w:r w:rsidR="008542FC">
        <w:rPr>
          <w:rFonts w:ascii="Times New Roman" w:hAnsi="Times New Roman"/>
          <w:bCs/>
          <w:color w:val="000000" w:themeColor="text1"/>
          <w:sz w:val="24"/>
          <w:szCs w:val="24"/>
        </w:rPr>
        <w:t xml:space="preserve">Walter and Waterhouse’s methodological approach differs as greatly from Brink’s as </w:t>
      </w:r>
      <w:r w:rsidR="003A2F29">
        <w:rPr>
          <w:rFonts w:ascii="Times New Roman" w:hAnsi="Times New Roman"/>
          <w:bCs/>
          <w:color w:val="000000" w:themeColor="text1"/>
          <w:sz w:val="24"/>
          <w:szCs w:val="24"/>
        </w:rPr>
        <w:t xml:space="preserve">do </w:t>
      </w:r>
      <w:r w:rsidR="00743611">
        <w:rPr>
          <w:rFonts w:ascii="Times New Roman" w:hAnsi="Times New Roman"/>
          <w:bCs/>
          <w:color w:val="000000" w:themeColor="text1"/>
          <w:sz w:val="24"/>
          <w:szCs w:val="24"/>
        </w:rPr>
        <w:t xml:space="preserve">their respective </w:t>
      </w:r>
      <w:r w:rsidR="008542FC">
        <w:rPr>
          <w:rFonts w:ascii="Times New Roman" w:hAnsi="Times New Roman"/>
          <w:bCs/>
          <w:color w:val="000000" w:themeColor="text1"/>
          <w:sz w:val="24"/>
          <w:szCs w:val="24"/>
        </w:rPr>
        <w:t>sample size</w:t>
      </w:r>
      <w:r w:rsidR="007D388D">
        <w:rPr>
          <w:rFonts w:ascii="Times New Roman" w:hAnsi="Times New Roman"/>
          <w:bCs/>
          <w:color w:val="000000" w:themeColor="text1"/>
          <w:sz w:val="24"/>
          <w:szCs w:val="24"/>
        </w:rPr>
        <w:t>s</w:t>
      </w:r>
      <w:r w:rsidR="00743611">
        <w:rPr>
          <w:rFonts w:ascii="Times New Roman" w:hAnsi="Times New Roman"/>
          <w:bCs/>
          <w:color w:val="000000" w:themeColor="text1"/>
          <w:sz w:val="24"/>
          <w:szCs w:val="24"/>
        </w:rPr>
        <w:t xml:space="preserve"> and paper-length</w:t>
      </w:r>
      <w:r w:rsidR="007D388D">
        <w:rPr>
          <w:rFonts w:ascii="Times New Roman" w:hAnsi="Times New Roman"/>
          <w:bCs/>
          <w:color w:val="000000" w:themeColor="text1"/>
          <w:sz w:val="24"/>
          <w:szCs w:val="24"/>
        </w:rPr>
        <w:t>s</w:t>
      </w:r>
      <w:r w:rsidR="008542FC">
        <w:rPr>
          <w:rFonts w:ascii="Times New Roman" w:hAnsi="Times New Roman"/>
          <w:bCs/>
          <w:color w:val="000000" w:themeColor="text1"/>
          <w:sz w:val="24"/>
          <w:szCs w:val="24"/>
        </w:rPr>
        <w:t>.</w:t>
      </w:r>
      <w:r w:rsidR="009D2785">
        <w:rPr>
          <w:rStyle w:val="FootnoteReference"/>
          <w:rFonts w:ascii="Times New Roman" w:hAnsi="Times New Roman"/>
          <w:bCs/>
          <w:color w:val="000000" w:themeColor="text1"/>
          <w:sz w:val="24"/>
          <w:szCs w:val="24"/>
        </w:rPr>
        <w:footnoteReference w:id="7"/>
      </w:r>
    </w:p>
    <w:p w14:paraId="53E7388C" w14:textId="77777777" w:rsidR="00944F67" w:rsidRDefault="00944F67" w:rsidP="00853738">
      <w:pPr>
        <w:pStyle w:val="NormalWeb"/>
        <w:spacing w:before="0" w:beforeAutospacing="0" w:after="0" w:afterAutospacing="0"/>
        <w:ind w:right="-334"/>
        <w:jc w:val="both"/>
        <w:rPr>
          <w:rFonts w:ascii="Times New Roman" w:hAnsi="Times New Roman"/>
          <w:bCs/>
          <w:color w:val="000000" w:themeColor="text1"/>
          <w:sz w:val="24"/>
          <w:szCs w:val="24"/>
        </w:rPr>
      </w:pPr>
    </w:p>
    <w:p w14:paraId="3CF92213" w14:textId="77777777" w:rsidR="000078FB" w:rsidRDefault="000078FB" w:rsidP="00853738">
      <w:pPr>
        <w:pStyle w:val="NormalWeb"/>
        <w:spacing w:before="0" w:beforeAutospacing="0" w:after="0" w:afterAutospacing="0"/>
        <w:ind w:right="-334"/>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‘Private Belief’</w:t>
      </w:r>
    </w:p>
    <w:p w14:paraId="4EFABA7B" w14:textId="08018287" w:rsidR="00D42480" w:rsidRPr="00673436" w:rsidRDefault="00CB471A" w:rsidP="00853738">
      <w:pPr>
        <w:pStyle w:val="NormalWeb"/>
        <w:spacing w:before="0" w:beforeAutospacing="0" w:after="0" w:afterAutospacing="0"/>
        <w:ind w:right="-334"/>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Walter and Waterhouse </w:t>
      </w:r>
      <w:r w:rsidR="005453AE">
        <w:rPr>
          <w:rFonts w:ascii="Times New Roman" w:hAnsi="Times New Roman"/>
          <w:bCs/>
          <w:color w:val="000000" w:themeColor="text1"/>
          <w:sz w:val="24"/>
          <w:szCs w:val="24"/>
        </w:rPr>
        <w:t>highlight</w:t>
      </w:r>
      <w:r>
        <w:rPr>
          <w:rFonts w:ascii="Times New Roman" w:hAnsi="Times New Roman"/>
          <w:bCs/>
          <w:color w:val="000000" w:themeColor="text1"/>
          <w:sz w:val="24"/>
          <w:szCs w:val="24"/>
        </w:rPr>
        <w:t xml:space="preserve"> an academic landscape spanning fifty years </w:t>
      </w:r>
      <w:r w:rsidR="00DE6D19">
        <w:rPr>
          <w:rFonts w:ascii="Times New Roman" w:hAnsi="Times New Roman"/>
          <w:bCs/>
          <w:color w:val="000000" w:themeColor="text1"/>
          <w:sz w:val="24"/>
          <w:szCs w:val="24"/>
        </w:rPr>
        <w:t xml:space="preserve">(1947-1997) </w:t>
      </w:r>
      <w:r>
        <w:rPr>
          <w:rFonts w:ascii="Times New Roman" w:hAnsi="Times New Roman"/>
          <w:bCs/>
          <w:color w:val="000000" w:themeColor="text1"/>
          <w:sz w:val="24"/>
          <w:szCs w:val="24"/>
        </w:rPr>
        <w:t>within which their research can sensibly be positioned.</w:t>
      </w:r>
      <w:r>
        <w:rPr>
          <w:rStyle w:val="FootnoteReference"/>
          <w:rFonts w:ascii="Times New Roman" w:hAnsi="Times New Roman"/>
          <w:bCs/>
          <w:color w:val="000000" w:themeColor="text1"/>
          <w:sz w:val="24"/>
          <w:szCs w:val="24"/>
        </w:rPr>
        <w:footnoteReference w:id="8"/>
      </w:r>
      <w:r>
        <w:rPr>
          <w:rFonts w:ascii="Times New Roman" w:hAnsi="Times New Roman"/>
          <w:bCs/>
          <w:color w:val="000000" w:themeColor="text1"/>
          <w:sz w:val="24"/>
          <w:szCs w:val="24"/>
        </w:rPr>
        <w:t xml:space="preserve"> </w:t>
      </w:r>
      <w:r w:rsidR="00D75546">
        <w:rPr>
          <w:rFonts w:ascii="Times New Roman" w:hAnsi="Times New Roman"/>
          <w:bCs/>
          <w:color w:val="000000" w:themeColor="text1"/>
          <w:sz w:val="24"/>
          <w:szCs w:val="24"/>
        </w:rPr>
        <w:t>Th</w:t>
      </w:r>
      <w:r w:rsidR="00D15A98">
        <w:rPr>
          <w:rFonts w:ascii="Times New Roman" w:hAnsi="Times New Roman"/>
          <w:bCs/>
          <w:color w:val="000000" w:themeColor="text1"/>
          <w:sz w:val="24"/>
          <w:szCs w:val="24"/>
        </w:rPr>
        <w:t>is referenced</w:t>
      </w:r>
      <w:r w:rsidR="00D75546">
        <w:rPr>
          <w:rFonts w:ascii="Times New Roman" w:hAnsi="Times New Roman"/>
          <w:bCs/>
          <w:color w:val="000000" w:themeColor="text1"/>
          <w:sz w:val="24"/>
          <w:szCs w:val="24"/>
        </w:rPr>
        <w:t xml:space="preserve"> research is </w:t>
      </w:r>
      <w:r w:rsidR="00D17EC1">
        <w:rPr>
          <w:rFonts w:ascii="Times New Roman" w:hAnsi="Times New Roman"/>
          <w:bCs/>
          <w:color w:val="000000" w:themeColor="text1"/>
          <w:sz w:val="24"/>
          <w:szCs w:val="24"/>
        </w:rPr>
        <w:t>both</w:t>
      </w:r>
      <w:r w:rsidR="00D75546">
        <w:rPr>
          <w:rFonts w:ascii="Times New Roman" w:hAnsi="Times New Roman"/>
          <w:bCs/>
          <w:color w:val="000000" w:themeColor="text1"/>
          <w:sz w:val="24"/>
          <w:szCs w:val="24"/>
        </w:rPr>
        <w:t xml:space="preserve"> specific and relevant to their</w:t>
      </w:r>
      <w:r w:rsidR="00D15A98">
        <w:rPr>
          <w:rFonts w:ascii="Times New Roman" w:hAnsi="Times New Roman"/>
          <w:bCs/>
          <w:color w:val="000000" w:themeColor="text1"/>
          <w:sz w:val="24"/>
          <w:szCs w:val="24"/>
        </w:rPr>
        <w:t xml:space="preserve"> own</w:t>
      </w:r>
      <w:r w:rsidR="00D75546">
        <w:rPr>
          <w:rFonts w:ascii="Times New Roman" w:hAnsi="Times New Roman"/>
          <w:bCs/>
          <w:color w:val="000000" w:themeColor="text1"/>
          <w:sz w:val="24"/>
          <w:szCs w:val="24"/>
        </w:rPr>
        <w:t xml:space="preserve"> project</w:t>
      </w:r>
      <w:r w:rsidR="00D15A98">
        <w:rPr>
          <w:rFonts w:ascii="Times New Roman" w:hAnsi="Times New Roman"/>
          <w:bCs/>
          <w:color w:val="000000" w:themeColor="text1"/>
          <w:sz w:val="24"/>
          <w:szCs w:val="24"/>
        </w:rPr>
        <w:t xml:space="preserve">: </w:t>
      </w:r>
      <w:r w:rsidR="00D75546">
        <w:rPr>
          <w:rFonts w:ascii="Times New Roman" w:hAnsi="Times New Roman"/>
          <w:bCs/>
          <w:color w:val="000000" w:themeColor="text1"/>
          <w:sz w:val="24"/>
          <w:szCs w:val="24"/>
        </w:rPr>
        <w:t>each piece explor</w:t>
      </w:r>
      <w:r w:rsidR="00D15A98">
        <w:rPr>
          <w:rFonts w:ascii="Times New Roman" w:hAnsi="Times New Roman"/>
          <w:bCs/>
          <w:color w:val="000000" w:themeColor="text1"/>
          <w:sz w:val="24"/>
          <w:szCs w:val="24"/>
        </w:rPr>
        <w:t>ing</w:t>
      </w:r>
      <w:r w:rsidR="00D75546">
        <w:rPr>
          <w:rFonts w:ascii="Times New Roman" w:hAnsi="Times New Roman"/>
          <w:bCs/>
          <w:color w:val="000000" w:themeColor="text1"/>
          <w:sz w:val="24"/>
          <w:szCs w:val="24"/>
        </w:rPr>
        <w:t xml:space="preserve"> beliefs surrounding reincarnation.</w:t>
      </w:r>
      <w:r w:rsidR="00D75546">
        <w:rPr>
          <w:rStyle w:val="FootnoteReference"/>
          <w:rFonts w:ascii="Times New Roman" w:hAnsi="Times New Roman"/>
          <w:bCs/>
          <w:color w:val="000000" w:themeColor="text1"/>
          <w:sz w:val="24"/>
          <w:szCs w:val="24"/>
        </w:rPr>
        <w:footnoteReference w:id="9"/>
      </w:r>
      <w:r w:rsidR="00D75546">
        <w:rPr>
          <w:rFonts w:ascii="Times New Roman" w:hAnsi="Times New Roman"/>
          <w:bCs/>
          <w:color w:val="000000" w:themeColor="text1"/>
          <w:sz w:val="24"/>
          <w:szCs w:val="24"/>
        </w:rPr>
        <w:t xml:space="preserve"> </w:t>
      </w:r>
      <w:r w:rsidR="00351FF9">
        <w:rPr>
          <w:rFonts w:ascii="Times New Roman" w:hAnsi="Times New Roman"/>
          <w:bCs/>
          <w:color w:val="000000" w:themeColor="text1"/>
          <w:sz w:val="24"/>
          <w:szCs w:val="24"/>
        </w:rPr>
        <w:t>That Davies’s more recent study, published only two years before their own, is referenced indicates an active engagement with their field of enquiry.</w:t>
      </w:r>
      <w:r w:rsidR="00351FF9">
        <w:rPr>
          <w:rStyle w:val="FootnoteReference"/>
          <w:rFonts w:ascii="Times New Roman" w:hAnsi="Times New Roman"/>
          <w:bCs/>
          <w:color w:val="000000" w:themeColor="text1"/>
          <w:sz w:val="24"/>
          <w:szCs w:val="24"/>
        </w:rPr>
        <w:footnoteReference w:id="10"/>
      </w:r>
      <w:r w:rsidR="00351FF9">
        <w:rPr>
          <w:rFonts w:ascii="Times New Roman" w:hAnsi="Times New Roman"/>
          <w:bCs/>
          <w:color w:val="000000" w:themeColor="text1"/>
          <w:sz w:val="24"/>
          <w:szCs w:val="24"/>
        </w:rPr>
        <w:t xml:space="preserve"> </w:t>
      </w:r>
      <w:r w:rsidR="00C80E7E">
        <w:rPr>
          <w:rFonts w:ascii="Times New Roman" w:hAnsi="Times New Roman"/>
          <w:bCs/>
          <w:color w:val="000000" w:themeColor="text1"/>
          <w:sz w:val="24"/>
          <w:szCs w:val="24"/>
        </w:rPr>
        <w:t xml:space="preserve">Further, </w:t>
      </w:r>
      <w:r w:rsidR="00D17EC1">
        <w:rPr>
          <w:rFonts w:ascii="Times New Roman" w:hAnsi="Times New Roman"/>
          <w:bCs/>
          <w:color w:val="000000" w:themeColor="text1"/>
          <w:sz w:val="24"/>
          <w:szCs w:val="24"/>
        </w:rPr>
        <w:t xml:space="preserve">Walter and Waterhouse introduce the data-collection methods employed within these references as being </w:t>
      </w:r>
      <w:r w:rsidR="00D17EC1">
        <w:rPr>
          <w:rFonts w:ascii="Times New Roman" w:hAnsi="Times New Roman"/>
          <w:bCs/>
          <w:color w:val="000000" w:themeColor="text1"/>
          <w:sz w:val="24"/>
          <w:szCs w:val="24"/>
        </w:rPr>
        <w:lastRenderedPageBreak/>
        <w:t>interviews and surveys</w:t>
      </w:r>
      <w:r w:rsidR="00C80E7E">
        <w:rPr>
          <w:rFonts w:ascii="Times New Roman" w:hAnsi="Times New Roman"/>
          <w:bCs/>
          <w:color w:val="000000" w:themeColor="text1"/>
          <w:sz w:val="24"/>
          <w:szCs w:val="24"/>
        </w:rPr>
        <w:t>.</w:t>
      </w:r>
      <w:r w:rsidR="00D17EC1">
        <w:rPr>
          <w:rStyle w:val="FootnoteReference"/>
          <w:rFonts w:ascii="Times New Roman" w:hAnsi="Times New Roman"/>
          <w:bCs/>
          <w:color w:val="000000" w:themeColor="text1"/>
          <w:sz w:val="24"/>
          <w:szCs w:val="24"/>
        </w:rPr>
        <w:footnoteReference w:id="11"/>
      </w:r>
      <w:r w:rsidR="00D17EC1">
        <w:rPr>
          <w:rFonts w:ascii="Times New Roman" w:hAnsi="Times New Roman"/>
          <w:bCs/>
          <w:color w:val="000000" w:themeColor="text1"/>
          <w:sz w:val="24"/>
          <w:szCs w:val="24"/>
        </w:rPr>
        <w:t xml:space="preserve"> </w:t>
      </w:r>
      <w:r w:rsidR="00402181">
        <w:rPr>
          <w:rFonts w:ascii="Times New Roman" w:hAnsi="Times New Roman"/>
          <w:bCs/>
          <w:color w:val="000000" w:themeColor="text1"/>
          <w:sz w:val="24"/>
          <w:szCs w:val="24"/>
        </w:rPr>
        <w:t>Of these two options, Walter and Waterhouse chose interviews: concluding that attempting to ‘categorize belief in reincarnation into…</w:t>
      </w:r>
      <w:r w:rsidR="00402181">
        <w:rPr>
          <w:rFonts w:ascii="Times New Roman" w:hAnsi="Times New Roman"/>
          <w:bCs/>
          <w:i/>
          <w:color w:val="000000" w:themeColor="text1"/>
          <w:sz w:val="24"/>
          <w:szCs w:val="24"/>
        </w:rPr>
        <w:t>yes-don’t know-no</w:t>
      </w:r>
      <w:r w:rsidR="00810F10">
        <w:rPr>
          <w:rFonts w:ascii="Times New Roman" w:hAnsi="Times New Roman"/>
          <w:bCs/>
          <w:color w:val="000000" w:themeColor="text1"/>
          <w:sz w:val="24"/>
          <w:szCs w:val="24"/>
        </w:rPr>
        <w:t>’ was not indicative of how ‘</w:t>
      </w:r>
      <w:r w:rsidR="00402181">
        <w:rPr>
          <w:rFonts w:ascii="Times New Roman" w:hAnsi="Times New Roman"/>
          <w:bCs/>
          <w:color w:val="000000" w:themeColor="text1"/>
          <w:sz w:val="24"/>
          <w:szCs w:val="24"/>
        </w:rPr>
        <w:t>people think and talk about the concept’.</w:t>
      </w:r>
      <w:r w:rsidR="00751896">
        <w:rPr>
          <w:rStyle w:val="FootnoteReference"/>
          <w:rFonts w:ascii="Times New Roman" w:hAnsi="Times New Roman"/>
          <w:bCs/>
          <w:color w:val="000000" w:themeColor="text1"/>
          <w:sz w:val="24"/>
          <w:szCs w:val="24"/>
        </w:rPr>
        <w:footnoteReference w:id="12"/>
      </w:r>
      <w:r w:rsidR="00A72105">
        <w:rPr>
          <w:rFonts w:ascii="Times New Roman" w:hAnsi="Times New Roman"/>
          <w:bCs/>
          <w:color w:val="000000" w:themeColor="text1"/>
          <w:sz w:val="24"/>
          <w:szCs w:val="24"/>
        </w:rPr>
        <w:t xml:space="preserve"> </w:t>
      </w:r>
      <w:r w:rsidR="002A6901">
        <w:rPr>
          <w:rFonts w:ascii="Times New Roman" w:hAnsi="Times New Roman"/>
          <w:bCs/>
          <w:color w:val="000000" w:themeColor="text1"/>
          <w:sz w:val="24"/>
          <w:szCs w:val="24"/>
        </w:rPr>
        <w:t>In order to explore nuances not apparent from quantitative conclusions (‘x percent of the population believe’), interviews seem an appropriate choice.</w:t>
      </w:r>
      <w:r w:rsidR="002A6901">
        <w:rPr>
          <w:rStyle w:val="FootnoteReference"/>
          <w:rFonts w:ascii="Times New Roman" w:hAnsi="Times New Roman"/>
          <w:bCs/>
          <w:color w:val="000000" w:themeColor="text1"/>
          <w:sz w:val="24"/>
          <w:szCs w:val="24"/>
        </w:rPr>
        <w:footnoteReference w:id="13"/>
      </w:r>
      <w:r w:rsidR="002A6901">
        <w:rPr>
          <w:rFonts w:ascii="Times New Roman" w:hAnsi="Times New Roman"/>
          <w:bCs/>
          <w:color w:val="000000" w:themeColor="text1"/>
          <w:sz w:val="24"/>
          <w:szCs w:val="24"/>
        </w:rPr>
        <w:t xml:space="preserve"> </w:t>
      </w:r>
      <w:r w:rsidR="00402181">
        <w:rPr>
          <w:rFonts w:ascii="Times New Roman" w:hAnsi="Times New Roman"/>
          <w:bCs/>
          <w:color w:val="000000" w:themeColor="text1"/>
          <w:sz w:val="24"/>
          <w:szCs w:val="24"/>
        </w:rPr>
        <w:t>T</w:t>
      </w:r>
      <w:r w:rsidR="00A72105">
        <w:rPr>
          <w:rFonts w:ascii="Times New Roman" w:hAnsi="Times New Roman"/>
          <w:bCs/>
          <w:color w:val="000000" w:themeColor="text1"/>
          <w:sz w:val="24"/>
          <w:szCs w:val="24"/>
        </w:rPr>
        <w:t>he literature review</w:t>
      </w:r>
      <w:r w:rsidR="00402181">
        <w:rPr>
          <w:rFonts w:ascii="Times New Roman" w:hAnsi="Times New Roman"/>
          <w:bCs/>
          <w:color w:val="000000" w:themeColor="text1"/>
          <w:sz w:val="24"/>
          <w:szCs w:val="24"/>
        </w:rPr>
        <w:t xml:space="preserve">, together with </w:t>
      </w:r>
      <w:r w:rsidR="002A6901">
        <w:rPr>
          <w:rFonts w:ascii="Times New Roman" w:hAnsi="Times New Roman"/>
          <w:bCs/>
          <w:color w:val="000000" w:themeColor="text1"/>
          <w:sz w:val="24"/>
          <w:szCs w:val="24"/>
        </w:rPr>
        <w:t>a keen awareness of the nature of hoped-for responses</w:t>
      </w:r>
      <w:r w:rsidR="00402181">
        <w:rPr>
          <w:rFonts w:ascii="Times New Roman" w:hAnsi="Times New Roman"/>
          <w:bCs/>
          <w:color w:val="000000" w:themeColor="text1"/>
          <w:sz w:val="24"/>
          <w:szCs w:val="24"/>
        </w:rPr>
        <w:t>,</w:t>
      </w:r>
      <w:r w:rsidR="00A72105">
        <w:rPr>
          <w:rFonts w:ascii="Times New Roman" w:hAnsi="Times New Roman"/>
          <w:bCs/>
          <w:color w:val="000000" w:themeColor="text1"/>
          <w:sz w:val="24"/>
          <w:szCs w:val="24"/>
        </w:rPr>
        <w:t xml:space="preserve"> directly shaped Walter and Waterhouse’s research methodology. </w:t>
      </w:r>
      <w:r w:rsidR="00973C70">
        <w:rPr>
          <w:rFonts w:ascii="Times New Roman" w:hAnsi="Times New Roman"/>
          <w:bCs/>
          <w:color w:val="000000" w:themeColor="text1"/>
          <w:sz w:val="24"/>
          <w:szCs w:val="24"/>
        </w:rPr>
        <w:t>Hoping</w:t>
      </w:r>
      <w:r w:rsidR="00D42480">
        <w:rPr>
          <w:rFonts w:ascii="Times New Roman" w:hAnsi="Times New Roman"/>
          <w:bCs/>
          <w:color w:val="000000" w:themeColor="text1"/>
          <w:sz w:val="24"/>
          <w:szCs w:val="24"/>
        </w:rPr>
        <w:t xml:space="preserve"> to understand the views of their interviewees from the</w:t>
      </w:r>
      <w:r w:rsidR="00973C70">
        <w:rPr>
          <w:rFonts w:ascii="Times New Roman" w:hAnsi="Times New Roman"/>
          <w:bCs/>
          <w:color w:val="000000" w:themeColor="text1"/>
          <w:sz w:val="24"/>
          <w:szCs w:val="24"/>
        </w:rPr>
        <w:t>ir own</w:t>
      </w:r>
      <w:r w:rsidR="00D42480">
        <w:rPr>
          <w:rFonts w:ascii="Times New Roman" w:hAnsi="Times New Roman"/>
          <w:bCs/>
          <w:color w:val="000000" w:themeColor="text1"/>
          <w:sz w:val="24"/>
          <w:szCs w:val="24"/>
        </w:rPr>
        <w:t xml:space="preserve"> perspective</w:t>
      </w:r>
      <w:r w:rsidR="00973C70">
        <w:rPr>
          <w:rFonts w:ascii="Times New Roman" w:hAnsi="Times New Roman"/>
          <w:bCs/>
          <w:color w:val="000000" w:themeColor="text1"/>
          <w:sz w:val="24"/>
          <w:szCs w:val="24"/>
        </w:rPr>
        <w:t>, Walter and Waterhouse directly quote their subjects’ responses thus allowing their own words to speak through the research.</w:t>
      </w:r>
      <w:r w:rsidR="00D42480">
        <w:rPr>
          <w:rStyle w:val="FootnoteReference"/>
          <w:rFonts w:ascii="Times New Roman" w:hAnsi="Times New Roman"/>
          <w:bCs/>
          <w:color w:val="000000" w:themeColor="text1"/>
          <w:sz w:val="24"/>
          <w:szCs w:val="24"/>
        </w:rPr>
        <w:footnoteReference w:id="14"/>
      </w:r>
      <w:r w:rsidR="00D42480">
        <w:rPr>
          <w:rFonts w:ascii="Times New Roman" w:hAnsi="Times New Roman"/>
          <w:bCs/>
          <w:color w:val="000000" w:themeColor="text1"/>
          <w:sz w:val="24"/>
          <w:szCs w:val="24"/>
        </w:rPr>
        <w:t xml:space="preserve"> </w:t>
      </w:r>
      <w:r w:rsidR="00896F8E">
        <w:rPr>
          <w:rFonts w:ascii="Times New Roman" w:hAnsi="Times New Roman"/>
          <w:bCs/>
          <w:color w:val="000000" w:themeColor="text1"/>
          <w:sz w:val="24"/>
          <w:szCs w:val="24"/>
        </w:rPr>
        <w:t>To ‘elicit the meaning of reincarnation’ from believers, an emic methodology where there is the potential for ‘Verstehen’ was chosen.</w:t>
      </w:r>
      <w:r w:rsidR="00896F8E">
        <w:rPr>
          <w:rStyle w:val="FootnoteReference"/>
          <w:rFonts w:ascii="Times New Roman" w:hAnsi="Times New Roman"/>
          <w:bCs/>
          <w:color w:val="000000" w:themeColor="text1"/>
          <w:sz w:val="24"/>
          <w:szCs w:val="24"/>
        </w:rPr>
        <w:footnoteReference w:id="15"/>
      </w:r>
    </w:p>
    <w:p w14:paraId="7432322C" w14:textId="77777777" w:rsidR="007563CD" w:rsidRDefault="007563CD" w:rsidP="00853738">
      <w:pPr>
        <w:pStyle w:val="NormalWeb"/>
        <w:spacing w:before="0" w:beforeAutospacing="0" w:after="0" w:afterAutospacing="0"/>
        <w:ind w:right="-334"/>
        <w:jc w:val="both"/>
        <w:rPr>
          <w:rFonts w:ascii="Times New Roman" w:hAnsi="Times New Roman"/>
          <w:bCs/>
          <w:color w:val="000000" w:themeColor="text1"/>
          <w:sz w:val="24"/>
          <w:szCs w:val="24"/>
        </w:rPr>
      </w:pPr>
    </w:p>
    <w:p w14:paraId="1E273772" w14:textId="77777777" w:rsidR="000078FB" w:rsidRDefault="000078FB" w:rsidP="00853738">
      <w:pPr>
        <w:pStyle w:val="NormalWeb"/>
        <w:spacing w:before="0" w:beforeAutospacing="0" w:after="0" w:afterAutospacing="0"/>
        <w:ind w:right="-334"/>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‘Inconsistency of Belief’</w:t>
      </w:r>
    </w:p>
    <w:p w14:paraId="02526CA5" w14:textId="71E9C455" w:rsidR="00E272BC" w:rsidRDefault="00E01DEF" w:rsidP="0032153E">
      <w:pPr>
        <w:pStyle w:val="NormalWeb"/>
        <w:spacing w:before="0" w:beforeAutospacing="0" w:after="0" w:afterAutospacing="0"/>
        <w:ind w:right="-334"/>
        <w:jc w:val="both"/>
        <w:rPr>
          <w:rFonts w:ascii="Times New Roman" w:hAnsi="Times New Roman"/>
          <w:bCs/>
          <w:color w:val="000000" w:themeColor="text1"/>
          <w:sz w:val="24"/>
          <w:szCs w:val="24"/>
        </w:rPr>
      </w:pPr>
      <w:r>
        <w:rPr>
          <w:rFonts w:ascii="Times New Roman" w:hAnsi="Times New Roman"/>
          <w:bCs/>
          <w:color w:val="000000" w:themeColor="text1"/>
          <w:sz w:val="24"/>
          <w:szCs w:val="24"/>
        </w:rPr>
        <w:t>Brink</w:t>
      </w:r>
      <w:r w:rsidR="00896F8E">
        <w:rPr>
          <w:rFonts w:ascii="Times New Roman" w:hAnsi="Times New Roman"/>
          <w:bCs/>
          <w:color w:val="000000" w:themeColor="text1"/>
          <w:sz w:val="24"/>
          <w:szCs w:val="24"/>
        </w:rPr>
        <w:t>’s initial paragraph</w:t>
      </w:r>
      <w:r>
        <w:rPr>
          <w:rFonts w:ascii="Times New Roman" w:hAnsi="Times New Roman"/>
          <w:bCs/>
          <w:color w:val="000000" w:themeColor="text1"/>
          <w:sz w:val="24"/>
          <w:szCs w:val="24"/>
        </w:rPr>
        <w:t xml:space="preserve"> offers a </w:t>
      </w:r>
      <w:r w:rsidR="00DE07BF">
        <w:rPr>
          <w:rFonts w:ascii="Times New Roman" w:hAnsi="Times New Roman"/>
          <w:bCs/>
          <w:color w:val="000000" w:themeColor="text1"/>
          <w:sz w:val="24"/>
          <w:szCs w:val="24"/>
        </w:rPr>
        <w:t xml:space="preserve">referenced </w:t>
      </w:r>
      <w:r>
        <w:rPr>
          <w:rFonts w:ascii="Times New Roman" w:hAnsi="Times New Roman"/>
          <w:bCs/>
          <w:color w:val="000000" w:themeColor="text1"/>
          <w:sz w:val="24"/>
          <w:szCs w:val="24"/>
        </w:rPr>
        <w:t>list</w:t>
      </w:r>
      <w:r w:rsidR="009B6334">
        <w:rPr>
          <w:rFonts w:ascii="Times New Roman" w:hAnsi="Times New Roman"/>
          <w:bCs/>
          <w:color w:val="000000" w:themeColor="text1"/>
          <w:sz w:val="24"/>
          <w:szCs w:val="24"/>
        </w:rPr>
        <w:t xml:space="preserve"> of </w:t>
      </w:r>
      <w:r>
        <w:rPr>
          <w:rFonts w:ascii="Times New Roman" w:hAnsi="Times New Roman"/>
          <w:bCs/>
          <w:color w:val="000000" w:themeColor="text1"/>
          <w:sz w:val="24"/>
          <w:szCs w:val="24"/>
        </w:rPr>
        <w:t>‘social psychological theories’</w:t>
      </w:r>
      <w:r w:rsidR="009B6334">
        <w:rPr>
          <w:rFonts w:ascii="Times New Roman" w:hAnsi="Times New Roman"/>
          <w:bCs/>
          <w:color w:val="000000" w:themeColor="text1"/>
          <w:sz w:val="24"/>
          <w:szCs w:val="24"/>
        </w:rPr>
        <w:t xml:space="preserve"> </w:t>
      </w:r>
      <w:r w:rsidR="00654CFC">
        <w:rPr>
          <w:rFonts w:ascii="Times New Roman" w:hAnsi="Times New Roman"/>
          <w:bCs/>
          <w:color w:val="000000" w:themeColor="text1"/>
          <w:sz w:val="24"/>
          <w:szCs w:val="24"/>
        </w:rPr>
        <w:t>on</w:t>
      </w:r>
      <w:r w:rsidR="009B6334">
        <w:rPr>
          <w:rFonts w:ascii="Times New Roman" w:hAnsi="Times New Roman"/>
          <w:bCs/>
          <w:color w:val="000000" w:themeColor="text1"/>
          <w:sz w:val="24"/>
          <w:szCs w:val="24"/>
        </w:rPr>
        <w:t xml:space="preserve"> ‘cognitive consistency’</w:t>
      </w:r>
      <w:r w:rsidR="00654CFC">
        <w:rPr>
          <w:rFonts w:ascii="Times New Roman" w:hAnsi="Times New Roman"/>
          <w:bCs/>
          <w:color w:val="000000" w:themeColor="text1"/>
          <w:sz w:val="24"/>
          <w:szCs w:val="24"/>
        </w:rPr>
        <w:t xml:space="preserve"> which are neither revisited nor</w:t>
      </w:r>
      <w:r w:rsidR="009B6334">
        <w:rPr>
          <w:rFonts w:ascii="Times New Roman" w:hAnsi="Times New Roman"/>
          <w:bCs/>
          <w:color w:val="000000" w:themeColor="text1"/>
          <w:sz w:val="24"/>
          <w:szCs w:val="24"/>
        </w:rPr>
        <w:t xml:space="preserve"> ultimately applied to his results.</w:t>
      </w:r>
      <w:r w:rsidR="008618EB">
        <w:rPr>
          <w:rStyle w:val="FootnoteReference"/>
          <w:rFonts w:ascii="Times New Roman" w:hAnsi="Times New Roman"/>
          <w:bCs/>
          <w:color w:val="000000" w:themeColor="text1"/>
          <w:sz w:val="24"/>
          <w:szCs w:val="24"/>
        </w:rPr>
        <w:footnoteReference w:id="16"/>
      </w:r>
      <w:r w:rsidR="00496B80">
        <w:rPr>
          <w:rFonts w:ascii="Times New Roman" w:hAnsi="Times New Roman"/>
          <w:bCs/>
          <w:color w:val="000000" w:themeColor="text1"/>
          <w:sz w:val="24"/>
          <w:szCs w:val="24"/>
        </w:rPr>
        <w:t xml:space="preserve"> </w:t>
      </w:r>
      <w:r w:rsidR="00603211">
        <w:rPr>
          <w:rFonts w:ascii="Times New Roman" w:hAnsi="Times New Roman"/>
          <w:bCs/>
          <w:color w:val="000000" w:themeColor="text1"/>
          <w:sz w:val="24"/>
          <w:szCs w:val="24"/>
        </w:rPr>
        <w:t xml:space="preserve">Further, </w:t>
      </w:r>
      <w:r w:rsidR="00E93AE3">
        <w:rPr>
          <w:rFonts w:ascii="Times New Roman" w:hAnsi="Times New Roman"/>
          <w:bCs/>
          <w:color w:val="000000" w:themeColor="text1"/>
          <w:sz w:val="24"/>
          <w:szCs w:val="24"/>
        </w:rPr>
        <w:t>Brink</w:t>
      </w:r>
      <w:r w:rsidR="00603211">
        <w:rPr>
          <w:rFonts w:ascii="Times New Roman" w:hAnsi="Times New Roman"/>
          <w:bCs/>
          <w:color w:val="000000" w:themeColor="text1"/>
          <w:sz w:val="24"/>
          <w:szCs w:val="24"/>
        </w:rPr>
        <w:t xml:space="preserve"> does not </w:t>
      </w:r>
      <w:r w:rsidR="00496B80">
        <w:rPr>
          <w:rFonts w:ascii="Times New Roman" w:hAnsi="Times New Roman"/>
          <w:bCs/>
          <w:color w:val="000000" w:themeColor="text1"/>
          <w:sz w:val="24"/>
          <w:szCs w:val="24"/>
        </w:rPr>
        <w:t>explicitly link</w:t>
      </w:r>
      <w:r w:rsidR="003B6B50">
        <w:rPr>
          <w:rFonts w:ascii="Times New Roman" w:hAnsi="Times New Roman"/>
          <w:bCs/>
          <w:color w:val="000000" w:themeColor="text1"/>
          <w:sz w:val="24"/>
          <w:szCs w:val="24"/>
        </w:rPr>
        <w:t xml:space="preserve"> said theories</w:t>
      </w:r>
      <w:r w:rsidR="00496B80">
        <w:rPr>
          <w:rFonts w:ascii="Times New Roman" w:hAnsi="Times New Roman"/>
          <w:bCs/>
          <w:color w:val="000000" w:themeColor="text1"/>
          <w:sz w:val="24"/>
          <w:szCs w:val="24"/>
        </w:rPr>
        <w:t xml:space="preserve"> to </w:t>
      </w:r>
      <w:r w:rsidR="00E93AE3">
        <w:rPr>
          <w:rFonts w:ascii="Times New Roman" w:hAnsi="Times New Roman"/>
          <w:bCs/>
          <w:color w:val="000000" w:themeColor="text1"/>
          <w:sz w:val="24"/>
          <w:szCs w:val="24"/>
        </w:rPr>
        <w:t>his</w:t>
      </w:r>
      <w:r w:rsidR="00496B80">
        <w:rPr>
          <w:rFonts w:ascii="Times New Roman" w:hAnsi="Times New Roman"/>
          <w:bCs/>
          <w:color w:val="000000" w:themeColor="text1"/>
          <w:sz w:val="24"/>
          <w:szCs w:val="24"/>
        </w:rPr>
        <w:t xml:space="preserve"> hypothesis that</w:t>
      </w:r>
      <w:r w:rsidR="001C0D69">
        <w:rPr>
          <w:rFonts w:ascii="Times New Roman" w:hAnsi="Times New Roman"/>
          <w:bCs/>
          <w:color w:val="000000" w:themeColor="text1"/>
          <w:sz w:val="24"/>
          <w:szCs w:val="24"/>
        </w:rPr>
        <w:t xml:space="preserve"> his subjects will hold</w:t>
      </w:r>
      <w:r w:rsidR="00496B80">
        <w:rPr>
          <w:rFonts w:ascii="Times New Roman" w:hAnsi="Times New Roman"/>
          <w:bCs/>
          <w:color w:val="000000" w:themeColor="text1"/>
          <w:sz w:val="24"/>
          <w:szCs w:val="24"/>
        </w:rPr>
        <w:t xml:space="preserve"> </w:t>
      </w:r>
      <w:r w:rsidR="003B6B50">
        <w:rPr>
          <w:rFonts w:ascii="Times New Roman" w:hAnsi="Times New Roman"/>
          <w:bCs/>
          <w:color w:val="000000" w:themeColor="text1"/>
          <w:sz w:val="24"/>
          <w:szCs w:val="24"/>
        </w:rPr>
        <w:t>only one belief-set</w:t>
      </w:r>
      <w:r w:rsidR="00496B80">
        <w:rPr>
          <w:rFonts w:ascii="Times New Roman" w:hAnsi="Times New Roman"/>
          <w:bCs/>
          <w:color w:val="000000" w:themeColor="text1"/>
          <w:sz w:val="24"/>
          <w:szCs w:val="24"/>
        </w:rPr>
        <w:t>.</w:t>
      </w:r>
      <w:r w:rsidR="00496B80">
        <w:rPr>
          <w:rStyle w:val="FootnoteReference"/>
          <w:rFonts w:ascii="Times New Roman" w:hAnsi="Times New Roman"/>
          <w:bCs/>
          <w:color w:val="000000" w:themeColor="text1"/>
          <w:sz w:val="24"/>
          <w:szCs w:val="24"/>
        </w:rPr>
        <w:footnoteReference w:id="17"/>
      </w:r>
      <w:r w:rsidR="007B674D">
        <w:rPr>
          <w:rFonts w:ascii="Times New Roman" w:hAnsi="Times New Roman"/>
          <w:bCs/>
          <w:color w:val="000000" w:themeColor="text1"/>
          <w:sz w:val="24"/>
          <w:szCs w:val="24"/>
        </w:rPr>
        <w:t xml:space="preserve"> Whether </w:t>
      </w:r>
      <w:r w:rsidR="00DA7420">
        <w:rPr>
          <w:rFonts w:ascii="Times New Roman" w:hAnsi="Times New Roman"/>
          <w:bCs/>
          <w:color w:val="000000" w:themeColor="text1"/>
          <w:sz w:val="24"/>
          <w:szCs w:val="24"/>
        </w:rPr>
        <w:t>he</w:t>
      </w:r>
      <w:r w:rsidR="007B674D">
        <w:rPr>
          <w:rFonts w:ascii="Times New Roman" w:hAnsi="Times New Roman"/>
          <w:bCs/>
          <w:color w:val="000000" w:themeColor="text1"/>
          <w:sz w:val="24"/>
          <w:szCs w:val="24"/>
        </w:rPr>
        <w:t xml:space="preserve"> considers it implicit that pupils attending a Roman Catholic school will adhere to a single set of beliefs (Roman Catholic</w:t>
      </w:r>
      <w:r w:rsidR="008C7671">
        <w:rPr>
          <w:rFonts w:ascii="Times New Roman" w:hAnsi="Times New Roman"/>
          <w:bCs/>
          <w:color w:val="000000" w:themeColor="text1"/>
          <w:sz w:val="24"/>
          <w:szCs w:val="24"/>
        </w:rPr>
        <w:t>ism</w:t>
      </w:r>
      <w:r w:rsidR="007B674D">
        <w:rPr>
          <w:rFonts w:ascii="Times New Roman" w:hAnsi="Times New Roman"/>
          <w:bCs/>
          <w:color w:val="000000" w:themeColor="text1"/>
          <w:sz w:val="24"/>
          <w:szCs w:val="24"/>
        </w:rPr>
        <w:t>, reincarnation, or astrology) seems irrelevant: through the lack of explicit justification of this hypothesis,</w:t>
      </w:r>
      <w:r w:rsidR="00BD6EBB">
        <w:rPr>
          <w:rFonts w:ascii="Times New Roman" w:hAnsi="Times New Roman"/>
          <w:bCs/>
          <w:color w:val="000000" w:themeColor="text1"/>
          <w:sz w:val="24"/>
          <w:szCs w:val="24"/>
        </w:rPr>
        <w:t xml:space="preserve"> </w:t>
      </w:r>
      <w:r w:rsidR="007C3839">
        <w:rPr>
          <w:rFonts w:ascii="Times New Roman" w:hAnsi="Times New Roman"/>
          <w:bCs/>
          <w:color w:val="000000" w:themeColor="text1"/>
          <w:sz w:val="24"/>
          <w:szCs w:val="24"/>
        </w:rPr>
        <w:t xml:space="preserve">the reader is unable to </w:t>
      </w:r>
      <w:r w:rsidR="00DA7420">
        <w:rPr>
          <w:rFonts w:ascii="Times New Roman" w:hAnsi="Times New Roman"/>
          <w:bCs/>
          <w:color w:val="000000" w:themeColor="text1"/>
          <w:sz w:val="24"/>
          <w:szCs w:val="24"/>
        </w:rPr>
        <w:t>gauge</w:t>
      </w:r>
      <w:r w:rsidR="007C3839">
        <w:rPr>
          <w:rFonts w:ascii="Times New Roman" w:hAnsi="Times New Roman"/>
          <w:bCs/>
          <w:color w:val="000000" w:themeColor="text1"/>
          <w:sz w:val="24"/>
          <w:szCs w:val="24"/>
        </w:rPr>
        <w:t xml:space="preserve"> Brink’s mindset or motives. </w:t>
      </w:r>
      <w:r w:rsidR="00BD6EBB">
        <w:rPr>
          <w:rFonts w:ascii="Times New Roman" w:hAnsi="Times New Roman"/>
          <w:bCs/>
          <w:color w:val="000000" w:themeColor="text1"/>
          <w:sz w:val="24"/>
          <w:szCs w:val="24"/>
        </w:rPr>
        <w:t xml:space="preserve">This </w:t>
      </w:r>
      <w:r w:rsidR="0073292D">
        <w:rPr>
          <w:rFonts w:ascii="Times New Roman" w:hAnsi="Times New Roman"/>
          <w:bCs/>
          <w:color w:val="000000" w:themeColor="text1"/>
          <w:sz w:val="24"/>
          <w:szCs w:val="24"/>
        </w:rPr>
        <w:t>void between previous research on people’s</w:t>
      </w:r>
      <w:r w:rsidR="00603211">
        <w:rPr>
          <w:rFonts w:ascii="Times New Roman" w:hAnsi="Times New Roman"/>
          <w:bCs/>
          <w:color w:val="000000" w:themeColor="text1"/>
          <w:sz w:val="24"/>
          <w:szCs w:val="24"/>
        </w:rPr>
        <w:t xml:space="preserve"> </w:t>
      </w:r>
      <w:r w:rsidR="0073292D">
        <w:rPr>
          <w:rFonts w:ascii="Times New Roman" w:hAnsi="Times New Roman"/>
          <w:bCs/>
          <w:color w:val="000000" w:themeColor="text1"/>
          <w:sz w:val="24"/>
          <w:szCs w:val="24"/>
        </w:rPr>
        <w:t>relationships with reincarnation</w:t>
      </w:r>
      <w:r w:rsidR="00CE50EB">
        <w:rPr>
          <w:rFonts w:ascii="Times New Roman" w:hAnsi="Times New Roman"/>
          <w:bCs/>
          <w:color w:val="000000" w:themeColor="text1"/>
          <w:sz w:val="24"/>
          <w:szCs w:val="24"/>
        </w:rPr>
        <w:t xml:space="preserve"> (as demonstrated by Walter and Waterhouse</w:t>
      </w:r>
      <w:r w:rsidR="0073292D">
        <w:rPr>
          <w:rFonts w:ascii="Times New Roman" w:hAnsi="Times New Roman"/>
          <w:bCs/>
          <w:color w:val="000000" w:themeColor="text1"/>
          <w:sz w:val="24"/>
          <w:szCs w:val="24"/>
        </w:rPr>
        <w:t>)</w:t>
      </w:r>
      <w:r w:rsidR="004F565E">
        <w:rPr>
          <w:rFonts w:ascii="Times New Roman" w:hAnsi="Times New Roman"/>
          <w:bCs/>
          <w:color w:val="000000" w:themeColor="text1"/>
          <w:sz w:val="24"/>
          <w:szCs w:val="24"/>
        </w:rPr>
        <w:t>, together with ignoring</w:t>
      </w:r>
      <w:r w:rsidR="00172D58">
        <w:rPr>
          <w:rFonts w:ascii="Times New Roman" w:hAnsi="Times New Roman"/>
          <w:bCs/>
          <w:color w:val="000000" w:themeColor="text1"/>
          <w:sz w:val="24"/>
          <w:szCs w:val="24"/>
        </w:rPr>
        <w:t>/</w:t>
      </w:r>
      <w:r w:rsidR="00CF1A33">
        <w:rPr>
          <w:rFonts w:ascii="Times New Roman" w:hAnsi="Times New Roman"/>
          <w:bCs/>
          <w:color w:val="000000" w:themeColor="text1"/>
          <w:sz w:val="24"/>
          <w:szCs w:val="24"/>
        </w:rPr>
        <w:t xml:space="preserve">being unaware of </w:t>
      </w:r>
      <w:r w:rsidR="004F565E">
        <w:rPr>
          <w:rFonts w:ascii="Times New Roman" w:hAnsi="Times New Roman"/>
          <w:bCs/>
          <w:color w:val="000000" w:themeColor="text1"/>
          <w:sz w:val="24"/>
          <w:szCs w:val="24"/>
        </w:rPr>
        <w:t>Alan Leo’s work linking belief in astrology and reincarnation</w:t>
      </w:r>
      <w:r w:rsidR="0073292D">
        <w:rPr>
          <w:rFonts w:ascii="Times New Roman" w:hAnsi="Times New Roman"/>
          <w:bCs/>
          <w:color w:val="000000" w:themeColor="text1"/>
          <w:sz w:val="24"/>
          <w:szCs w:val="24"/>
        </w:rPr>
        <w:t xml:space="preserve"> </w:t>
      </w:r>
      <w:r w:rsidR="0019239B">
        <w:rPr>
          <w:rFonts w:ascii="Times New Roman" w:hAnsi="Times New Roman"/>
          <w:bCs/>
          <w:color w:val="000000" w:themeColor="text1"/>
          <w:sz w:val="24"/>
          <w:szCs w:val="24"/>
        </w:rPr>
        <w:t xml:space="preserve">somewhat </w:t>
      </w:r>
      <w:r w:rsidR="007B62F9">
        <w:rPr>
          <w:rFonts w:ascii="Times New Roman" w:hAnsi="Times New Roman"/>
          <w:bCs/>
          <w:color w:val="000000" w:themeColor="text1"/>
          <w:sz w:val="24"/>
          <w:szCs w:val="24"/>
        </w:rPr>
        <w:t>contextualise</w:t>
      </w:r>
      <w:r w:rsidR="004F565E">
        <w:rPr>
          <w:rFonts w:ascii="Times New Roman" w:hAnsi="Times New Roman"/>
          <w:bCs/>
          <w:color w:val="000000" w:themeColor="text1"/>
          <w:sz w:val="24"/>
          <w:szCs w:val="24"/>
        </w:rPr>
        <w:t>s</w:t>
      </w:r>
      <w:r w:rsidR="0073292D">
        <w:rPr>
          <w:rFonts w:ascii="Times New Roman" w:hAnsi="Times New Roman"/>
          <w:bCs/>
          <w:color w:val="000000" w:themeColor="text1"/>
          <w:sz w:val="24"/>
          <w:szCs w:val="24"/>
        </w:rPr>
        <w:t xml:space="preserve"> the structure of Brink’s questionnaire.</w:t>
      </w:r>
      <w:r w:rsidR="0073292D">
        <w:rPr>
          <w:rStyle w:val="FootnoteReference"/>
          <w:rFonts w:ascii="Times New Roman" w:hAnsi="Times New Roman"/>
          <w:bCs/>
          <w:color w:val="000000" w:themeColor="text1"/>
          <w:sz w:val="24"/>
          <w:szCs w:val="24"/>
        </w:rPr>
        <w:footnoteReference w:id="18"/>
      </w:r>
      <w:r w:rsidR="0073292D">
        <w:rPr>
          <w:rFonts w:ascii="Times New Roman" w:hAnsi="Times New Roman"/>
          <w:bCs/>
          <w:color w:val="000000" w:themeColor="text1"/>
          <w:sz w:val="24"/>
          <w:szCs w:val="24"/>
        </w:rPr>
        <w:t xml:space="preserve"> </w:t>
      </w:r>
      <w:r w:rsidR="00155D02">
        <w:rPr>
          <w:rFonts w:ascii="Times New Roman" w:hAnsi="Times New Roman"/>
          <w:bCs/>
          <w:color w:val="000000" w:themeColor="text1"/>
          <w:sz w:val="24"/>
          <w:szCs w:val="24"/>
        </w:rPr>
        <w:t>Of the fourteen yes/no questions, twelve position respondents on a</w:t>
      </w:r>
      <w:r w:rsidR="000F2054">
        <w:rPr>
          <w:rFonts w:ascii="Times New Roman" w:hAnsi="Times New Roman"/>
          <w:bCs/>
          <w:color w:val="000000" w:themeColor="text1"/>
          <w:sz w:val="24"/>
          <w:szCs w:val="24"/>
        </w:rPr>
        <w:t xml:space="preserve">n </w:t>
      </w:r>
      <w:r w:rsidR="00155D02">
        <w:rPr>
          <w:rFonts w:ascii="Times New Roman" w:hAnsi="Times New Roman"/>
          <w:bCs/>
          <w:color w:val="000000" w:themeColor="text1"/>
          <w:sz w:val="24"/>
          <w:szCs w:val="24"/>
        </w:rPr>
        <w:t>integration</w:t>
      </w:r>
      <w:r w:rsidR="000F2054">
        <w:rPr>
          <w:rFonts w:ascii="Times New Roman" w:hAnsi="Times New Roman"/>
          <w:bCs/>
          <w:color w:val="000000" w:themeColor="text1"/>
          <w:sz w:val="24"/>
          <w:szCs w:val="24"/>
        </w:rPr>
        <w:t>-scale</w:t>
      </w:r>
      <w:r w:rsidR="00155D02">
        <w:rPr>
          <w:rFonts w:ascii="Times New Roman" w:hAnsi="Times New Roman"/>
          <w:bCs/>
          <w:color w:val="000000" w:themeColor="text1"/>
          <w:sz w:val="24"/>
          <w:szCs w:val="24"/>
        </w:rPr>
        <w:t xml:space="preserve"> within the Roman Catholic faith, whereas belief in reincarnation is allotted a single query.</w:t>
      </w:r>
      <w:r w:rsidR="00155D02">
        <w:rPr>
          <w:rStyle w:val="FootnoteReference"/>
          <w:rFonts w:ascii="Times New Roman" w:hAnsi="Times New Roman"/>
          <w:bCs/>
          <w:color w:val="000000" w:themeColor="text1"/>
          <w:sz w:val="24"/>
          <w:szCs w:val="24"/>
        </w:rPr>
        <w:footnoteReference w:id="19"/>
      </w:r>
      <w:r w:rsidR="00155D02">
        <w:rPr>
          <w:rFonts w:ascii="Times New Roman" w:hAnsi="Times New Roman"/>
          <w:bCs/>
          <w:color w:val="000000" w:themeColor="text1"/>
          <w:sz w:val="24"/>
          <w:szCs w:val="24"/>
        </w:rPr>
        <w:t xml:space="preserve"> </w:t>
      </w:r>
      <w:r w:rsidR="004B5905">
        <w:rPr>
          <w:rFonts w:ascii="Times New Roman" w:hAnsi="Times New Roman"/>
          <w:bCs/>
          <w:color w:val="000000" w:themeColor="text1"/>
          <w:sz w:val="24"/>
          <w:szCs w:val="24"/>
        </w:rPr>
        <w:t xml:space="preserve">Brink, not a Roman Catholic schoolgirl himself nor </w:t>
      </w:r>
      <w:r w:rsidR="00626B5B">
        <w:rPr>
          <w:rFonts w:ascii="Times New Roman" w:hAnsi="Times New Roman"/>
          <w:bCs/>
          <w:color w:val="000000" w:themeColor="text1"/>
          <w:sz w:val="24"/>
          <w:szCs w:val="24"/>
        </w:rPr>
        <w:t>potentially personally</w:t>
      </w:r>
      <w:r w:rsidR="004B5905">
        <w:rPr>
          <w:rFonts w:ascii="Times New Roman" w:hAnsi="Times New Roman"/>
          <w:bCs/>
          <w:color w:val="000000" w:themeColor="text1"/>
          <w:sz w:val="24"/>
          <w:szCs w:val="24"/>
        </w:rPr>
        <w:t xml:space="preserve"> engaging with</w:t>
      </w:r>
      <w:r w:rsidR="00626B5B">
        <w:rPr>
          <w:rFonts w:ascii="Times New Roman" w:hAnsi="Times New Roman"/>
          <w:bCs/>
          <w:color w:val="000000" w:themeColor="text1"/>
          <w:sz w:val="24"/>
          <w:szCs w:val="24"/>
        </w:rPr>
        <w:t xml:space="preserve"> them</w:t>
      </w:r>
      <w:r w:rsidR="004B5905">
        <w:rPr>
          <w:rFonts w:ascii="Times New Roman" w:hAnsi="Times New Roman"/>
          <w:bCs/>
          <w:color w:val="000000" w:themeColor="text1"/>
          <w:sz w:val="24"/>
          <w:szCs w:val="24"/>
        </w:rPr>
        <w:t>, is an outsider gathering quantitative data.</w:t>
      </w:r>
      <w:r w:rsidR="007A1DB6">
        <w:rPr>
          <w:rFonts w:ascii="Times New Roman" w:hAnsi="Times New Roman"/>
          <w:bCs/>
          <w:color w:val="000000" w:themeColor="text1"/>
          <w:sz w:val="24"/>
          <w:szCs w:val="24"/>
        </w:rPr>
        <w:t xml:space="preserve"> Making the questionnaire part of a ‘required</w:t>
      </w:r>
      <w:r w:rsidR="00922DF9">
        <w:rPr>
          <w:rFonts w:ascii="Times New Roman" w:hAnsi="Times New Roman"/>
          <w:bCs/>
          <w:color w:val="000000" w:themeColor="text1"/>
          <w:sz w:val="24"/>
          <w:szCs w:val="24"/>
        </w:rPr>
        <w:t>’ ‘religion class’ appears to ignore both privacy issues and the problematic nature of requiring responses from vulnerable teenagers.</w:t>
      </w:r>
      <w:r w:rsidR="00DC625B">
        <w:rPr>
          <w:rStyle w:val="FootnoteReference"/>
          <w:rFonts w:ascii="Times New Roman" w:hAnsi="Times New Roman"/>
          <w:bCs/>
          <w:color w:val="000000" w:themeColor="text1"/>
          <w:sz w:val="24"/>
          <w:szCs w:val="24"/>
        </w:rPr>
        <w:footnoteReference w:id="20"/>
      </w:r>
      <w:r w:rsidR="00922DF9">
        <w:rPr>
          <w:rFonts w:ascii="Times New Roman" w:hAnsi="Times New Roman"/>
          <w:bCs/>
          <w:color w:val="000000" w:themeColor="text1"/>
          <w:sz w:val="24"/>
          <w:szCs w:val="24"/>
        </w:rPr>
        <w:t xml:space="preserve"> Brink</w:t>
      </w:r>
      <w:r w:rsidR="00A02CEF">
        <w:rPr>
          <w:rFonts w:ascii="Times New Roman" w:hAnsi="Times New Roman"/>
          <w:bCs/>
          <w:color w:val="000000" w:themeColor="text1"/>
          <w:sz w:val="24"/>
          <w:szCs w:val="24"/>
        </w:rPr>
        <w:t>,</w:t>
      </w:r>
      <w:r w:rsidR="004B5905">
        <w:rPr>
          <w:rFonts w:ascii="Times New Roman" w:hAnsi="Times New Roman"/>
          <w:bCs/>
          <w:color w:val="000000" w:themeColor="text1"/>
          <w:sz w:val="24"/>
          <w:szCs w:val="24"/>
        </w:rPr>
        <w:t xml:space="preserve"> draw</w:t>
      </w:r>
      <w:r w:rsidR="00A02CEF">
        <w:rPr>
          <w:rFonts w:ascii="Times New Roman" w:hAnsi="Times New Roman"/>
          <w:bCs/>
          <w:color w:val="000000" w:themeColor="text1"/>
          <w:sz w:val="24"/>
          <w:szCs w:val="24"/>
        </w:rPr>
        <w:t>ing</w:t>
      </w:r>
      <w:r w:rsidR="004B5905">
        <w:rPr>
          <w:rFonts w:ascii="Times New Roman" w:hAnsi="Times New Roman"/>
          <w:bCs/>
          <w:color w:val="000000" w:themeColor="text1"/>
          <w:sz w:val="24"/>
          <w:szCs w:val="24"/>
        </w:rPr>
        <w:t xml:space="preserve"> conclusions based on </w:t>
      </w:r>
      <w:r w:rsidR="00922DF9">
        <w:rPr>
          <w:rFonts w:ascii="Times New Roman" w:hAnsi="Times New Roman"/>
          <w:bCs/>
          <w:color w:val="000000" w:themeColor="text1"/>
          <w:sz w:val="24"/>
          <w:szCs w:val="24"/>
        </w:rPr>
        <w:t xml:space="preserve">this questionably-sourced </w:t>
      </w:r>
      <w:r w:rsidR="004B5905">
        <w:rPr>
          <w:rFonts w:ascii="Times New Roman" w:hAnsi="Times New Roman"/>
          <w:bCs/>
          <w:color w:val="000000" w:themeColor="text1"/>
          <w:sz w:val="24"/>
          <w:szCs w:val="24"/>
        </w:rPr>
        <w:t>numerica</w:t>
      </w:r>
      <w:r w:rsidR="00A02CEF">
        <w:rPr>
          <w:rFonts w:ascii="Times New Roman" w:hAnsi="Times New Roman"/>
          <w:bCs/>
          <w:color w:val="000000" w:themeColor="text1"/>
          <w:sz w:val="24"/>
          <w:szCs w:val="24"/>
        </w:rPr>
        <w:t>l</w:t>
      </w:r>
      <w:r w:rsidR="004B5905">
        <w:rPr>
          <w:rFonts w:ascii="Times New Roman" w:hAnsi="Times New Roman"/>
          <w:bCs/>
          <w:color w:val="000000" w:themeColor="text1"/>
          <w:sz w:val="24"/>
          <w:szCs w:val="24"/>
        </w:rPr>
        <w:t xml:space="preserve"> data</w:t>
      </w:r>
      <w:r w:rsidR="00D24C08">
        <w:rPr>
          <w:rFonts w:ascii="Times New Roman" w:hAnsi="Times New Roman"/>
          <w:bCs/>
          <w:color w:val="000000" w:themeColor="text1"/>
          <w:sz w:val="24"/>
          <w:szCs w:val="24"/>
        </w:rPr>
        <w:t>, leav</w:t>
      </w:r>
      <w:r w:rsidR="00A02CEF">
        <w:rPr>
          <w:rFonts w:ascii="Times New Roman" w:hAnsi="Times New Roman"/>
          <w:bCs/>
          <w:color w:val="000000" w:themeColor="text1"/>
          <w:sz w:val="24"/>
          <w:szCs w:val="24"/>
        </w:rPr>
        <w:t>es himself</w:t>
      </w:r>
      <w:r w:rsidR="00D24C08">
        <w:rPr>
          <w:rFonts w:ascii="Times New Roman" w:hAnsi="Times New Roman"/>
          <w:bCs/>
          <w:color w:val="000000" w:themeColor="text1"/>
          <w:sz w:val="24"/>
          <w:szCs w:val="24"/>
        </w:rPr>
        <w:t xml:space="preserve"> </w:t>
      </w:r>
      <w:r w:rsidR="004B5905">
        <w:rPr>
          <w:rFonts w:ascii="Times New Roman" w:hAnsi="Times New Roman"/>
          <w:bCs/>
          <w:color w:val="000000" w:themeColor="text1"/>
          <w:sz w:val="24"/>
          <w:szCs w:val="24"/>
        </w:rPr>
        <w:t>little scope for</w:t>
      </w:r>
      <w:r w:rsidR="003C57A5">
        <w:rPr>
          <w:rFonts w:ascii="Times New Roman" w:hAnsi="Times New Roman"/>
          <w:bCs/>
          <w:color w:val="000000" w:themeColor="text1"/>
          <w:sz w:val="24"/>
          <w:szCs w:val="24"/>
        </w:rPr>
        <w:t xml:space="preserve"> exploring</w:t>
      </w:r>
      <w:r w:rsidR="004B5905">
        <w:rPr>
          <w:rFonts w:ascii="Times New Roman" w:hAnsi="Times New Roman"/>
          <w:bCs/>
          <w:color w:val="000000" w:themeColor="text1"/>
          <w:sz w:val="24"/>
          <w:szCs w:val="24"/>
        </w:rPr>
        <w:t xml:space="preserve"> nuance</w:t>
      </w:r>
      <w:r w:rsidR="00D24C08">
        <w:rPr>
          <w:rFonts w:ascii="Times New Roman" w:hAnsi="Times New Roman"/>
          <w:bCs/>
          <w:color w:val="000000" w:themeColor="text1"/>
          <w:sz w:val="24"/>
          <w:szCs w:val="24"/>
        </w:rPr>
        <w:t>s</w:t>
      </w:r>
      <w:r w:rsidR="004B5905">
        <w:rPr>
          <w:rFonts w:ascii="Times New Roman" w:hAnsi="Times New Roman"/>
          <w:bCs/>
          <w:color w:val="000000" w:themeColor="text1"/>
          <w:sz w:val="24"/>
          <w:szCs w:val="24"/>
        </w:rPr>
        <w:t xml:space="preserve"> </w:t>
      </w:r>
      <w:r w:rsidR="00D24C08">
        <w:rPr>
          <w:rFonts w:ascii="Times New Roman" w:hAnsi="Times New Roman"/>
          <w:bCs/>
          <w:color w:val="000000" w:themeColor="text1"/>
          <w:sz w:val="24"/>
          <w:szCs w:val="24"/>
        </w:rPr>
        <w:t>within</w:t>
      </w:r>
      <w:r w:rsidR="004B5905">
        <w:rPr>
          <w:rFonts w:ascii="Times New Roman" w:hAnsi="Times New Roman"/>
          <w:bCs/>
          <w:color w:val="000000" w:themeColor="text1"/>
          <w:sz w:val="24"/>
          <w:szCs w:val="24"/>
        </w:rPr>
        <w:t xml:space="preserve"> personal belief</w:t>
      </w:r>
      <w:r w:rsidR="00D24C08">
        <w:rPr>
          <w:rFonts w:ascii="Times New Roman" w:hAnsi="Times New Roman"/>
          <w:bCs/>
          <w:color w:val="000000" w:themeColor="text1"/>
          <w:sz w:val="24"/>
          <w:szCs w:val="24"/>
        </w:rPr>
        <w:t>s</w:t>
      </w:r>
      <w:r w:rsidR="004B5905">
        <w:rPr>
          <w:rFonts w:ascii="Times New Roman" w:hAnsi="Times New Roman"/>
          <w:bCs/>
          <w:color w:val="000000" w:themeColor="text1"/>
          <w:sz w:val="24"/>
          <w:szCs w:val="24"/>
        </w:rPr>
        <w:t>.</w:t>
      </w:r>
      <w:r w:rsidR="00FF0238">
        <w:rPr>
          <w:rStyle w:val="FootnoteReference"/>
          <w:rFonts w:ascii="Times New Roman" w:hAnsi="Times New Roman"/>
          <w:bCs/>
          <w:color w:val="000000" w:themeColor="text1"/>
          <w:sz w:val="24"/>
          <w:szCs w:val="24"/>
        </w:rPr>
        <w:footnoteReference w:id="21"/>
      </w:r>
    </w:p>
    <w:p w14:paraId="5A801475" w14:textId="77777777" w:rsidR="00E272BC" w:rsidRDefault="00E272BC" w:rsidP="0032153E">
      <w:pPr>
        <w:pStyle w:val="NormalWeb"/>
        <w:spacing w:before="0" w:beforeAutospacing="0" w:after="0" w:afterAutospacing="0"/>
        <w:ind w:right="-334"/>
        <w:jc w:val="both"/>
        <w:rPr>
          <w:rFonts w:ascii="Times New Roman" w:hAnsi="Times New Roman"/>
          <w:b/>
          <w:bCs/>
          <w:color w:val="000000" w:themeColor="text1"/>
          <w:sz w:val="24"/>
          <w:szCs w:val="24"/>
        </w:rPr>
      </w:pPr>
    </w:p>
    <w:p w14:paraId="621A5C32" w14:textId="6A83B9E9" w:rsidR="0032153E" w:rsidRPr="00E272BC" w:rsidRDefault="0032153E" w:rsidP="0032153E">
      <w:pPr>
        <w:pStyle w:val="NormalWeb"/>
        <w:spacing w:before="0" w:beforeAutospacing="0" w:after="0" w:afterAutospacing="0"/>
        <w:ind w:right="-334"/>
        <w:jc w:val="both"/>
        <w:rPr>
          <w:rFonts w:ascii="Times New Roman" w:hAnsi="Times New Roman"/>
          <w:bCs/>
          <w:color w:val="000000" w:themeColor="text1"/>
          <w:sz w:val="24"/>
          <w:szCs w:val="24"/>
        </w:rPr>
      </w:pPr>
      <w:r>
        <w:rPr>
          <w:rFonts w:ascii="Times New Roman" w:hAnsi="Times New Roman"/>
          <w:b/>
          <w:bCs/>
          <w:color w:val="000000" w:themeColor="text1"/>
          <w:sz w:val="24"/>
          <w:szCs w:val="24"/>
        </w:rPr>
        <w:t>Sample</w:t>
      </w:r>
      <w:r w:rsidR="00180EBB">
        <w:rPr>
          <w:rFonts w:ascii="Times New Roman" w:hAnsi="Times New Roman"/>
          <w:b/>
          <w:bCs/>
          <w:color w:val="000000" w:themeColor="text1"/>
          <w:sz w:val="24"/>
          <w:szCs w:val="24"/>
        </w:rPr>
        <w:t xml:space="preserve"> Comparison</w:t>
      </w:r>
    </w:p>
    <w:p w14:paraId="31FD4B1E" w14:textId="7E894F97" w:rsidR="00064B33" w:rsidRDefault="000C4B9B" w:rsidP="00064B33">
      <w:pPr>
        <w:jc w:val="both"/>
        <w:rPr>
          <w:rFonts w:eastAsiaTheme="minorHAnsi"/>
          <w:lang w:eastAsia="en-GB"/>
        </w:rPr>
      </w:pPr>
      <w:r>
        <w:rPr>
          <w:bCs/>
          <w:color w:val="000000" w:themeColor="text1"/>
        </w:rPr>
        <w:t>A</w:t>
      </w:r>
      <w:r w:rsidR="0011123D">
        <w:rPr>
          <w:bCs/>
          <w:color w:val="000000" w:themeColor="text1"/>
        </w:rPr>
        <w:t xml:space="preserve"> clear</w:t>
      </w:r>
      <w:r>
        <w:rPr>
          <w:bCs/>
          <w:color w:val="000000" w:themeColor="text1"/>
        </w:rPr>
        <w:t xml:space="preserve"> subject for qualitative investigation is presented from the outset in Walter and </w:t>
      </w:r>
      <w:proofErr w:type="spellStart"/>
      <w:r>
        <w:rPr>
          <w:bCs/>
          <w:color w:val="000000" w:themeColor="text1"/>
        </w:rPr>
        <w:t>Waterhouses’s</w:t>
      </w:r>
      <w:proofErr w:type="spellEnd"/>
      <w:r>
        <w:rPr>
          <w:bCs/>
          <w:color w:val="000000" w:themeColor="text1"/>
        </w:rPr>
        <w:t xml:space="preserve"> paper</w:t>
      </w:r>
      <w:r w:rsidR="008F45CE">
        <w:rPr>
          <w:bCs/>
          <w:color w:val="000000" w:themeColor="text1"/>
        </w:rPr>
        <w:t xml:space="preserve">: the exploration of results presented quantitatively as being </w:t>
      </w:r>
      <w:r w:rsidR="0011123D">
        <w:rPr>
          <w:bCs/>
          <w:color w:val="000000" w:themeColor="text1"/>
        </w:rPr>
        <w:t>unambiguous</w:t>
      </w:r>
      <w:r w:rsidR="008F45CE">
        <w:rPr>
          <w:bCs/>
          <w:color w:val="000000" w:themeColor="text1"/>
        </w:rPr>
        <w:t>.</w:t>
      </w:r>
      <w:r w:rsidR="008F45CE">
        <w:rPr>
          <w:rStyle w:val="FootnoteReference"/>
          <w:bCs/>
          <w:color w:val="000000" w:themeColor="text1"/>
        </w:rPr>
        <w:footnoteReference w:id="22"/>
      </w:r>
      <w:r w:rsidR="008F45CE">
        <w:rPr>
          <w:bCs/>
          <w:color w:val="000000" w:themeColor="text1"/>
        </w:rPr>
        <w:t xml:space="preserve"> </w:t>
      </w:r>
      <w:r w:rsidR="00064B33">
        <w:rPr>
          <w:bCs/>
          <w:color w:val="000000" w:themeColor="text1"/>
        </w:rPr>
        <w:t>Reincarnation is presented by Walter and Waterhouse as a ‘deviant belief’ which</w:t>
      </w:r>
      <w:r w:rsidR="0083455F">
        <w:rPr>
          <w:bCs/>
          <w:color w:val="000000" w:themeColor="text1"/>
        </w:rPr>
        <w:t>, belonging to neither Christianity nor secularism,</w:t>
      </w:r>
      <w:r w:rsidR="00064B33">
        <w:rPr>
          <w:bCs/>
          <w:color w:val="000000" w:themeColor="text1"/>
        </w:rPr>
        <w:t xml:space="preserve"> their interviewees ‘”ought” not to </w:t>
      </w:r>
      <w:r w:rsidR="00064B33">
        <w:rPr>
          <w:bCs/>
          <w:color w:val="000000" w:themeColor="text1"/>
        </w:rPr>
        <w:lastRenderedPageBreak/>
        <w:t>hold’.</w:t>
      </w:r>
      <w:r w:rsidR="00064B33">
        <w:rPr>
          <w:rStyle w:val="FootnoteReference"/>
          <w:bCs/>
          <w:color w:val="000000" w:themeColor="text1"/>
        </w:rPr>
        <w:footnoteReference w:id="23"/>
      </w:r>
      <w:r w:rsidR="00064B33">
        <w:rPr>
          <w:bCs/>
          <w:color w:val="000000" w:themeColor="text1"/>
        </w:rPr>
        <w:t xml:space="preserve"> </w:t>
      </w:r>
      <w:r w:rsidR="00733FD3">
        <w:rPr>
          <w:bCs/>
          <w:color w:val="000000" w:themeColor="text1"/>
        </w:rPr>
        <w:t>H</w:t>
      </w:r>
      <w:r w:rsidR="00A904F6">
        <w:rPr>
          <w:bCs/>
          <w:color w:val="000000" w:themeColor="text1"/>
        </w:rPr>
        <w:t>oping to draw out opinions unshaped by</w:t>
      </w:r>
      <w:r w:rsidR="00490F50">
        <w:rPr>
          <w:bCs/>
          <w:color w:val="000000" w:themeColor="text1"/>
        </w:rPr>
        <w:t xml:space="preserve"> conformity to</w:t>
      </w:r>
      <w:r w:rsidR="00A904F6">
        <w:rPr>
          <w:bCs/>
          <w:color w:val="000000" w:themeColor="text1"/>
        </w:rPr>
        <w:t xml:space="preserve"> Eastern or New Age beliefs, those who adhered to the researchers’ perceptions of those belief-systems were screened</w:t>
      </w:r>
      <w:r w:rsidR="00733FD3">
        <w:rPr>
          <w:bCs/>
          <w:color w:val="000000" w:themeColor="text1"/>
        </w:rPr>
        <w:t>-</w:t>
      </w:r>
      <w:r w:rsidR="00A904F6">
        <w:rPr>
          <w:bCs/>
          <w:color w:val="000000" w:themeColor="text1"/>
        </w:rPr>
        <w:t>out of the research collection process.</w:t>
      </w:r>
      <w:r w:rsidR="00A904F6">
        <w:rPr>
          <w:rStyle w:val="FootnoteReference"/>
          <w:bCs/>
          <w:color w:val="000000" w:themeColor="text1"/>
        </w:rPr>
        <w:footnoteReference w:id="24"/>
      </w:r>
      <w:r w:rsidR="00A904F6">
        <w:rPr>
          <w:bCs/>
          <w:color w:val="000000" w:themeColor="text1"/>
        </w:rPr>
        <w:t xml:space="preserve"> </w:t>
      </w:r>
      <w:r w:rsidR="00DE143D">
        <w:rPr>
          <w:bCs/>
          <w:color w:val="000000" w:themeColor="text1"/>
        </w:rPr>
        <w:t>Walter and Waterhouse reflexively note that t</w:t>
      </w:r>
      <w:r w:rsidR="00490F50">
        <w:rPr>
          <w:bCs/>
          <w:color w:val="000000" w:themeColor="text1"/>
        </w:rPr>
        <w:t>his is</w:t>
      </w:r>
      <w:r w:rsidR="00706AF8">
        <w:rPr>
          <w:bCs/>
          <w:color w:val="000000" w:themeColor="text1"/>
        </w:rPr>
        <w:t xml:space="preserve"> </w:t>
      </w:r>
      <w:r w:rsidR="00490F50">
        <w:rPr>
          <w:bCs/>
          <w:color w:val="000000" w:themeColor="text1"/>
        </w:rPr>
        <w:t>problematic</w:t>
      </w:r>
      <w:r w:rsidR="00772A6F">
        <w:rPr>
          <w:bCs/>
          <w:color w:val="000000" w:themeColor="text1"/>
        </w:rPr>
        <w:t>, particularly</w:t>
      </w:r>
      <w:r w:rsidR="00706AF8">
        <w:rPr>
          <w:bCs/>
          <w:color w:val="000000" w:themeColor="text1"/>
        </w:rPr>
        <w:t xml:space="preserve"> as ‘defining the “New Age” is notoriously difficult’.</w:t>
      </w:r>
      <w:r w:rsidR="00706AF8">
        <w:rPr>
          <w:rStyle w:val="FootnoteReference"/>
          <w:bCs/>
          <w:color w:val="000000" w:themeColor="text1"/>
        </w:rPr>
        <w:footnoteReference w:id="25"/>
      </w:r>
      <w:r w:rsidR="00706AF8">
        <w:rPr>
          <w:bCs/>
          <w:color w:val="000000" w:themeColor="text1"/>
        </w:rPr>
        <w:t xml:space="preserve"> </w:t>
      </w:r>
      <w:r w:rsidR="005B6088">
        <w:rPr>
          <w:bCs/>
          <w:color w:val="000000" w:themeColor="text1"/>
        </w:rPr>
        <w:t>As interviews were being undertaken, the manageability of the number must be taken into consideration.</w:t>
      </w:r>
    </w:p>
    <w:p w14:paraId="17E1B1AD" w14:textId="77777777" w:rsidR="00516032" w:rsidRPr="000C4B9B" w:rsidRDefault="00516032" w:rsidP="0032153E">
      <w:pPr>
        <w:pStyle w:val="NormalWeb"/>
        <w:spacing w:before="0" w:beforeAutospacing="0" w:after="0" w:afterAutospacing="0"/>
        <w:ind w:right="-334"/>
        <w:jc w:val="both"/>
        <w:rPr>
          <w:rFonts w:ascii="Times New Roman" w:hAnsi="Times New Roman"/>
          <w:bCs/>
          <w:color w:val="000000" w:themeColor="text1"/>
          <w:sz w:val="24"/>
          <w:szCs w:val="24"/>
        </w:rPr>
      </w:pPr>
    </w:p>
    <w:p w14:paraId="6AAA9229" w14:textId="7BEFBEF6" w:rsidR="0032153E" w:rsidRDefault="000C4B9B" w:rsidP="00853738">
      <w:pPr>
        <w:pStyle w:val="NormalWeb"/>
        <w:spacing w:before="0" w:beforeAutospacing="0" w:after="0" w:afterAutospacing="0"/>
        <w:ind w:right="-334"/>
        <w:jc w:val="both"/>
        <w:rPr>
          <w:rFonts w:ascii="Times New Roman" w:hAnsi="Times New Roman"/>
          <w:bCs/>
          <w:color w:val="000000" w:themeColor="text1"/>
          <w:sz w:val="24"/>
          <w:szCs w:val="24"/>
        </w:rPr>
      </w:pPr>
      <w:r>
        <w:rPr>
          <w:rFonts w:ascii="Times New Roman" w:hAnsi="Times New Roman"/>
          <w:bCs/>
          <w:color w:val="000000" w:themeColor="text1"/>
          <w:sz w:val="24"/>
          <w:szCs w:val="24"/>
        </w:rPr>
        <w:t>The chain of relationships from the initial literature review to the sample size of research subjects is</w:t>
      </w:r>
      <w:r w:rsidR="0028015A">
        <w:rPr>
          <w:rFonts w:ascii="Times New Roman" w:hAnsi="Times New Roman"/>
          <w:bCs/>
          <w:color w:val="000000" w:themeColor="text1"/>
          <w:sz w:val="24"/>
          <w:szCs w:val="24"/>
        </w:rPr>
        <w:t xml:space="preserve"> significantly</w:t>
      </w:r>
      <w:r>
        <w:rPr>
          <w:rFonts w:ascii="Times New Roman" w:hAnsi="Times New Roman"/>
          <w:bCs/>
          <w:color w:val="000000" w:themeColor="text1"/>
          <w:sz w:val="24"/>
          <w:szCs w:val="24"/>
        </w:rPr>
        <w:t xml:space="preserve"> clearer in Walter and </w:t>
      </w:r>
      <w:proofErr w:type="spellStart"/>
      <w:r>
        <w:rPr>
          <w:rFonts w:ascii="Times New Roman" w:hAnsi="Times New Roman"/>
          <w:bCs/>
          <w:color w:val="000000" w:themeColor="text1"/>
          <w:sz w:val="24"/>
          <w:szCs w:val="24"/>
        </w:rPr>
        <w:t>Waterhouses’s</w:t>
      </w:r>
      <w:proofErr w:type="spellEnd"/>
      <w:r>
        <w:rPr>
          <w:rFonts w:ascii="Times New Roman" w:hAnsi="Times New Roman"/>
          <w:bCs/>
          <w:color w:val="000000" w:themeColor="text1"/>
          <w:sz w:val="24"/>
          <w:szCs w:val="24"/>
        </w:rPr>
        <w:t xml:space="preserve"> paper than in Brink’s.</w:t>
      </w:r>
      <w:r w:rsidR="0028015A">
        <w:rPr>
          <w:rFonts w:ascii="Times New Roman" w:hAnsi="Times New Roman"/>
          <w:bCs/>
          <w:color w:val="000000" w:themeColor="text1"/>
          <w:sz w:val="24"/>
          <w:szCs w:val="24"/>
        </w:rPr>
        <w:t xml:space="preserve"> Without explicit correlation between previous scholarship, the thought</w:t>
      </w:r>
      <w:r w:rsidR="009A1C13">
        <w:rPr>
          <w:rFonts w:ascii="Times New Roman" w:hAnsi="Times New Roman"/>
          <w:bCs/>
          <w:color w:val="000000" w:themeColor="text1"/>
          <w:sz w:val="24"/>
          <w:szCs w:val="24"/>
        </w:rPr>
        <w:t xml:space="preserve"> </w:t>
      </w:r>
      <w:r w:rsidR="0028015A">
        <w:rPr>
          <w:rFonts w:ascii="Times New Roman" w:hAnsi="Times New Roman"/>
          <w:bCs/>
          <w:color w:val="000000" w:themeColor="text1"/>
          <w:sz w:val="24"/>
          <w:szCs w:val="24"/>
        </w:rPr>
        <w:t xml:space="preserve">process which led to Brink particularly wanting to investigate the beliefs of </w:t>
      </w:r>
      <w:r w:rsidR="00F23903">
        <w:rPr>
          <w:rFonts w:ascii="Times New Roman" w:hAnsi="Times New Roman"/>
          <w:bCs/>
          <w:color w:val="000000" w:themeColor="text1"/>
          <w:sz w:val="24"/>
          <w:szCs w:val="24"/>
        </w:rPr>
        <w:t xml:space="preserve">more than two hundred </w:t>
      </w:r>
      <w:r w:rsidR="0028015A">
        <w:rPr>
          <w:rFonts w:ascii="Times New Roman" w:hAnsi="Times New Roman"/>
          <w:bCs/>
          <w:color w:val="000000" w:themeColor="text1"/>
          <w:sz w:val="24"/>
          <w:szCs w:val="24"/>
        </w:rPr>
        <w:t xml:space="preserve">teenage girls attending a Roman Catholic school is unclear. Without any mention of the practicalities of his data-collection methods, several lines of questioning remain unanswered </w:t>
      </w:r>
      <w:r w:rsidR="0034252D">
        <w:rPr>
          <w:rFonts w:ascii="Times New Roman" w:hAnsi="Times New Roman"/>
          <w:bCs/>
          <w:color w:val="000000" w:themeColor="text1"/>
          <w:sz w:val="24"/>
          <w:szCs w:val="24"/>
        </w:rPr>
        <w:t>(W</w:t>
      </w:r>
      <w:r w:rsidR="0028015A">
        <w:rPr>
          <w:rFonts w:ascii="Times New Roman" w:hAnsi="Times New Roman"/>
          <w:bCs/>
          <w:color w:val="000000" w:themeColor="text1"/>
          <w:sz w:val="24"/>
          <w:szCs w:val="24"/>
        </w:rPr>
        <w:t xml:space="preserve">as he present? </w:t>
      </w:r>
      <w:r w:rsidR="007C36E1">
        <w:rPr>
          <w:rFonts w:ascii="Times New Roman" w:hAnsi="Times New Roman"/>
          <w:bCs/>
          <w:color w:val="000000" w:themeColor="text1"/>
          <w:sz w:val="24"/>
          <w:szCs w:val="24"/>
        </w:rPr>
        <w:t>Were the completed questionnaires anonymous</w:t>
      </w:r>
      <w:r w:rsidR="00183072">
        <w:rPr>
          <w:rFonts w:ascii="Times New Roman" w:hAnsi="Times New Roman"/>
          <w:bCs/>
          <w:color w:val="000000" w:themeColor="text1"/>
          <w:sz w:val="24"/>
          <w:szCs w:val="24"/>
        </w:rPr>
        <w:t>/</w:t>
      </w:r>
      <w:r w:rsidR="007C36E1">
        <w:rPr>
          <w:rFonts w:ascii="Times New Roman" w:hAnsi="Times New Roman"/>
          <w:bCs/>
          <w:color w:val="000000" w:themeColor="text1"/>
          <w:sz w:val="24"/>
          <w:szCs w:val="24"/>
        </w:rPr>
        <w:t xml:space="preserve">private? </w:t>
      </w:r>
      <w:r w:rsidR="0028015A">
        <w:rPr>
          <w:rFonts w:ascii="Times New Roman" w:hAnsi="Times New Roman"/>
          <w:bCs/>
          <w:color w:val="000000" w:themeColor="text1"/>
          <w:sz w:val="24"/>
          <w:szCs w:val="24"/>
        </w:rPr>
        <w:t>W</w:t>
      </w:r>
      <w:r w:rsidR="00733FD3">
        <w:rPr>
          <w:rFonts w:ascii="Times New Roman" w:hAnsi="Times New Roman"/>
          <w:bCs/>
          <w:color w:val="000000" w:themeColor="text1"/>
          <w:sz w:val="24"/>
          <w:szCs w:val="24"/>
        </w:rPr>
        <w:t xml:space="preserve">as prior consent </w:t>
      </w:r>
      <w:r w:rsidR="003F472E">
        <w:rPr>
          <w:rFonts w:ascii="Times New Roman" w:hAnsi="Times New Roman"/>
          <w:bCs/>
          <w:color w:val="000000" w:themeColor="text1"/>
          <w:sz w:val="24"/>
          <w:szCs w:val="24"/>
        </w:rPr>
        <w:t>sought/</w:t>
      </w:r>
      <w:r w:rsidR="00733FD3">
        <w:rPr>
          <w:rFonts w:ascii="Times New Roman" w:hAnsi="Times New Roman"/>
          <w:bCs/>
          <w:color w:val="000000" w:themeColor="text1"/>
          <w:sz w:val="24"/>
          <w:szCs w:val="24"/>
        </w:rPr>
        <w:t>required from</w:t>
      </w:r>
      <w:r w:rsidR="0028015A">
        <w:rPr>
          <w:rFonts w:ascii="Times New Roman" w:hAnsi="Times New Roman"/>
          <w:bCs/>
          <w:color w:val="000000" w:themeColor="text1"/>
          <w:sz w:val="24"/>
          <w:szCs w:val="24"/>
        </w:rPr>
        <w:t xml:space="preserve"> </w:t>
      </w:r>
      <w:r w:rsidR="00D634FD">
        <w:rPr>
          <w:rFonts w:ascii="Times New Roman" w:hAnsi="Times New Roman"/>
          <w:bCs/>
          <w:color w:val="000000" w:themeColor="text1"/>
          <w:sz w:val="24"/>
          <w:szCs w:val="24"/>
        </w:rPr>
        <w:t>parents</w:t>
      </w:r>
      <w:r w:rsidR="0028015A">
        <w:rPr>
          <w:rFonts w:ascii="Times New Roman" w:hAnsi="Times New Roman"/>
          <w:bCs/>
          <w:color w:val="000000" w:themeColor="text1"/>
          <w:sz w:val="24"/>
          <w:szCs w:val="24"/>
        </w:rPr>
        <w:t>?</w:t>
      </w:r>
      <w:r w:rsidR="0034252D">
        <w:rPr>
          <w:rFonts w:ascii="Times New Roman" w:hAnsi="Times New Roman"/>
          <w:bCs/>
          <w:color w:val="000000" w:themeColor="text1"/>
          <w:sz w:val="24"/>
          <w:szCs w:val="24"/>
        </w:rPr>
        <w:t>).</w:t>
      </w:r>
      <w:r w:rsidR="0028015A">
        <w:rPr>
          <w:rFonts w:ascii="Times New Roman" w:hAnsi="Times New Roman"/>
          <w:bCs/>
          <w:color w:val="000000" w:themeColor="text1"/>
          <w:sz w:val="24"/>
          <w:szCs w:val="24"/>
        </w:rPr>
        <w:t xml:space="preserve"> </w:t>
      </w:r>
      <w:r w:rsidR="002B15C7">
        <w:rPr>
          <w:rFonts w:ascii="Times New Roman" w:hAnsi="Times New Roman"/>
          <w:bCs/>
          <w:color w:val="000000" w:themeColor="text1"/>
          <w:sz w:val="24"/>
          <w:szCs w:val="24"/>
        </w:rPr>
        <w:t xml:space="preserve">The reader has no way of gaining answers – or reassurance – on these points, or any number of others which Brink neither introduces nor addresses. </w:t>
      </w:r>
      <w:r w:rsidR="003F09C0">
        <w:rPr>
          <w:rFonts w:ascii="Times New Roman" w:hAnsi="Times New Roman"/>
          <w:bCs/>
          <w:color w:val="000000" w:themeColor="text1"/>
          <w:sz w:val="24"/>
          <w:szCs w:val="24"/>
        </w:rPr>
        <w:t xml:space="preserve">Acceptable standards for research may easily have differed between Brink’s work in the 1970s </w:t>
      </w:r>
      <w:r w:rsidR="003E095E">
        <w:rPr>
          <w:rFonts w:ascii="Times New Roman" w:hAnsi="Times New Roman"/>
          <w:bCs/>
          <w:color w:val="000000" w:themeColor="text1"/>
          <w:sz w:val="24"/>
          <w:szCs w:val="24"/>
        </w:rPr>
        <w:t>and Walter and Waterhouse’s in the</w:t>
      </w:r>
      <w:r w:rsidR="003F09C0">
        <w:rPr>
          <w:rFonts w:ascii="Times New Roman" w:hAnsi="Times New Roman"/>
          <w:bCs/>
          <w:color w:val="000000" w:themeColor="text1"/>
          <w:sz w:val="24"/>
          <w:szCs w:val="24"/>
        </w:rPr>
        <w:t xml:space="preserve"> 1990s</w:t>
      </w:r>
      <w:r w:rsidR="00F23903">
        <w:rPr>
          <w:rFonts w:ascii="Times New Roman" w:hAnsi="Times New Roman"/>
          <w:bCs/>
          <w:color w:val="000000" w:themeColor="text1"/>
          <w:sz w:val="24"/>
          <w:szCs w:val="24"/>
        </w:rPr>
        <w:t xml:space="preserve">, yet it is somewhat discordant </w:t>
      </w:r>
      <w:r w:rsidR="007F6559">
        <w:rPr>
          <w:rFonts w:ascii="Times New Roman" w:hAnsi="Times New Roman"/>
          <w:bCs/>
          <w:color w:val="000000" w:themeColor="text1"/>
          <w:sz w:val="24"/>
          <w:szCs w:val="24"/>
        </w:rPr>
        <w:t xml:space="preserve">that </w:t>
      </w:r>
      <w:r w:rsidR="00021C91">
        <w:rPr>
          <w:rFonts w:ascii="Times New Roman" w:hAnsi="Times New Roman"/>
          <w:bCs/>
          <w:color w:val="000000" w:themeColor="text1"/>
          <w:sz w:val="24"/>
          <w:szCs w:val="24"/>
        </w:rPr>
        <w:t xml:space="preserve">these key methodological considerations were omitted. </w:t>
      </w:r>
      <w:r w:rsidR="00F23903">
        <w:rPr>
          <w:rFonts w:ascii="Times New Roman" w:hAnsi="Times New Roman"/>
          <w:bCs/>
          <w:color w:val="000000" w:themeColor="text1"/>
          <w:sz w:val="24"/>
          <w:szCs w:val="24"/>
        </w:rPr>
        <w:t xml:space="preserve"> </w:t>
      </w:r>
    </w:p>
    <w:p w14:paraId="5B07A67F" w14:textId="252EF218" w:rsidR="00DB36A0" w:rsidRPr="00DB36A0" w:rsidRDefault="00DB36A0" w:rsidP="00853738">
      <w:pPr>
        <w:pStyle w:val="NormalWeb"/>
        <w:spacing w:before="0" w:beforeAutospacing="0" w:after="0" w:afterAutospacing="0"/>
        <w:ind w:right="-334"/>
        <w:jc w:val="both"/>
        <w:rPr>
          <w:rFonts w:ascii="Times New Roman" w:hAnsi="Times New Roman"/>
          <w:b/>
          <w:bCs/>
          <w:color w:val="000000" w:themeColor="text1"/>
          <w:sz w:val="24"/>
          <w:szCs w:val="24"/>
        </w:rPr>
      </w:pPr>
    </w:p>
    <w:p w14:paraId="4E9FCFED" w14:textId="77777777" w:rsidR="000078FB" w:rsidRDefault="000078FB" w:rsidP="005658AA">
      <w:pPr>
        <w:pStyle w:val="NormalWeb"/>
        <w:spacing w:before="0" w:beforeAutospacing="0" w:after="0" w:afterAutospacing="0"/>
        <w:ind w:right="-334"/>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Conclusion</w:t>
      </w:r>
    </w:p>
    <w:p w14:paraId="04EA0BB2" w14:textId="2EDEACB5" w:rsidR="005658AA" w:rsidRDefault="00993DF1" w:rsidP="005658AA">
      <w:pPr>
        <w:pStyle w:val="NormalWeb"/>
        <w:spacing w:before="0" w:beforeAutospacing="0" w:after="0" w:afterAutospacing="0"/>
        <w:ind w:right="-334"/>
        <w:jc w:val="both"/>
        <w:rPr>
          <w:rFonts w:ascii="Times New Roman" w:hAnsi="Times New Roman"/>
          <w:bCs/>
          <w:color w:val="000000" w:themeColor="text1"/>
          <w:sz w:val="24"/>
          <w:szCs w:val="24"/>
        </w:rPr>
      </w:pPr>
      <w:r w:rsidRPr="00455E50">
        <w:rPr>
          <w:rFonts w:ascii="Times New Roman" w:hAnsi="Times New Roman"/>
          <w:bCs/>
          <w:color w:val="000000" w:themeColor="text1"/>
          <w:sz w:val="24"/>
          <w:szCs w:val="24"/>
        </w:rPr>
        <w:t xml:space="preserve">Whilst both papers </w:t>
      </w:r>
      <w:r w:rsidR="00117F02">
        <w:rPr>
          <w:rFonts w:ascii="Times New Roman" w:hAnsi="Times New Roman"/>
          <w:bCs/>
          <w:color w:val="000000" w:themeColor="text1"/>
          <w:sz w:val="24"/>
          <w:szCs w:val="24"/>
        </w:rPr>
        <w:t>examine</w:t>
      </w:r>
      <w:r w:rsidR="00117F02" w:rsidRPr="00455E50">
        <w:rPr>
          <w:rFonts w:ascii="Times New Roman" w:hAnsi="Times New Roman"/>
          <w:bCs/>
          <w:color w:val="000000" w:themeColor="text1"/>
          <w:sz w:val="24"/>
          <w:szCs w:val="24"/>
        </w:rPr>
        <w:t xml:space="preserve"> </w:t>
      </w:r>
      <w:r w:rsidRPr="00455E50">
        <w:rPr>
          <w:rFonts w:ascii="Times New Roman" w:hAnsi="Times New Roman"/>
          <w:bCs/>
          <w:color w:val="000000" w:themeColor="text1"/>
          <w:sz w:val="24"/>
          <w:szCs w:val="24"/>
        </w:rPr>
        <w:t>a selected group</w:t>
      </w:r>
      <w:r w:rsidR="007606EB">
        <w:rPr>
          <w:rFonts w:ascii="Times New Roman" w:hAnsi="Times New Roman"/>
          <w:bCs/>
          <w:color w:val="000000" w:themeColor="text1"/>
          <w:sz w:val="24"/>
          <w:szCs w:val="24"/>
        </w:rPr>
        <w:t>’s</w:t>
      </w:r>
      <w:r w:rsidRPr="00455E50">
        <w:rPr>
          <w:rFonts w:ascii="Times New Roman" w:hAnsi="Times New Roman"/>
          <w:bCs/>
          <w:color w:val="000000" w:themeColor="text1"/>
          <w:sz w:val="24"/>
          <w:szCs w:val="24"/>
        </w:rPr>
        <w:t xml:space="preserve"> belief</w:t>
      </w:r>
      <w:r w:rsidR="007606EB">
        <w:rPr>
          <w:rFonts w:ascii="Times New Roman" w:hAnsi="Times New Roman"/>
          <w:bCs/>
          <w:color w:val="000000" w:themeColor="text1"/>
          <w:sz w:val="24"/>
          <w:szCs w:val="24"/>
        </w:rPr>
        <w:t>s</w:t>
      </w:r>
      <w:r w:rsidRPr="00455E50">
        <w:rPr>
          <w:rFonts w:ascii="Times New Roman" w:hAnsi="Times New Roman"/>
          <w:bCs/>
          <w:color w:val="000000" w:themeColor="text1"/>
          <w:sz w:val="24"/>
          <w:szCs w:val="24"/>
        </w:rPr>
        <w:t xml:space="preserve"> in reincarnation, the researchers apply different methodologies to do so</w:t>
      </w:r>
      <w:r w:rsidR="00D84342">
        <w:rPr>
          <w:rFonts w:ascii="Times New Roman" w:hAnsi="Times New Roman"/>
          <w:bCs/>
          <w:color w:val="000000" w:themeColor="text1"/>
          <w:sz w:val="24"/>
          <w:szCs w:val="24"/>
        </w:rPr>
        <w:t>:</w:t>
      </w:r>
      <w:r w:rsidR="005658AA" w:rsidRPr="00455E50">
        <w:rPr>
          <w:rFonts w:ascii="Times New Roman" w:hAnsi="Times New Roman"/>
          <w:bCs/>
          <w:color w:val="000000" w:themeColor="text1"/>
          <w:sz w:val="24"/>
          <w:szCs w:val="24"/>
        </w:rPr>
        <w:t xml:space="preserve"> Walter and Waterhouse </w:t>
      </w:r>
      <w:r w:rsidR="005F63CE">
        <w:rPr>
          <w:rFonts w:ascii="Times New Roman" w:hAnsi="Times New Roman"/>
          <w:bCs/>
          <w:color w:val="000000" w:themeColor="text1"/>
          <w:sz w:val="24"/>
          <w:szCs w:val="24"/>
        </w:rPr>
        <w:t xml:space="preserve">take part in </w:t>
      </w:r>
      <w:r w:rsidR="005658AA" w:rsidRPr="00455E50">
        <w:rPr>
          <w:rFonts w:ascii="Times New Roman" w:hAnsi="Times New Roman"/>
          <w:bCs/>
          <w:color w:val="000000" w:themeColor="text1"/>
          <w:sz w:val="24"/>
          <w:szCs w:val="24"/>
        </w:rPr>
        <w:t xml:space="preserve">interviews, Brink prefers </w:t>
      </w:r>
      <w:r w:rsidR="00D6657A">
        <w:rPr>
          <w:rFonts w:ascii="Times New Roman" w:hAnsi="Times New Roman"/>
          <w:bCs/>
          <w:color w:val="000000" w:themeColor="text1"/>
          <w:sz w:val="24"/>
          <w:szCs w:val="24"/>
        </w:rPr>
        <w:t>to utilise</w:t>
      </w:r>
      <w:r w:rsidR="005658AA" w:rsidRPr="00455E50">
        <w:rPr>
          <w:rFonts w:ascii="Times New Roman" w:hAnsi="Times New Roman"/>
          <w:bCs/>
          <w:color w:val="000000" w:themeColor="text1"/>
          <w:sz w:val="24"/>
          <w:szCs w:val="24"/>
        </w:rPr>
        <w:t xml:space="preserve"> questionnaire</w:t>
      </w:r>
      <w:r w:rsidR="00D6657A">
        <w:rPr>
          <w:rFonts w:ascii="Times New Roman" w:hAnsi="Times New Roman"/>
          <w:bCs/>
          <w:color w:val="000000" w:themeColor="text1"/>
          <w:sz w:val="24"/>
          <w:szCs w:val="24"/>
        </w:rPr>
        <w:t>s</w:t>
      </w:r>
      <w:r w:rsidR="005658AA" w:rsidRPr="00455E50">
        <w:rPr>
          <w:rFonts w:ascii="Times New Roman" w:hAnsi="Times New Roman"/>
          <w:bCs/>
          <w:color w:val="000000" w:themeColor="text1"/>
          <w:sz w:val="24"/>
          <w:szCs w:val="24"/>
        </w:rPr>
        <w:t>.</w:t>
      </w:r>
      <w:r w:rsidR="00595014">
        <w:rPr>
          <w:rFonts w:ascii="Times New Roman" w:hAnsi="Times New Roman"/>
          <w:bCs/>
          <w:color w:val="000000" w:themeColor="text1"/>
          <w:sz w:val="24"/>
          <w:szCs w:val="24"/>
        </w:rPr>
        <w:t xml:space="preserve"> </w:t>
      </w:r>
      <w:r w:rsidR="00D6657A">
        <w:rPr>
          <w:rFonts w:ascii="Times New Roman" w:hAnsi="Times New Roman"/>
          <w:bCs/>
          <w:color w:val="000000" w:themeColor="text1"/>
          <w:sz w:val="24"/>
          <w:szCs w:val="24"/>
        </w:rPr>
        <w:t xml:space="preserve">The research sample sizes differ greatly, correlating directly with the applied research methods (smaller sample for interviews, larger for questionnaires) which, for Walter and Waterhouse, were governed by the initial literature review. </w:t>
      </w:r>
      <w:r w:rsidR="007606EB">
        <w:rPr>
          <w:rFonts w:ascii="Times New Roman" w:hAnsi="Times New Roman"/>
          <w:bCs/>
          <w:color w:val="000000" w:themeColor="text1"/>
          <w:sz w:val="24"/>
          <w:szCs w:val="24"/>
        </w:rPr>
        <w:t>Brink’s</w:t>
      </w:r>
      <w:r w:rsidR="005658AA" w:rsidRPr="00455E50">
        <w:rPr>
          <w:rFonts w:ascii="Times New Roman" w:hAnsi="Times New Roman"/>
          <w:bCs/>
          <w:color w:val="000000" w:themeColor="text1"/>
          <w:sz w:val="24"/>
          <w:szCs w:val="24"/>
        </w:rPr>
        <w:t xml:space="preserve"> lack of engagement with previously-published literature in the field disconnects his </w:t>
      </w:r>
      <w:r w:rsidR="009558A2">
        <w:rPr>
          <w:rFonts w:ascii="Times New Roman" w:hAnsi="Times New Roman"/>
          <w:bCs/>
          <w:color w:val="000000" w:themeColor="text1"/>
          <w:sz w:val="24"/>
          <w:szCs w:val="24"/>
        </w:rPr>
        <w:t xml:space="preserve">etic </w:t>
      </w:r>
      <w:r w:rsidR="005658AA" w:rsidRPr="00455E50">
        <w:rPr>
          <w:rFonts w:ascii="Times New Roman" w:hAnsi="Times New Roman"/>
          <w:bCs/>
          <w:color w:val="000000" w:themeColor="text1"/>
          <w:sz w:val="24"/>
          <w:szCs w:val="24"/>
        </w:rPr>
        <w:t>methodology from his research</w:t>
      </w:r>
      <w:r w:rsidRPr="00455E50">
        <w:rPr>
          <w:rFonts w:ascii="Times New Roman" w:hAnsi="Times New Roman"/>
          <w:bCs/>
          <w:color w:val="000000" w:themeColor="text1"/>
          <w:sz w:val="24"/>
          <w:szCs w:val="24"/>
        </w:rPr>
        <w:t xml:space="preserve">, whereas Walter and Waterhouse explicitly locate their research </w:t>
      </w:r>
      <w:r w:rsidR="009558A2">
        <w:rPr>
          <w:rFonts w:ascii="Times New Roman" w:hAnsi="Times New Roman"/>
          <w:bCs/>
          <w:color w:val="000000" w:themeColor="text1"/>
          <w:sz w:val="24"/>
          <w:szCs w:val="24"/>
        </w:rPr>
        <w:t xml:space="preserve">before </w:t>
      </w:r>
      <w:r w:rsidR="00592576">
        <w:rPr>
          <w:rFonts w:ascii="Times New Roman" w:hAnsi="Times New Roman"/>
          <w:bCs/>
          <w:color w:val="000000" w:themeColor="text1"/>
          <w:sz w:val="24"/>
          <w:szCs w:val="24"/>
        </w:rPr>
        <w:t>selecting</w:t>
      </w:r>
      <w:r w:rsidR="009558A2">
        <w:rPr>
          <w:rFonts w:ascii="Times New Roman" w:hAnsi="Times New Roman"/>
          <w:bCs/>
          <w:color w:val="000000" w:themeColor="text1"/>
          <w:sz w:val="24"/>
          <w:szCs w:val="24"/>
        </w:rPr>
        <w:t xml:space="preserve"> and</w:t>
      </w:r>
      <w:r w:rsidRPr="00455E50">
        <w:rPr>
          <w:rFonts w:ascii="Times New Roman" w:hAnsi="Times New Roman"/>
          <w:bCs/>
          <w:color w:val="000000" w:themeColor="text1"/>
          <w:sz w:val="24"/>
          <w:szCs w:val="24"/>
        </w:rPr>
        <w:t xml:space="preserve"> apply</w:t>
      </w:r>
      <w:r w:rsidR="009558A2">
        <w:rPr>
          <w:rFonts w:ascii="Times New Roman" w:hAnsi="Times New Roman"/>
          <w:bCs/>
          <w:color w:val="000000" w:themeColor="text1"/>
          <w:sz w:val="24"/>
          <w:szCs w:val="24"/>
        </w:rPr>
        <w:t>ing</w:t>
      </w:r>
      <w:r w:rsidRPr="00455E50">
        <w:rPr>
          <w:rFonts w:ascii="Times New Roman" w:hAnsi="Times New Roman"/>
          <w:bCs/>
          <w:color w:val="000000" w:themeColor="text1"/>
          <w:sz w:val="24"/>
          <w:szCs w:val="24"/>
        </w:rPr>
        <w:t xml:space="preserve"> </w:t>
      </w:r>
      <w:r w:rsidR="00C83046" w:rsidRPr="00455E50">
        <w:rPr>
          <w:rFonts w:ascii="Times New Roman" w:hAnsi="Times New Roman"/>
          <w:bCs/>
          <w:color w:val="000000" w:themeColor="text1"/>
          <w:sz w:val="24"/>
          <w:szCs w:val="24"/>
        </w:rPr>
        <w:t>their chosen emic methodology</w:t>
      </w:r>
      <w:r w:rsidR="005658AA" w:rsidRPr="00455E50">
        <w:rPr>
          <w:rFonts w:ascii="Times New Roman" w:hAnsi="Times New Roman"/>
          <w:bCs/>
          <w:color w:val="000000" w:themeColor="text1"/>
          <w:sz w:val="24"/>
          <w:szCs w:val="24"/>
        </w:rPr>
        <w:t>.</w:t>
      </w:r>
      <w:r w:rsidR="00C40113">
        <w:rPr>
          <w:rFonts w:ascii="Times New Roman" w:hAnsi="Times New Roman"/>
          <w:bCs/>
          <w:color w:val="000000" w:themeColor="text1"/>
          <w:sz w:val="24"/>
          <w:szCs w:val="24"/>
        </w:rPr>
        <w:t xml:space="preserve"> </w:t>
      </w:r>
      <w:r w:rsidR="00595014">
        <w:rPr>
          <w:rFonts w:ascii="Times New Roman" w:hAnsi="Times New Roman"/>
          <w:bCs/>
          <w:color w:val="000000" w:themeColor="text1"/>
          <w:sz w:val="24"/>
          <w:szCs w:val="24"/>
        </w:rPr>
        <w:t xml:space="preserve">Brink’s quantitative research creates the kind of statements, therefore, which </w:t>
      </w:r>
      <w:r w:rsidR="00C40113">
        <w:rPr>
          <w:rFonts w:ascii="Times New Roman" w:hAnsi="Times New Roman"/>
          <w:bCs/>
          <w:color w:val="000000" w:themeColor="text1"/>
          <w:sz w:val="24"/>
          <w:szCs w:val="24"/>
        </w:rPr>
        <w:t xml:space="preserve">Walter and Waterhouse </w:t>
      </w:r>
      <w:r w:rsidR="00595014">
        <w:rPr>
          <w:rFonts w:ascii="Times New Roman" w:hAnsi="Times New Roman"/>
          <w:bCs/>
          <w:color w:val="000000" w:themeColor="text1"/>
          <w:sz w:val="24"/>
          <w:szCs w:val="24"/>
        </w:rPr>
        <w:t xml:space="preserve">– and future qualitative researchers – may </w:t>
      </w:r>
      <w:r w:rsidR="00C40113">
        <w:rPr>
          <w:rFonts w:ascii="Times New Roman" w:hAnsi="Times New Roman"/>
          <w:bCs/>
          <w:color w:val="000000" w:themeColor="text1"/>
          <w:sz w:val="24"/>
          <w:szCs w:val="24"/>
        </w:rPr>
        <w:t xml:space="preserve">find cause to </w:t>
      </w:r>
      <w:r w:rsidR="00C40113">
        <w:rPr>
          <w:rFonts w:ascii="Times New Roman" w:hAnsi="Times New Roman"/>
          <w:bCs/>
          <w:color w:val="000000" w:themeColor="text1"/>
          <w:sz w:val="24"/>
          <w:szCs w:val="24"/>
        </w:rPr>
        <w:t>question.</w:t>
      </w:r>
    </w:p>
    <w:p w14:paraId="189146DC" w14:textId="77777777" w:rsidR="006B2BF4" w:rsidRDefault="006B2BF4" w:rsidP="00D722CE">
      <w:pPr>
        <w:rPr>
          <w:b/>
        </w:rPr>
      </w:pPr>
    </w:p>
    <w:p w14:paraId="5143DA1A" w14:textId="77777777" w:rsidR="007A2B49" w:rsidRPr="007A2B49" w:rsidRDefault="007A2B49" w:rsidP="007A2B49">
      <w:pPr>
        <w:pStyle w:val="NormalWeb"/>
        <w:spacing w:before="0" w:beforeAutospacing="0" w:after="0" w:afterAutospacing="0"/>
        <w:ind w:right="-334"/>
        <w:jc w:val="both"/>
        <w:rPr>
          <w:rFonts w:ascii="Times New Roman" w:hAnsi="Times New Roman"/>
          <w:bCs/>
          <w:color w:val="FF0000"/>
          <w:sz w:val="24"/>
          <w:szCs w:val="24"/>
        </w:rPr>
      </w:pPr>
    </w:p>
    <w:p w14:paraId="69596898" w14:textId="77777777" w:rsidR="00B60437" w:rsidRDefault="00B60437" w:rsidP="00D722CE">
      <w:pPr>
        <w:rPr>
          <w:b/>
        </w:rPr>
      </w:pPr>
    </w:p>
    <w:p w14:paraId="1384E33E" w14:textId="77777777" w:rsidR="00B60437" w:rsidRDefault="00B60437" w:rsidP="00D722CE">
      <w:pPr>
        <w:rPr>
          <w:b/>
        </w:rPr>
      </w:pPr>
    </w:p>
    <w:p w14:paraId="036BBE80" w14:textId="77777777" w:rsidR="00B60437" w:rsidRDefault="00B60437" w:rsidP="00D722CE">
      <w:pPr>
        <w:rPr>
          <w:b/>
        </w:rPr>
      </w:pPr>
    </w:p>
    <w:p w14:paraId="2F6423F9" w14:textId="77777777" w:rsidR="00B60437" w:rsidRDefault="00B60437" w:rsidP="00D722CE">
      <w:pPr>
        <w:rPr>
          <w:b/>
        </w:rPr>
      </w:pPr>
    </w:p>
    <w:p w14:paraId="2F93ABD1" w14:textId="77777777" w:rsidR="00B60437" w:rsidRDefault="00B60437" w:rsidP="00D722CE">
      <w:pPr>
        <w:rPr>
          <w:b/>
        </w:rPr>
      </w:pPr>
    </w:p>
    <w:p w14:paraId="7B94AC38" w14:textId="77777777" w:rsidR="00B60437" w:rsidRDefault="00B60437" w:rsidP="00D722CE">
      <w:pPr>
        <w:rPr>
          <w:b/>
        </w:rPr>
      </w:pPr>
    </w:p>
    <w:p w14:paraId="3DB569C3" w14:textId="77777777" w:rsidR="00B60437" w:rsidRDefault="00B60437" w:rsidP="00D722CE">
      <w:pPr>
        <w:rPr>
          <w:b/>
        </w:rPr>
      </w:pPr>
    </w:p>
    <w:p w14:paraId="6FF34CAF" w14:textId="77777777" w:rsidR="00B60437" w:rsidRDefault="00B60437" w:rsidP="00D722CE">
      <w:pPr>
        <w:rPr>
          <w:b/>
        </w:rPr>
      </w:pPr>
    </w:p>
    <w:p w14:paraId="01DB1DE0" w14:textId="77777777" w:rsidR="00B60437" w:rsidRDefault="00B60437" w:rsidP="00D722CE">
      <w:pPr>
        <w:rPr>
          <w:b/>
        </w:rPr>
      </w:pPr>
    </w:p>
    <w:p w14:paraId="34592373" w14:textId="77777777" w:rsidR="00B60437" w:rsidRDefault="00B60437" w:rsidP="00D722CE">
      <w:pPr>
        <w:rPr>
          <w:b/>
        </w:rPr>
      </w:pPr>
    </w:p>
    <w:p w14:paraId="714023DD" w14:textId="77777777" w:rsidR="00B60437" w:rsidRDefault="00B60437" w:rsidP="00D722CE">
      <w:pPr>
        <w:rPr>
          <w:b/>
        </w:rPr>
      </w:pPr>
    </w:p>
    <w:p w14:paraId="31765CF9" w14:textId="77777777" w:rsidR="00B60437" w:rsidRDefault="00B60437" w:rsidP="00D722CE">
      <w:pPr>
        <w:rPr>
          <w:b/>
        </w:rPr>
      </w:pPr>
    </w:p>
    <w:p w14:paraId="7D3B08DD" w14:textId="44ACBA5D" w:rsidR="00D722CE" w:rsidRDefault="00D722CE" w:rsidP="00D722CE">
      <w:pPr>
        <w:rPr>
          <w:b/>
        </w:rPr>
      </w:pPr>
      <w:bookmarkStart w:id="7" w:name="_GoBack"/>
      <w:bookmarkEnd w:id="7"/>
      <w:r>
        <w:rPr>
          <w:b/>
        </w:rPr>
        <w:lastRenderedPageBreak/>
        <w:t>Bibliography</w:t>
      </w:r>
    </w:p>
    <w:p w14:paraId="5CCFFDB8" w14:textId="77777777" w:rsidR="00D722CE" w:rsidRDefault="00D722CE" w:rsidP="00D722CE">
      <w:pPr>
        <w:rPr>
          <w:b/>
        </w:rPr>
      </w:pPr>
    </w:p>
    <w:p w14:paraId="32456A5D" w14:textId="77777777" w:rsidR="00D722CE" w:rsidRDefault="00D722CE" w:rsidP="00D722CE">
      <w:pPr>
        <w:rPr>
          <w:b/>
        </w:rPr>
      </w:pPr>
      <w:r>
        <w:rPr>
          <w:b/>
        </w:rPr>
        <w:t>Primary Sources</w:t>
      </w:r>
    </w:p>
    <w:p w14:paraId="2C0E488E" w14:textId="77777777" w:rsidR="00D722CE" w:rsidRPr="00EE707F" w:rsidRDefault="00D722CE" w:rsidP="00D722CE">
      <w:pPr>
        <w:rPr>
          <w:bCs/>
          <w:color w:val="000000" w:themeColor="text1"/>
          <w:lang w:val="en-US"/>
        </w:rPr>
      </w:pPr>
    </w:p>
    <w:p w14:paraId="0D6075A3" w14:textId="77777777" w:rsidR="00EE707F" w:rsidRDefault="00EE707F" w:rsidP="00D722CE">
      <w:r w:rsidRPr="00EE707F">
        <w:t>Brink,</w:t>
      </w:r>
      <w:r>
        <w:t xml:space="preserve"> T. L.,</w:t>
      </w:r>
      <w:r w:rsidRPr="00EE707F">
        <w:t xml:space="preserve"> ‘‘Inconsistency of Belief among Roman Catholic Girls: Concerning Religion, Astrology, Reincarnation’, </w:t>
      </w:r>
      <w:r w:rsidRPr="00D5172A">
        <w:rPr>
          <w:i/>
        </w:rPr>
        <w:t>Review of Religious Research</w:t>
      </w:r>
      <w:r w:rsidRPr="00EE707F">
        <w:t>, vol. 20, no. 1 (1978), 82-85</w:t>
      </w:r>
      <w:r>
        <w:t>.</w:t>
      </w:r>
    </w:p>
    <w:p w14:paraId="7A926B37" w14:textId="77777777" w:rsidR="00EE707F" w:rsidRDefault="00EE707F" w:rsidP="00D722CE"/>
    <w:p w14:paraId="0CAAEE33" w14:textId="2A003599" w:rsidR="00D722CE" w:rsidRPr="00EE707F" w:rsidRDefault="00EE707F" w:rsidP="00D722CE">
      <w:r w:rsidRPr="00EE707F">
        <w:t>Walter</w:t>
      </w:r>
      <w:r>
        <w:t>, Tony</w:t>
      </w:r>
      <w:r w:rsidRPr="00EE707F">
        <w:t xml:space="preserve"> and Helen Waterhouse, ‘A Very Private Belief: Reincarnation in Contemporary England’, </w:t>
      </w:r>
      <w:r w:rsidRPr="00D5172A">
        <w:rPr>
          <w:i/>
        </w:rPr>
        <w:t>Sociology of Religion</w:t>
      </w:r>
      <w:r w:rsidRPr="00EE707F">
        <w:t>, vol. 60, no. 2 (1999), 187-197.</w:t>
      </w:r>
    </w:p>
    <w:p w14:paraId="1480C0F8" w14:textId="1AD2616E" w:rsidR="00D722CE" w:rsidRDefault="00D722CE" w:rsidP="00D722CE">
      <w:pPr>
        <w:rPr>
          <w:b/>
        </w:rPr>
      </w:pPr>
    </w:p>
    <w:p w14:paraId="13F08C5C" w14:textId="77777777" w:rsidR="00C97468" w:rsidRDefault="00C97468" w:rsidP="00D722CE">
      <w:pPr>
        <w:rPr>
          <w:b/>
        </w:rPr>
      </w:pPr>
    </w:p>
    <w:p w14:paraId="37850955" w14:textId="5CF2E704" w:rsidR="00B72CD3" w:rsidRDefault="00D722CE">
      <w:pPr>
        <w:rPr>
          <w:b/>
        </w:rPr>
      </w:pPr>
      <w:r>
        <w:rPr>
          <w:b/>
        </w:rPr>
        <w:t>Secondary Sources</w:t>
      </w:r>
    </w:p>
    <w:p w14:paraId="6D957E6F" w14:textId="77777777" w:rsidR="00490F50" w:rsidRPr="00490F50" w:rsidRDefault="00490F50">
      <w:pPr>
        <w:rPr>
          <w:b/>
        </w:rPr>
      </w:pPr>
    </w:p>
    <w:p w14:paraId="3A7E44DD" w14:textId="54540D0A" w:rsidR="009E6431" w:rsidRDefault="009E6431">
      <w:r>
        <w:t xml:space="preserve">Bell, Judith, </w:t>
      </w:r>
      <w:r>
        <w:rPr>
          <w:i/>
        </w:rPr>
        <w:t xml:space="preserve">Doing Your Research Project: a guide for first-time researchers in education, health and social science, </w:t>
      </w:r>
      <w:r>
        <w:t>5</w:t>
      </w:r>
      <w:r w:rsidRPr="00D81FFB">
        <w:rPr>
          <w:vertAlign w:val="superscript"/>
        </w:rPr>
        <w:t>th</w:t>
      </w:r>
      <w:r>
        <w:t xml:space="preserve"> </w:t>
      </w:r>
      <w:proofErr w:type="spellStart"/>
      <w:r>
        <w:t>edn</w:t>
      </w:r>
      <w:proofErr w:type="spellEnd"/>
      <w:r>
        <w:rPr>
          <w:i/>
        </w:rPr>
        <w:t xml:space="preserve"> </w:t>
      </w:r>
      <w:r>
        <w:t>(Maidenhead, Berkshire: Open University Press, 2010).</w:t>
      </w:r>
    </w:p>
    <w:p w14:paraId="44AA3F6E" w14:textId="1DC2BEC7" w:rsidR="009E6431" w:rsidRDefault="009E6431"/>
    <w:p w14:paraId="531DACA9" w14:textId="0B1A907C" w:rsidR="008E500D" w:rsidRDefault="008E500D">
      <w:r>
        <w:t xml:space="preserve">Bryman, Alan, </w:t>
      </w:r>
      <w:r>
        <w:rPr>
          <w:i/>
        </w:rPr>
        <w:t xml:space="preserve">Quantity and Quality in Social Research </w:t>
      </w:r>
      <w:r>
        <w:t xml:space="preserve">(New York: Routledge, 1988, </w:t>
      </w:r>
      <w:proofErr w:type="spellStart"/>
      <w:r>
        <w:t>repr</w:t>
      </w:r>
      <w:proofErr w:type="spellEnd"/>
      <w:r>
        <w:t>. 2004).</w:t>
      </w:r>
    </w:p>
    <w:p w14:paraId="23F2518E" w14:textId="77777777" w:rsidR="008E500D" w:rsidRDefault="008E500D"/>
    <w:p w14:paraId="65442824" w14:textId="63B03EA6" w:rsidR="002D4503" w:rsidRDefault="002F43F8">
      <w:r>
        <w:t xml:space="preserve">Hennink, Monique, Inge Hutter, and Ajay Bailey, </w:t>
      </w:r>
      <w:r>
        <w:rPr>
          <w:i/>
        </w:rPr>
        <w:t xml:space="preserve">Qualitative Research Methods </w:t>
      </w:r>
      <w:r>
        <w:t xml:space="preserve">(London: Sage, 2011; </w:t>
      </w:r>
      <w:proofErr w:type="spellStart"/>
      <w:r>
        <w:t>repr</w:t>
      </w:r>
      <w:proofErr w:type="spellEnd"/>
      <w:r>
        <w:t>. 2015).</w:t>
      </w:r>
    </w:p>
    <w:p w14:paraId="7B604B61" w14:textId="3838C9B7" w:rsidR="00877AB1" w:rsidRDefault="00877AB1"/>
    <w:p w14:paraId="759F4685" w14:textId="139EA327" w:rsidR="00877AB1" w:rsidRDefault="00877AB1">
      <w:r>
        <w:t xml:space="preserve">Leo, Alan, </w:t>
      </w:r>
      <w:r>
        <w:rPr>
          <w:i/>
        </w:rPr>
        <w:t xml:space="preserve">Esoteric Astrology </w:t>
      </w:r>
      <w:r>
        <w:t>(London: N. Fowler &amp; Co., 1913).</w:t>
      </w:r>
    </w:p>
    <w:sectPr w:rsidR="00877AB1" w:rsidSect="007C3839">
      <w:headerReference w:type="default" r:id="rId9"/>
      <w:footerReference w:type="default" r:id="rId10"/>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5C998" w14:textId="77777777" w:rsidR="00286C68" w:rsidRDefault="00286C68" w:rsidP="00D722CE">
      <w:r>
        <w:separator/>
      </w:r>
    </w:p>
  </w:endnote>
  <w:endnote w:type="continuationSeparator" w:id="0">
    <w:p w14:paraId="47E27C17" w14:textId="77777777" w:rsidR="00286C68" w:rsidRDefault="00286C68" w:rsidP="00D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6391F" w14:textId="77777777" w:rsidR="007C3839" w:rsidRPr="00337A70" w:rsidRDefault="007C3839">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B76E" w14:textId="77777777" w:rsidR="007C3839" w:rsidRDefault="007C3839">
    <w:pPr>
      <w:pStyle w:val="Footer"/>
      <w:jc w:val="right"/>
    </w:pPr>
  </w:p>
  <w:p w14:paraId="4D51ECBF" w14:textId="77777777" w:rsidR="007C3839" w:rsidRPr="00337A70" w:rsidRDefault="007C3839">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63A26" w14:textId="77777777" w:rsidR="00286C68" w:rsidRDefault="00286C68" w:rsidP="00D722CE">
      <w:r>
        <w:separator/>
      </w:r>
    </w:p>
  </w:footnote>
  <w:footnote w:type="continuationSeparator" w:id="0">
    <w:p w14:paraId="68AA3219" w14:textId="77777777" w:rsidR="00286C68" w:rsidRDefault="00286C68" w:rsidP="00D722CE">
      <w:r>
        <w:continuationSeparator/>
      </w:r>
    </w:p>
  </w:footnote>
  <w:footnote w:id="1">
    <w:p w14:paraId="15607B34" w14:textId="14FB0EB0" w:rsidR="007C3839" w:rsidRPr="00EE707F" w:rsidRDefault="007C3839">
      <w:pPr>
        <w:pStyle w:val="FootnoteText"/>
      </w:pPr>
      <w:r>
        <w:rPr>
          <w:rStyle w:val="FootnoteReference"/>
        </w:rPr>
        <w:footnoteRef/>
      </w:r>
      <w:r>
        <w:t xml:space="preserve"> T. L. Brink, ‘</w:t>
      </w:r>
      <w:r w:rsidRPr="00EE707F">
        <w:t>‘Inconsistency of Belief among Roman Catholic Girls: Concerning Religion, Astrology, Reincarnation’</w:t>
      </w:r>
      <w:r>
        <w:t xml:space="preserve">, </w:t>
      </w:r>
      <w:r>
        <w:rPr>
          <w:i/>
        </w:rPr>
        <w:t xml:space="preserve">Review of Religious Research, </w:t>
      </w:r>
      <w:r>
        <w:t xml:space="preserve">vol. 20, no. 1 (1978), pp. 82-85; Tony Walter and Helen Waterhouse, ‘A Very Private Belief: Reincarnation in Contemporary England’, </w:t>
      </w:r>
      <w:r>
        <w:rPr>
          <w:i/>
        </w:rPr>
        <w:t xml:space="preserve">Sociology of Religion, </w:t>
      </w:r>
      <w:r>
        <w:t>vol. 60, no. 2 (1999), pp. 187-197.</w:t>
      </w:r>
    </w:p>
  </w:footnote>
  <w:footnote w:id="2">
    <w:p w14:paraId="36A48AD8" w14:textId="77666E01" w:rsidR="007C3839" w:rsidRDefault="007C3839" w:rsidP="005B1EA3">
      <w:pPr>
        <w:pStyle w:val="FootnoteText"/>
      </w:pPr>
      <w:r>
        <w:rPr>
          <w:rStyle w:val="FootnoteReference"/>
        </w:rPr>
        <w:footnoteRef/>
      </w:r>
      <w:r>
        <w:t xml:space="preserve"> </w:t>
      </w:r>
      <w:r w:rsidR="00051622">
        <w:t>Brink, ‘Inconsistency of Belief’, p</w:t>
      </w:r>
      <w:r w:rsidR="00877B5E">
        <w:t>p. 82, 83</w:t>
      </w:r>
      <w:r w:rsidR="00051622">
        <w:t xml:space="preserve">; Walter and Waterhouse, ‘Private Belief’, pp. 187, </w:t>
      </w:r>
      <w:r w:rsidR="00877B5E">
        <w:t>189.</w:t>
      </w:r>
    </w:p>
  </w:footnote>
  <w:footnote w:id="3">
    <w:p w14:paraId="0E3962A3" w14:textId="77777777" w:rsidR="007C3839" w:rsidRDefault="007C3839" w:rsidP="00CE0C19">
      <w:pPr>
        <w:pStyle w:val="FootnoteText"/>
      </w:pPr>
      <w:r>
        <w:rPr>
          <w:rStyle w:val="FootnoteReference"/>
        </w:rPr>
        <w:footnoteRef/>
      </w:r>
      <w:r>
        <w:t xml:space="preserve"> Monique Hennink, Inge Hutter, and Ajay Bailey, </w:t>
      </w:r>
      <w:r>
        <w:rPr>
          <w:i/>
        </w:rPr>
        <w:t xml:space="preserve">Qualitative Research Methods </w:t>
      </w:r>
      <w:r>
        <w:t xml:space="preserve">(London: Sage, 2011; </w:t>
      </w:r>
      <w:proofErr w:type="spellStart"/>
      <w:r>
        <w:t>repr</w:t>
      </w:r>
      <w:proofErr w:type="spellEnd"/>
      <w:r>
        <w:t>. 2015), p. 33.</w:t>
      </w:r>
    </w:p>
  </w:footnote>
  <w:footnote w:id="4">
    <w:p w14:paraId="2E9EAE01" w14:textId="00A86344" w:rsidR="007C3839" w:rsidRPr="00931D24" w:rsidRDefault="007C3839">
      <w:pPr>
        <w:pStyle w:val="FootnoteText"/>
      </w:pPr>
      <w:r>
        <w:rPr>
          <w:rStyle w:val="FootnoteReference"/>
        </w:rPr>
        <w:footnoteRef/>
      </w:r>
      <w:r>
        <w:t xml:space="preserve"> Hennink, Hutter, and Bailey, </w:t>
      </w:r>
      <w:r>
        <w:rPr>
          <w:i/>
        </w:rPr>
        <w:t xml:space="preserve">Qualitative Research Methods, </w:t>
      </w:r>
      <w:r>
        <w:t xml:space="preserve">p. 33. </w:t>
      </w:r>
    </w:p>
  </w:footnote>
  <w:footnote w:id="5">
    <w:p w14:paraId="24323EAE" w14:textId="53C26F3D" w:rsidR="00523EA3" w:rsidRDefault="00523EA3">
      <w:pPr>
        <w:pStyle w:val="FootnoteText"/>
      </w:pPr>
      <w:r>
        <w:rPr>
          <w:rStyle w:val="FootnoteReference"/>
        </w:rPr>
        <w:footnoteRef/>
      </w:r>
      <w:r>
        <w:t xml:space="preserve"> Judith Bell, </w:t>
      </w:r>
      <w:r>
        <w:rPr>
          <w:i/>
        </w:rPr>
        <w:t>Doing Your Research Project: a guide for first-time researchers in education, health and social science</w:t>
      </w:r>
      <w:r w:rsidR="00D81FFB">
        <w:rPr>
          <w:i/>
        </w:rPr>
        <w:t xml:space="preserve">, </w:t>
      </w:r>
      <w:r w:rsidR="00D81FFB">
        <w:t>5</w:t>
      </w:r>
      <w:r w:rsidR="00D81FFB" w:rsidRPr="00D81FFB">
        <w:rPr>
          <w:vertAlign w:val="superscript"/>
        </w:rPr>
        <w:t>th</w:t>
      </w:r>
      <w:r w:rsidR="00D81FFB">
        <w:t xml:space="preserve"> </w:t>
      </w:r>
      <w:proofErr w:type="spellStart"/>
      <w:r w:rsidR="00D81FFB">
        <w:t>edn</w:t>
      </w:r>
      <w:proofErr w:type="spellEnd"/>
      <w:r>
        <w:rPr>
          <w:i/>
        </w:rPr>
        <w:t xml:space="preserve"> </w:t>
      </w:r>
      <w:r>
        <w:t>(Maidenhead, Berkshire: Open University Press, 2010), p. 104.</w:t>
      </w:r>
    </w:p>
  </w:footnote>
  <w:footnote w:id="6">
    <w:p w14:paraId="706684F0" w14:textId="055E4DB5" w:rsidR="00936367" w:rsidRDefault="00936367">
      <w:pPr>
        <w:pStyle w:val="FootnoteText"/>
      </w:pPr>
      <w:r>
        <w:rPr>
          <w:rStyle w:val="FootnoteReference"/>
        </w:rPr>
        <w:footnoteRef/>
      </w:r>
      <w:r>
        <w:t xml:space="preserve"> Alan Bryman, </w:t>
      </w:r>
      <w:r>
        <w:rPr>
          <w:i/>
        </w:rPr>
        <w:t xml:space="preserve">Quantity and Quality in Social Research </w:t>
      </w:r>
      <w:r>
        <w:t xml:space="preserve">(New York: Routledge, 1988, </w:t>
      </w:r>
      <w:proofErr w:type="spellStart"/>
      <w:r>
        <w:t>repr</w:t>
      </w:r>
      <w:proofErr w:type="spellEnd"/>
      <w:r>
        <w:t>. 2004), p. 96.</w:t>
      </w:r>
    </w:p>
  </w:footnote>
  <w:footnote w:id="7">
    <w:p w14:paraId="236519B5" w14:textId="17ADF73D" w:rsidR="009D2785" w:rsidRDefault="009D2785">
      <w:pPr>
        <w:pStyle w:val="FootnoteText"/>
      </w:pPr>
      <w:r>
        <w:rPr>
          <w:rStyle w:val="FootnoteReference"/>
        </w:rPr>
        <w:footnoteRef/>
      </w:r>
      <w:r>
        <w:t xml:space="preserve"> Brink’s</w:t>
      </w:r>
      <w:r w:rsidR="00F7063F">
        <w:t xml:space="preserve"> 4 pages and</w:t>
      </w:r>
      <w:r>
        <w:t xml:space="preserve"> 227 schoolgirl questionnaire respondents against Walter and Waterhouse’s</w:t>
      </w:r>
      <w:r w:rsidR="00F7063F">
        <w:t xml:space="preserve"> 11 pages and</w:t>
      </w:r>
      <w:r>
        <w:t xml:space="preserve"> 30 adult interviewees (that this paper directly discusses) – Brink, ‘Inconsistency of Belief’, p. 83; Walter and Waterhouse, ‘Private Belief’, pp. 188-189, 190</w:t>
      </w:r>
      <w:r w:rsidR="007D388D">
        <w:t>.</w:t>
      </w:r>
    </w:p>
  </w:footnote>
  <w:footnote w:id="8">
    <w:p w14:paraId="2BD10C1A" w14:textId="335CDE70" w:rsidR="007C3839" w:rsidRDefault="007C3839">
      <w:pPr>
        <w:pStyle w:val="FootnoteText"/>
      </w:pPr>
      <w:r>
        <w:rPr>
          <w:rStyle w:val="FootnoteReference"/>
        </w:rPr>
        <w:footnoteRef/>
      </w:r>
      <w:r>
        <w:t xml:space="preserve"> Walter and Waterhouse, ‘Private Belief’, p. 188.</w:t>
      </w:r>
    </w:p>
  </w:footnote>
  <w:footnote w:id="9">
    <w:p w14:paraId="2A96E552" w14:textId="52441CB0" w:rsidR="007C3839" w:rsidRDefault="007C3839">
      <w:pPr>
        <w:pStyle w:val="FootnoteText"/>
      </w:pPr>
      <w:r>
        <w:rPr>
          <w:rStyle w:val="FootnoteReference"/>
        </w:rPr>
        <w:footnoteRef/>
      </w:r>
      <w:r>
        <w:t xml:space="preserve"> Walter and Waterhouse, ‘Private Belief’, p. 188.</w:t>
      </w:r>
    </w:p>
  </w:footnote>
  <w:footnote w:id="10">
    <w:p w14:paraId="75488B7A" w14:textId="77777777" w:rsidR="007C3839" w:rsidRDefault="007C3839" w:rsidP="00351FF9">
      <w:pPr>
        <w:pStyle w:val="FootnoteText"/>
      </w:pPr>
      <w:r>
        <w:rPr>
          <w:rStyle w:val="FootnoteReference"/>
        </w:rPr>
        <w:footnoteRef/>
      </w:r>
      <w:r>
        <w:t xml:space="preserve"> Walter and Waterhouse, ‘Private Belief’, p. 188.</w:t>
      </w:r>
    </w:p>
  </w:footnote>
  <w:footnote w:id="11">
    <w:p w14:paraId="36F81AE4" w14:textId="0FD8EAE5" w:rsidR="007C3839" w:rsidRDefault="007C3839">
      <w:pPr>
        <w:pStyle w:val="FootnoteText"/>
      </w:pPr>
      <w:r>
        <w:rPr>
          <w:rStyle w:val="FootnoteReference"/>
        </w:rPr>
        <w:footnoteRef/>
      </w:r>
      <w:r>
        <w:t xml:space="preserve"> Walter and Waterhouse, ‘Private Belief’, p. 188.</w:t>
      </w:r>
    </w:p>
  </w:footnote>
  <w:footnote w:id="12">
    <w:p w14:paraId="4A1FE4DC" w14:textId="627A602C" w:rsidR="00751896" w:rsidRDefault="00751896">
      <w:pPr>
        <w:pStyle w:val="FootnoteText"/>
      </w:pPr>
      <w:r>
        <w:rPr>
          <w:rStyle w:val="FootnoteReference"/>
        </w:rPr>
        <w:footnoteRef/>
      </w:r>
      <w:r>
        <w:t xml:space="preserve"> Walter and Waterhouse, ‘Private Belief’, p. 192.</w:t>
      </w:r>
    </w:p>
  </w:footnote>
  <w:footnote w:id="13">
    <w:p w14:paraId="5EDD42DB" w14:textId="6138E15B" w:rsidR="002A6901" w:rsidRDefault="002A6901">
      <w:pPr>
        <w:pStyle w:val="FootnoteText"/>
      </w:pPr>
      <w:r>
        <w:rPr>
          <w:rStyle w:val="FootnoteReference"/>
        </w:rPr>
        <w:footnoteRef/>
      </w:r>
      <w:r>
        <w:t xml:space="preserve"> Walter and Waterhouse, ‘Private Belief’, p. 195.</w:t>
      </w:r>
    </w:p>
  </w:footnote>
  <w:footnote w:id="14">
    <w:p w14:paraId="7D04306B" w14:textId="659E36BE" w:rsidR="00D42480" w:rsidRDefault="00D42480">
      <w:pPr>
        <w:pStyle w:val="FootnoteText"/>
      </w:pPr>
      <w:r>
        <w:rPr>
          <w:rStyle w:val="FootnoteReference"/>
        </w:rPr>
        <w:footnoteRef/>
      </w:r>
      <w:r>
        <w:t xml:space="preserve"> </w:t>
      </w:r>
      <w:r w:rsidR="00B27208">
        <w:t>Walter and Waterhouse, ‘Private Belief’, pp. 191-192</w:t>
      </w:r>
      <w:r w:rsidR="00181462">
        <w:t>, 194.</w:t>
      </w:r>
    </w:p>
  </w:footnote>
  <w:footnote w:id="15">
    <w:p w14:paraId="15A455EE" w14:textId="77777777" w:rsidR="00896F8E" w:rsidRDefault="00896F8E" w:rsidP="00896F8E">
      <w:pPr>
        <w:pStyle w:val="FootnoteText"/>
      </w:pPr>
      <w:r>
        <w:rPr>
          <w:rStyle w:val="FootnoteReference"/>
        </w:rPr>
        <w:footnoteRef/>
      </w:r>
      <w:r>
        <w:t xml:space="preserve"> Walter and Waterhouse, ‘Private Belief’, p. 188; Hennink, Hutter, and Bailey, </w:t>
      </w:r>
      <w:r>
        <w:rPr>
          <w:i/>
        </w:rPr>
        <w:t xml:space="preserve">Qualitative Research Methods, </w:t>
      </w:r>
      <w:r>
        <w:t>pp. 17-19.</w:t>
      </w:r>
    </w:p>
  </w:footnote>
  <w:footnote w:id="16">
    <w:p w14:paraId="242C7782" w14:textId="4E7EA5CA" w:rsidR="007C3839" w:rsidRDefault="007C3839">
      <w:pPr>
        <w:pStyle w:val="FootnoteText"/>
      </w:pPr>
      <w:r>
        <w:rPr>
          <w:rStyle w:val="FootnoteReference"/>
        </w:rPr>
        <w:footnoteRef/>
      </w:r>
      <w:r>
        <w:t xml:space="preserve"> Brink, ‘Inconsistency of Belief’, p. 82.</w:t>
      </w:r>
    </w:p>
  </w:footnote>
  <w:footnote w:id="17">
    <w:p w14:paraId="78DBFA40" w14:textId="68E1C302" w:rsidR="007C3839" w:rsidRDefault="007C3839">
      <w:pPr>
        <w:pStyle w:val="FootnoteText"/>
      </w:pPr>
      <w:r>
        <w:rPr>
          <w:rStyle w:val="FootnoteReference"/>
        </w:rPr>
        <w:footnoteRef/>
      </w:r>
      <w:r>
        <w:t xml:space="preserve"> Brink, ‘Inconsistency of Belief’, p. 82.</w:t>
      </w:r>
    </w:p>
  </w:footnote>
  <w:footnote w:id="18">
    <w:p w14:paraId="00D7B579" w14:textId="435F0784" w:rsidR="007C3839" w:rsidRDefault="007C3839">
      <w:pPr>
        <w:pStyle w:val="FootnoteText"/>
      </w:pPr>
      <w:r>
        <w:rPr>
          <w:rStyle w:val="FootnoteReference"/>
        </w:rPr>
        <w:footnoteRef/>
      </w:r>
      <w:r>
        <w:t xml:space="preserve"> Walter and Waterhouse, ‘Private Belief’, p. 188; </w:t>
      </w:r>
      <w:r w:rsidR="004F565E">
        <w:t xml:space="preserve">Alan Leo, </w:t>
      </w:r>
      <w:r w:rsidR="004F565E">
        <w:rPr>
          <w:i/>
        </w:rPr>
        <w:t xml:space="preserve">Esoteric Astrology </w:t>
      </w:r>
      <w:r w:rsidR="004F565E">
        <w:t xml:space="preserve">(London: N. Fowler &amp; Co., 1913), vii; </w:t>
      </w:r>
      <w:r>
        <w:t>Brink, ‘Inconsistency of Belief’, p. 83.</w:t>
      </w:r>
    </w:p>
  </w:footnote>
  <w:footnote w:id="19">
    <w:p w14:paraId="0F198D76" w14:textId="5209304D" w:rsidR="007C3839" w:rsidRDefault="007C3839">
      <w:pPr>
        <w:pStyle w:val="FootnoteText"/>
      </w:pPr>
      <w:r>
        <w:rPr>
          <w:rStyle w:val="FootnoteReference"/>
        </w:rPr>
        <w:footnoteRef/>
      </w:r>
      <w:r>
        <w:t xml:space="preserve"> Brink, ‘Inconsistency of Belief’, p. 83.</w:t>
      </w:r>
    </w:p>
  </w:footnote>
  <w:footnote w:id="20">
    <w:p w14:paraId="508C0611" w14:textId="4112C2F6" w:rsidR="00DC625B" w:rsidRDefault="00DC625B">
      <w:pPr>
        <w:pStyle w:val="FootnoteText"/>
      </w:pPr>
      <w:r>
        <w:rPr>
          <w:rStyle w:val="FootnoteReference"/>
        </w:rPr>
        <w:footnoteRef/>
      </w:r>
      <w:r>
        <w:t xml:space="preserve"> Brink, ‘Inconsistency of Belief’, p. 83.</w:t>
      </w:r>
    </w:p>
  </w:footnote>
  <w:footnote w:id="21">
    <w:p w14:paraId="5C9CF30B" w14:textId="182873C5" w:rsidR="00FF0238" w:rsidRDefault="00FF0238">
      <w:pPr>
        <w:pStyle w:val="FootnoteText"/>
      </w:pPr>
      <w:r>
        <w:rPr>
          <w:rStyle w:val="FootnoteReference"/>
        </w:rPr>
        <w:footnoteRef/>
      </w:r>
      <w:r>
        <w:t xml:space="preserve"> Brink, ‘Inconsistency of Belief’, pp. 83-84.</w:t>
      </w:r>
    </w:p>
  </w:footnote>
  <w:footnote w:id="22">
    <w:p w14:paraId="374B5085" w14:textId="4AA0F737" w:rsidR="008F45CE" w:rsidRDefault="008F45CE">
      <w:pPr>
        <w:pStyle w:val="FootnoteText"/>
      </w:pPr>
      <w:r>
        <w:rPr>
          <w:rStyle w:val="FootnoteReference"/>
        </w:rPr>
        <w:footnoteRef/>
      </w:r>
      <w:r>
        <w:t xml:space="preserve"> </w:t>
      </w:r>
      <w:r>
        <w:t>Walter and Waterhouse, ‘Private Belief’, pp. 1</w:t>
      </w:r>
      <w:r>
        <w:t>87-189.</w:t>
      </w:r>
    </w:p>
  </w:footnote>
  <w:footnote w:id="23">
    <w:p w14:paraId="5D377EEF" w14:textId="77777777" w:rsidR="00064B33" w:rsidRDefault="00064B33" w:rsidP="00064B33">
      <w:pPr>
        <w:pStyle w:val="FootnoteText"/>
      </w:pPr>
      <w:r>
        <w:rPr>
          <w:rStyle w:val="FootnoteReference"/>
        </w:rPr>
        <w:footnoteRef/>
      </w:r>
      <w:r>
        <w:t xml:space="preserve"> Walter and Waterhouse, ‘Private Belief’, p. 187.</w:t>
      </w:r>
    </w:p>
  </w:footnote>
  <w:footnote w:id="24">
    <w:p w14:paraId="7EBCCA17" w14:textId="140F5498" w:rsidR="00A904F6" w:rsidRDefault="00A904F6">
      <w:pPr>
        <w:pStyle w:val="FootnoteText"/>
      </w:pPr>
      <w:r>
        <w:rPr>
          <w:rStyle w:val="FootnoteReference"/>
        </w:rPr>
        <w:footnoteRef/>
      </w:r>
      <w:r>
        <w:t xml:space="preserve"> </w:t>
      </w:r>
      <w:r>
        <w:t>Walter and Waterhouse, ‘Private Belief’, p. 18</w:t>
      </w:r>
      <w:r>
        <w:t>9.</w:t>
      </w:r>
    </w:p>
  </w:footnote>
  <w:footnote w:id="25">
    <w:p w14:paraId="401804A2" w14:textId="47D58437" w:rsidR="00706AF8" w:rsidRDefault="00706AF8">
      <w:pPr>
        <w:pStyle w:val="FootnoteText"/>
      </w:pPr>
      <w:r>
        <w:rPr>
          <w:rStyle w:val="FootnoteReference"/>
        </w:rPr>
        <w:footnoteRef/>
      </w:r>
      <w:r>
        <w:t xml:space="preserve"> </w:t>
      </w:r>
      <w:r>
        <w:t>Walter and Waterhouse, ‘Private Belief’, p. 1</w:t>
      </w:r>
      <w:r>
        <w:t>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A88E7" w14:textId="2CBBB03D" w:rsidR="007C3839" w:rsidRPr="00DA3073" w:rsidRDefault="007C3839" w:rsidP="007C3839">
    <w:pPr>
      <w:pStyle w:val="Header"/>
      <w:tabs>
        <w:tab w:val="clear" w:pos="9026"/>
        <w:tab w:val="right" w:pos="8646"/>
      </w:tabs>
      <w:rPr>
        <w:rFonts w:ascii="Times New Roman" w:hAnsi="Times New Roman"/>
        <w:sz w:val="24"/>
        <w:lang w:val="en-GB"/>
      </w:rPr>
    </w:pPr>
    <w:r w:rsidRPr="00DA3073">
      <w:rPr>
        <w:rFonts w:ascii="Times New Roman" w:hAnsi="Times New Roman"/>
        <w:sz w:val="24"/>
        <w:lang w:val="en-GB"/>
      </w:rPr>
      <w:t>Elizabeth Flynn 1805402</w:t>
    </w:r>
    <w:r w:rsidRPr="00DA3073">
      <w:rPr>
        <w:rFonts w:ascii="Times New Roman" w:hAnsi="Times New Roman"/>
        <w:sz w:val="24"/>
        <w:lang w:val="en-GB"/>
      </w:rPr>
      <w:tab/>
    </w:r>
    <w:r w:rsidRPr="00DA3073">
      <w:rPr>
        <w:rFonts w:ascii="Times New Roman" w:hAnsi="Times New Roman"/>
        <w:sz w:val="24"/>
        <w:lang w:val="en-GB"/>
      </w:rPr>
      <w:tab/>
      <w:t xml:space="preserve">Page </w:t>
    </w:r>
    <w:r w:rsidR="0032493A" w:rsidRPr="0032493A">
      <w:rPr>
        <w:rFonts w:ascii="Times New Roman" w:hAnsi="Times New Roman"/>
        <w:sz w:val="24"/>
        <w:lang w:val="en-GB"/>
      </w:rPr>
      <w:fldChar w:fldCharType="begin"/>
    </w:r>
    <w:r w:rsidR="0032493A" w:rsidRPr="0032493A">
      <w:rPr>
        <w:rFonts w:ascii="Times New Roman" w:hAnsi="Times New Roman"/>
        <w:sz w:val="24"/>
        <w:lang w:val="en-GB"/>
      </w:rPr>
      <w:instrText xml:space="preserve"> PAGE   \* MERGEFORMAT </w:instrText>
    </w:r>
    <w:r w:rsidR="0032493A" w:rsidRPr="0032493A">
      <w:rPr>
        <w:rFonts w:ascii="Times New Roman" w:hAnsi="Times New Roman"/>
        <w:sz w:val="24"/>
        <w:lang w:val="en-GB"/>
      </w:rPr>
      <w:fldChar w:fldCharType="separate"/>
    </w:r>
    <w:r w:rsidR="0032493A" w:rsidRPr="0032493A">
      <w:rPr>
        <w:rFonts w:ascii="Times New Roman" w:hAnsi="Times New Roman"/>
        <w:noProof/>
        <w:sz w:val="24"/>
        <w:lang w:val="en-GB"/>
      </w:rPr>
      <w:t>1</w:t>
    </w:r>
    <w:r w:rsidR="0032493A" w:rsidRPr="0032493A">
      <w:rPr>
        <w:rFonts w:ascii="Times New Roman" w:hAnsi="Times New Roman"/>
        <w:noProof/>
        <w:sz w:val="24"/>
        <w:lang w:val="en-GB"/>
      </w:rPr>
      <w:fldChar w:fldCharType="end"/>
    </w:r>
    <w:r w:rsidRPr="00DA3073">
      <w:rPr>
        <w:rFonts w:ascii="Times New Roman" w:hAnsi="Times New Roman"/>
        <w:sz w:val="24"/>
        <w:lang w:val="en-GB"/>
      </w:rPr>
      <w:t xml:space="preserve"> of </w:t>
    </w:r>
    <w:r w:rsidR="00AA0E51">
      <w:rPr>
        <w:rFonts w:ascii="Times New Roman" w:hAnsi="Times New Roman"/>
        <w:b/>
        <w:bCs/>
        <w:sz w:val="24"/>
        <w:lang w:val="en-GB"/>
      </w:rPr>
      <w:t>4</w:t>
    </w:r>
  </w:p>
  <w:p w14:paraId="0602C8FC" w14:textId="77777777" w:rsidR="007C3839" w:rsidRPr="007C14E9" w:rsidRDefault="007C3839">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E"/>
    <w:rsid w:val="000078FB"/>
    <w:rsid w:val="00021C91"/>
    <w:rsid w:val="00030D5E"/>
    <w:rsid w:val="00051622"/>
    <w:rsid w:val="00054414"/>
    <w:rsid w:val="00064B33"/>
    <w:rsid w:val="000670B9"/>
    <w:rsid w:val="00070E41"/>
    <w:rsid w:val="000C34D2"/>
    <w:rsid w:val="000C3DD5"/>
    <w:rsid w:val="000C4B9B"/>
    <w:rsid w:val="000C6D29"/>
    <w:rsid w:val="000E2BCA"/>
    <w:rsid w:val="000F0645"/>
    <w:rsid w:val="000F2054"/>
    <w:rsid w:val="000F62DC"/>
    <w:rsid w:val="001042A9"/>
    <w:rsid w:val="0011123D"/>
    <w:rsid w:val="00117F02"/>
    <w:rsid w:val="00127C15"/>
    <w:rsid w:val="00137983"/>
    <w:rsid w:val="001429ED"/>
    <w:rsid w:val="00154C50"/>
    <w:rsid w:val="00155D02"/>
    <w:rsid w:val="00161978"/>
    <w:rsid w:val="00172D58"/>
    <w:rsid w:val="0017670C"/>
    <w:rsid w:val="00180EBB"/>
    <w:rsid w:val="00181462"/>
    <w:rsid w:val="00183072"/>
    <w:rsid w:val="00185700"/>
    <w:rsid w:val="0019239B"/>
    <w:rsid w:val="00197A2D"/>
    <w:rsid w:val="001A1661"/>
    <w:rsid w:val="001C0D69"/>
    <w:rsid w:val="001C185D"/>
    <w:rsid w:val="001C31EC"/>
    <w:rsid w:val="001C4EFC"/>
    <w:rsid w:val="001D02EA"/>
    <w:rsid w:val="001E26AA"/>
    <w:rsid w:val="001E7D7B"/>
    <w:rsid w:val="00225F20"/>
    <w:rsid w:val="00261A29"/>
    <w:rsid w:val="002715EA"/>
    <w:rsid w:val="0028015A"/>
    <w:rsid w:val="00286C68"/>
    <w:rsid w:val="002A6901"/>
    <w:rsid w:val="002B15C7"/>
    <w:rsid w:val="002B6B29"/>
    <w:rsid w:val="002C41A3"/>
    <w:rsid w:val="002C4F5D"/>
    <w:rsid w:val="002D0796"/>
    <w:rsid w:val="002D1EA5"/>
    <w:rsid w:val="002D4503"/>
    <w:rsid w:val="002E64E0"/>
    <w:rsid w:val="002F43F8"/>
    <w:rsid w:val="002F5E7C"/>
    <w:rsid w:val="002F5F70"/>
    <w:rsid w:val="003113D2"/>
    <w:rsid w:val="0032153E"/>
    <w:rsid w:val="0032493A"/>
    <w:rsid w:val="0034252D"/>
    <w:rsid w:val="00351FF9"/>
    <w:rsid w:val="00376E13"/>
    <w:rsid w:val="00382FAB"/>
    <w:rsid w:val="003A1F5D"/>
    <w:rsid w:val="003A2F29"/>
    <w:rsid w:val="003A7406"/>
    <w:rsid w:val="003B2819"/>
    <w:rsid w:val="003B6B50"/>
    <w:rsid w:val="003C57A5"/>
    <w:rsid w:val="003D0748"/>
    <w:rsid w:val="003E095E"/>
    <w:rsid w:val="003E22EF"/>
    <w:rsid w:val="003F09C0"/>
    <w:rsid w:val="003F472E"/>
    <w:rsid w:val="00401FDA"/>
    <w:rsid w:val="00402181"/>
    <w:rsid w:val="00415E6C"/>
    <w:rsid w:val="00423ED4"/>
    <w:rsid w:val="00426476"/>
    <w:rsid w:val="004277FD"/>
    <w:rsid w:val="00440375"/>
    <w:rsid w:val="00450083"/>
    <w:rsid w:val="00455E50"/>
    <w:rsid w:val="00477C7A"/>
    <w:rsid w:val="00484AC1"/>
    <w:rsid w:val="00490F50"/>
    <w:rsid w:val="00491190"/>
    <w:rsid w:val="00496B80"/>
    <w:rsid w:val="004B5905"/>
    <w:rsid w:val="004C46F1"/>
    <w:rsid w:val="004D61EE"/>
    <w:rsid w:val="004F0DF7"/>
    <w:rsid w:val="004F465D"/>
    <w:rsid w:val="004F565E"/>
    <w:rsid w:val="00503997"/>
    <w:rsid w:val="00516032"/>
    <w:rsid w:val="00520749"/>
    <w:rsid w:val="005231A6"/>
    <w:rsid w:val="00523EA3"/>
    <w:rsid w:val="00536CA3"/>
    <w:rsid w:val="00542BFF"/>
    <w:rsid w:val="005452DB"/>
    <w:rsid w:val="005453AE"/>
    <w:rsid w:val="005548A4"/>
    <w:rsid w:val="00561180"/>
    <w:rsid w:val="005658AA"/>
    <w:rsid w:val="00565F67"/>
    <w:rsid w:val="005772CA"/>
    <w:rsid w:val="00587FB2"/>
    <w:rsid w:val="00592576"/>
    <w:rsid w:val="00595014"/>
    <w:rsid w:val="005A6EA6"/>
    <w:rsid w:val="005B1EA3"/>
    <w:rsid w:val="005B6088"/>
    <w:rsid w:val="005B7668"/>
    <w:rsid w:val="005C00A3"/>
    <w:rsid w:val="005C7D6C"/>
    <w:rsid w:val="005D27CC"/>
    <w:rsid w:val="005F63CE"/>
    <w:rsid w:val="00603211"/>
    <w:rsid w:val="006042BC"/>
    <w:rsid w:val="00626B5B"/>
    <w:rsid w:val="00647369"/>
    <w:rsid w:val="00647589"/>
    <w:rsid w:val="00647B09"/>
    <w:rsid w:val="00654CFC"/>
    <w:rsid w:val="006555A4"/>
    <w:rsid w:val="00673436"/>
    <w:rsid w:val="00680348"/>
    <w:rsid w:val="006B2BF4"/>
    <w:rsid w:val="006B4948"/>
    <w:rsid w:val="006F6F6D"/>
    <w:rsid w:val="00706AF8"/>
    <w:rsid w:val="007112D2"/>
    <w:rsid w:val="00711A45"/>
    <w:rsid w:val="007141FF"/>
    <w:rsid w:val="007163CC"/>
    <w:rsid w:val="007256A3"/>
    <w:rsid w:val="0073292D"/>
    <w:rsid w:val="00733FD3"/>
    <w:rsid w:val="00743611"/>
    <w:rsid w:val="00751896"/>
    <w:rsid w:val="007563CD"/>
    <w:rsid w:val="007606EB"/>
    <w:rsid w:val="00772A6F"/>
    <w:rsid w:val="007A1DB6"/>
    <w:rsid w:val="007A2B49"/>
    <w:rsid w:val="007B62F9"/>
    <w:rsid w:val="007B674D"/>
    <w:rsid w:val="007B79D3"/>
    <w:rsid w:val="007C36E1"/>
    <w:rsid w:val="007C3839"/>
    <w:rsid w:val="007C43FE"/>
    <w:rsid w:val="007D388D"/>
    <w:rsid w:val="007F3345"/>
    <w:rsid w:val="007F6559"/>
    <w:rsid w:val="008068CA"/>
    <w:rsid w:val="00810F10"/>
    <w:rsid w:val="0083455F"/>
    <w:rsid w:val="00837B5B"/>
    <w:rsid w:val="00840816"/>
    <w:rsid w:val="00850DF4"/>
    <w:rsid w:val="008514EE"/>
    <w:rsid w:val="00853738"/>
    <w:rsid w:val="008542FC"/>
    <w:rsid w:val="008618EB"/>
    <w:rsid w:val="0087493A"/>
    <w:rsid w:val="00874C8D"/>
    <w:rsid w:val="00877AB1"/>
    <w:rsid w:val="00877B5E"/>
    <w:rsid w:val="00896F8E"/>
    <w:rsid w:val="008B545C"/>
    <w:rsid w:val="008C202C"/>
    <w:rsid w:val="008C4C98"/>
    <w:rsid w:val="008C7671"/>
    <w:rsid w:val="008D4DFB"/>
    <w:rsid w:val="008E500D"/>
    <w:rsid w:val="008F45CE"/>
    <w:rsid w:val="009059E2"/>
    <w:rsid w:val="00910BF2"/>
    <w:rsid w:val="00922DF9"/>
    <w:rsid w:val="00931D24"/>
    <w:rsid w:val="009323FD"/>
    <w:rsid w:val="00932D69"/>
    <w:rsid w:val="00936367"/>
    <w:rsid w:val="00940275"/>
    <w:rsid w:val="00941307"/>
    <w:rsid w:val="00944F67"/>
    <w:rsid w:val="009467FF"/>
    <w:rsid w:val="009514BB"/>
    <w:rsid w:val="009558A2"/>
    <w:rsid w:val="00971580"/>
    <w:rsid w:val="00973C70"/>
    <w:rsid w:val="00991675"/>
    <w:rsid w:val="00993DF1"/>
    <w:rsid w:val="00994507"/>
    <w:rsid w:val="009A1C13"/>
    <w:rsid w:val="009A60E0"/>
    <w:rsid w:val="009B274A"/>
    <w:rsid w:val="009B6334"/>
    <w:rsid w:val="009C017A"/>
    <w:rsid w:val="009C6FD6"/>
    <w:rsid w:val="009D2785"/>
    <w:rsid w:val="009E6431"/>
    <w:rsid w:val="009F46DF"/>
    <w:rsid w:val="00A02CEF"/>
    <w:rsid w:val="00A202E7"/>
    <w:rsid w:val="00A2370D"/>
    <w:rsid w:val="00A278F9"/>
    <w:rsid w:val="00A463CA"/>
    <w:rsid w:val="00A4645A"/>
    <w:rsid w:val="00A66305"/>
    <w:rsid w:val="00A72105"/>
    <w:rsid w:val="00A904F6"/>
    <w:rsid w:val="00AA0411"/>
    <w:rsid w:val="00AA0E51"/>
    <w:rsid w:val="00AA14A4"/>
    <w:rsid w:val="00AA15F9"/>
    <w:rsid w:val="00AA3EB0"/>
    <w:rsid w:val="00AA5951"/>
    <w:rsid w:val="00AB0AEA"/>
    <w:rsid w:val="00AB4D89"/>
    <w:rsid w:val="00AC206A"/>
    <w:rsid w:val="00AC4F0A"/>
    <w:rsid w:val="00AF47DB"/>
    <w:rsid w:val="00AF4B1E"/>
    <w:rsid w:val="00B27208"/>
    <w:rsid w:val="00B278E8"/>
    <w:rsid w:val="00B353CE"/>
    <w:rsid w:val="00B415DD"/>
    <w:rsid w:val="00B453E4"/>
    <w:rsid w:val="00B47556"/>
    <w:rsid w:val="00B53CC2"/>
    <w:rsid w:val="00B60437"/>
    <w:rsid w:val="00B62ACB"/>
    <w:rsid w:val="00B62FB9"/>
    <w:rsid w:val="00B6533C"/>
    <w:rsid w:val="00B72CD3"/>
    <w:rsid w:val="00B73E7B"/>
    <w:rsid w:val="00B8293E"/>
    <w:rsid w:val="00B907A3"/>
    <w:rsid w:val="00BC096C"/>
    <w:rsid w:val="00BC35D7"/>
    <w:rsid w:val="00BD1BE2"/>
    <w:rsid w:val="00BD6EBB"/>
    <w:rsid w:val="00BD7284"/>
    <w:rsid w:val="00BF1A76"/>
    <w:rsid w:val="00C00007"/>
    <w:rsid w:val="00C3132E"/>
    <w:rsid w:val="00C40113"/>
    <w:rsid w:val="00C525BA"/>
    <w:rsid w:val="00C55ACF"/>
    <w:rsid w:val="00C55AD5"/>
    <w:rsid w:val="00C60805"/>
    <w:rsid w:val="00C73598"/>
    <w:rsid w:val="00C75ACA"/>
    <w:rsid w:val="00C80E7E"/>
    <w:rsid w:val="00C83046"/>
    <w:rsid w:val="00C847EB"/>
    <w:rsid w:val="00C8535A"/>
    <w:rsid w:val="00C97468"/>
    <w:rsid w:val="00CA7BAE"/>
    <w:rsid w:val="00CB471A"/>
    <w:rsid w:val="00CB504E"/>
    <w:rsid w:val="00CC3714"/>
    <w:rsid w:val="00CE0C19"/>
    <w:rsid w:val="00CE12F1"/>
    <w:rsid w:val="00CE50EB"/>
    <w:rsid w:val="00CF1A33"/>
    <w:rsid w:val="00D074B2"/>
    <w:rsid w:val="00D15A98"/>
    <w:rsid w:val="00D17EC1"/>
    <w:rsid w:val="00D24C08"/>
    <w:rsid w:val="00D42480"/>
    <w:rsid w:val="00D438EF"/>
    <w:rsid w:val="00D5172A"/>
    <w:rsid w:val="00D634FD"/>
    <w:rsid w:val="00D63652"/>
    <w:rsid w:val="00D6657A"/>
    <w:rsid w:val="00D722CE"/>
    <w:rsid w:val="00D75546"/>
    <w:rsid w:val="00D800B3"/>
    <w:rsid w:val="00D81FFB"/>
    <w:rsid w:val="00D84342"/>
    <w:rsid w:val="00D92346"/>
    <w:rsid w:val="00DA5760"/>
    <w:rsid w:val="00DA65F0"/>
    <w:rsid w:val="00DA7420"/>
    <w:rsid w:val="00DB1572"/>
    <w:rsid w:val="00DB36A0"/>
    <w:rsid w:val="00DB433E"/>
    <w:rsid w:val="00DC287E"/>
    <w:rsid w:val="00DC339C"/>
    <w:rsid w:val="00DC61B3"/>
    <w:rsid w:val="00DC625B"/>
    <w:rsid w:val="00DD24D5"/>
    <w:rsid w:val="00DD64BC"/>
    <w:rsid w:val="00DE07BF"/>
    <w:rsid w:val="00DE143D"/>
    <w:rsid w:val="00DE64C5"/>
    <w:rsid w:val="00DE6D19"/>
    <w:rsid w:val="00DF2254"/>
    <w:rsid w:val="00E01DEF"/>
    <w:rsid w:val="00E272BC"/>
    <w:rsid w:val="00E32DDF"/>
    <w:rsid w:val="00E36057"/>
    <w:rsid w:val="00E4481E"/>
    <w:rsid w:val="00E72844"/>
    <w:rsid w:val="00E728C1"/>
    <w:rsid w:val="00E72D46"/>
    <w:rsid w:val="00E74149"/>
    <w:rsid w:val="00E8504A"/>
    <w:rsid w:val="00E860AA"/>
    <w:rsid w:val="00E91214"/>
    <w:rsid w:val="00E93AE3"/>
    <w:rsid w:val="00EB059C"/>
    <w:rsid w:val="00EC05F7"/>
    <w:rsid w:val="00EC66F2"/>
    <w:rsid w:val="00ED576F"/>
    <w:rsid w:val="00EE4FF7"/>
    <w:rsid w:val="00EE707F"/>
    <w:rsid w:val="00F179BB"/>
    <w:rsid w:val="00F23903"/>
    <w:rsid w:val="00F3186F"/>
    <w:rsid w:val="00F410D3"/>
    <w:rsid w:val="00F4376F"/>
    <w:rsid w:val="00F43E3E"/>
    <w:rsid w:val="00F610DC"/>
    <w:rsid w:val="00F62E32"/>
    <w:rsid w:val="00F645B0"/>
    <w:rsid w:val="00F7063F"/>
    <w:rsid w:val="00F74C47"/>
    <w:rsid w:val="00F75988"/>
    <w:rsid w:val="00F86467"/>
    <w:rsid w:val="00FA0D32"/>
    <w:rsid w:val="00FA41F9"/>
    <w:rsid w:val="00FA7C05"/>
    <w:rsid w:val="00FB5D68"/>
    <w:rsid w:val="00FC045C"/>
    <w:rsid w:val="00FC2971"/>
    <w:rsid w:val="00FD7839"/>
    <w:rsid w:val="00FE0205"/>
    <w:rsid w:val="00FE4742"/>
    <w:rsid w:val="00FE4C46"/>
    <w:rsid w:val="00FF0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CE583"/>
  <w15:chartTrackingRefBased/>
  <w15:docId w15:val="{9E3CD55B-261D-4ABC-AFA7-4ED6AFCA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2C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D722C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722CE"/>
    <w:rPr>
      <w:rFonts w:ascii="Tahoma" w:eastAsia="SimSun" w:hAnsi="Tahoma" w:cs="Tahoma"/>
      <w:b/>
      <w:bCs/>
      <w:sz w:val="20"/>
      <w:szCs w:val="20"/>
      <w:lang w:eastAsia="zh-CN"/>
    </w:rPr>
  </w:style>
  <w:style w:type="paragraph" w:styleId="NormalWeb">
    <w:name w:val="Normal (Web)"/>
    <w:basedOn w:val="Normal"/>
    <w:rsid w:val="00D722C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D722CE"/>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D722CE"/>
    <w:rPr>
      <w:rFonts w:ascii="Trebuchet MS" w:eastAsia="Calibri" w:hAnsi="Trebuchet MS" w:cs="Times New Roman"/>
      <w:szCs w:val="20"/>
      <w:lang w:val="x-none"/>
    </w:rPr>
  </w:style>
  <w:style w:type="paragraph" w:styleId="Footer">
    <w:name w:val="footer"/>
    <w:basedOn w:val="Normal"/>
    <w:link w:val="FooterChar"/>
    <w:uiPriority w:val="99"/>
    <w:rsid w:val="00D722CE"/>
    <w:pPr>
      <w:tabs>
        <w:tab w:val="center" w:pos="4513"/>
        <w:tab w:val="right" w:pos="9026"/>
      </w:tabs>
    </w:pPr>
    <w:rPr>
      <w:lang w:val="x-none"/>
    </w:rPr>
  </w:style>
  <w:style w:type="character" w:customStyle="1" w:styleId="FooterChar">
    <w:name w:val="Footer Char"/>
    <w:basedOn w:val="DefaultParagraphFont"/>
    <w:link w:val="Footer"/>
    <w:uiPriority w:val="99"/>
    <w:rsid w:val="00D722CE"/>
    <w:rPr>
      <w:rFonts w:ascii="Times New Roman" w:eastAsia="SimSun" w:hAnsi="Times New Roman" w:cs="Times New Roman"/>
      <w:sz w:val="24"/>
      <w:szCs w:val="24"/>
      <w:lang w:val="x-none" w:eastAsia="zh-CN"/>
    </w:rPr>
  </w:style>
  <w:style w:type="paragraph" w:styleId="FootnoteText">
    <w:name w:val="footnote text"/>
    <w:basedOn w:val="Normal"/>
    <w:link w:val="FootnoteTextChar"/>
    <w:rsid w:val="00D722CE"/>
    <w:rPr>
      <w:sz w:val="20"/>
      <w:szCs w:val="20"/>
    </w:rPr>
  </w:style>
  <w:style w:type="character" w:customStyle="1" w:styleId="FootnoteTextChar">
    <w:name w:val="Footnote Text Char"/>
    <w:basedOn w:val="DefaultParagraphFont"/>
    <w:link w:val="FootnoteText"/>
    <w:rsid w:val="00D722CE"/>
    <w:rPr>
      <w:rFonts w:ascii="Times New Roman" w:eastAsia="SimSun" w:hAnsi="Times New Roman" w:cs="Times New Roman"/>
      <w:sz w:val="20"/>
      <w:szCs w:val="20"/>
      <w:lang w:eastAsia="zh-CN"/>
    </w:rPr>
  </w:style>
  <w:style w:type="character" w:styleId="FootnoteReference">
    <w:name w:val="footnote reference"/>
    <w:basedOn w:val="DefaultParagraphFont"/>
    <w:rsid w:val="00D722CE"/>
    <w:rPr>
      <w:vertAlign w:val="superscript"/>
    </w:rPr>
  </w:style>
  <w:style w:type="character" w:styleId="Hyperlink">
    <w:name w:val="Hyperlink"/>
    <w:basedOn w:val="DefaultParagraphFont"/>
    <w:uiPriority w:val="99"/>
    <w:unhideWhenUsed/>
    <w:rsid w:val="00B62FB9"/>
    <w:rPr>
      <w:color w:val="0563C1" w:themeColor="hyperlink"/>
      <w:u w:val="single"/>
    </w:rPr>
  </w:style>
  <w:style w:type="character" w:styleId="UnresolvedMention">
    <w:name w:val="Unresolved Mention"/>
    <w:basedOn w:val="DefaultParagraphFont"/>
    <w:uiPriority w:val="99"/>
    <w:semiHidden/>
    <w:unhideWhenUsed/>
    <w:rsid w:val="00B62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03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7B449-2963-43C6-9B81-2D190D62E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6</Pages>
  <Words>1502</Words>
  <Characters>8563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Flynn</dc:creator>
  <cp:keywords/>
  <dc:description/>
  <cp:lastModifiedBy>Elizabeth Flynn (1805402)</cp:lastModifiedBy>
  <cp:revision>271</cp:revision>
  <dcterms:created xsi:type="dcterms:W3CDTF">2019-01-29T09:59:00Z</dcterms:created>
  <dcterms:modified xsi:type="dcterms:W3CDTF">2019-03-15T14:24:00Z</dcterms:modified>
</cp:coreProperties>
</file>