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693DD31" w14:paraId="5CE7C490" wp14:textId="1946D23A">
      <w:pPr>
        <w:spacing w:line="360" w:lineRule="auto"/>
        <w:rPr>
          <w:rFonts w:ascii="Arial" w:hAnsi="Arial" w:eastAsia="Arial" w:cs="Arial"/>
          <w:noProof w:val="0"/>
          <w:color w:val="252525"/>
          <w:sz w:val="24"/>
          <w:szCs w:val="24"/>
          <w:lang w:val="en-GB"/>
        </w:rPr>
      </w:pPr>
      <w:r w:rsidRPr="4693DD31" w:rsidR="639053E8">
        <w:rPr>
          <w:rFonts w:ascii="Arial" w:hAnsi="Arial" w:eastAsia="Arial" w:cs="Arial"/>
          <w:b w:val="1"/>
          <w:bCs w:val="1"/>
          <w:noProof w:val="0"/>
          <w:color w:val="252525"/>
          <w:sz w:val="24"/>
          <w:szCs w:val="24"/>
          <w:lang w:val="en-GB"/>
        </w:rPr>
        <w:t>Examine and discuss the factors that can contribute to the causes of vulnerability</w:t>
      </w:r>
      <w:r w:rsidRPr="4693DD31" w:rsidR="639053E8">
        <w:rPr>
          <w:rFonts w:ascii="Arial" w:hAnsi="Arial" w:eastAsia="Arial" w:cs="Arial"/>
          <w:noProof w:val="0"/>
          <w:color w:val="252525"/>
          <w:sz w:val="24"/>
          <w:szCs w:val="24"/>
          <w:lang w:val="en-GB"/>
        </w:rPr>
        <w:t>.</w:t>
      </w:r>
    </w:p>
    <w:p xmlns:wp14="http://schemas.microsoft.com/office/word/2010/wordml" w:rsidP="4693DD31" w14:paraId="0F6EB53D" wp14:textId="1DB9FC15">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73487ECA" wp14:textId="24A22F54">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The following essay will investigate and identify areas of vulnerability, as well as investigate the causes of </w:t>
      </w:r>
      <w:r w:rsidRPr="4693DD31" w:rsidR="40C471FD">
        <w:rPr>
          <w:rFonts w:ascii="Arial" w:hAnsi="Arial" w:eastAsia="Arial" w:cs="Arial"/>
          <w:noProof w:val="0"/>
          <w:color w:val="252525"/>
          <w:sz w:val="24"/>
          <w:szCs w:val="24"/>
          <w:lang w:val="en-GB"/>
        </w:rPr>
        <w:t>vulnerability. It</w:t>
      </w:r>
      <w:r w:rsidRPr="4693DD31" w:rsidR="639053E8">
        <w:rPr>
          <w:rFonts w:ascii="Arial" w:hAnsi="Arial" w:eastAsia="Arial" w:cs="Arial"/>
          <w:noProof w:val="0"/>
          <w:color w:val="252525"/>
          <w:sz w:val="24"/>
          <w:szCs w:val="24"/>
          <w:lang w:val="en-GB"/>
        </w:rPr>
        <w:t xml:space="preserve"> will also provide a definition of vulnerability and the vulnerability action plan used by police to assess factors such as age, mental health, culture, and gender. The essay will also break down vulnerable factors such as personal, situational, and circumstantial factors.</w:t>
      </w:r>
    </w:p>
    <w:p xmlns:wp14="http://schemas.microsoft.com/office/word/2010/wordml" w:rsidP="4693DD31" w14:paraId="11CF2ED7" wp14:textId="03048321">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3AEF70F3" wp14:textId="632C9042">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To understand the factors that can contribute to a person's vulnerability, an understanding of the definition of vulnerability is required. According to the College of Policing, "a person is vulnerable if, as a result of their situation or circumstances, they are unable to take care of or protect themselves or others from harm or exploitation" (NPCC, 2022).</w:t>
      </w:r>
    </w:p>
    <w:p xmlns:wp14="http://schemas.microsoft.com/office/word/2010/wordml" w:rsidP="4693DD31" w14:paraId="23FCD5D9" wp14:textId="52E897B6">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The College of Policing has also created a national vulnerability action plan that can assist officers and staff in identifying potential factors that can contribute to a person's vulnerability. (NPCC,2022)  </w:t>
      </w:r>
    </w:p>
    <w:p xmlns:wp14="http://schemas.microsoft.com/office/word/2010/wordml" w:rsidP="4693DD31" w14:paraId="5105B950" wp14:textId="1AFA1BC3">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The national vulnerability action plan and the College of Policing’s definition of vulnerability both identify that there are situational factors that contribute to an individual's vulnerability. One example of a situational factor is the presence of an abuser. Having an abuser reside with a vulnerable person can be hard to identify as abuse from a caregiver, partner, or even family member can be present in many different areas of abuse, such as financial, physical, psychological, neglect, and sexual abuse, which can in some cases trap the victim in a cycle of abuse. (Yon. Y., 2017)</w:t>
      </w:r>
    </w:p>
    <w:p xmlns:wp14="http://schemas.microsoft.com/office/word/2010/wordml" w:rsidP="4693DD31" w14:paraId="16C57D22" wp14:textId="22367FF1">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Financial abuse is an example of a situational factor that involves a person having complete control over another's finances and access to their money. This form of abuse is more often seen in cases of domestic abuse and involves a partner's control over their </w:t>
      </w:r>
      <w:proofErr w:type="gramStart"/>
      <w:r w:rsidRPr="4693DD31" w:rsidR="639053E8">
        <w:rPr>
          <w:rFonts w:ascii="Arial" w:hAnsi="Arial" w:eastAsia="Arial" w:cs="Arial"/>
          <w:noProof w:val="0"/>
          <w:color w:val="252525"/>
          <w:sz w:val="24"/>
          <w:szCs w:val="24"/>
          <w:lang w:val="en-GB"/>
        </w:rPr>
        <w:t>money, but</w:t>
      </w:r>
      <w:proofErr w:type="gramEnd"/>
      <w:r w:rsidRPr="4693DD31" w:rsidR="639053E8">
        <w:rPr>
          <w:rFonts w:ascii="Arial" w:hAnsi="Arial" w:eastAsia="Arial" w:cs="Arial"/>
          <w:noProof w:val="0"/>
          <w:color w:val="252525"/>
          <w:sz w:val="24"/>
          <w:szCs w:val="24"/>
          <w:lang w:val="en-GB"/>
        </w:rPr>
        <w:t xml:space="preserve"> can be seen in a variety of other cases too. (Financial Abuse, 2022). </w:t>
      </w:r>
      <w:r w:rsidRPr="4693DD31" w:rsidR="639053E8">
        <w:rPr>
          <w:rFonts w:ascii="Arial" w:hAnsi="Arial" w:eastAsia="Arial" w:cs="Arial"/>
          <w:noProof w:val="0"/>
          <w:color w:val="252525"/>
          <w:sz w:val="24"/>
          <w:szCs w:val="24"/>
          <w:lang w:val="en-GB"/>
        </w:rPr>
        <w:t>This puts someone in a vulnerable position because they often have no way out of the abuse as their money is cut off or subsidised.</w:t>
      </w:r>
      <w:r w:rsidRPr="4693DD31" w:rsidR="639053E8">
        <w:rPr>
          <w:rFonts w:ascii="Arial" w:hAnsi="Arial" w:eastAsia="Arial" w:cs="Arial"/>
          <w:noProof w:val="0"/>
          <w:color w:val="252525"/>
          <w:sz w:val="24"/>
          <w:szCs w:val="24"/>
          <w:lang w:val="en-GB"/>
        </w:rPr>
        <w:t xml:space="preserve"> It is unlikely that a child could be financially abused, but it is frequently an abuse adults receive. Also, the elderly </w:t>
      </w:r>
      <w:proofErr w:type="gramStart"/>
      <w:r w:rsidRPr="4693DD31" w:rsidR="639053E8">
        <w:rPr>
          <w:rFonts w:ascii="Arial" w:hAnsi="Arial" w:eastAsia="Arial" w:cs="Arial"/>
          <w:noProof w:val="0"/>
          <w:color w:val="252525"/>
          <w:sz w:val="24"/>
          <w:szCs w:val="24"/>
          <w:lang w:val="en-GB"/>
        </w:rPr>
        <w:t>are</w:t>
      </w:r>
      <w:proofErr w:type="gramEnd"/>
      <w:r w:rsidRPr="4693DD31" w:rsidR="639053E8">
        <w:rPr>
          <w:rFonts w:ascii="Arial" w:hAnsi="Arial" w:eastAsia="Arial" w:cs="Arial"/>
          <w:noProof w:val="0"/>
          <w:color w:val="252525"/>
          <w:sz w:val="24"/>
          <w:szCs w:val="24"/>
          <w:lang w:val="en-GB"/>
        </w:rPr>
        <w:t xml:space="preserve"> prone to financial abuse. This abuse can be hard for the victim to reach out for support, and with the vulnerable person being elderly, there is an additional risk to them as age is considered a personal factor that may be a direct reason why someone is vulnerable. (Wilbur.K,2000) </w:t>
      </w:r>
    </w:p>
    <w:p xmlns:wp14="http://schemas.microsoft.com/office/word/2010/wordml" w:rsidP="4693DD31" w14:paraId="200B0671" wp14:textId="1541B535">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2268F736" wp14:textId="70D2385A">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653DA166" wp14:textId="0DF09838">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09057D4E" wp14:textId="3AD1345F">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5269030C" wp14:textId="1DF53832">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52C112A7" wp14:textId="6439596D">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4157874E" wp14:textId="46289304">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62EF058D" wp14:textId="235A97A5">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0E4F3D85" wp14:textId="5E98E53A">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Age is a personal factor that can contribute to vulnerability and has two extremes. As previously stated, elderly people are vulnerable to abuse and may have had their mobility or mental capacity hampered by their age, which, in comparison to the definition of vulnerability, may leave them unable to protect themselves.</w:t>
      </w:r>
      <w:r w:rsidRPr="4693DD31" w:rsidR="5FA7E659">
        <w:rPr>
          <w:rFonts w:ascii="Arial" w:hAnsi="Arial" w:eastAsia="Arial" w:cs="Arial"/>
          <w:noProof w:val="0"/>
          <w:color w:val="252525"/>
          <w:sz w:val="24"/>
          <w:szCs w:val="24"/>
          <w:lang w:val="en-GB"/>
        </w:rPr>
        <w:t xml:space="preserve"> </w:t>
      </w:r>
      <w:r w:rsidRPr="4693DD31" w:rsidR="639053E8">
        <w:rPr>
          <w:rFonts w:ascii="Arial" w:hAnsi="Arial" w:eastAsia="Arial" w:cs="Arial"/>
          <w:noProof w:val="0"/>
          <w:color w:val="252525"/>
          <w:sz w:val="24"/>
          <w:szCs w:val="24"/>
          <w:lang w:val="en-GB"/>
        </w:rPr>
        <w:t xml:space="preserve">Continuing with </w:t>
      </w:r>
      <w:r w:rsidRPr="4693DD31" w:rsidR="6E3F2C2C">
        <w:rPr>
          <w:rFonts w:ascii="Arial" w:hAnsi="Arial" w:eastAsia="Arial" w:cs="Arial"/>
          <w:noProof w:val="0"/>
          <w:color w:val="252525"/>
          <w:sz w:val="24"/>
          <w:szCs w:val="24"/>
          <w:lang w:val="en-GB"/>
        </w:rPr>
        <w:t xml:space="preserve">a </w:t>
      </w:r>
      <w:r w:rsidRPr="4693DD31" w:rsidR="639053E8">
        <w:rPr>
          <w:rFonts w:ascii="Arial" w:hAnsi="Arial" w:eastAsia="Arial" w:cs="Arial"/>
          <w:noProof w:val="0"/>
          <w:color w:val="252525"/>
          <w:sz w:val="24"/>
          <w:szCs w:val="24"/>
          <w:lang w:val="en-GB"/>
        </w:rPr>
        <w:t>financial crime as an example, according to Age UK, 43% of elderly people believe they have received scam attempts involving their money and that elderly people are three times more likely to be victims of fraud. (Age UK, 2019). In addition to these statistics, 130,000 people over the age of 65 have been predicted to have suffered financial abuse. (Age UK, 2015) Given the number of elderly people who are victims of financial crime, it emphasi</w:t>
      </w:r>
      <w:r w:rsidRPr="4693DD31" w:rsidR="731CBF5A">
        <w:rPr>
          <w:rFonts w:ascii="Arial" w:hAnsi="Arial" w:eastAsia="Arial" w:cs="Arial"/>
          <w:noProof w:val="0"/>
          <w:color w:val="252525"/>
          <w:sz w:val="24"/>
          <w:szCs w:val="24"/>
          <w:lang w:val="en-GB"/>
        </w:rPr>
        <w:t>z</w:t>
      </w:r>
      <w:r w:rsidRPr="4693DD31" w:rsidR="639053E8">
        <w:rPr>
          <w:rFonts w:ascii="Arial" w:hAnsi="Arial" w:eastAsia="Arial" w:cs="Arial"/>
          <w:noProof w:val="0"/>
          <w:color w:val="252525"/>
          <w:sz w:val="24"/>
          <w:szCs w:val="24"/>
          <w:lang w:val="en-GB"/>
        </w:rPr>
        <w:t>es the importance of identifying vulnerability factors that may not be obvious at first glance.</w:t>
      </w:r>
    </w:p>
    <w:p xmlns:wp14="http://schemas.microsoft.com/office/word/2010/wordml" w:rsidP="4693DD31" w14:paraId="6B4E96B5" wp14:textId="34576B1A">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5FC2E4D7" wp14:textId="00373D75">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The other extreme of age vulnerability can be seen with children and young people who are also at risk of abuse and neglect and are often in positions where they cannot escape the abuse.</w:t>
      </w:r>
    </w:p>
    <w:p xmlns:wp14="http://schemas.microsoft.com/office/word/2010/wordml" w:rsidP="4693DD31" w14:paraId="19C199C2" wp14:textId="5EEEE478">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An example of abuse and neglect can be found in the case of Peter Connelly. Peter Connelly was a seventeen-month-old baby whose short existence was marked by neglect and abuse from his care providers and saw him receive significant injuries that would later result in his death. (Press release, 2010) These injuries included a broken back, cuts on his neck, gashes to his head, and many more. He was not in a safe environment and was considered extremely vulnerable due to his age and the fact that he lived with his abusers, but also because he had no means to escape the harm or prevent it, which has previously been defined in the definition of vulnerability. (</w:t>
      </w:r>
      <w:proofErr w:type="spellStart"/>
      <w:r w:rsidRPr="4693DD31" w:rsidR="639053E8">
        <w:rPr>
          <w:rFonts w:ascii="Arial" w:hAnsi="Arial" w:eastAsia="Arial" w:cs="Arial"/>
          <w:noProof w:val="0"/>
          <w:color w:val="252525"/>
          <w:sz w:val="24"/>
          <w:szCs w:val="24"/>
          <w:lang w:val="en-GB"/>
        </w:rPr>
        <w:t>Baby.P</w:t>
      </w:r>
      <w:proofErr w:type="spellEnd"/>
      <w:r w:rsidRPr="4693DD31" w:rsidR="639053E8">
        <w:rPr>
          <w:rFonts w:ascii="Arial" w:hAnsi="Arial" w:eastAsia="Arial" w:cs="Arial"/>
          <w:noProof w:val="0"/>
          <w:color w:val="252525"/>
          <w:sz w:val="24"/>
          <w:szCs w:val="24"/>
          <w:lang w:val="en-GB"/>
        </w:rPr>
        <w:t xml:space="preserve">, 2009) </w:t>
      </w:r>
    </w:p>
    <w:p xmlns:wp14="http://schemas.microsoft.com/office/word/2010/wordml" w:rsidP="4693DD31" w14:paraId="7BC48C76" wp14:textId="31E6611B">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This case highlights the effects of the abuse cycle, as Peter Connelly’s mother received abuse at home at a young age and was neglected. (</w:t>
      </w:r>
      <w:proofErr w:type="spellStart"/>
      <w:r w:rsidRPr="4693DD31" w:rsidR="639053E8">
        <w:rPr>
          <w:rFonts w:ascii="Arial" w:hAnsi="Arial" w:eastAsia="Arial" w:cs="Arial"/>
          <w:noProof w:val="0"/>
          <w:color w:val="252525"/>
          <w:sz w:val="24"/>
          <w:szCs w:val="24"/>
          <w:lang w:val="en-GB"/>
        </w:rPr>
        <w:t>Baby.P</w:t>
      </w:r>
      <w:proofErr w:type="spellEnd"/>
      <w:r w:rsidRPr="4693DD31" w:rsidR="639053E8">
        <w:rPr>
          <w:rFonts w:ascii="Arial" w:hAnsi="Arial" w:eastAsia="Arial" w:cs="Arial"/>
          <w:noProof w:val="0"/>
          <w:color w:val="252525"/>
          <w:sz w:val="24"/>
          <w:szCs w:val="24"/>
          <w:lang w:val="en-GB"/>
        </w:rPr>
        <w:t xml:space="preserve">, 2009) According to one study, 47% of abused children who grew up to become parents abused or neglected their children in some </w:t>
      </w:r>
      <w:proofErr w:type="gramStart"/>
      <w:r w:rsidRPr="4693DD31" w:rsidR="639053E8">
        <w:rPr>
          <w:rFonts w:ascii="Arial" w:hAnsi="Arial" w:eastAsia="Arial" w:cs="Arial"/>
          <w:noProof w:val="0"/>
          <w:color w:val="252525"/>
          <w:sz w:val="24"/>
          <w:szCs w:val="24"/>
          <w:lang w:val="en-GB"/>
        </w:rPr>
        <w:t>way.(</w:t>
      </w:r>
      <w:proofErr w:type="gramEnd"/>
      <w:r w:rsidRPr="4693DD31" w:rsidR="639053E8">
        <w:rPr>
          <w:rFonts w:ascii="Arial" w:hAnsi="Arial" w:eastAsia="Arial" w:cs="Arial"/>
          <w:noProof w:val="0"/>
          <w:color w:val="252525"/>
          <w:sz w:val="24"/>
          <w:szCs w:val="24"/>
          <w:lang w:val="en-GB"/>
        </w:rPr>
        <w:t xml:space="preserve">Egland, D., 1988) In addition to this, it was discovered that physical abuse in childhood would often lead to risk factors for aggressive behaviour in adulthood unless the cycle was broken with intervention services. (Dodge, K., 1990) In this case, however, it could be argued that the cycle of abuse had led to the tragic death of Peter Connelly, but it could also be suggested that there were failures on the part of the </w:t>
      </w:r>
      <w:proofErr w:type="gramStart"/>
      <w:r w:rsidRPr="4693DD31" w:rsidR="639053E8">
        <w:rPr>
          <w:rFonts w:ascii="Arial" w:hAnsi="Arial" w:eastAsia="Arial" w:cs="Arial"/>
          <w:noProof w:val="0"/>
          <w:color w:val="252525"/>
          <w:sz w:val="24"/>
          <w:szCs w:val="24"/>
          <w:lang w:val="en-GB"/>
        </w:rPr>
        <w:t>family as a whole, which</w:t>
      </w:r>
      <w:proofErr w:type="gramEnd"/>
      <w:r w:rsidRPr="4693DD31" w:rsidR="639053E8">
        <w:rPr>
          <w:rFonts w:ascii="Arial" w:hAnsi="Arial" w:eastAsia="Arial" w:cs="Arial"/>
          <w:noProof w:val="0"/>
          <w:color w:val="252525"/>
          <w:sz w:val="24"/>
          <w:szCs w:val="24"/>
          <w:lang w:val="en-GB"/>
        </w:rPr>
        <w:t xml:space="preserve"> had experienced levels of abuse their entire lives and whose situation, circumstances, and personal factors indicated that they were vulnerable.</w:t>
      </w:r>
    </w:p>
    <w:p xmlns:wp14="http://schemas.microsoft.com/office/word/2010/wordml" w:rsidP="4693DD31" w14:paraId="5E178D7A" wp14:textId="5D27EC13">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4DD1FF63" wp14:textId="07A741F6">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The cycle of abuse can also be seen in cases where it seems natural, such as female genital mutilation, or FGM. In some cultures, it is deemed appropriate for young females to receive the procedure that cuts away areas of the female's genitals and alters them permanently; there is no medical gain for this, however, and it often leads to medical issues down the line. The procedure is given to young females usually before puberty begins, so from the ages of infancy to early adolescence, in a ritual that is a tradition in some cultures. (NHS Choices, 2023)</w:t>
      </w:r>
    </w:p>
    <w:p xmlns:wp14="http://schemas.microsoft.com/office/word/2010/wordml" w:rsidP="4693DD31" w14:paraId="0F414219" wp14:textId="75D25DD0">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01D41615" wp14:textId="7478DFED">
      <w:pPr>
        <w:spacing w:line="360" w:lineRule="auto"/>
        <w:rPr>
          <w:rFonts w:ascii="Arial" w:hAnsi="Arial" w:eastAsia="Arial" w:cs="Arial"/>
          <w:noProof w:val="0"/>
          <w:color w:val="252525"/>
          <w:sz w:val="24"/>
          <w:szCs w:val="24"/>
          <w:lang w:val="en-GB"/>
        </w:rPr>
      </w:pPr>
    </w:p>
    <w:p xmlns:wp14="http://schemas.microsoft.com/office/word/2010/wordml" w:rsidP="4693DD31" w14:paraId="0AD9945D" wp14:textId="28E4F466">
      <w:pPr>
        <w:spacing w:line="360" w:lineRule="auto"/>
        <w:rPr>
          <w:rFonts w:ascii="Arial" w:hAnsi="Arial" w:eastAsia="Arial" w:cs="Arial"/>
          <w:noProof w:val="0"/>
          <w:color w:val="252525"/>
          <w:sz w:val="24"/>
          <w:szCs w:val="24"/>
          <w:lang w:val="en-GB"/>
        </w:rPr>
      </w:pPr>
    </w:p>
    <w:p xmlns:wp14="http://schemas.microsoft.com/office/word/2010/wordml" w:rsidP="4693DD31" w14:paraId="5822470D" wp14:textId="620E2A35">
      <w:pPr>
        <w:spacing w:line="360" w:lineRule="auto"/>
        <w:rPr>
          <w:rFonts w:ascii="Arial" w:hAnsi="Arial" w:eastAsia="Arial" w:cs="Arial"/>
          <w:noProof w:val="0"/>
          <w:color w:val="252525"/>
          <w:sz w:val="24"/>
          <w:szCs w:val="24"/>
          <w:lang w:val="en-GB"/>
        </w:rPr>
      </w:pPr>
    </w:p>
    <w:p xmlns:wp14="http://schemas.microsoft.com/office/word/2010/wordml" w:rsidP="4693DD31" w14:paraId="3AD2FC82" wp14:textId="1CC67B54">
      <w:pPr>
        <w:spacing w:line="360" w:lineRule="auto"/>
        <w:rPr>
          <w:rFonts w:ascii="Arial" w:hAnsi="Arial" w:eastAsia="Arial" w:cs="Arial"/>
          <w:noProof w:val="0"/>
          <w:color w:val="252525"/>
          <w:sz w:val="24"/>
          <w:szCs w:val="24"/>
          <w:lang w:val="en-GB"/>
        </w:rPr>
      </w:pPr>
      <w:r w:rsidRPr="4693DD31" w:rsidR="4AB5866F">
        <w:rPr>
          <w:rFonts w:ascii="Arial" w:hAnsi="Arial" w:eastAsia="Arial" w:cs="Arial"/>
          <w:noProof w:val="0"/>
          <w:color w:val="252525"/>
          <w:sz w:val="24"/>
          <w:szCs w:val="24"/>
          <w:lang w:val="en-GB"/>
        </w:rPr>
        <w:t xml:space="preserve">It should be mentioned that not all abuse occurs in cycles or as a result of a cycle sometimes an abuser can be abusive due to poor mental health, bad coping mechanisms or other </w:t>
      </w:r>
      <w:r w:rsidRPr="4693DD31" w:rsidR="1DBEFE62">
        <w:rPr>
          <w:rFonts w:ascii="Arial" w:hAnsi="Arial" w:eastAsia="Arial" w:cs="Arial"/>
          <w:noProof w:val="0"/>
          <w:color w:val="252525"/>
          <w:sz w:val="24"/>
          <w:szCs w:val="24"/>
          <w:lang w:val="en-GB"/>
        </w:rPr>
        <w:t xml:space="preserve">personal and situational factors. It can also be forms of abuse that are not physical such as </w:t>
      </w:r>
      <w:r w:rsidRPr="4693DD31" w:rsidR="14A23261">
        <w:rPr>
          <w:rFonts w:ascii="Arial" w:hAnsi="Arial" w:eastAsia="Arial" w:cs="Arial"/>
          <w:noProof w:val="0"/>
          <w:color w:val="252525"/>
          <w:sz w:val="24"/>
          <w:szCs w:val="24"/>
          <w:lang w:val="en-GB"/>
        </w:rPr>
        <w:t>harassment</w:t>
      </w:r>
      <w:r w:rsidRPr="4693DD31" w:rsidR="1DBEFE62">
        <w:rPr>
          <w:rFonts w:ascii="Arial" w:hAnsi="Arial" w:eastAsia="Arial" w:cs="Arial"/>
          <w:noProof w:val="0"/>
          <w:color w:val="252525"/>
          <w:sz w:val="24"/>
          <w:szCs w:val="24"/>
          <w:lang w:val="en-GB"/>
        </w:rPr>
        <w:t xml:space="preserve"> or acts of intimidation often seen in relationship</w:t>
      </w:r>
      <w:r w:rsidRPr="4693DD31" w:rsidR="48F9D213">
        <w:rPr>
          <w:rFonts w:ascii="Arial" w:hAnsi="Arial" w:eastAsia="Arial" w:cs="Arial"/>
          <w:noProof w:val="0"/>
          <w:color w:val="252525"/>
          <w:sz w:val="24"/>
          <w:szCs w:val="24"/>
          <w:lang w:val="en-GB"/>
        </w:rPr>
        <w:t>-</w:t>
      </w:r>
      <w:r w:rsidRPr="4693DD31" w:rsidR="1DBEFE62">
        <w:rPr>
          <w:rFonts w:ascii="Arial" w:hAnsi="Arial" w:eastAsia="Arial" w:cs="Arial"/>
          <w:noProof w:val="0"/>
          <w:color w:val="252525"/>
          <w:sz w:val="24"/>
          <w:szCs w:val="24"/>
          <w:lang w:val="en-GB"/>
        </w:rPr>
        <w:t xml:space="preserve">orientated abuse like </w:t>
      </w:r>
      <w:r w:rsidRPr="4693DD31" w:rsidR="26CD9149">
        <w:rPr>
          <w:rFonts w:ascii="Arial" w:hAnsi="Arial" w:eastAsia="Arial" w:cs="Arial"/>
          <w:noProof w:val="0"/>
          <w:color w:val="252525"/>
          <w:sz w:val="24"/>
          <w:szCs w:val="24"/>
          <w:lang w:val="en-GB"/>
        </w:rPr>
        <w:t xml:space="preserve">domestic abuse these forms of non-physical abuse can still be as damaging to the victim as physical abuse and additionally cause a new cycle of abuse. </w:t>
      </w:r>
      <w:r w:rsidRPr="4693DD31" w:rsidR="4A163402">
        <w:rPr>
          <w:rFonts w:ascii="Arial" w:hAnsi="Arial" w:eastAsia="Arial" w:cs="Arial"/>
          <w:noProof w:val="0"/>
          <w:color w:val="252525"/>
          <w:sz w:val="24"/>
          <w:szCs w:val="24"/>
          <w:lang w:val="en-GB"/>
        </w:rPr>
        <w:t>(</w:t>
      </w:r>
      <w:r w:rsidRPr="4693DD31" w:rsidR="790C7F7F">
        <w:rPr>
          <w:rFonts w:ascii="Arial" w:hAnsi="Arial" w:eastAsia="Arial" w:cs="Arial"/>
          <w:noProof w:val="0"/>
          <w:color w:val="252525"/>
          <w:sz w:val="24"/>
          <w:szCs w:val="24"/>
          <w:lang w:val="en-GB"/>
        </w:rPr>
        <w:t>Egeland. B, 1988)</w:t>
      </w:r>
    </w:p>
    <w:p xmlns:wp14="http://schemas.microsoft.com/office/word/2010/wordml" w:rsidP="4693DD31" w14:paraId="37C15A19" wp14:textId="5AAC5A34">
      <w:pPr>
        <w:spacing w:line="360" w:lineRule="auto"/>
        <w:rPr>
          <w:rFonts w:ascii="Arial" w:hAnsi="Arial" w:eastAsia="Arial" w:cs="Arial"/>
          <w:noProof w:val="0"/>
          <w:color w:val="252525"/>
          <w:sz w:val="24"/>
          <w:szCs w:val="24"/>
          <w:lang w:val="en-GB"/>
        </w:rPr>
      </w:pPr>
    </w:p>
    <w:p xmlns:wp14="http://schemas.microsoft.com/office/word/2010/wordml" w:rsidP="4693DD31" w14:paraId="1388AD35" wp14:textId="23EACF4C">
      <w:pPr>
        <w:pStyle w:val="Normal"/>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This cycle of abuse can be carried down through generations as a tradition that continues the abuse. These risk factors for young women can include their ethnicity or religion, which are considered personal factors; however, it could be argued that there is an element of circumstance involved with them being born female into a family that upholds this </w:t>
      </w:r>
      <w:r w:rsidRPr="4693DD31" w:rsidR="5C5EE492">
        <w:rPr>
          <w:rFonts w:ascii="Arial" w:hAnsi="Arial" w:eastAsia="Arial" w:cs="Arial"/>
          <w:noProof w:val="0"/>
          <w:color w:val="252525"/>
          <w:sz w:val="24"/>
          <w:szCs w:val="24"/>
          <w:lang w:val="en-GB"/>
        </w:rPr>
        <w:t>tradition. It</w:t>
      </w:r>
      <w:r w:rsidRPr="4693DD31" w:rsidR="639053E8">
        <w:rPr>
          <w:rFonts w:ascii="Arial" w:hAnsi="Arial" w:eastAsia="Arial" w:cs="Arial"/>
          <w:noProof w:val="0"/>
          <w:color w:val="252525"/>
          <w:sz w:val="24"/>
          <w:szCs w:val="24"/>
          <w:lang w:val="en-GB"/>
        </w:rPr>
        <w:t xml:space="preserve"> is a banned practi</w:t>
      </w:r>
      <w:r w:rsidRPr="4693DD31" w:rsidR="0BB251D5">
        <w:rPr>
          <w:rFonts w:ascii="Arial" w:hAnsi="Arial" w:eastAsia="Arial" w:cs="Arial"/>
          <w:noProof w:val="0"/>
          <w:color w:val="252525"/>
          <w:sz w:val="24"/>
          <w:szCs w:val="24"/>
          <w:lang w:val="en-GB"/>
        </w:rPr>
        <w:t>c</w:t>
      </w:r>
      <w:r w:rsidRPr="4693DD31" w:rsidR="639053E8">
        <w:rPr>
          <w:rFonts w:ascii="Arial" w:hAnsi="Arial" w:eastAsia="Arial" w:cs="Arial"/>
          <w:noProof w:val="0"/>
          <w:color w:val="252525"/>
          <w:sz w:val="24"/>
          <w:szCs w:val="24"/>
          <w:lang w:val="en-GB"/>
        </w:rPr>
        <w:t>e in the United Kingdom, and those experiencing FGM are usually taken to another country for the procedure, which increases their vulnerability due to different cultures and the potential for exploitation as on occasion this procedure is carried out for underage marriage purposes. (Female Genital Mutilation, 1998)</w:t>
      </w:r>
    </w:p>
    <w:p xmlns:wp14="http://schemas.microsoft.com/office/word/2010/wordml" w:rsidP="4693DD31" w14:paraId="3592E7D0" wp14:textId="5C1A4E76">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5234DE3F" wp14:textId="65B8C406">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There was a case of a young sixteen-year-old girl who was being forced to marry a man twice her age in Pakistan. She was taken out of school and taken to Pakistan under the guise of a family wedding. This should have alerted the school to ask more questions about the sudden plans to go abroad. Once she arrived in Pakistan, her phone was taken away; this shows more examples of control. The girl was safely taken back to England under the protection of a friend who contacted a forced marriage organization, but it demonstrates how it is still a risk that children can be forced to marry abroad. (Childline, 2023) </w:t>
      </w:r>
    </w:p>
    <w:p xmlns:wp14="http://schemas.microsoft.com/office/word/2010/wordml" w:rsidP="4693DD31" w14:paraId="58A509E3" wp14:textId="295CCA70">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7C47DC1A" wp14:textId="435D6C49">
      <w:pPr>
        <w:spacing w:line="360" w:lineRule="auto"/>
        <w:rPr>
          <w:rFonts w:ascii="Arial" w:hAnsi="Arial" w:eastAsia="Arial" w:cs="Arial"/>
          <w:noProof w:val="0"/>
          <w:color w:val="252525"/>
          <w:sz w:val="24"/>
          <w:szCs w:val="24"/>
          <w:lang w:val="en-GB"/>
        </w:rPr>
      </w:pPr>
    </w:p>
    <w:p xmlns:wp14="http://schemas.microsoft.com/office/word/2010/wordml" w:rsidP="4693DD31" w14:paraId="0964EFC5" wp14:textId="0AFF9D45">
      <w:pPr>
        <w:spacing w:line="360" w:lineRule="auto"/>
        <w:rPr>
          <w:rFonts w:ascii="Arial" w:hAnsi="Arial" w:eastAsia="Arial" w:cs="Arial"/>
          <w:noProof w:val="0"/>
          <w:color w:val="252525"/>
          <w:sz w:val="24"/>
          <w:szCs w:val="24"/>
          <w:lang w:val="en-GB"/>
        </w:rPr>
      </w:pPr>
    </w:p>
    <w:p xmlns:wp14="http://schemas.microsoft.com/office/word/2010/wordml" w:rsidP="4693DD31" w14:paraId="76B05674" wp14:textId="2EF6D2F5">
      <w:pPr>
        <w:spacing w:line="360" w:lineRule="auto"/>
        <w:rPr>
          <w:rFonts w:ascii="Arial" w:hAnsi="Arial" w:eastAsia="Arial" w:cs="Arial"/>
          <w:noProof w:val="0"/>
          <w:color w:val="252525"/>
          <w:sz w:val="24"/>
          <w:szCs w:val="24"/>
          <w:lang w:val="en-GB"/>
        </w:rPr>
      </w:pPr>
    </w:p>
    <w:p xmlns:wp14="http://schemas.microsoft.com/office/word/2010/wordml" w:rsidP="4693DD31" w14:paraId="7FB871F1" wp14:textId="36C6E441">
      <w:pPr>
        <w:spacing w:line="360" w:lineRule="auto"/>
        <w:rPr>
          <w:rFonts w:ascii="Arial" w:hAnsi="Arial" w:eastAsia="Arial" w:cs="Arial"/>
          <w:noProof w:val="0"/>
          <w:color w:val="252525"/>
          <w:sz w:val="24"/>
          <w:szCs w:val="24"/>
          <w:lang w:val="en-GB"/>
        </w:rPr>
      </w:pPr>
    </w:p>
    <w:p xmlns:wp14="http://schemas.microsoft.com/office/word/2010/wordml" w:rsidP="4693DD31" w14:paraId="1650A860" wp14:textId="0BD67049">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Examining the statistics, from April 2019 to March 2020, there were 6,590 individual women and girls seeking medical attention for female genital mutilation-related health issues (FGM annual report, 2020). This is a good indication that, although there is legal legislation that prevents this act from happening in the United Kingdom (Participation. E. 2003), there are still long-term effects of this procedure that continue to make those affected vulnerable to physical and mental injuries.</w:t>
      </w:r>
    </w:p>
    <w:p xmlns:wp14="http://schemas.microsoft.com/office/word/2010/wordml" w:rsidP="4693DD31" w14:paraId="41C81969" wp14:textId="70DC5D9F">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69CA22B9" wp14:textId="73A75544">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Honor-based abuse is another factor contributing to a person being considered vulnerable because of their family's beliefs or culture. Female genital mutilation is one example of this; however, the abuse can vary. Honor-based violence is defined as "an incident or crime involving violence, threats of violence, intimidation, coercion, or abuse (including psychological, physical, sexual, financial, or emotional abuse)" (NPCC, 2018). Honor-based abuse can take a variety of forms, such as forced marriage, sexual abuse, domestic abuse, and controlling behaviours. These forms of abuse are usually received from a family member, or at least the victim is familiar with the abuser, which increases the difficulty for the victim to escape, and if they do escape from the abuse, they will most likely lose ties with their families, which is why victims and vulnerable people in this situation struggle to reach out for help. (Police MET, 2022)</w:t>
      </w:r>
    </w:p>
    <w:p xmlns:wp14="http://schemas.microsoft.com/office/word/2010/wordml" w:rsidP="4693DD31" w14:paraId="1D7BF5A2" wp14:textId="6573472F">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02354CBB" wp14:textId="7B91CD2B">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3888E693" wp14:textId="31B5AA2C">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3384918F" wp14:textId="3DFC9155">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68A8C8D1" wp14:textId="15A5A853">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34C9182E" wp14:textId="4A2E98CF">
      <w:pPr>
        <w:spacing w:line="360" w:lineRule="auto"/>
        <w:rPr>
          <w:rFonts w:ascii="Arial" w:hAnsi="Arial" w:eastAsia="Arial" w:cs="Arial"/>
          <w:noProof w:val="0"/>
          <w:color w:val="252525"/>
          <w:sz w:val="24"/>
          <w:szCs w:val="24"/>
          <w:lang w:val="en-GB"/>
        </w:rPr>
      </w:pPr>
    </w:p>
    <w:p xmlns:wp14="http://schemas.microsoft.com/office/word/2010/wordml" w:rsidP="4693DD31" w14:paraId="75B1BD71" wp14:textId="1C0E2533">
      <w:pPr>
        <w:spacing w:line="360" w:lineRule="auto"/>
        <w:rPr>
          <w:rFonts w:ascii="Arial" w:hAnsi="Arial" w:eastAsia="Arial" w:cs="Arial"/>
          <w:noProof w:val="0"/>
          <w:color w:val="252525"/>
          <w:sz w:val="24"/>
          <w:szCs w:val="24"/>
          <w:lang w:val="en-GB"/>
        </w:rPr>
      </w:pPr>
    </w:p>
    <w:p xmlns:wp14="http://schemas.microsoft.com/office/word/2010/wordml" w:rsidP="4693DD31" w14:paraId="4FD06016" wp14:textId="1E47341E">
      <w:pPr>
        <w:spacing w:line="360" w:lineRule="auto"/>
        <w:rPr>
          <w:rFonts w:ascii="Arial" w:hAnsi="Arial" w:eastAsia="Arial" w:cs="Arial"/>
          <w:noProof w:val="0"/>
          <w:color w:val="252525"/>
          <w:sz w:val="24"/>
          <w:szCs w:val="24"/>
          <w:lang w:val="en-GB"/>
        </w:rPr>
      </w:pPr>
    </w:p>
    <w:p xmlns:wp14="http://schemas.microsoft.com/office/word/2010/wordml" w:rsidP="4693DD31" w14:paraId="7109078C" wp14:textId="0C33430B">
      <w:pPr>
        <w:spacing w:line="360" w:lineRule="auto"/>
        <w:rPr>
          <w:rFonts w:ascii="Arial" w:hAnsi="Arial" w:eastAsia="Arial" w:cs="Arial"/>
          <w:noProof w:val="0"/>
          <w:color w:val="252525"/>
          <w:sz w:val="24"/>
          <w:szCs w:val="24"/>
          <w:lang w:val="en-GB"/>
        </w:rPr>
      </w:pPr>
    </w:p>
    <w:p xmlns:wp14="http://schemas.microsoft.com/office/word/2010/wordml" w:rsidP="4693DD31" w14:paraId="72A0D31D" wp14:textId="43757FA2">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During 2020 and 2021, there were published statistics </w:t>
      </w:r>
      <w:r w:rsidRPr="4693DD31" w:rsidR="639053E8">
        <w:rPr>
          <w:rFonts w:ascii="Arial" w:hAnsi="Arial" w:eastAsia="Arial" w:cs="Arial"/>
          <w:noProof w:val="0"/>
          <w:color w:val="252525"/>
          <w:sz w:val="24"/>
          <w:szCs w:val="24"/>
          <w:lang w:val="en-GB"/>
        </w:rPr>
        <w:t>regarding</w:t>
      </w:r>
      <w:r w:rsidRPr="4693DD31" w:rsidR="639053E8">
        <w:rPr>
          <w:rFonts w:ascii="Arial" w:hAnsi="Arial" w:eastAsia="Arial" w:cs="Arial"/>
          <w:noProof w:val="0"/>
          <w:color w:val="252525"/>
          <w:sz w:val="24"/>
          <w:szCs w:val="24"/>
          <w:lang w:val="en-GB"/>
        </w:rPr>
        <w:t xml:space="preserve"> </w:t>
      </w:r>
      <w:r w:rsidRPr="4693DD31" w:rsidR="3A433FF9">
        <w:rPr>
          <w:rFonts w:ascii="Arial" w:hAnsi="Arial" w:eastAsia="Arial" w:cs="Arial"/>
          <w:noProof w:val="0"/>
          <w:color w:val="252525"/>
          <w:sz w:val="24"/>
          <w:szCs w:val="24"/>
          <w:lang w:val="en-GB"/>
        </w:rPr>
        <w:t>honour</w:t>
      </w:r>
      <w:r w:rsidRPr="4693DD31" w:rsidR="639053E8">
        <w:rPr>
          <w:rFonts w:ascii="Arial" w:hAnsi="Arial" w:eastAsia="Arial" w:cs="Arial"/>
          <w:noProof w:val="0"/>
          <w:color w:val="252525"/>
          <w:sz w:val="24"/>
          <w:szCs w:val="24"/>
          <w:lang w:val="en-GB"/>
        </w:rPr>
        <w:t xml:space="preserve">-based abuse in England and Wales. Firstly, female genital abuse is considered </w:t>
      </w:r>
      <w:r w:rsidRPr="4693DD31" w:rsidR="71610A66">
        <w:rPr>
          <w:rFonts w:ascii="Arial" w:hAnsi="Arial" w:eastAsia="Arial" w:cs="Arial"/>
          <w:noProof w:val="0"/>
          <w:color w:val="252525"/>
          <w:sz w:val="24"/>
          <w:szCs w:val="24"/>
          <w:lang w:val="en-GB"/>
        </w:rPr>
        <w:t>honour</w:t>
      </w:r>
      <w:r w:rsidRPr="4693DD31" w:rsidR="639053E8">
        <w:rPr>
          <w:rFonts w:ascii="Arial" w:hAnsi="Arial" w:eastAsia="Arial" w:cs="Arial"/>
          <w:noProof w:val="0"/>
          <w:color w:val="252525"/>
          <w:sz w:val="24"/>
          <w:szCs w:val="24"/>
          <w:lang w:val="en-GB"/>
        </w:rPr>
        <w:t xml:space="preserve">-based abuse too because of the family connection and tradition surrounding the procedure. There were 78 different cases of FGM reported during that year, as well as 125 forced marriages and 2,522 reports of "other </w:t>
      </w:r>
      <w:r w:rsidRPr="4693DD31" w:rsidR="76FCE6D6">
        <w:rPr>
          <w:rFonts w:ascii="Arial" w:hAnsi="Arial" w:eastAsia="Arial" w:cs="Arial"/>
          <w:noProof w:val="0"/>
          <w:color w:val="252525"/>
          <w:sz w:val="24"/>
          <w:szCs w:val="24"/>
          <w:lang w:val="en-GB"/>
        </w:rPr>
        <w:t>honour</w:t>
      </w:r>
      <w:r w:rsidRPr="4693DD31" w:rsidR="639053E8">
        <w:rPr>
          <w:rFonts w:ascii="Arial" w:hAnsi="Arial" w:eastAsia="Arial" w:cs="Arial"/>
          <w:noProof w:val="0"/>
          <w:color w:val="252525"/>
          <w:sz w:val="24"/>
          <w:szCs w:val="24"/>
          <w:lang w:val="en-GB"/>
        </w:rPr>
        <w:t xml:space="preserve">-based </w:t>
      </w:r>
      <w:r w:rsidRPr="4693DD31" w:rsidR="3B384DD0">
        <w:rPr>
          <w:rFonts w:ascii="Arial" w:hAnsi="Arial" w:eastAsia="Arial" w:cs="Arial"/>
          <w:noProof w:val="0"/>
          <w:color w:val="252525"/>
          <w:sz w:val="24"/>
          <w:szCs w:val="24"/>
          <w:lang w:val="en-GB"/>
        </w:rPr>
        <w:t>abuse. "These</w:t>
      </w:r>
      <w:r w:rsidRPr="4693DD31" w:rsidR="639053E8">
        <w:rPr>
          <w:rFonts w:ascii="Arial" w:hAnsi="Arial" w:eastAsia="Arial" w:cs="Arial"/>
          <w:noProof w:val="0"/>
          <w:color w:val="252525"/>
          <w:sz w:val="24"/>
          <w:szCs w:val="24"/>
          <w:lang w:val="en-GB"/>
        </w:rPr>
        <w:t xml:space="preserve"> other offen</w:t>
      </w:r>
      <w:r w:rsidRPr="4693DD31" w:rsidR="00232FCA">
        <w:rPr>
          <w:rFonts w:ascii="Arial" w:hAnsi="Arial" w:eastAsia="Arial" w:cs="Arial"/>
          <w:noProof w:val="0"/>
          <w:color w:val="252525"/>
          <w:sz w:val="24"/>
          <w:szCs w:val="24"/>
          <w:lang w:val="en-GB"/>
        </w:rPr>
        <w:t>s</w:t>
      </w:r>
      <w:r w:rsidRPr="4693DD31" w:rsidR="639053E8">
        <w:rPr>
          <w:rFonts w:ascii="Arial" w:hAnsi="Arial" w:eastAsia="Arial" w:cs="Arial"/>
          <w:noProof w:val="0"/>
          <w:color w:val="252525"/>
          <w:sz w:val="24"/>
          <w:szCs w:val="24"/>
          <w:lang w:val="en-GB"/>
        </w:rPr>
        <w:t xml:space="preserve">es included threats to kill, assaults with and without injury, and rapes of females over 16 years old. (Office. H, 2021)  </w:t>
      </w:r>
    </w:p>
    <w:p xmlns:wp14="http://schemas.microsoft.com/office/word/2010/wordml" w:rsidP="4693DD31" w14:paraId="5C064625" wp14:textId="29C07198">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These reports </w:t>
      </w:r>
      <w:r w:rsidRPr="4693DD31" w:rsidR="639053E8">
        <w:rPr>
          <w:rFonts w:ascii="Arial" w:hAnsi="Arial" w:eastAsia="Arial" w:cs="Arial"/>
          <w:noProof w:val="0"/>
          <w:color w:val="252525"/>
          <w:sz w:val="24"/>
          <w:szCs w:val="24"/>
          <w:lang w:val="en-GB"/>
        </w:rPr>
        <w:t>demonstrate</w:t>
      </w:r>
      <w:r w:rsidRPr="4693DD31" w:rsidR="639053E8">
        <w:rPr>
          <w:rFonts w:ascii="Arial" w:hAnsi="Arial" w:eastAsia="Arial" w:cs="Arial"/>
          <w:noProof w:val="0"/>
          <w:color w:val="252525"/>
          <w:sz w:val="24"/>
          <w:szCs w:val="24"/>
          <w:lang w:val="en-GB"/>
        </w:rPr>
        <w:t xml:space="preserve"> that 2,725 individual offences of </w:t>
      </w:r>
      <w:r w:rsidRPr="4693DD31" w:rsidR="0FBA4F60">
        <w:rPr>
          <w:rFonts w:ascii="Arial" w:hAnsi="Arial" w:eastAsia="Arial" w:cs="Arial"/>
          <w:noProof w:val="0"/>
          <w:color w:val="252525"/>
          <w:sz w:val="24"/>
          <w:szCs w:val="24"/>
          <w:lang w:val="en-GB"/>
        </w:rPr>
        <w:t>honour</w:t>
      </w:r>
      <w:r w:rsidRPr="4693DD31" w:rsidR="639053E8">
        <w:rPr>
          <w:rFonts w:ascii="Arial" w:hAnsi="Arial" w:eastAsia="Arial" w:cs="Arial"/>
          <w:noProof w:val="0"/>
          <w:color w:val="252525"/>
          <w:sz w:val="24"/>
          <w:szCs w:val="24"/>
          <w:lang w:val="en-GB"/>
        </w:rPr>
        <w:t>-based abuse took place in England and Wales over the years 2020–2021, which highlights the importance of police and other authorities recognising potential risk factors that could be noticed to prevent offences like these from happening.</w:t>
      </w:r>
    </w:p>
    <w:p xmlns:wp14="http://schemas.microsoft.com/office/word/2010/wordml" w:rsidP="4693DD31" w14:paraId="039EB4CD" wp14:textId="729C0991">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53FB56CF" wp14:textId="105BA3A1">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Another factor that contributes to vulnerability is a person's mental health or mental capacity, which can affect people of all </w:t>
      </w:r>
      <w:r w:rsidRPr="4693DD31" w:rsidR="1218E839">
        <w:rPr>
          <w:rFonts w:ascii="Arial" w:hAnsi="Arial" w:eastAsia="Arial" w:cs="Arial"/>
          <w:noProof w:val="0"/>
          <w:color w:val="252525"/>
          <w:sz w:val="24"/>
          <w:szCs w:val="24"/>
          <w:lang w:val="en-GB"/>
        </w:rPr>
        <w:t>ages. Learning</w:t>
      </w:r>
      <w:r w:rsidRPr="4693DD31" w:rsidR="639053E8">
        <w:rPr>
          <w:rFonts w:ascii="Arial" w:hAnsi="Arial" w:eastAsia="Arial" w:cs="Arial"/>
          <w:noProof w:val="0"/>
          <w:color w:val="252525"/>
          <w:sz w:val="24"/>
          <w:szCs w:val="24"/>
          <w:lang w:val="en-GB"/>
        </w:rPr>
        <w:t xml:space="preserve"> difficulties, memory loss, confusion, or aggression can be the result of inherited traits or </w:t>
      </w:r>
      <w:r w:rsidRPr="4693DD31" w:rsidR="639053E8">
        <w:rPr>
          <w:rFonts w:ascii="Arial" w:hAnsi="Arial" w:eastAsia="Arial" w:cs="Arial"/>
          <w:noProof w:val="0"/>
          <w:color w:val="252525"/>
          <w:sz w:val="24"/>
          <w:szCs w:val="24"/>
          <w:lang w:val="en-GB"/>
        </w:rPr>
        <w:t>as a result of</w:t>
      </w:r>
      <w:r w:rsidRPr="4693DD31" w:rsidR="639053E8">
        <w:rPr>
          <w:rFonts w:ascii="Arial" w:hAnsi="Arial" w:eastAsia="Arial" w:cs="Arial"/>
          <w:noProof w:val="0"/>
          <w:color w:val="252525"/>
          <w:sz w:val="24"/>
          <w:szCs w:val="24"/>
          <w:lang w:val="en-GB"/>
        </w:rPr>
        <w:t xml:space="preserve"> injuries or strokes, but the outcome is the same and leaves the person vulnerable to </w:t>
      </w:r>
      <w:proofErr w:type="gramStart"/>
      <w:r w:rsidRPr="4693DD31" w:rsidR="639053E8">
        <w:rPr>
          <w:rFonts w:ascii="Arial" w:hAnsi="Arial" w:eastAsia="Arial" w:cs="Arial"/>
          <w:noProof w:val="0"/>
          <w:color w:val="252525"/>
          <w:sz w:val="24"/>
          <w:szCs w:val="24"/>
          <w:lang w:val="en-GB"/>
        </w:rPr>
        <w:t>abuse.(</w:t>
      </w:r>
      <w:proofErr w:type="gramEnd"/>
      <w:r w:rsidRPr="4693DD31" w:rsidR="639053E8">
        <w:rPr>
          <w:rFonts w:ascii="Arial" w:hAnsi="Arial" w:eastAsia="Arial" w:cs="Arial"/>
          <w:noProof w:val="0"/>
          <w:color w:val="252525"/>
          <w:sz w:val="24"/>
          <w:szCs w:val="24"/>
          <w:lang w:val="en-GB"/>
        </w:rPr>
        <w:t xml:space="preserve">NHS, 2022)  </w:t>
      </w:r>
    </w:p>
    <w:p xmlns:wp14="http://schemas.microsoft.com/office/word/2010/wordml" w:rsidP="4693DD31" w14:paraId="57BE2A90" wp14:textId="58FF021B">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Mentally vulnerable people are vulnerable to multiple different levels of abuse, such as domestic, psychological, sexual, and financial abuse. They are considered vulnerable due to their ability to get out of abusive situations and, in some cases, their lack of control over their own decisions. (College of Policing, 2023)</w:t>
      </w:r>
    </w:p>
    <w:p xmlns:wp14="http://schemas.microsoft.com/office/word/2010/wordml" w:rsidP="4693DD31" w14:paraId="7D1BDE64" wp14:textId="427E8A12">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Mental capacity is the ability to make decisions for yourself, and those who are considered unable to make decisions are believed to lack capacity. This leads to people taking advantage of vulnerable people and, in some cases, abusing them. (Lee, R. 2020)</w:t>
      </w:r>
    </w:p>
    <w:p xmlns:wp14="http://schemas.microsoft.com/office/word/2010/wordml" w:rsidP="4693DD31" w14:paraId="52BF3AA0" wp14:textId="2BFF29DF">
      <w:pPr>
        <w:spacing w:line="360" w:lineRule="auto"/>
        <w:rPr>
          <w:rFonts w:ascii="Arial" w:hAnsi="Arial" w:eastAsia="Arial" w:cs="Arial"/>
          <w:noProof w:val="0"/>
          <w:color w:val="252525"/>
          <w:sz w:val="24"/>
          <w:szCs w:val="24"/>
          <w:lang w:val="en-GB"/>
        </w:rPr>
      </w:pPr>
    </w:p>
    <w:p xmlns:wp14="http://schemas.microsoft.com/office/word/2010/wordml" w:rsidP="4693DD31" w14:paraId="3E5CC46A" wp14:textId="4437EF1D">
      <w:pPr>
        <w:spacing w:line="360" w:lineRule="auto"/>
        <w:rPr>
          <w:rFonts w:ascii="Arial" w:hAnsi="Arial" w:eastAsia="Arial" w:cs="Arial"/>
          <w:noProof w:val="0"/>
          <w:color w:val="252525"/>
          <w:sz w:val="24"/>
          <w:szCs w:val="24"/>
          <w:lang w:val="en-GB"/>
        </w:rPr>
      </w:pPr>
    </w:p>
    <w:p xmlns:wp14="http://schemas.microsoft.com/office/word/2010/wordml" w:rsidP="4693DD31" w14:paraId="3E906FA5" wp14:textId="69E5E3EF">
      <w:pPr>
        <w:spacing w:line="360" w:lineRule="auto"/>
        <w:rPr>
          <w:rFonts w:ascii="Arial" w:hAnsi="Arial" w:eastAsia="Arial" w:cs="Arial"/>
          <w:noProof w:val="0"/>
          <w:color w:val="252525"/>
          <w:sz w:val="24"/>
          <w:szCs w:val="24"/>
          <w:lang w:val="en-GB"/>
        </w:rPr>
      </w:pPr>
    </w:p>
    <w:p xmlns:wp14="http://schemas.microsoft.com/office/word/2010/wordml" w:rsidP="4693DD31" w14:paraId="06BCE24F" wp14:textId="7DE5A637">
      <w:pPr>
        <w:spacing w:line="360" w:lineRule="auto"/>
        <w:rPr>
          <w:rFonts w:ascii="Arial" w:hAnsi="Arial" w:eastAsia="Arial" w:cs="Arial"/>
          <w:noProof w:val="0"/>
          <w:color w:val="252525"/>
          <w:sz w:val="24"/>
          <w:szCs w:val="24"/>
          <w:lang w:val="en-GB"/>
        </w:rPr>
      </w:pPr>
    </w:p>
    <w:p xmlns:wp14="http://schemas.microsoft.com/office/word/2010/wordml" w:rsidP="4693DD31" w14:paraId="64CF4698" wp14:textId="5C1F35F9">
      <w:pPr>
        <w:spacing w:line="360" w:lineRule="auto"/>
        <w:rPr>
          <w:rFonts w:ascii="Arial" w:hAnsi="Arial" w:eastAsia="Arial" w:cs="Arial"/>
          <w:noProof w:val="0"/>
          <w:color w:val="252525"/>
          <w:sz w:val="24"/>
          <w:szCs w:val="24"/>
          <w:lang w:val="en-GB"/>
        </w:rPr>
      </w:pPr>
    </w:p>
    <w:p xmlns:wp14="http://schemas.microsoft.com/office/word/2010/wordml" w:rsidP="4693DD31" w14:paraId="0E883F70" wp14:textId="458E0660">
      <w:pPr>
        <w:spacing w:line="360" w:lineRule="auto"/>
        <w:rPr>
          <w:rFonts w:ascii="Arial" w:hAnsi="Arial" w:eastAsia="Arial" w:cs="Arial"/>
          <w:noProof w:val="0"/>
          <w:color w:val="252525"/>
          <w:sz w:val="24"/>
          <w:szCs w:val="24"/>
          <w:lang w:val="en-GB"/>
        </w:rPr>
      </w:pPr>
    </w:p>
    <w:p xmlns:wp14="http://schemas.microsoft.com/office/word/2010/wordml" w:rsidP="4693DD31" w14:paraId="01DBB2EF" wp14:textId="7683E728">
      <w:pPr>
        <w:spacing w:line="360" w:lineRule="auto"/>
        <w:rPr>
          <w:rFonts w:ascii="Arial" w:hAnsi="Arial" w:eastAsia="Arial" w:cs="Arial"/>
          <w:noProof w:val="0"/>
          <w:color w:val="252525"/>
          <w:sz w:val="24"/>
          <w:szCs w:val="24"/>
          <w:lang w:val="en-GB"/>
        </w:rPr>
      </w:pPr>
    </w:p>
    <w:p xmlns:wp14="http://schemas.microsoft.com/office/word/2010/wordml" w:rsidP="4693DD31" w14:paraId="25614EC7" wp14:textId="75574765">
      <w:pPr>
        <w:spacing w:line="360" w:lineRule="auto"/>
        <w:rPr>
          <w:rFonts w:ascii="Arial" w:hAnsi="Arial" w:eastAsia="Arial" w:cs="Arial"/>
          <w:noProof w:val="0"/>
          <w:color w:val="252525"/>
          <w:sz w:val="24"/>
          <w:szCs w:val="24"/>
          <w:lang w:val="en-GB"/>
        </w:rPr>
      </w:pPr>
    </w:p>
    <w:p xmlns:wp14="http://schemas.microsoft.com/office/word/2010/wordml" w:rsidP="4693DD31" w14:paraId="78E66E98" wp14:textId="7F121A7F">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Additionally, with regards to an individual being mentally vulnerable, this does not always require an abuser to be present to take advantage, as the individual could be a victim of themselves and require intervention under the Mental Capacity Act of 2005. 2005 Mental Capacity Act</w:t>
      </w:r>
      <w:proofErr w:type="gramStart"/>
      <w:r w:rsidRPr="4693DD31" w:rsidR="639053E8">
        <w:rPr>
          <w:rFonts w:ascii="Arial" w:hAnsi="Arial" w:eastAsia="Arial" w:cs="Arial"/>
          <w:noProof w:val="0"/>
          <w:color w:val="252525"/>
          <w:sz w:val="24"/>
          <w:szCs w:val="24"/>
          <w:lang w:val="en-GB"/>
        </w:rPr>
        <w:t>).When</w:t>
      </w:r>
      <w:proofErr w:type="gramEnd"/>
      <w:r w:rsidRPr="4693DD31" w:rsidR="639053E8">
        <w:rPr>
          <w:rFonts w:ascii="Arial" w:hAnsi="Arial" w:eastAsia="Arial" w:cs="Arial"/>
          <w:noProof w:val="0"/>
          <w:color w:val="252525"/>
          <w:sz w:val="24"/>
          <w:szCs w:val="24"/>
          <w:lang w:val="en-GB"/>
        </w:rPr>
        <w:t xml:space="preserve"> intervention is required for a mentally vulnerable person, the act of restraint must be made with the best interests of the vulnerable person in mind; this is known as a deprivation of liberty, but it can be justified and deemed lawful if the decision is made to benefit the </w:t>
      </w:r>
      <w:proofErr w:type="gramStart"/>
      <w:r w:rsidRPr="4693DD31" w:rsidR="639053E8">
        <w:rPr>
          <w:rFonts w:ascii="Arial" w:hAnsi="Arial" w:eastAsia="Arial" w:cs="Arial"/>
          <w:noProof w:val="0"/>
          <w:color w:val="252525"/>
          <w:sz w:val="24"/>
          <w:szCs w:val="24"/>
          <w:lang w:val="en-GB"/>
        </w:rPr>
        <w:t>individual.(</w:t>
      </w:r>
      <w:proofErr w:type="gramEnd"/>
      <w:r w:rsidRPr="4693DD31" w:rsidR="639053E8">
        <w:rPr>
          <w:rFonts w:ascii="Arial" w:hAnsi="Arial" w:eastAsia="Arial" w:cs="Arial"/>
          <w:noProof w:val="0"/>
          <w:color w:val="252525"/>
          <w:sz w:val="24"/>
          <w:szCs w:val="24"/>
          <w:lang w:val="en-GB"/>
        </w:rPr>
        <w:t xml:space="preserve">MIND, 2022)  </w:t>
      </w:r>
    </w:p>
    <w:p xmlns:wp14="http://schemas.microsoft.com/office/word/2010/wordml" w:rsidP="4693DD31" w14:paraId="016CB305" wp14:textId="51950740">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7D601CCD" wp14:textId="28B0C52E">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r w:rsidRPr="4693DD31" w:rsidR="639053E8">
        <w:rPr>
          <w:rFonts w:ascii="Arial" w:hAnsi="Arial" w:eastAsia="Arial" w:cs="Arial"/>
          <w:noProof w:val="0"/>
          <w:color w:val="252525"/>
          <w:sz w:val="24"/>
          <w:szCs w:val="24"/>
          <w:lang w:val="en-GB"/>
        </w:rPr>
        <w:t>With all factors of vulnerability being so diverse and, in some cases, challenging to identify, the national vulnerability action plan was developed to assist police officers in identifying risk factors and support them in being vigilant to potential vulnerable signs within their working practices. The police are also equipped with a decision-making model that helps them make decisions about how to best support vulnerable people and act when required, like in the previously mentioned Mental Capacity Act of 2005. (National Decision Model, 2023)</w:t>
      </w:r>
    </w:p>
    <w:p xmlns:wp14="http://schemas.microsoft.com/office/word/2010/wordml" w:rsidP="4693DD31" w14:paraId="3E084440" wp14:textId="7116D2E4">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57B4EB85" wp14:textId="5383098A">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Alongside the application of the national decision model and vulnerability plan, police staff are encouraged to use and act on professional curiosity when investigating and fulfilling police duties. Professional curiosity is "challenging assumptions and exploring the potentially complex dynamics of a situation" (Curiosity, 2023). When assessing a situation to understand and </w:t>
      </w:r>
      <w:r w:rsidRPr="4693DD31" w:rsidR="639053E8">
        <w:rPr>
          <w:rFonts w:ascii="Arial" w:hAnsi="Arial" w:eastAsia="Arial" w:cs="Arial"/>
          <w:noProof w:val="0"/>
          <w:color w:val="252525"/>
          <w:sz w:val="24"/>
          <w:szCs w:val="24"/>
          <w:lang w:val="en-GB"/>
        </w:rPr>
        <w:t>identify</w:t>
      </w:r>
      <w:r w:rsidRPr="4693DD31" w:rsidR="639053E8">
        <w:rPr>
          <w:rFonts w:ascii="Arial" w:hAnsi="Arial" w:eastAsia="Arial" w:cs="Arial"/>
          <w:noProof w:val="0"/>
          <w:color w:val="252525"/>
          <w:sz w:val="24"/>
          <w:szCs w:val="24"/>
          <w:lang w:val="en-GB"/>
        </w:rPr>
        <w:t xml:space="preserve"> a person's vulnerability, professional curiosity encourages officers to not take what they see at face value and examine the situation on a deeper scale, knowing when it is best to </w:t>
      </w:r>
      <w:proofErr w:type="gramStart"/>
      <w:r w:rsidRPr="4693DD31" w:rsidR="639053E8">
        <w:rPr>
          <w:rFonts w:ascii="Arial" w:hAnsi="Arial" w:eastAsia="Arial" w:cs="Arial"/>
          <w:noProof w:val="0"/>
          <w:color w:val="252525"/>
          <w:sz w:val="24"/>
          <w:szCs w:val="24"/>
          <w:lang w:val="en-GB"/>
        </w:rPr>
        <w:t>take action</w:t>
      </w:r>
      <w:proofErr w:type="gramEnd"/>
      <w:r w:rsidRPr="4693DD31" w:rsidR="639053E8">
        <w:rPr>
          <w:rFonts w:ascii="Arial" w:hAnsi="Arial" w:eastAsia="Arial" w:cs="Arial"/>
          <w:noProof w:val="0"/>
          <w:color w:val="252525"/>
          <w:sz w:val="24"/>
          <w:szCs w:val="24"/>
          <w:lang w:val="en-GB"/>
        </w:rPr>
        <w:t xml:space="preserve">. A situation that might be complex and worth police professionals' curiosity is a cultural situation that might lead to children receiving </w:t>
      </w:r>
      <w:r w:rsidRPr="4693DD31" w:rsidR="653F1CFB">
        <w:rPr>
          <w:rFonts w:ascii="Arial" w:hAnsi="Arial" w:eastAsia="Arial" w:cs="Arial"/>
          <w:noProof w:val="0"/>
          <w:color w:val="252525"/>
          <w:sz w:val="24"/>
          <w:szCs w:val="24"/>
          <w:lang w:val="en-GB"/>
        </w:rPr>
        <w:t>honour</w:t>
      </w:r>
      <w:r w:rsidRPr="4693DD31" w:rsidR="639053E8">
        <w:rPr>
          <w:rFonts w:ascii="Arial" w:hAnsi="Arial" w:eastAsia="Arial" w:cs="Arial"/>
          <w:noProof w:val="0"/>
          <w:color w:val="252525"/>
          <w:sz w:val="24"/>
          <w:szCs w:val="24"/>
          <w:lang w:val="en-GB"/>
        </w:rPr>
        <w:t xml:space="preserve">-based abuse or plans to fly out to other countries for procedures. If the risk factors </w:t>
      </w:r>
      <w:r w:rsidRPr="4693DD31" w:rsidR="639053E8">
        <w:rPr>
          <w:rFonts w:ascii="Arial" w:hAnsi="Arial" w:eastAsia="Arial" w:cs="Arial"/>
          <w:noProof w:val="0"/>
          <w:color w:val="252525"/>
          <w:sz w:val="24"/>
          <w:szCs w:val="24"/>
          <w:lang w:val="en-GB"/>
        </w:rPr>
        <w:t>indicate</w:t>
      </w:r>
      <w:r w:rsidRPr="4693DD31" w:rsidR="639053E8">
        <w:rPr>
          <w:rFonts w:ascii="Arial" w:hAnsi="Arial" w:eastAsia="Arial" w:cs="Arial"/>
          <w:noProof w:val="0"/>
          <w:color w:val="252525"/>
          <w:sz w:val="24"/>
          <w:szCs w:val="24"/>
          <w:lang w:val="en-GB"/>
        </w:rPr>
        <w:t xml:space="preserve"> something else could be going on, it is worth asking more questions as an officer.</w:t>
      </w:r>
    </w:p>
    <w:p xmlns:wp14="http://schemas.microsoft.com/office/word/2010/wordml" w:rsidP="4693DD31" w14:paraId="0169E14C" wp14:textId="379A1266">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50D37793" wp14:textId="4B1862C1">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16124A12" wp14:textId="311DD755">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 </w:t>
      </w:r>
    </w:p>
    <w:p xmlns:wp14="http://schemas.microsoft.com/office/word/2010/wordml" w:rsidP="4693DD31" w14:paraId="3630B7F6" wp14:textId="05E35F62">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To conclude, there are many factors that can contribute to a person's vulnerability that can be personal factors like their age, mental well-being, gender, and religion or situational factors like lack of power, poverty, cultural influences, and the presence of an abuser. Although there are a lot of risk factors that contribute to a person's vulnerability, the vulnerability action plan used by the police challenges their curiosity to try and uncover areas that might be hiding hidden risks of vulnerability. In some cases where the individual is vulnerable, they may not have the courage or the ability to speak out about the abuse they receive. This could be due to them being a child, being in the presence of the abuser, or even just being afraid. This demonstrates the importance for officers to fully investigate risk factors.</w:t>
      </w:r>
    </w:p>
    <w:p xmlns:wp14="http://schemas.microsoft.com/office/word/2010/wordml" w:rsidP="4693DD31" w14:paraId="58B5FF3F" wp14:textId="6BED1C2B">
      <w:pPr>
        <w:spacing w:line="360" w:lineRule="auto"/>
        <w:rPr>
          <w:rFonts w:ascii="Arial" w:hAnsi="Arial" w:eastAsia="Arial" w:cs="Arial"/>
          <w:noProof w:val="0"/>
          <w:color w:val="252525"/>
          <w:sz w:val="24"/>
          <w:szCs w:val="24"/>
          <w:lang w:val="en-GB"/>
        </w:rPr>
      </w:pPr>
      <w:r w:rsidRPr="4693DD31" w:rsidR="639053E8">
        <w:rPr>
          <w:rFonts w:ascii="Arial" w:hAnsi="Arial" w:eastAsia="Arial" w:cs="Arial"/>
          <w:noProof w:val="0"/>
          <w:color w:val="252525"/>
          <w:sz w:val="24"/>
          <w:szCs w:val="24"/>
          <w:lang w:val="en-GB"/>
        </w:rPr>
        <w:t xml:space="preserve">Finally, the previously mentioned college of policing definition for vulnerability has been supported by the vulnerability action plan, as factors can prevent people from reaching out for help, which makes them vulnerable, and their situational factors and circumstantial factors may also make them vulnerable, such as gender or cultural influences that put them at risk of harm or exploitation. This definition can be supported as </w:t>
      </w:r>
      <w:r w:rsidRPr="4693DD31" w:rsidR="639053E8">
        <w:rPr>
          <w:rFonts w:ascii="Arial" w:hAnsi="Arial" w:eastAsia="Arial" w:cs="Arial"/>
          <w:noProof w:val="0"/>
          <w:color w:val="252525"/>
          <w:sz w:val="24"/>
          <w:szCs w:val="24"/>
          <w:lang w:val="en-GB"/>
        </w:rPr>
        <w:t>an accurate</w:t>
      </w:r>
      <w:r w:rsidRPr="4693DD31" w:rsidR="639053E8">
        <w:rPr>
          <w:rFonts w:ascii="Arial" w:hAnsi="Arial" w:eastAsia="Arial" w:cs="Arial"/>
          <w:noProof w:val="0"/>
          <w:color w:val="252525"/>
          <w:sz w:val="24"/>
          <w:szCs w:val="24"/>
          <w:lang w:val="en-GB"/>
        </w:rPr>
        <w:t xml:space="preserve"> and fair definition of vulnerable based on the cases and research examined in this essay.</w:t>
      </w:r>
    </w:p>
    <w:p xmlns:wp14="http://schemas.microsoft.com/office/word/2010/wordml" w:rsidP="4693DD31" w14:paraId="5DFC46E9" wp14:textId="1A51225B">
      <w:pPr>
        <w:pStyle w:val="Normal"/>
        <w:spacing w:line="360" w:lineRule="auto"/>
        <w:rPr>
          <w:rFonts w:ascii="Arial" w:hAnsi="Arial" w:eastAsia="Arial" w:cs="Arial"/>
          <w:noProof w:val="0"/>
          <w:color w:val="252525"/>
          <w:sz w:val="24"/>
          <w:szCs w:val="24"/>
          <w:lang w:val="en-GB"/>
        </w:rPr>
      </w:pPr>
    </w:p>
    <w:p xmlns:wp14="http://schemas.microsoft.com/office/word/2010/wordml" w:rsidP="4693DD31" w14:paraId="11867175" wp14:textId="408F9BEB">
      <w:pPr>
        <w:pStyle w:val="Normal"/>
        <w:spacing w:line="360" w:lineRule="auto"/>
        <w:rPr>
          <w:rFonts w:ascii="Arial" w:hAnsi="Arial" w:eastAsia="Arial" w:cs="Arial"/>
          <w:noProof w:val="0"/>
          <w:color w:val="252525"/>
          <w:sz w:val="24"/>
          <w:szCs w:val="24"/>
          <w:lang w:val="en-GB"/>
        </w:rPr>
      </w:pPr>
    </w:p>
    <w:p xmlns:wp14="http://schemas.microsoft.com/office/word/2010/wordml" w:rsidP="4693DD31" w14:paraId="6F268B8A" wp14:textId="30E37A74">
      <w:pPr>
        <w:pStyle w:val="Normal"/>
        <w:spacing w:line="360" w:lineRule="auto"/>
        <w:rPr>
          <w:rFonts w:ascii="Arial" w:hAnsi="Arial" w:eastAsia="Arial" w:cs="Arial"/>
          <w:noProof w:val="0"/>
          <w:color w:val="252525"/>
          <w:sz w:val="24"/>
          <w:szCs w:val="24"/>
          <w:lang w:val="en-GB"/>
        </w:rPr>
      </w:pPr>
    </w:p>
    <w:p xmlns:wp14="http://schemas.microsoft.com/office/word/2010/wordml" w:rsidP="4693DD31" w14:paraId="1ABD80F9" wp14:textId="2040BC7B">
      <w:pPr>
        <w:spacing w:line="360" w:lineRule="auto"/>
        <w:rPr>
          <w:rFonts w:ascii="Arial" w:hAnsi="Arial" w:eastAsia="Arial" w:cs="Arial"/>
          <w:noProof w:val="0"/>
          <w:color w:val="252525"/>
          <w:sz w:val="24"/>
          <w:szCs w:val="24"/>
          <w:lang w:val="en-GB"/>
        </w:rPr>
      </w:pPr>
    </w:p>
    <w:p xmlns:wp14="http://schemas.microsoft.com/office/word/2010/wordml" w:rsidP="4693DD31" w14:paraId="5E5787A5" wp14:textId="41406939">
      <w:pPr>
        <w:pStyle w:val="Normal"/>
        <w:spacing w:line="360" w:lineRule="auto"/>
        <w:rPr>
          <w:rFonts w:ascii="Arial" w:hAnsi="Arial" w:eastAsia="Arial" w:cs="Arial"/>
          <w:sz w:val="24"/>
          <w:szCs w:val="24"/>
        </w:rPr>
      </w:pPr>
    </w:p>
    <w:p w:rsidR="4693DD31" w:rsidP="4693DD31" w:rsidRDefault="4693DD31" w14:paraId="78AD9348" w14:textId="497B7FA4">
      <w:pPr>
        <w:pStyle w:val="Normal"/>
        <w:spacing w:line="360" w:lineRule="auto"/>
        <w:rPr>
          <w:rFonts w:ascii="Arial" w:hAnsi="Arial" w:eastAsia="Arial" w:cs="Arial"/>
          <w:sz w:val="24"/>
          <w:szCs w:val="24"/>
        </w:rPr>
      </w:pPr>
    </w:p>
    <w:p w:rsidR="4693DD31" w:rsidP="4693DD31" w:rsidRDefault="4693DD31" w14:paraId="26129478" w14:textId="03C9D81D">
      <w:pPr>
        <w:pStyle w:val="Normal"/>
        <w:spacing w:line="360" w:lineRule="auto"/>
        <w:rPr>
          <w:rFonts w:ascii="Arial" w:hAnsi="Arial" w:eastAsia="Arial" w:cs="Arial"/>
          <w:sz w:val="24"/>
          <w:szCs w:val="24"/>
        </w:rPr>
      </w:pPr>
    </w:p>
    <w:p w:rsidR="4693DD31" w:rsidP="4693DD31" w:rsidRDefault="4693DD31" w14:paraId="449C934D" w14:textId="78DC32AA">
      <w:pPr>
        <w:pStyle w:val="Normal"/>
        <w:spacing w:line="360" w:lineRule="auto"/>
        <w:rPr>
          <w:rFonts w:ascii="Arial" w:hAnsi="Arial" w:eastAsia="Arial" w:cs="Arial"/>
          <w:sz w:val="24"/>
          <w:szCs w:val="24"/>
        </w:rPr>
      </w:pPr>
    </w:p>
    <w:p w:rsidR="4693DD31" w:rsidP="4693DD31" w:rsidRDefault="4693DD31" w14:paraId="17BDE1C0" w14:textId="2EF6AB26">
      <w:pPr>
        <w:pStyle w:val="Normal"/>
        <w:spacing w:line="360" w:lineRule="auto"/>
        <w:rPr>
          <w:rFonts w:ascii="Arial" w:hAnsi="Arial" w:eastAsia="Arial" w:cs="Arial"/>
          <w:sz w:val="24"/>
          <w:szCs w:val="24"/>
        </w:rPr>
      </w:pPr>
    </w:p>
    <w:p w:rsidR="4693DD31" w:rsidP="4693DD31" w:rsidRDefault="4693DD31" w14:paraId="1502CD11" w14:textId="1945F43F">
      <w:pPr>
        <w:pStyle w:val="Normal"/>
        <w:spacing w:line="360" w:lineRule="auto"/>
        <w:rPr>
          <w:rFonts w:ascii="Arial" w:hAnsi="Arial" w:eastAsia="Arial" w:cs="Arial"/>
          <w:sz w:val="24"/>
          <w:szCs w:val="24"/>
        </w:rPr>
      </w:pPr>
    </w:p>
    <w:p w:rsidR="01BC5303" w:rsidP="4693DD31" w:rsidRDefault="01BC5303" w14:paraId="6B23AE3A" w14:textId="26416D0A">
      <w:pPr>
        <w:pStyle w:val="Normal"/>
        <w:spacing w:line="360" w:lineRule="auto"/>
        <w:rPr>
          <w:rFonts w:ascii="Arial" w:hAnsi="Arial" w:eastAsia="Arial" w:cs="Arial"/>
          <w:sz w:val="24"/>
          <w:szCs w:val="24"/>
        </w:rPr>
      </w:pPr>
      <w:r w:rsidRPr="4693DD31" w:rsidR="01BC5303">
        <w:rPr>
          <w:rFonts w:ascii="Arial" w:hAnsi="Arial" w:eastAsia="Arial" w:cs="Arial"/>
          <w:sz w:val="24"/>
          <w:szCs w:val="24"/>
        </w:rPr>
        <w:t xml:space="preserve">References </w:t>
      </w:r>
    </w:p>
    <w:p w:rsidR="01BC5303" w:rsidP="4693DD31" w:rsidRDefault="01BC5303" w14:paraId="44DAF680" w14:textId="5DDEC562">
      <w:pPr>
        <w:pStyle w:val="ListParagraph"/>
        <w:numPr>
          <w:ilvl w:val="0"/>
          <w:numId w:val="1"/>
        </w:numPr>
        <w:spacing w:line="360" w:lineRule="auto"/>
        <w:rPr>
          <w:rFonts w:ascii="Arial" w:hAnsi="Arial" w:eastAsia="Arial" w:cs="Arial"/>
          <w:noProof w:val="0"/>
          <w:sz w:val="24"/>
          <w:szCs w:val="24"/>
          <w:lang w:val="en-GB"/>
        </w:rPr>
      </w:pP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 xml:space="preserve">Age Uk, (2019) Older person becomes victim of fraud every 40 seconds. </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d1177b24a9ae4b17">
        <w:r w:rsidRPr="4693DD31" w:rsidR="01BC5303">
          <w:rPr>
            <w:rStyle w:val="Hyperlink"/>
            <w:rFonts w:ascii="Arial" w:hAnsi="Arial" w:eastAsia="Arial" w:cs="Arial"/>
            <w:b w:val="0"/>
            <w:bCs w:val="0"/>
            <w:i w:val="0"/>
            <w:iCs w:val="0"/>
            <w:caps w:val="0"/>
            <w:smallCaps w:val="0"/>
            <w:strike w:val="0"/>
            <w:dstrike w:val="0"/>
            <w:noProof w:val="0"/>
            <w:sz w:val="24"/>
            <w:szCs w:val="24"/>
            <w:lang w:val="en-GB"/>
          </w:rPr>
          <w:t>https://www.ageuk.org.uk/latest-press/articles/2019/july/older-person-becomes-fraud-victim-every-40-seconds/</w:t>
        </w:r>
      </w:hyperlink>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5, 2023).</w:t>
      </w:r>
    </w:p>
    <w:p w:rsidR="01BC5303" w:rsidP="4693DD31" w:rsidRDefault="01BC5303" w14:paraId="209BEA20" w14:textId="2B10F61C">
      <w:pPr>
        <w:pStyle w:val="ListParagraph"/>
        <w:numPr>
          <w:ilvl w:val="0"/>
          <w:numId w:val="1"/>
        </w:numPr>
        <w:spacing w:line="360" w:lineRule="auto"/>
        <w:rPr>
          <w:rFonts w:ascii="Arial" w:hAnsi="Arial" w:eastAsia="Arial" w:cs="Arial"/>
          <w:noProof w:val="0"/>
          <w:sz w:val="24"/>
          <w:szCs w:val="24"/>
          <w:lang w:val="en-GB"/>
        </w:rPr>
      </w:pP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 xml:space="preserve">Age UK, (2015) State of Health and care of older people final - age </w:t>
      </w:r>
      <w:proofErr w:type="gramStart"/>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UK</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gramEnd"/>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4dc740f149d34166">
        <w:r w:rsidRPr="4693DD31" w:rsidR="01BC5303">
          <w:rPr>
            <w:rStyle w:val="Hyperlink"/>
            <w:rFonts w:ascii="Arial" w:hAnsi="Arial" w:eastAsia="Arial" w:cs="Arial"/>
            <w:b w:val="0"/>
            <w:bCs w:val="0"/>
            <w:i w:val="0"/>
            <w:iCs w:val="0"/>
            <w:caps w:val="0"/>
            <w:smallCaps w:val="0"/>
            <w:strike w:val="0"/>
            <w:dstrike w:val="0"/>
            <w:noProof w:val="0"/>
            <w:sz w:val="24"/>
            <w:szCs w:val="24"/>
            <w:lang w:val="en-GB"/>
          </w:rPr>
          <w:t>https://www.ageuk.org.uk/globalassets/age-uk/documents/reports-and-publications/reports-and-briefings/health--wellbeing/age_uk_briefing_state_of_health_and_care_of_older_people_july2019.pdf</w:t>
        </w:r>
      </w:hyperlink>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5, 2023).</w:t>
      </w:r>
    </w:p>
    <w:p w:rsidR="01BC5303" w:rsidP="4693DD31" w:rsidRDefault="01BC5303" w14:paraId="7CAEE8B8" w14:textId="708B392B">
      <w:pPr>
        <w:pStyle w:val="ListParagraph"/>
        <w:numPr>
          <w:ilvl w:val="0"/>
          <w:numId w:val="1"/>
        </w:numPr>
        <w:spacing w:line="360" w:lineRule="auto"/>
        <w:rPr>
          <w:rFonts w:ascii="Arial" w:hAnsi="Arial" w:eastAsia="Arial" w:cs="Arial"/>
          <w:noProof w:val="0"/>
          <w:sz w:val="24"/>
          <w:szCs w:val="24"/>
          <w:lang w:val="en-GB"/>
        </w:rPr>
      </w:pP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Baby P: Born into a nightmare of abuse, violence and despair, he never stood a chance</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(2009) </w:t>
      </w: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The Guardian</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Guardian News and Media. Available at: </w:t>
      </w:r>
      <w:hyperlink r:id="Ref9d84f02c6a4b8d">
        <w:r w:rsidRPr="4693DD31" w:rsidR="01BC5303">
          <w:rPr>
            <w:rStyle w:val="Hyperlink"/>
            <w:rFonts w:ascii="Arial" w:hAnsi="Arial" w:eastAsia="Arial" w:cs="Arial"/>
            <w:b w:val="0"/>
            <w:bCs w:val="0"/>
            <w:i w:val="0"/>
            <w:iCs w:val="0"/>
            <w:caps w:val="0"/>
            <w:smallCaps w:val="0"/>
            <w:strike w:val="0"/>
            <w:dstrike w:val="0"/>
            <w:noProof w:val="0"/>
            <w:sz w:val="24"/>
            <w:szCs w:val="24"/>
            <w:lang w:val="en-GB"/>
          </w:rPr>
          <w:t>https://www.theguardian.com/society/2009/aug/16/baby-p-family</w:t>
        </w:r>
      </w:hyperlink>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5, 2023).</w:t>
      </w:r>
    </w:p>
    <w:p w:rsidR="01BC5303" w:rsidP="4693DD31" w:rsidRDefault="01BC5303" w14:paraId="454AD500" w14:textId="0F5AD5C0">
      <w:pPr>
        <w:pStyle w:val="ListParagraph"/>
        <w:numPr>
          <w:ilvl w:val="0"/>
          <w:numId w:val="1"/>
        </w:numPr>
        <w:spacing w:line="360" w:lineRule="auto"/>
        <w:rPr>
          <w:rFonts w:ascii="Arial" w:hAnsi="Arial" w:eastAsia="Arial" w:cs="Arial"/>
          <w:noProof w:val="0"/>
          <w:sz w:val="24"/>
          <w:szCs w:val="24"/>
          <w:lang w:val="en-GB"/>
        </w:rPr>
      </w:pP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Childline, (2023) Forced marriage: Dina's story. Childline</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9176fdfdfc944a6f">
        <w:r w:rsidRPr="4693DD31" w:rsidR="01BC5303">
          <w:rPr>
            <w:rStyle w:val="Hyperlink"/>
            <w:rFonts w:ascii="Arial" w:hAnsi="Arial" w:eastAsia="Arial" w:cs="Arial"/>
            <w:b w:val="0"/>
            <w:bCs w:val="0"/>
            <w:i w:val="0"/>
            <w:iCs w:val="0"/>
            <w:caps w:val="0"/>
            <w:smallCaps w:val="0"/>
            <w:strike w:val="0"/>
            <w:dstrike w:val="0"/>
            <w:noProof w:val="0"/>
            <w:sz w:val="24"/>
            <w:szCs w:val="24"/>
            <w:lang w:val="en-GB"/>
          </w:rPr>
          <w:t>https://www.childline.org.uk/get-involved/real-life-stories/forced-marriage-dinas-story/</w:t>
        </w:r>
      </w:hyperlink>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9, 2023).</w:t>
      </w:r>
    </w:p>
    <w:p w:rsidR="01BC5303" w:rsidP="4693DD31" w:rsidRDefault="01BC5303" w14:paraId="533A5676" w14:textId="7DD591B2">
      <w:pPr>
        <w:pStyle w:val="ListParagraph"/>
        <w:numPr>
          <w:ilvl w:val="0"/>
          <w:numId w:val="1"/>
        </w:numPr>
        <w:spacing w:line="360" w:lineRule="auto"/>
        <w:rPr>
          <w:rFonts w:ascii="Arial" w:hAnsi="Arial" w:eastAsia="Arial" w:cs="Arial"/>
          <w:noProof w:val="0"/>
          <w:sz w:val="24"/>
          <w:szCs w:val="24"/>
          <w:lang w:val="en-GB"/>
        </w:rPr>
      </w:pP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Curiosity</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(2023) </w:t>
      </w: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College of Policing</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a864005c-8aec-43a7-9475-ce25a3a0b86e" r:id="R1a5e8713c60048ba">
        <w:r w:rsidRPr="4693DD31" w:rsidR="01BC5303">
          <w:rPr>
            <w:rStyle w:val="Hyperlink"/>
            <w:rFonts w:ascii="Arial" w:hAnsi="Arial" w:eastAsia="Arial" w:cs="Arial"/>
            <w:b w:val="0"/>
            <w:bCs w:val="0"/>
            <w:i w:val="0"/>
            <w:iCs w:val="0"/>
            <w:caps w:val="0"/>
            <w:smallCaps w:val="0"/>
            <w:strike w:val="0"/>
            <w:dstrike w:val="0"/>
            <w:noProof w:val="0"/>
            <w:sz w:val="24"/>
            <w:szCs w:val="24"/>
            <w:lang w:val="en-GB"/>
          </w:rPr>
          <w:t>https://www.college.police.uk/guidance/vulnerability-related-risks/curiosity#a864005c-8aec-43a7-9475-ce25a3a0b86e</w:t>
        </w:r>
      </w:hyperlink>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9, 2023).</w:t>
      </w:r>
    </w:p>
    <w:p w:rsidR="01BC5303" w:rsidP="4693DD31" w:rsidRDefault="01BC5303" w14:paraId="2F54F824" w14:textId="6FE306D5">
      <w:pPr>
        <w:pStyle w:val="ListParagraph"/>
        <w:numPr>
          <w:ilvl w:val="0"/>
          <w:numId w:val="1"/>
        </w:numPr>
        <w:spacing w:line="360" w:lineRule="auto"/>
        <w:rPr>
          <w:rFonts w:ascii="Arial" w:hAnsi="Arial" w:eastAsia="Arial" w:cs="Arial"/>
          <w:noProof w:val="0"/>
          <w:sz w:val="24"/>
          <w:szCs w:val="24"/>
          <w:lang w:val="en-GB"/>
        </w:rPr>
      </w:pP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Dodge, K.A., Bates, J.E. and Pettit, G.S. (1990) “Mechanisms in the cycle of violence,” </w:t>
      </w: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Science</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250(4988), pp. 1678–1683. Available at: </w:t>
      </w:r>
      <w:hyperlink r:id="Rd3d62d1b54ea4209">
        <w:r w:rsidRPr="4693DD31" w:rsidR="01BC5303">
          <w:rPr>
            <w:rStyle w:val="Hyperlink"/>
            <w:rFonts w:ascii="Arial" w:hAnsi="Arial" w:eastAsia="Arial" w:cs="Arial"/>
            <w:b w:val="0"/>
            <w:bCs w:val="0"/>
            <w:i w:val="0"/>
            <w:iCs w:val="0"/>
            <w:caps w:val="0"/>
            <w:smallCaps w:val="0"/>
            <w:strike w:val="0"/>
            <w:dstrike w:val="0"/>
            <w:noProof w:val="0"/>
            <w:sz w:val="24"/>
            <w:szCs w:val="24"/>
            <w:lang w:val="en-GB"/>
          </w:rPr>
          <w:t>https://doi.org/10.1126/science.2270481</w:t>
        </w:r>
      </w:hyperlink>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w:t>
      </w:r>
    </w:p>
    <w:p w:rsidR="01BC5303" w:rsidP="4693DD31" w:rsidRDefault="01BC5303" w14:paraId="3BCB9B7C" w14:textId="12C6648C">
      <w:pPr>
        <w:pStyle w:val="ListParagraph"/>
        <w:numPr>
          <w:ilvl w:val="0"/>
          <w:numId w:val="1"/>
        </w:numPr>
        <w:spacing w:line="360" w:lineRule="auto"/>
        <w:rPr>
          <w:rFonts w:ascii="Arial" w:hAnsi="Arial" w:eastAsia="Arial" w:cs="Arial"/>
          <w:noProof w:val="0"/>
          <w:sz w:val="24"/>
          <w:szCs w:val="24"/>
          <w:lang w:val="en-GB"/>
        </w:rPr>
      </w:pP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Egeland, B (1988</w:t>
      </w:r>
      <w:proofErr w:type="gramStart"/>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w:t>
      </w:r>
      <w:proofErr w:type="gramEnd"/>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et al. “Breaking the Cycle of Abuse.” </w:t>
      </w: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Child Development</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vol. 59, no. 4, 1988, pp. 1080–88. </w:t>
      </w: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JSTOR</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e0756c6c44a84162">
        <w:r w:rsidRPr="4693DD31" w:rsidR="01BC5303">
          <w:rPr>
            <w:rStyle w:val="Hyperlink"/>
            <w:rFonts w:ascii="Arial" w:hAnsi="Arial" w:eastAsia="Arial" w:cs="Arial"/>
            <w:b w:val="0"/>
            <w:bCs w:val="0"/>
            <w:i w:val="0"/>
            <w:iCs w:val="0"/>
            <w:caps w:val="0"/>
            <w:smallCaps w:val="0"/>
            <w:strike w:val="0"/>
            <w:dstrike w:val="0"/>
            <w:noProof w:val="0"/>
            <w:sz w:val="24"/>
            <w:szCs w:val="24"/>
            <w:lang w:val="en-GB"/>
          </w:rPr>
          <w:t>https://doi.org/10.2307/1130274</w:t>
        </w:r>
      </w:hyperlink>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Accessed 5 Jan. 2023.</w:t>
      </w:r>
    </w:p>
    <w:p w:rsidR="01BC5303" w:rsidP="4693DD31" w:rsidRDefault="01BC5303" w14:paraId="4F11DE16" w14:textId="1B1D9665">
      <w:pPr>
        <w:pStyle w:val="ListParagraph"/>
        <w:numPr>
          <w:ilvl w:val="0"/>
          <w:numId w:val="1"/>
        </w:numPr>
        <w:spacing w:line="360" w:lineRule="auto"/>
        <w:rPr>
          <w:rFonts w:ascii="Arial" w:hAnsi="Arial" w:eastAsia="Arial" w:cs="Arial"/>
          <w:noProof w:val="0"/>
          <w:sz w:val="24"/>
          <w:szCs w:val="24"/>
          <w:lang w:val="en-GB"/>
        </w:rPr>
      </w:pP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Erickson, E.L., McEvoy, A.W. and Colucci, N.D. (1979) </w:t>
      </w: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Child abuse &amp; neglect: A guidebook for educators &amp; community leaders</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Holmes Beach, FL: Learning Publications.</w:t>
      </w:r>
    </w:p>
    <w:p w:rsidR="01BC5303" w:rsidP="4693DD31" w:rsidRDefault="01BC5303" w14:paraId="08907935" w14:textId="03106470">
      <w:pPr>
        <w:pStyle w:val="ListParagraph"/>
        <w:numPr>
          <w:ilvl w:val="0"/>
          <w:numId w:val="1"/>
        </w:numPr>
        <w:spacing w:line="360" w:lineRule="auto"/>
        <w:rPr>
          <w:rFonts w:ascii="Arial" w:hAnsi="Arial" w:eastAsia="Arial" w:cs="Arial"/>
          <w:noProof w:val="0"/>
          <w:sz w:val="24"/>
          <w:szCs w:val="24"/>
          <w:lang w:val="en-GB"/>
        </w:rPr>
      </w:pP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Female genital mutilation</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(1998). World Health Organisation. Brisbane: The Commission.</w:t>
      </w:r>
    </w:p>
    <w:p w:rsidR="01BC5303" w:rsidP="4693DD31" w:rsidRDefault="01BC5303" w14:paraId="3B03A0B4" w14:textId="01556E66">
      <w:pPr>
        <w:pStyle w:val="ListParagraph"/>
        <w:numPr>
          <w:ilvl w:val="0"/>
          <w:numId w:val="1"/>
        </w:numPr>
        <w:spacing w:line="360" w:lineRule="auto"/>
        <w:rPr>
          <w:rFonts w:ascii="Arial" w:hAnsi="Arial" w:eastAsia="Arial" w:cs="Arial"/>
          <w:noProof w:val="0"/>
          <w:sz w:val="24"/>
          <w:szCs w:val="24"/>
          <w:lang w:val="en-GB"/>
        </w:rPr>
      </w:pP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FGM Annual report (2020) Female Genital Mutilation (FGM) Annual Report - April 2019 to March 2020 (Experimental Statistics Report)</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(2020) </w:t>
      </w:r>
      <w:r w:rsidRPr="4693DD31" w:rsidR="01BC5303">
        <w:rPr>
          <w:rFonts w:ascii="Arial" w:hAnsi="Arial" w:eastAsia="Arial" w:cs="Arial"/>
          <w:b w:val="0"/>
          <w:bCs w:val="0"/>
          <w:i w:val="1"/>
          <w:iCs w:val="1"/>
          <w:caps w:val="0"/>
          <w:smallCaps w:val="0"/>
          <w:noProof w:val="0"/>
          <w:color w:val="000000" w:themeColor="text1" w:themeTint="FF" w:themeShade="FF"/>
          <w:sz w:val="24"/>
          <w:szCs w:val="24"/>
          <w:lang w:val="en-GB"/>
        </w:rPr>
        <w:t>NHS</w:t>
      </w:r>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NHS. Available at: </w:t>
      </w:r>
      <w:hyperlink r:id="R0fe2b99d9ca747c5">
        <w:r w:rsidRPr="4693DD31" w:rsidR="01BC5303">
          <w:rPr>
            <w:rStyle w:val="Hyperlink"/>
            <w:rFonts w:ascii="Arial" w:hAnsi="Arial" w:eastAsia="Arial" w:cs="Arial"/>
            <w:b w:val="0"/>
            <w:bCs w:val="0"/>
            <w:i w:val="0"/>
            <w:iCs w:val="0"/>
            <w:caps w:val="0"/>
            <w:smallCaps w:val="0"/>
            <w:strike w:val="0"/>
            <w:dstrike w:val="0"/>
            <w:noProof w:val="0"/>
            <w:sz w:val="24"/>
            <w:szCs w:val="24"/>
            <w:lang w:val="en-GB"/>
          </w:rPr>
          <w:t>https://digital.nhs.uk/data-and-information/publications/statistical/female-genital-mutilation/april-2019---march-2020</w:t>
        </w:r>
      </w:hyperlink>
      <w:r w:rsidRPr="4693DD31" w:rsidR="01BC5303">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6, 2023).</w:t>
      </w:r>
    </w:p>
    <w:p w:rsidR="4769C477" w:rsidP="4693DD31" w:rsidRDefault="4769C477" w14:paraId="3785A5EC" w14:textId="517E5890">
      <w:pPr>
        <w:pStyle w:val="ListParagraph"/>
        <w:numPr>
          <w:ilvl w:val="0"/>
          <w:numId w:val="1"/>
        </w:numPr>
        <w:spacing w:line="360" w:lineRule="auto"/>
        <w:rPr>
          <w:rFonts w:ascii="Arial" w:hAnsi="Arial" w:eastAsia="Arial" w:cs="Arial"/>
          <w:noProof w:val="0"/>
          <w:sz w:val="24"/>
          <w:szCs w:val="24"/>
          <w:lang w:val="en-GB"/>
        </w:rPr>
      </w:pPr>
      <w:r w:rsidRPr="4693DD31" w:rsidR="4769C477">
        <w:rPr>
          <w:rFonts w:ascii="Arial" w:hAnsi="Arial" w:eastAsia="Arial" w:cs="Arial"/>
          <w:b w:val="0"/>
          <w:bCs w:val="0"/>
          <w:i w:val="1"/>
          <w:iCs w:val="1"/>
          <w:caps w:val="0"/>
          <w:smallCaps w:val="0"/>
          <w:noProof w:val="0"/>
          <w:color w:val="000000" w:themeColor="text1" w:themeTint="FF" w:themeShade="FF"/>
          <w:sz w:val="24"/>
          <w:szCs w:val="24"/>
          <w:lang w:val="en-GB"/>
        </w:rPr>
        <w:t>Financial abuse</w:t>
      </w: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r w:rsidRPr="4693DD31" w:rsidR="4769C477">
        <w:rPr>
          <w:rFonts w:ascii="Arial" w:hAnsi="Arial" w:eastAsia="Arial" w:cs="Arial"/>
          <w:b w:val="0"/>
          <w:bCs w:val="0"/>
          <w:i w:val="1"/>
          <w:iCs w:val="1"/>
          <w:caps w:val="0"/>
          <w:smallCaps w:val="0"/>
          <w:noProof w:val="0"/>
          <w:color w:val="000000" w:themeColor="text1" w:themeTint="FF" w:themeShade="FF"/>
          <w:sz w:val="24"/>
          <w:szCs w:val="24"/>
          <w:lang w:val="en-GB"/>
        </w:rPr>
        <w:t>Financial abuse | Office on Women's Health</w:t>
      </w: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w:anchor=":~:text=Financial%20abuse%20happens%20when%20an%20abuser%20takes%20control,Financial%20abuse%20happens%20often%20in%20physically%20abusive%20relationships" r:id="R5c065f39351945f4">
        <w:r w:rsidRPr="4693DD31" w:rsidR="4769C477">
          <w:rPr>
            <w:rStyle w:val="Hyperlink"/>
            <w:rFonts w:ascii="Arial" w:hAnsi="Arial" w:eastAsia="Arial" w:cs="Arial"/>
            <w:b w:val="0"/>
            <w:bCs w:val="0"/>
            <w:i w:val="0"/>
            <w:iCs w:val="0"/>
            <w:caps w:val="0"/>
            <w:smallCaps w:val="0"/>
            <w:strike w:val="0"/>
            <w:dstrike w:val="0"/>
            <w:noProof w:val="0"/>
            <w:sz w:val="24"/>
            <w:szCs w:val="24"/>
            <w:lang w:val="en-GB"/>
          </w:rPr>
          <w:t>https://www.womenshealth.gov/relationships-and-safety/other-types/financial-abuse#:~:text=Financial%20abuse%20happens%20when%20an%20abuser%20takes%20control,Financial%20abuse%20happens%20often%20in%20physically%20abusive%20relationships</w:t>
        </w:r>
      </w:hyperlink>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(Accessed: January 5, 2023).</w:t>
      </w:r>
    </w:p>
    <w:p w:rsidR="775B02BC" w:rsidP="4693DD31" w:rsidRDefault="775B02BC" w14:paraId="63FD5948" w14:textId="2E53ECC7">
      <w:pPr>
        <w:pStyle w:val="ListParagraph"/>
        <w:numPr>
          <w:ilvl w:val="0"/>
          <w:numId w:val="1"/>
        </w:numPr>
        <w:spacing w:line="360" w:lineRule="auto"/>
        <w:rPr>
          <w:rFonts w:ascii="Arial" w:hAnsi="Arial" w:eastAsia="Arial" w:cs="Arial"/>
          <w:noProof w:val="0"/>
          <w:sz w:val="24"/>
          <w:szCs w:val="24"/>
          <w:lang w:val="en-GB"/>
        </w:rPr>
      </w:pPr>
      <w:r w:rsidRPr="4693DD31" w:rsidR="775B02BC">
        <w:rPr>
          <w:rFonts w:ascii="Arial" w:hAnsi="Arial" w:eastAsia="Arial" w:cs="Arial"/>
          <w:b w:val="0"/>
          <w:bCs w:val="0"/>
          <w:i w:val="1"/>
          <w:iCs w:val="1"/>
          <w:caps w:val="0"/>
          <w:smallCaps w:val="0"/>
          <w:noProof w:val="0"/>
          <w:color w:val="000000" w:themeColor="text1" w:themeTint="FF" w:themeShade="FF"/>
          <w:sz w:val="24"/>
          <w:szCs w:val="24"/>
          <w:lang w:val="en-GB"/>
        </w:rPr>
        <w:t>Honour-based abuse</w:t>
      </w:r>
      <w:r w:rsidRPr="4693DD31" w:rsidR="775B02BC">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r w:rsidRPr="4693DD31" w:rsidR="775B02BC">
        <w:rPr>
          <w:rFonts w:ascii="Arial" w:hAnsi="Arial" w:eastAsia="Arial" w:cs="Arial"/>
          <w:b w:val="0"/>
          <w:bCs w:val="0"/>
          <w:i w:val="1"/>
          <w:iCs w:val="1"/>
          <w:caps w:val="0"/>
          <w:smallCaps w:val="0"/>
          <w:noProof w:val="0"/>
          <w:color w:val="000000" w:themeColor="text1" w:themeTint="FF" w:themeShade="FF"/>
          <w:sz w:val="24"/>
          <w:szCs w:val="24"/>
          <w:lang w:val="en-GB"/>
        </w:rPr>
        <w:t>College of Policing</w:t>
      </w:r>
      <w:r w:rsidRPr="4693DD31" w:rsidR="775B02BC">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8e69fea5429643bd">
        <w:r w:rsidRPr="4693DD31" w:rsidR="775B02BC">
          <w:rPr>
            <w:rStyle w:val="Hyperlink"/>
            <w:rFonts w:ascii="Arial" w:hAnsi="Arial" w:eastAsia="Arial" w:cs="Arial"/>
            <w:b w:val="0"/>
            <w:bCs w:val="0"/>
            <w:i w:val="0"/>
            <w:iCs w:val="0"/>
            <w:caps w:val="0"/>
            <w:smallCaps w:val="0"/>
            <w:strike w:val="0"/>
            <w:dstrike w:val="0"/>
            <w:noProof w:val="0"/>
            <w:sz w:val="24"/>
            <w:szCs w:val="24"/>
            <w:lang w:val="en-GB"/>
          </w:rPr>
          <w:t>https://www.college.police.uk/guidance/violence-against-women-and-girls-toolkit/honour-based-abuse</w:t>
        </w:r>
      </w:hyperlink>
      <w:r w:rsidRPr="4693DD31" w:rsidR="775B02BC">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7, 2023).</w:t>
      </w:r>
    </w:p>
    <w:p w:rsidR="4769C477" w:rsidP="4693DD31" w:rsidRDefault="4769C477" w14:paraId="1923E74A" w14:textId="217C2AA0">
      <w:pPr>
        <w:pStyle w:val="ListParagraph"/>
        <w:numPr>
          <w:ilvl w:val="0"/>
          <w:numId w:val="1"/>
        </w:numPr>
        <w:spacing w:line="360" w:lineRule="auto"/>
        <w:rPr>
          <w:rFonts w:ascii="Arial" w:hAnsi="Arial" w:eastAsia="Arial" w:cs="Arial"/>
          <w:noProof w:val="0"/>
          <w:sz w:val="24"/>
          <w:szCs w:val="24"/>
          <w:lang w:val="en-GB"/>
        </w:rPr>
      </w:pPr>
      <w:r w:rsidRPr="4693DD31" w:rsidR="4769C477">
        <w:rPr>
          <w:rFonts w:ascii="Arial" w:hAnsi="Arial" w:eastAsia="Arial" w:cs="Arial"/>
          <w:b w:val="0"/>
          <w:bCs w:val="0"/>
          <w:i w:val="1"/>
          <w:iCs w:val="1"/>
          <w:caps w:val="0"/>
          <w:smallCaps w:val="0"/>
          <w:noProof w:val="0"/>
          <w:color w:val="000000" w:themeColor="text1" w:themeTint="FF" w:themeShade="FF"/>
          <w:sz w:val="24"/>
          <w:szCs w:val="24"/>
          <w:lang w:val="en-GB"/>
        </w:rPr>
        <w:t>Introduction to vulnerability-related risk</w:t>
      </w: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(2022) </w:t>
      </w:r>
      <w:r w:rsidRPr="4693DD31" w:rsidR="4769C477">
        <w:rPr>
          <w:rFonts w:ascii="Arial" w:hAnsi="Arial" w:eastAsia="Arial" w:cs="Arial"/>
          <w:b w:val="0"/>
          <w:bCs w:val="0"/>
          <w:i w:val="1"/>
          <w:iCs w:val="1"/>
          <w:caps w:val="0"/>
          <w:smallCaps w:val="0"/>
          <w:noProof w:val="0"/>
          <w:color w:val="000000" w:themeColor="text1" w:themeTint="FF" w:themeShade="FF"/>
          <w:sz w:val="24"/>
          <w:szCs w:val="24"/>
          <w:lang w:val="en-GB"/>
        </w:rPr>
        <w:t>College of Policing</w:t>
      </w: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College of Policing. Available at: </w:t>
      </w:r>
      <w:hyperlink r:id="R537eb9cba24d4cda">
        <w:r w:rsidRPr="4693DD31" w:rsidR="4769C477">
          <w:rPr>
            <w:rStyle w:val="Hyperlink"/>
            <w:rFonts w:ascii="Arial" w:hAnsi="Arial" w:eastAsia="Arial" w:cs="Arial"/>
            <w:b w:val="0"/>
            <w:bCs w:val="0"/>
            <w:i w:val="0"/>
            <w:iCs w:val="0"/>
            <w:caps w:val="0"/>
            <w:smallCaps w:val="0"/>
            <w:strike w:val="0"/>
            <w:dstrike w:val="0"/>
            <w:noProof w:val="0"/>
            <w:sz w:val="24"/>
            <w:szCs w:val="24"/>
            <w:lang w:val="en-GB"/>
          </w:rPr>
          <w:t>https://www.college.police.uk/guidance/vulnerability-related-risks/introduction-vulnerability-related-risk</w:t>
        </w:r>
      </w:hyperlink>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1, 2023).</w:t>
      </w:r>
    </w:p>
    <w:p w:rsidR="4769C477" w:rsidP="4693DD31" w:rsidRDefault="4769C477" w14:paraId="7A271754" w14:textId="30F980FB">
      <w:pPr>
        <w:pStyle w:val="ListParagraph"/>
        <w:numPr>
          <w:ilvl w:val="0"/>
          <w:numId w:val="1"/>
        </w:numPr>
        <w:spacing w:line="360" w:lineRule="auto"/>
        <w:rPr>
          <w:rFonts w:ascii="Arial" w:hAnsi="Arial" w:eastAsia="Arial" w:cs="Arial"/>
          <w:noProof w:val="0"/>
          <w:sz w:val="24"/>
          <w:szCs w:val="24"/>
          <w:lang w:val="en-GB"/>
        </w:rPr>
      </w:pP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Kelly, Elizabeth A. M.D.; Hillard, Paula J. Adams </w:t>
      </w:r>
      <w:proofErr w:type="gramStart"/>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M.D..</w:t>
      </w:r>
      <w:proofErr w:type="gramEnd"/>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Female Genital Mutilation. Postgraduate Obstetrics &amp; </w:t>
      </w:r>
      <w:proofErr w:type="spellStart"/>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Gynecology</w:t>
      </w:r>
      <w:proofErr w:type="spellEnd"/>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25(26</w:t>
      </w:r>
      <w:proofErr w:type="gramStart"/>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):p</w:t>
      </w:r>
      <w:proofErr w:type="gramEnd"/>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1-5, December 31, 2005.</w:t>
      </w:r>
    </w:p>
    <w:p w:rsidR="4769C477" w:rsidP="4693DD31" w:rsidRDefault="4769C477" w14:paraId="4166C601" w14:textId="5E0FCBDC">
      <w:pPr>
        <w:pStyle w:val="ListParagraph"/>
        <w:numPr>
          <w:ilvl w:val="0"/>
          <w:numId w:val="1"/>
        </w:numPr>
        <w:spacing w:line="360" w:lineRule="auto"/>
        <w:rPr>
          <w:rFonts w:ascii="Arial" w:hAnsi="Arial" w:eastAsia="Arial" w:cs="Arial"/>
          <w:noProof w:val="0"/>
          <w:sz w:val="24"/>
          <w:szCs w:val="24"/>
          <w:lang w:val="en-GB"/>
        </w:rPr>
      </w:pP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Lee, R.G. (2020) </w:t>
      </w:r>
      <w:r w:rsidRPr="4693DD31" w:rsidR="4769C477">
        <w:rPr>
          <w:rFonts w:ascii="Arial" w:hAnsi="Arial" w:eastAsia="Arial" w:cs="Arial"/>
          <w:b w:val="0"/>
          <w:bCs w:val="0"/>
          <w:i w:val="1"/>
          <w:iCs w:val="1"/>
          <w:caps w:val="0"/>
          <w:smallCaps w:val="0"/>
          <w:noProof w:val="0"/>
          <w:color w:val="000000" w:themeColor="text1" w:themeTint="FF" w:themeShade="FF"/>
          <w:sz w:val="24"/>
          <w:szCs w:val="24"/>
          <w:lang w:val="en-GB"/>
        </w:rPr>
        <w:t>Blackstone's statutes on Public Law &amp; Human Rights 2020-2021</w:t>
      </w: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Oxford: Oxford University Press.</w:t>
      </w:r>
    </w:p>
    <w:p w:rsidR="4769C477" w:rsidP="4693DD31" w:rsidRDefault="4769C477" w14:paraId="5FA1063D" w14:textId="05D3BE66">
      <w:pPr>
        <w:pStyle w:val="ListParagraph"/>
        <w:numPr>
          <w:ilvl w:val="0"/>
          <w:numId w:val="1"/>
        </w:num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693DD31" w:rsidR="4769C477">
        <w:rPr>
          <w:rFonts w:ascii="Arial" w:hAnsi="Arial" w:eastAsia="Arial" w:cs="Arial"/>
          <w:b w:val="0"/>
          <w:bCs w:val="0"/>
          <w:i w:val="1"/>
          <w:iCs w:val="1"/>
          <w:caps w:val="0"/>
          <w:smallCaps w:val="0"/>
          <w:noProof w:val="0"/>
          <w:color w:val="000000" w:themeColor="text1" w:themeTint="FF" w:themeShade="FF"/>
          <w:sz w:val="24"/>
          <w:szCs w:val="24"/>
          <w:lang w:val="en-GB"/>
        </w:rPr>
        <w:t>Mental vulnerability and illness</w:t>
      </w: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(2023) </w:t>
      </w:r>
      <w:r w:rsidRPr="4693DD31" w:rsidR="4769C477">
        <w:rPr>
          <w:rFonts w:ascii="Arial" w:hAnsi="Arial" w:eastAsia="Arial" w:cs="Arial"/>
          <w:b w:val="0"/>
          <w:bCs w:val="0"/>
          <w:i w:val="1"/>
          <w:iCs w:val="1"/>
          <w:caps w:val="0"/>
          <w:smallCaps w:val="0"/>
          <w:noProof w:val="0"/>
          <w:color w:val="000000" w:themeColor="text1" w:themeTint="FF" w:themeShade="FF"/>
          <w:sz w:val="24"/>
          <w:szCs w:val="24"/>
          <w:lang w:val="en-GB"/>
        </w:rPr>
        <w:t>College of Policing</w:t>
      </w: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2c368bb87b14750">
        <w:r w:rsidRPr="4693DD31" w:rsidR="4769C477">
          <w:rPr>
            <w:rStyle w:val="Hyperlink"/>
            <w:rFonts w:ascii="Arial" w:hAnsi="Arial" w:eastAsia="Arial" w:cs="Arial"/>
            <w:b w:val="0"/>
            <w:bCs w:val="0"/>
            <w:i w:val="0"/>
            <w:iCs w:val="0"/>
            <w:caps w:val="0"/>
            <w:smallCaps w:val="0"/>
            <w:strike w:val="0"/>
            <w:dstrike w:val="0"/>
            <w:noProof w:val="0"/>
            <w:sz w:val="24"/>
            <w:szCs w:val="24"/>
            <w:lang w:val="en-GB"/>
          </w:rPr>
          <w:t>https://www.college.police.uk/app/mental-health/mental-vulnerability-and-illness</w:t>
        </w:r>
      </w:hyperlink>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8, 2023).</w:t>
      </w:r>
    </w:p>
    <w:p w:rsidR="4769C477" w:rsidP="4693DD31" w:rsidRDefault="4769C477" w14:paraId="233C65BA" w14:textId="4CF52BE4">
      <w:pPr>
        <w:pStyle w:val="ListParagraph"/>
        <w:numPr>
          <w:ilvl w:val="0"/>
          <w:numId w:val="1"/>
        </w:numPr>
        <w:spacing w:line="360" w:lineRule="auto"/>
        <w:rPr>
          <w:rFonts w:ascii="Arial" w:hAnsi="Arial" w:eastAsia="Arial" w:cs="Arial"/>
          <w:noProof w:val="0"/>
          <w:sz w:val="24"/>
          <w:szCs w:val="24"/>
          <w:lang w:val="en-GB"/>
        </w:rPr>
      </w:pP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Mental Capacity act (2005) </w:t>
      </w:r>
      <w:r w:rsidRPr="4693DD31" w:rsidR="4769C477">
        <w:rPr>
          <w:rFonts w:ascii="Arial" w:hAnsi="Arial" w:eastAsia="Arial" w:cs="Arial"/>
          <w:b w:val="0"/>
          <w:bCs w:val="0"/>
          <w:i w:val="1"/>
          <w:iCs w:val="1"/>
          <w:caps w:val="0"/>
          <w:smallCaps w:val="0"/>
          <w:noProof w:val="0"/>
          <w:color w:val="000000" w:themeColor="text1" w:themeTint="FF" w:themeShade="FF"/>
          <w:sz w:val="24"/>
          <w:szCs w:val="24"/>
          <w:lang w:val="en-GB"/>
        </w:rPr>
        <w:t>Mental capacity act 2005</w:t>
      </w: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693DD31" w:rsidR="4769C477">
        <w:rPr>
          <w:rFonts w:ascii="Arial" w:hAnsi="Arial" w:eastAsia="Arial" w:cs="Arial"/>
          <w:b w:val="0"/>
          <w:bCs w:val="0"/>
          <w:i w:val="1"/>
          <w:iCs w:val="1"/>
          <w:caps w:val="0"/>
          <w:smallCaps w:val="0"/>
          <w:noProof w:val="0"/>
          <w:color w:val="000000" w:themeColor="text1" w:themeTint="FF" w:themeShade="FF"/>
          <w:sz w:val="24"/>
          <w:szCs w:val="24"/>
          <w:lang w:val="en-GB"/>
        </w:rPr>
        <w:t>Legislation.gov.uk</w:t>
      </w: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Statute Law Database. Available at: </w:t>
      </w:r>
      <w:hyperlink r:id="R1891ca54e2e14a86">
        <w:r w:rsidRPr="4693DD31" w:rsidR="4769C477">
          <w:rPr>
            <w:rStyle w:val="Hyperlink"/>
            <w:rFonts w:ascii="Arial" w:hAnsi="Arial" w:eastAsia="Arial" w:cs="Arial"/>
            <w:b w:val="0"/>
            <w:bCs w:val="0"/>
            <w:i w:val="0"/>
            <w:iCs w:val="0"/>
            <w:caps w:val="0"/>
            <w:smallCaps w:val="0"/>
            <w:strike w:val="0"/>
            <w:dstrike w:val="0"/>
            <w:noProof w:val="0"/>
            <w:sz w:val="24"/>
            <w:szCs w:val="24"/>
            <w:lang w:val="en-GB"/>
          </w:rPr>
          <w:t>https://www.legislation.gov.uk/ukpga/2005/9/contents</w:t>
        </w:r>
      </w:hyperlink>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10, 2023).</w:t>
      </w:r>
    </w:p>
    <w:p w:rsidR="4769C477" w:rsidP="4693DD31" w:rsidRDefault="4769C477" w14:paraId="413B5F57" w14:textId="660838A5">
      <w:pPr>
        <w:pStyle w:val="ListParagraph"/>
        <w:numPr>
          <w:ilvl w:val="0"/>
          <w:numId w:val="1"/>
        </w:numPr>
        <w:spacing w:line="360" w:lineRule="auto"/>
        <w:rPr>
          <w:rFonts w:ascii="Arial" w:hAnsi="Arial" w:eastAsia="Arial" w:cs="Arial"/>
          <w:noProof w:val="0"/>
          <w:sz w:val="24"/>
          <w:szCs w:val="24"/>
          <w:lang w:val="en-GB"/>
        </w:rPr>
      </w:pPr>
      <w:r w:rsidRPr="4693DD31" w:rsidR="4769C477">
        <w:rPr>
          <w:rFonts w:ascii="Arial" w:hAnsi="Arial" w:eastAsia="Arial" w:cs="Arial"/>
          <w:b w:val="0"/>
          <w:bCs w:val="0"/>
          <w:i w:val="1"/>
          <w:iCs w:val="1"/>
          <w:caps w:val="0"/>
          <w:smallCaps w:val="0"/>
          <w:noProof w:val="0"/>
          <w:color w:val="000000" w:themeColor="text1" w:themeTint="FF" w:themeShade="FF"/>
          <w:sz w:val="24"/>
          <w:szCs w:val="24"/>
          <w:lang w:val="en-GB"/>
        </w:rPr>
        <w:t>MIND, (2022) Mental capacity act 2005 - legal information</w:t>
      </w: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693DD31" w:rsidR="4769C477">
        <w:rPr>
          <w:rFonts w:ascii="Arial" w:hAnsi="Arial" w:eastAsia="Arial" w:cs="Arial"/>
          <w:b w:val="0"/>
          <w:bCs w:val="0"/>
          <w:i w:val="1"/>
          <w:iCs w:val="1"/>
          <w:caps w:val="0"/>
          <w:smallCaps w:val="0"/>
          <w:noProof w:val="0"/>
          <w:color w:val="000000" w:themeColor="text1" w:themeTint="FF" w:themeShade="FF"/>
          <w:sz w:val="24"/>
          <w:szCs w:val="24"/>
          <w:lang w:val="en-GB"/>
        </w:rPr>
        <w:t>Mind</w:t>
      </w:r>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153fdf97f4c4484">
        <w:r w:rsidRPr="4693DD31" w:rsidR="4769C477">
          <w:rPr>
            <w:rStyle w:val="Hyperlink"/>
            <w:rFonts w:ascii="Arial" w:hAnsi="Arial" w:eastAsia="Arial" w:cs="Arial"/>
            <w:b w:val="0"/>
            <w:bCs w:val="0"/>
            <w:i w:val="0"/>
            <w:iCs w:val="0"/>
            <w:caps w:val="0"/>
            <w:smallCaps w:val="0"/>
            <w:strike w:val="0"/>
            <w:dstrike w:val="0"/>
            <w:noProof w:val="0"/>
            <w:sz w:val="24"/>
            <w:szCs w:val="24"/>
            <w:lang w:val="en-GB"/>
          </w:rPr>
          <w:t>https://www.mind.org.uk/information-support/legal-rights/mental-capacity-act-2005/overview/</w:t>
        </w:r>
      </w:hyperlink>
      <w:r w:rsidRPr="4693DD31" w:rsidR="4769C477">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10, 2023).</w:t>
      </w:r>
    </w:p>
    <w:p w:rsidR="47DFBD7F" w:rsidP="4693DD31" w:rsidRDefault="47DFBD7F" w14:paraId="345B355D" w14:textId="1EC3D395">
      <w:pPr>
        <w:pStyle w:val="ListParagraph"/>
        <w:numPr>
          <w:ilvl w:val="0"/>
          <w:numId w:val="1"/>
        </w:numPr>
        <w:spacing w:line="360" w:lineRule="auto"/>
        <w:rPr>
          <w:rFonts w:ascii="Arial" w:hAnsi="Arial" w:eastAsia="Arial" w:cs="Arial"/>
          <w:noProof w:val="0"/>
          <w:sz w:val="24"/>
          <w:szCs w:val="24"/>
          <w:lang w:val="en-GB"/>
        </w:rPr>
      </w:pPr>
      <w:r w:rsidRPr="4693DD31" w:rsidR="47DFBD7F">
        <w:rPr>
          <w:rFonts w:ascii="Arial" w:hAnsi="Arial" w:eastAsia="Arial" w:cs="Arial"/>
          <w:b w:val="0"/>
          <w:bCs w:val="0"/>
          <w:i w:val="1"/>
          <w:iCs w:val="1"/>
          <w:caps w:val="0"/>
          <w:smallCaps w:val="0"/>
          <w:noProof w:val="0"/>
          <w:color w:val="000000" w:themeColor="text1" w:themeTint="FF" w:themeShade="FF"/>
          <w:sz w:val="24"/>
          <w:szCs w:val="24"/>
          <w:lang w:val="en-GB"/>
        </w:rPr>
        <w:t>National decision model</w:t>
      </w:r>
      <w:r w:rsidRPr="4693DD31" w:rsidR="47DFBD7F">
        <w:rPr>
          <w:rFonts w:ascii="Arial" w:hAnsi="Arial" w:eastAsia="Arial" w:cs="Arial"/>
          <w:b w:val="0"/>
          <w:bCs w:val="0"/>
          <w:i w:val="0"/>
          <w:iCs w:val="0"/>
          <w:caps w:val="0"/>
          <w:smallCaps w:val="0"/>
          <w:noProof w:val="0"/>
          <w:color w:val="000000" w:themeColor="text1" w:themeTint="FF" w:themeShade="FF"/>
          <w:sz w:val="24"/>
          <w:szCs w:val="24"/>
          <w:lang w:val="en-GB"/>
        </w:rPr>
        <w:t xml:space="preserve"> (2023) </w:t>
      </w:r>
      <w:r w:rsidRPr="4693DD31" w:rsidR="47DFBD7F">
        <w:rPr>
          <w:rFonts w:ascii="Arial" w:hAnsi="Arial" w:eastAsia="Arial" w:cs="Arial"/>
          <w:b w:val="0"/>
          <w:bCs w:val="0"/>
          <w:i w:val="1"/>
          <w:iCs w:val="1"/>
          <w:caps w:val="0"/>
          <w:smallCaps w:val="0"/>
          <w:noProof w:val="0"/>
          <w:color w:val="000000" w:themeColor="text1" w:themeTint="FF" w:themeShade="FF"/>
          <w:sz w:val="24"/>
          <w:szCs w:val="24"/>
          <w:lang w:val="en-GB"/>
        </w:rPr>
        <w:t>College of Policing</w:t>
      </w:r>
      <w:r w:rsidRPr="4693DD31" w:rsidR="47DFBD7F">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4aecca14bf724969">
        <w:r w:rsidRPr="4693DD31" w:rsidR="47DFBD7F">
          <w:rPr>
            <w:rStyle w:val="Hyperlink"/>
            <w:rFonts w:ascii="Arial" w:hAnsi="Arial" w:eastAsia="Arial" w:cs="Arial"/>
            <w:b w:val="0"/>
            <w:bCs w:val="0"/>
            <w:i w:val="0"/>
            <w:iCs w:val="0"/>
            <w:caps w:val="0"/>
            <w:smallCaps w:val="0"/>
            <w:strike w:val="0"/>
            <w:dstrike w:val="0"/>
            <w:noProof w:val="0"/>
            <w:sz w:val="24"/>
            <w:szCs w:val="24"/>
            <w:lang w:val="en-GB"/>
          </w:rPr>
          <w:t>https://www.college.police.uk/app/national-decision-model/national-decision-model?highlight=national+decision+model</w:t>
        </w:r>
      </w:hyperlink>
      <w:r w:rsidRPr="4693DD31" w:rsidR="47DFBD7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10, 2023).</w:t>
      </w:r>
    </w:p>
    <w:p w:rsidR="5819C5E5" w:rsidP="4693DD31" w:rsidRDefault="5819C5E5" w14:paraId="13527A3C" w14:textId="1D6DEFC2">
      <w:pPr>
        <w:pStyle w:val="ListParagraph"/>
        <w:numPr>
          <w:ilvl w:val="0"/>
          <w:numId w:val="1"/>
        </w:numPr>
        <w:spacing w:line="360" w:lineRule="auto"/>
        <w:rPr>
          <w:rFonts w:ascii="Arial" w:hAnsi="Arial" w:eastAsia="Arial" w:cs="Arial"/>
          <w:noProof w:val="0"/>
          <w:sz w:val="24"/>
          <w:szCs w:val="24"/>
          <w:lang w:val="en-GB"/>
        </w:rPr>
      </w:pP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NHS, (2022) Abuse and neglect of vulnerable adults</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NHS</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NHS. Available at: </w:t>
      </w:r>
      <w:hyperlink r:id="Rb78289609892446b">
        <w:r w:rsidRPr="4693DD31" w:rsidR="5819C5E5">
          <w:rPr>
            <w:rStyle w:val="Hyperlink"/>
            <w:rFonts w:ascii="Arial" w:hAnsi="Arial" w:eastAsia="Arial" w:cs="Arial"/>
            <w:b w:val="0"/>
            <w:bCs w:val="0"/>
            <w:i w:val="0"/>
            <w:iCs w:val="0"/>
            <w:caps w:val="0"/>
            <w:smallCaps w:val="0"/>
            <w:strike w:val="0"/>
            <w:dstrike w:val="0"/>
            <w:noProof w:val="0"/>
            <w:sz w:val="24"/>
            <w:szCs w:val="24"/>
            <w:lang w:val="en-GB"/>
          </w:rPr>
          <w:t>https://www.nhs.uk/conditions/social-care-and-support-guide/help-from-social-services-and-charities/abuse-and-neglect-vulnerable-adults/</w:t>
        </w:r>
      </w:hyperlink>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8, 2023).</w:t>
      </w:r>
    </w:p>
    <w:p w:rsidR="5819C5E5" w:rsidP="4693DD31" w:rsidRDefault="5819C5E5" w14:paraId="6748019C" w14:textId="4694D1D5">
      <w:pPr>
        <w:pStyle w:val="ListParagraph"/>
        <w:numPr>
          <w:ilvl w:val="0"/>
          <w:numId w:val="1"/>
        </w:numPr>
        <w:spacing w:line="360" w:lineRule="auto"/>
        <w:rPr>
          <w:rFonts w:ascii="Arial" w:hAnsi="Arial" w:eastAsia="Arial" w:cs="Arial"/>
          <w:noProof w:val="0"/>
          <w:sz w:val="24"/>
          <w:szCs w:val="24"/>
          <w:lang w:val="en-GB"/>
        </w:rPr>
      </w:pP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 xml:space="preserve">NHS choices (2023) Female genital mutilation (FGM) </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NHS. Available at: </w:t>
      </w:r>
      <w:hyperlink r:id="Re515b30858f64f84">
        <w:r w:rsidRPr="4693DD31" w:rsidR="5819C5E5">
          <w:rPr>
            <w:rStyle w:val="Hyperlink"/>
            <w:rFonts w:ascii="Arial" w:hAnsi="Arial" w:eastAsia="Arial" w:cs="Arial"/>
            <w:b w:val="0"/>
            <w:bCs w:val="0"/>
            <w:i w:val="0"/>
            <w:iCs w:val="0"/>
            <w:caps w:val="0"/>
            <w:smallCaps w:val="0"/>
            <w:strike w:val="0"/>
            <w:dstrike w:val="0"/>
            <w:noProof w:val="0"/>
            <w:sz w:val="24"/>
            <w:szCs w:val="24"/>
            <w:lang w:val="en-GB"/>
          </w:rPr>
          <w:t>https://www.nhs.uk/conditions/female-genital-mutilation-fgm/</w:t>
        </w:r>
      </w:hyperlink>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6, 2023).</w:t>
      </w:r>
    </w:p>
    <w:p w:rsidR="5819C5E5" w:rsidP="4693DD31" w:rsidRDefault="5819C5E5" w14:paraId="49D922F7" w14:textId="7E8F891B">
      <w:pPr>
        <w:pStyle w:val="ListParagraph"/>
        <w:numPr>
          <w:ilvl w:val="0"/>
          <w:numId w:val="1"/>
        </w:numPr>
        <w:spacing w:line="360" w:lineRule="auto"/>
        <w:rPr>
          <w:rFonts w:ascii="Arial" w:hAnsi="Arial" w:eastAsia="Arial" w:cs="Arial"/>
          <w:noProof w:val="0"/>
          <w:sz w:val="24"/>
          <w:szCs w:val="24"/>
          <w:lang w:val="en-GB"/>
        </w:rPr>
      </w:pP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NPCC, (2018)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Honour based abuse, forced marriage and Female Genital Mutilation: A ...</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NPCC. Available at: </w:t>
      </w:r>
      <w:hyperlink r:id="R6d4c814fc6824106">
        <w:r w:rsidRPr="4693DD31" w:rsidR="5819C5E5">
          <w:rPr>
            <w:rStyle w:val="Hyperlink"/>
            <w:rFonts w:ascii="Arial" w:hAnsi="Arial" w:eastAsia="Arial" w:cs="Arial"/>
            <w:b w:val="0"/>
            <w:bCs w:val="0"/>
            <w:i w:val="0"/>
            <w:iCs w:val="0"/>
            <w:caps w:val="0"/>
            <w:smallCaps w:val="0"/>
            <w:strike w:val="0"/>
            <w:dstrike w:val="0"/>
            <w:noProof w:val="0"/>
            <w:sz w:val="24"/>
            <w:szCs w:val="24"/>
            <w:lang w:val="en-GB"/>
          </w:rPr>
          <w:t>https://www.npcc.police.uk/Publication/Final%20NPCC%20HBA%20strategy%202015%202018December%202015.pdf</w:t>
        </w:r>
      </w:hyperlink>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7, 2023).</w:t>
      </w:r>
    </w:p>
    <w:p w:rsidR="5819C5E5" w:rsidP="4693DD31" w:rsidRDefault="5819C5E5" w14:paraId="5492743A" w14:textId="6FEFDA45">
      <w:pPr>
        <w:pStyle w:val="ListParagraph"/>
        <w:numPr>
          <w:ilvl w:val="0"/>
          <w:numId w:val="1"/>
        </w:numPr>
        <w:spacing w:line="360" w:lineRule="auto"/>
        <w:rPr>
          <w:rFonts w:ascii="Arial" w:hAnsi="Arial" w:eastAsia="Arial" w:cs="Arial"/>
          <w:noProof w:val="0"/>
          <w:sz w:val="24"/>
          <w:szCs w:val="24"/>
          <w:lang w:val="en-GB"/>
        </w:rPr>
      </w:pP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NPCC (2022)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The National Police Chiefs Council (NPCC)</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The National Police Chiefs Council (NPCC). Available at: </w:t>
      </w:r>
      <w:hyperlink r:id="R90bf5c96d0f540fd">
        <w:r w:rsidRPr="4693DD31" w:rsidR="5819C5E5">
          <w:rPr>
            <w:rStyle w:val="Hyperlink"/>
            <w:rFonts w:ascii="Arial" w:hAnsi="Arial" w:eastAsia="Arial" w:cs="Arial"/>
            <w:b w:val="0"/>
            <w:bCs w:val="0"/>
            <w:i w:val="0"/>
            <w:iCs w:val="0"/>
            <w:caps w:val="0"/>
            <w:smallCaps w:val="0"/>
            <w:strike w:val="0"/>
            <w:dstrike w:val="0"/>
            <w:noProof w:val="0"/>
            <w:sz w:val="24"/>
            <w:szCs w:val="24"/>
            <w:lang w:val="en-GB"/>
          </w:rPr>
          <w:t>https://www.npcc.police.uk/</w:t>
        </w:r>
      </w:hyperlink>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1, 2023).</w:t>
      </w:r>
    </w:p>
    <w:p w:rsidR="5819C5E5" w:rsidP="4693DD31" w:rsidRDefault="5819C5E5" w14:paraId="5DC30A80" w14:textId="5E347E49">
      <w:pPr>
        <w:pStyle w:val="ListParagraph"/>
        <w:numPr>
          <w:ilvl w:val="0"/>
          <w:numId w:val="1"/>
        </w:numPr>
        <w:spacing w:line="360" w:lineRule="auto"/>
        <w:rPr>
          <w:rFonts w:ascii="Arial" w:hAnsi="Arial" w:eastAsia="Arial" w:cs="Arial"/>
          <w:noProof w:val="0"/>
          <w:sz w:val="24"/>
          <w:szCs w:val="24"/>
          <w:lang w:val="en-GB"/>
        </w:rPr>
      </w:pPr>
      <w:proofErr w:type="spellStart"/>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Ozguler</w:t>
      </w:r>
      <w:proofErr w:type="spellEnd"/>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B. and Rogers, M. (2021)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Elder abuse vulnerability and risk factors: Is financial abuse ...</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a9789a254094bf7">
        <w:r w:rsidRPr="4693DD31" w:rsidR="5819C5E5">
          <w:rPr>
            <w:rStyle w:val="Hyperlink"/>
            <w:rFonts w:ascii="Arial" w:hAnsi="Arial" w:eastAsia="Arial" w:cs="Arial"/>
            <w:b w:val="0"/>
            <w:bCs w:val="0"/>
            <w:i w:val="0"/>
            <w:iCs w:val="0"/>
            <w:caps w:val="0"/>
            <w:smallCaps w:val="0"/>
            <w:strike w:val="0"/>
            <w:dstrike w:val="0"/>
            <w:noProof w:val="0"/>
            <w:sz w:val="24"/>
            <w:szCs w:val="24"/>
            <w:lang w:val="en-GB"/>
          </w:rPr>
          <w:t>https://journals.sagepub.com/doi/full/10.1177/07334648211036402</w:t>
        </w:r>
      </w:hyperlink>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5, 2023).</w:t>
      </w:r>
    </w:p>
    <w:p w:rsidR="5819C5E5" w:rsidP="4693DD31" w:rsidRDefault="5819C5E5" w14:paraId="33598F4A" w14:textId="32E181D6">
      <w:pPr>
        <w:pStyle w:val="ListParagraph"/>
        <w:numPr>
          <w:ilvl w:val="0"/>
          <w:numId w:val="1"/>
        </w:numPr>
        <w:spacing w:line="360" w:lineRule="auto"/>
        <w:rPr>
          <w:rFonts w:ascii="Arial" w:hAnsi="Arial" w:eastAsia="Arial" w:cs="Arial"/>
          <w:noProof w:val="0"/>
          <w:sz w:val="24"/>
          <w:szCs w:val="24"/>
          <w:lang w:val="en-GB"/>
        </w:rPr>
      </w:pP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Office, H. (2021)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Statistics on so called 'honour-based' abuse offences, England and Wales, 2020 to 2021</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GOV.UK</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GOV.UK. Available at: </w:t>
      </w:r>
      <w:hyperlink r:id="Rfc802bd581c94bdc">
        <w:r w:rsidRPr="4693DD31" w:rsidR="5819C5E5">
          <w:rPr>
            <w:rStyle w:val="Hyperlink"/>
            <w:rFonts w:ascii="Arial" w:hAnsi="Arial" w:eastAsia="Arial" w:cs="Arial"/>
            <w:b w:val="0"/>
            <w:bCs w:val="0"/>
            <w:i w:val="0"/>
            <w:iCs w:val="0"/>
            <w:caps w:val="0"/>
            <w:smallCaps w:val="0"/>
            <w:strike w:val="0"/>
            <w:dstrike w:val="0"/>
            <w:noProof w:val="0"/>
            <w:sz w:val="24"/>
            <w:szCs w:val="24"/>
            <w:lang w:val="en-GB"/>
          </w:rPr>
          <w:t>https://www.gov.uk/government/statistics/statistics-on-so-called-honour-based-abuse-offences-england-and-wales-2020-to-2021/statistics-on-so-called-honour-based-abuse-offences-england-and-wales-2020-to-2021</w:t>
        </w:r>
      </w:hyperlink>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8, 2023).</w:t>
      </w:r>
    </w:p>
    <w:p w:rsidR="5819C5E5" w:rsidP="4693DD31" w:rsidRDefault="5819C5E5" w14:paraId="2C4000F8" w14:textId="72AAF739">
      <w:pPr>
        <w:pStyle w:val="ListParagraph"/>
        <w:numPr>
          <w:ilvl w:val="0"/>
          <w:numId w:val="1"/>
        </w:numPr>
        <w:spacing w:line="360" w:lineRule="auto"/>
        <w:rPr>
          <w:rFonts w:ascii="Arial" w:hAnsi="Arial" w:eastAsia="Arial" w:cs="Arial"/>
          <w:noProof w:val="0"/>
          <w:sz w:val="24"/>
          <w:szCs w:val="24"/>
          <w:lang w:val="en-GB"/>
        </w:rPr>
      </w:pP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Participation, E. (2003)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Female genital mutilation act 2003</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Legislation.gov.uk</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Statute Law Database. Available at: </w:t>
      </w:r>
      <w:hyperlink r:id="Rd0ba6ed6748a443a">
        <w:r w:rsidRPr="4693DD31" w:rsidR="5819C5E5">
          <w:rPr>
            <w:rStyle w:val="Hyperlink"/>
            <w:rFonts w:ascii="Arial" w:hAnsi="Arial" w:eastAsia="Arial" w:cs="Arial"/>
            <w:b w:val="0"/>
            <w:bCs w:val="0"/>
            <w:i w:val="0"/>
            <w:iCs w:val="0"/>
            <w:caps w:val="0"/>
            <w:smallCaps w:val="0"/>
            <w:strike w:val="0"/>
            <w:dstrike w:val="0"/>
            <w:noProof w:val="0"/>
            <w:sz w:val="24"/>
            <w:szCs w:val="24"/>
            <w:lang w:val="en-GB"/>
          </w:rPr>
          <w:t>https://www.legislation.gov.uk/ukpga/2003/31/contents</w:t>
        </w:r>
      </w:hyperlink>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7, 2023).</w:t>
      </w:r>
    </w:p>
    <w:p w:rsidR="5819C5E5" w:rsidP="4693DD31" w:rsidRDefault="5819C5E5" w14:paraId="65A53AE4" w14:textId="2B9C1A6F">
      <w:pPr>
        <w:pStyle w:val="ListParagraph"/>
        <w:numPr>
          <w:ilvl w:val="0"/>
          <w:numId w:val="1"/>
        </w:numPr>
        <w:spacing w:line="360" w:lineRule="auto"/>
        <w:rPr>
          <w:rFonts w:ascii="Arial" w:hAnsi="Arial" w:eastAsia="Arial" w:cs="Arial"/>
          <w:noProof w:val="0"/>
          <w:sz w:val="24"/>
          <w:szCs w:val="24"/>
          <w:lang w:val="en-GB"/>
        </w:rPr>
      </w:pP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Police, M.E.T. (2022)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What is honour-based abuse? | metropolitan police</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Metropolitan Police. Available at: </w:t>
      </w:r>
      <w:hyperlink r:id="Rbd83ef8919d848bf">
        <w:r w:rsidRPr="4693DD31" w:rsidR="5819C5E5">
          <w:rPr>
            <w:rStyle w:val="Hyperlink"/>
            <w:rFonts w:ascii="Arial" w:hAnsi="Arial" w:eastAsia="Arial" w:cs="Arial"/>
            <w:b w:val="0"/>
            <w:bCs w:val="0"/>
            <w:i w:val="0"/>
            <w:iCs w:val="0"/>
            <w:caps w:val="0"/>
            <w:smallCaps w:val="0"/>
            <w:strike w:val="0"/>
            <w:dstrike w:val="0"/>
            <w:noProof w:val="0"/>
            <w:sz w:val="24"/>
            <w:szCs w:val="24"/>
            <w:lang w:val="en-GB"/>
          </w:rPr>
          <w:t>https://www.met.police.uk/advice/advice-and-information/honour-based-abuse/honour-based-abuse/</w:t>
        </w:r>
      </w:hyperlink>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7, 2023).</w:t>
      </w:r>
    </w:p>
    <w:p w:rsidR="5819C5E5" w:rsidP="4693DD31" w:rsidRDefault="5819C5E5" w14:paraId="33E78066" w14:textId="1EF043E3">
      <w:pPr>
        <w:pStyle w:val="ListParagraph"/>
        <w:numPr>
          <w:ilvl w:val="0"/>
          <w:numId w:val="1"/>
        </w:numPr>
        <w:spacing w:line="360" w:lineRule="auto"/>
        <w:rPr>
          <w:rFonts w:ascii="Arial" w:hAnsi="Arial" w:eastAsia="Arial" w:cs="Arial"/>
          <w:noProof w:val="0"/>
          <w:sz w:val="24"/>
          <w:szCs w:val="24"/>
          <w:lang w:val="en-GB"/>
        </w:rPr>
      </w:pP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 xml:space="preserve">Press Release, (2010) Peter Connelly Serious Case Review reports published. </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Available at: </w:t>
      </w:r>
      <w:hyperlink r:id="R12851ee21b3c4dc0">
        <w:r w:rsidRPr="4693DD31" w:rsidR="5819C5E5">
          <w:rPr>
            <w:rStyle w:val="Hyperlink"/>
            <w:rFonts w:ascii="Arial" w:hAnsi="Arial" w:eastAsia="Arial" w:cs="Arial"/>
            <w:b w:val="0"/>
            <w:bCs w:val="0"/>
            <w:i w:val="0"/>
            <w:iCs w:val="0"/>
            <w:caps w:val="0"/>
            <w:smallCaps w:val="0"/>
            <w:strike w:val="0"/>
            <w:dstrike w:val="0"/>
            <w:noProof w:val="0"/>
            <w:sz w:val="24"/>
            <w:szCs w:val="24"/>
            <w:lang w:val="en-GB"/>
          </w:rPr>
          <w:t>https://www.gov.uk/government/news/peter-connelly-serious-case-review-reports-published</w:t>
        </w:r>
      </w:hyperlink>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5, 2023).</w:t>
      </w:r>
    </w:p>
    <w:p w:rsidR="5819C5E5" w:rsidP="4693DD31" w:rsidRDefault="5819C5E5" w14:paraId="73F5D217" w14:textId="14006EB9">
      <w:pPr>
        <w:pStyle w:val="ListParagraph"/>
        <w:numPr>
          <w:ilvl w:val="0"/>
          <w:numId w:val="1"/>
        </w:numPr>
        <w:spacing w:line="360" w:lineRule="auto"/>
        <w:rPr>
          <w:rFonts w:ascii="Arial" w:hAnsi="Arial" w:eastAsia="Arial" w:cs="Arial"/>
          <w:noProof w:val="0"/>
          <w:sz w:val="24"/>
          <w:szCs w:val="24"/>
          <w:lang w:val="en-GB"/>
        </w:rPr>
      </w:pP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Wilbur, K. (2000)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Journal of Elder Abuse &amp; Neglect</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Binghamton, NY: Haworth Press.</w:t>
      </w:r>
    </w:p>
    <w:p w:rsidR="5819C5E5" w:rsidP="4693DD31" w:rsidRDefault="5819C5E5" w14:paraId="0E79D775" w14:textId="0C9FB462">
      <w:pPr>
        <w:pStyle w:val="ListParagraph"/>
        <w:numPr>
          <w:ilvl w:val="0"/>
          <w:numId w:val="1"/>
        </w:numPr>
        <w:spacing w:line="360" w:lineRule="auto"/>
        <w:rPr>
          <w:rFonts w:ascii="Arial" w:hAnsi="Arial" w:eastAsia="Arial" w:cs="Arial"/>
          <w:noProof w:val="0"/>
          <w:sz w:val="24"/>
          <w:szCs w:val="24"/>
          <w:lang w:val="en-GB"/>
        </w:rPr>
      </w:pP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Yon, Y.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et al.</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(2017)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Elder abuse prevalence in community settings: A systematic review and meta-analysis</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693DD31" w:rsidR="5819C5E5">
        <w:rPr>
          <w:rFonts w:ascii="Arial" w:hAnsi="Arial" w:eastAsia="Arial" w:cs="Arial"/>
          <w:b w:val="0"/>
          <w:bCs w:val="0"/>
          <w:i w:val="1"/>
          <w:iCs w:val="1"/>
          <w:caps w:val="0"/>
          <w:smallCaps w:val="0"/>
          <w:noProof w:val="0"/>
          <w:color w:val="000000" w:themeColor="text1" w:themeTint="FF" w:themeShade="FF"/>
          <w:sz w:val="24"/>
          <w:szCs w:val="24"/>
          <w:lang w:val="en-GB"/>
        </w:rPr>
        <w:t>The Lancet Global Health</w:t>
      </w:r>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Elsevier. Available at: </w:t>
      </w:r>
      <w:hyperlink r:id="R53565315058f4bb7">
        <w:r w:rsidRPr="4693DD31" w:rsidR="5819C5E5">
          <w:rPr>
            <w:rStyle w:val="Hyperlink"/>
            <w:rFonts w:ascii="Arial" w:hAnsi="Arial" w:eastAsia="Arial" w:cs="Arial"/>
            <w:b w:val="0"/>
            <w:bCs w:val="0"/>
            <w:i w:val="0"/>
            <w:iCs w:val="0"/>
            <w:caps w:val="0"/>
            <w:smallCaps w:val="0"/>
            <w:strike w:val="0"/>
            <w:dstrike w:val="0"/>
            <w:noProof w:val="0"/>
            <w:sz w:val="24"/>
            <w:szCs w:val="24"/>
            <w:lang w:val="en-GB"/>
          </w:rPr>
          <w:t>https://www.thelancet.com/journals/langlo/article/PIIS2214-109X(17)30006-2/fulltext</w:t>
        </w:r>
      </w:hyperlink>
      <w:r w:rsidRPr="4693DD31" w:rsidR="5819C5E5">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January 5, 2023).</w:t>
      </w:r>
    </w:p>
    <w:p w:rsidR="4693DD31" w:rsidP="4693DD31" w:rsidRDefault="4693DD31" w14:paraId="39651F02" w14:textId="6CACED14">
      <w:pPr>
        <w:pStyle w:val="Normal"/>
        <w:spacing w:line="360" w:lineRule="auto"/>
        <w:ind w:left="0"/>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9641a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e6665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4273F8"/>
    <w:rsid w:val="00232FCA"/>
    <w:rsid w:val="0083C133"/>
    <w:rsid w:val="01BC5303"/>
    <w:rsid w:val="02B16BFD"/>
    <w:rsid w:val="02FB65B2"/>
    <w:rsid w:val="04BC6E48"/>
    <w:rsid w:val="07CED6D5"/>
    <w:rsid w:val="07F40F0A"/>
    <w:rsid w:val="0BB251D5"/>
    <w:rsid w:val="0D960AEB"/>
    <w:rsid w:val="0FBA4F60"/>
    <w:rsid w:val="1133ACEC"/>
    <w:rsid w:val="1218E839"/>
    <w:rsid w:val="13197702"/>
    <w:rsid w:val="14A23261"/>
    <w:rsid w:val="156EE9B7"/>
    <w:rsid w:val="16764FF9"/>
    <w:rsid w:val="1DBEFE62"/>
    <w:rsid w:val="1F5174A0"/>
    <w:rsid w:val="26CD9149"/>
    <w:rsid w:val="2B7FCADE"/>
    <w:rsid w:val="2B8A1FE1"/>
    <w:rsid w:val="2C2E6FA4"/>
    <w:rsid w:val="2D25F042"/>
    <w:rsid w:val="30859658"/>
    <w:rsid w:val="31D5E405"/>
    <w:rsid w:val="33BD371A"/>
    <w:rsid w:val="350D84C7"/>
    <w:rsid w:val="37FECDD4"/>
    <w:rsid w:val="3A2C789E"/>
    <w:rsid w:val="3A433FF9"/>
    <w:rsid w:val="3A99103A"/>
    <w:rsid w:val="3B384DD0"/>
    <w:rsid w:val="3C94069E"/>
    <w:rsid w:val="3CD23EF7"/>
    <w:rsid w:val="3DD0B0FC"/>
    <w:rsid w:val="40C471FD"/>
    <w:rsid w:val="42EA1FC5"/>
    <w:rsid w:val="44F80CD0"/>
    <w:rsid w:val="4693DD31"/>
    <w:rsid w:val="46D22022"/>
    <w:rsid w:val="4769C477"/>
    <w:rsid w:val="47DFBD7F"/>
    <w:rsid w:val="48F9D213"/>
    <w:rsid w:val="4908B491"/>
    <w:rsid w:val="49B8AF85"/>
    <w:rsid w:val="4A163402"/>
    <w:rsid w:val="4AB5866F"/>
    <w:rsid w:val="4CB27C95"/>
    <w:rsid w:val="4D1C2971"/>
    <w:rsid w:val="5819C5E5"/>
    <w:rsid w:val="5C5EE492"/>
    <w:rsid w:val="5D3A3AC1"/>
    <w:rsid w:val="5E4AE3BC"/>
    <w:rsid w:val="5FA7E659"/>
    <w:rsid w:val="600EB971"/>
    <w:rsid w:val="615F071E"/>
    <w:rsid w:val="639053E8"/>
    <w:rsid w:val="6450502B"/>
    <w:rsid w:val="64AC6723"/>
    <w:rsid w:val="64E22A94"/>
    <w:rsid w:val="653F1CFB"/>
    <w:rsid w:val="67FA876E"/>
    <w:rsid w:val="6A223353"/>
    <w:rsid w:val="6C5B6210"/>
    <w:rsid w:val="6D5C6E63"/>
    <w:rsid w:val="6E3F2C2C"/>
    <w:rsid w:val="71610A66"/>
    <w:rsid w:val="731CBF5A"/>
    <w:rsid w:val="76FCE6D6"/>
    <w:rsid w:val="775B02BC"/>
    <w:rsid w:val="790C7F7F"/>
    <w:rsid w:val="796DABC8"/>
    <w:rsid w:val="7D4273F8"/>
    <w:rsid w:val="7F79C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273F8"/>
  <w15:chartTrackingRefBased/>
  <w15:docId w15:val="{C31C945D-4919-47BA-AE17-28F17F7D5C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geuk.org.uk/latest-press/articles/2019/july/older-person-becomes-fraud-victim-every-40-seconds/" TargetMode="External" Id="Rd1177b24a9ae4b17" /><Relationship Type="http://schemas.openxmlformats.org/officeDocument/2006/relationships/hyperlink" Target="https://www.ageuk.org.uk/globalassets/age-uk/documents/reports-and-publications/reports-and-briefings/health--wellbeing/age_uk_briefing_state_of_health_and_care_of_older_people_july2019.pdf" TargetMode="External" Id="R4dc740f149d34166" /><Relationship Type="http://schemas.openxmlformats.org/officeDocument/2006/relationships/hyperlink" Target="https://www.theguardian.com/society/2009/aug/16/baby-p-family" TargetMode="External" Id="Ref9d84f02c6a4b8d" /><Relationship Type="http://schemas.openxmlformats.org/officeDocument/2006/relationships/hyperlink" Target="https://www.childline.org.uk/get-involved/real-life-stories/forced-marriage-dinas-story/" TargetMode="External" Id="R9176fdfdfc944a6f" /><Relationship Type="http://schemas.openxmlformats.org/officeDocument/2006/relationships/hyperlink" Target="https://www.college.police.uk/guidance/vulnerability-related-risks/curiosity" TargetMode="External" Id="R1a5e8713c60048ba" /><Relationship Type="http://schemas.openxmlformats.org/officeDocument/2006/relationships/hyperlink" Target="https://doi.org/10.1126/science.2270481" TargetMode="External" Id="Rd3d62d1b54ea4209" /><Relationship Type="http://schemas.openxmlformats.org/officeDocument/2006/relationships/hyperlink" Target="https://doi.org/10.2307/1130274" TargetMode="External" Id="Re0756c6c44a84162" /><Relationship Type="http://schemas.openxmlformats.org/officeDocument/2006/relationships/hyperlink" Target="https://digital.nhs.uk/data-and-information/publications/statistical/female-genital-mutilation/april-2019---march-2020" TargetMode="External" Id="R0fe2b99d9ca747c5" /><Relationship Type="http://schemas.openxmlformats.org/officeDocument/2006/relationships/hyperlink" Target="https://www.womenshealth.gov/relationships-and-safety/other-types/financial-abuse" TargetMode="External" Id="R5c065f39351945f4" /><Relationship Type="http://schemas.openxmlformats.org/officeDocument/2006/relationships/hyperlink" Target="https://www.college.police.uk/guidance/violence-against-women-and-girls-toolkit/honour-based-abuse" TargetMode="External" Id="R8e69fea5429643bd" /><Relationship Type="http://schemas.openxmlformats.org/officeDocument/2006/relationships/hyperlink" Target="https://www.college.police.uk/guidance/vulnerability-related-risks/introduction-vulnerability-related-risk" TargetMode="External" Id="R537eb9cba24d4cda" /><Relationship Type="http://schemas.openxmlformats.org/officeDocument/2006/relationships/hyperlink" Target="https://www.college.police.uk/app/mental-health/mental-vulnerability-and-illness" TargetMode="External" Id="Ra2c368bb87b14750" /><Relationship Type="http://schemas.openxmlformats.org/officeDocument/2006/relationships/hyperlink" Target="https://www.legislation.gov.uk/ukpga/2005/9/contents" TargetMode="External" Id="R1891ca54e2e14a86" /><Relationship Type="http://schemas.openxmlformats.org/officeDocument/2006/relationships/hyperlink" Target="https://www.mind.org.uk/information-support/legal-rights/mental-capacity-act-2005/overview/" TargetMode="External" Id="Ra153fdf97f4c4484" /><Relationship Type="http://schemas.openxmlformats.org/officeDocument/2006/relationships/hyperlink" Target="https://www.college.police.uk/app/national-decision-model/national-decision-model?highlight=national+decision+model" TargetMode="External" Id="R4aecca14bf724969" /><Relationship Type="http://schemas.openxmlformats.org/officeDocument/2006/relationships/hyperlink" Target="https://www.nhs.uk/conditions/social-care-and-support-guide/help-from-social-services-and-charities/abuse-and-neglect-vulnerable-adults/" TargetMode="External" Id="Rb78289609892446b" /><Relationship Type="http://schemas.openxmlformats.org/officeDocument/2006/relationships/hyperlink" Target="https://www.nhs.uk/conditions/female-genital-mutilation-fgm/" TargetMode="External" Id="Re515b30858f64f84" /><Relationship Type="http://schemas.openxmlformats.org/officeDocument/2006/relationships/hyperlink" Target="https://www.npcc.police.uk/Publication/Final%20NPCC%20HBA%20strategy%202015%202018December%202015.pdf" TargetMode="External" Id="R6d4c814fc6824106" /><Relationship Type="http://schemas.openxmlformats.org/officeDocument/2006/relationships/hyperlink" Target="https://www.npcc.police.uk/" TargetMode="External" Id="R90bf5c96d0f540fd" /><Relationship Type="http://schemas.openxmlformats.org/officeDocument/2006/relationships/hyperlink" Target="https://journals.sagepub.com/doi/full/10.1177/07334648211036402" TargetMode="External" Id="Raa9789a254094bf7" /><Relationship Type="http://schemas.openxmlformats.org/officeDocument/2006/relationships/hyperlink" Target="https://www.gov.uk/government/statistics/statistics-on-so-called-honour-based-abuse-offences-england-and-wales-2020-to-2021/statistics-on-so-called-honour-based-abuse-offences-england-and-wales-2020-to-2021" TargetMode="External" Id="Rfc802bd581c94bdc" /><Relationship Type="http://schemas.openxmlformats.org/officeDocument/2006/relationships/hyperlink" Target="https://www.legislation.gov.uk/ukpga/2003/31/contents" TargetMode="External" Id="Rd0ba6ed6748a443a" /><Relationship Type="http://schemas.openxmlformats.org/officeDocument/2006/relationships/hyperlink" Target="https://www.met.police.uk/advice/advice-and-information/honour-based-abuse/honour-based-abuse/" TargetMode="External" Id="Rbd83ef8919d848bf" /><Relationship Type="http://schemas.openxmlformats.org/officeDocument/2006/relationships/hyperlink" Target="https://www.gov.uk/government/news/peter-connelly-serious-case-review-reports-published" TargetMode="External" Id="R12851ee21b3c4dc0" /><Relationship Type="http://schemas.openxmlformats.org/officeDocument/2006/relationships/hyperlink" Target="https://www.thelancet.com/journals/langlo/article/PIIS2214-109X(17)30006-2/fulltext" TargetMode="External" Id="R53565315058f4bb7" /><Relationship Type="http://schemas.openxmlformats.org/officeDocument/2006/relationships/numbering" Target="/word/numbering.xml" Id="R3d35a3da1e1441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Michael Hoey (2004671)</dc:creator>
  <keywords/>
  <dc:description/>
  <lastModifiedBy>Michael Hoey (2004671)</lastModifiedBy>
  <revision>2</revision>
  <dcterms:created xsi:type="dcterms:W3CDTF">2023-01-11T16:08:43.6092823Z</dcterms:created>
  <dcterms:modified xsi:type="dcterms:W3CDTF">2023-01-11T17:15:43.6958031Z</dcterms:modified>
</coreProperties>
</file>