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3CA09" w14:textId="77777777" w:rsidR="00014942" w:rsidRPr="005158CE" w:rsidRDefault="00014942" w:rsidP="00014942">
      <w:pPr>
        <w:spacing w:after="120"/>
        <w:jc w:val="center"/>
        <w:rPr>
          <w:b/>
          <w:bCs/>
          <w:sz w:val="28"/>
          <w:szCs w:val="28"/>
        </w:rPr>
      </w:pPr>
      <w:r w:rsidRPr="005158CE">
        <w:rPr>
          <w:b/>
          <w:bCs/>
          <w:sz w:val="28"/>
          <w:szCs w:val="28"/>
        </w:rPr>
        <w:t>Lenuta Raducanu</w:t>
      </w:r>
    </w:p>
    <w:p w14:paraId="18DAC032" w14:textId="77777777" w:rsidR="00014942" w:rsidRPr="005158CE" w:rsidRDefault="00014942" w:rsidP="00014942">
      <w:pPr>
        <w:spacing w:after="120"/>
        <w:jc w:val="center"/>
        <w:rPr>
          <w:rStyle w:val="Strong"/>
          <w:color w:val="0F1115"/>
          <w:sz w:val="28"/>
          <w:szCs w:val="28"/>
          <w:shd w:val="clear" w:color="auto" w:fill="FFFFFF"/>
        </w:rPr>
      </w:pPr>
    </w:p>
    <w:p w14:paraId="1B0BFAA2" w14:textId="31B970FA" w:rsidR="00014942" w:rsidRPr="005158CE" w:rsidRDefault="00014942" w:rsidP="00014942">
      <w:pPr>
        <w:spacing w:after="120"/>
        <w:jc w:val="center"/>
        <w:rPr>
          <w:rStyle w:val="Strong"/>
          <w:color w:val="0F1115"/>
          <w:sz w:val="28"/>
          <w:szCs w:val="28"/>
          <w:shd w:val="clear" w:color="auto" w:fill="FFFFFF"/>
        </w:rPr>
      </w:pPr>
      <w:r w:rsidRPr="005158CE">
        <w:rPr>
          <w:rStyle w:val="Strong"/>
          <w:color w:val="0F1115"/>
          <w:sz w:val="28"/>
          <w:szCs w:val="28"/>
          <w:shd w:val="clear" w:color="auto" w:fill="FFFFFF"/>
        </w:rPr>
        <w:t>HPRS 5905 - Modern Christian Theology</w:t>
      </w:r>
    </w:p>
    <w:p w14:paraId="359AE2BB" w14:textId="77777777" w:rsidR="00014942" w:rsidRPr="005158CE" w:rsidRDefault="00014942" w:rsidP="00014942">
      <w:pPr>
        <w:spacing w:after="120"/>
        <w:jc w:val="center"/>
        <w:rPr>
          <w:b/>
          <w:bCs/>
          <w:sz w:val="28"/>
          <w:szCs w:val="28"/>
        </w:rPr>
      </w:pPr>
      <w:r w:rsidRPr="005158CE">
        <w:rPr>
          <w:b/>
          <w:bCs/>
          <w:color w:val="0F1115"/>
          <w:sz w:val="28"/>
          <w:szCs w:val="28"/>
          <w:shd w:val="clear" w:color="auto" w:fill="FFFFFF"/>
        </w:rPr>
        <w:t>Assessment One</w:t>
      </w:r>
    </w:p>
    <w:p w14:paraId="22105945" w14:textId="77777777" w:rsidR="00014942" w:rsidRDefault="00014942">
      <w:pPr>
        <w:spacing w:after="120"/>
        <w:jc w:val="center"/>
        <w:rPr>
          <w:b/>
          <w:bCs/>
          <w:sz w:val="28"/>
          <w:szCs w:val="28"/>
        </w:rPr>
      </w:pPr>
    </w:p>
    <w:p w14:paraId="15536B80" w14:textId="77777777" w:rsidR="00014942" w:rsidRDefault="00014942">
      <w:pPr>
        <w:spacing w:after="120"/>
        <w:jc w:val="center"/>
        <w:rPr>
          <w:b/>
          <w:bCs/>
          <w:sz w:val="28"/>
          <w:szCs w:val="28"/>
        </w:rPr>
      </w:pPr>
    </w:p>
    <w:p w14:paraId="5A380DAA" w14:textId="77777777" w:rsidR="00014942" w:rsidRDefault="00014942">
      <w:pPr>
        <w:spacing w:after="120"/>
        <w:jc w:val="center"/>
        <w:rPr>
          <w:b/>
          <w:bCs/>
          <w:sz w:val="28"/>
          <w:szCs w:val="28"/>
        </w:rPr>
      </w:pPr>
    </w:p>
    <w:p w14:paraId="14A0C860" w14:textId="77777777" w:rsidR="00014942" w:rsidRDefault="00014942">
      <w:pPr>
        <w:spacing w:after="120"/>
        <w:jc w:val="center"/>
        <w:rPr>
          <w:b/>
          <w:bCs/>
          <w:sz w:val="28"/>
          <w:szCs w:val="28"/>
        </w:rPr>
      </w:pPr>
    </w:p>
    <w:p w14:paraId="3EAB2B68" w14:textId="3371178A" w:rsidR="00F16325" w:rsidRDefault="00C86D6B">
      <w:pPr>
        <w:spacing w:after="120"/>
        <w:jc w:val="center"/>
      </w:pPr>
      <w:r>
        <w:rPr>
          <w:b/>
          <w:bCs/>
          <w:sz w:val="28"/>
          <w:szCs w:val="28"/>
        </w:rPr>
        <w:t>Is Liberal Theology, as Represented by Schleiermacher, Ritschl, and Harnack, Guilty of Reducing Christianity to the Values of its Surrounding Culture?</w:t>
      </w:r>
    </w:p>
    <w:p w14:paraId="47AD0DB9" w14:textId="77777777" w:rsidR="00F16325" w:rsidRDefault="00C86D6B">
      <w:pPr>
        <w:spacing w:after="320"/>
        <w:jc w:val="center"/>
      </w:pPr>
      <w:r>
        <w:rPr>
          <w:i/>
          <w:iCs/>
        </w:rPr>
        <w:t>An Essay in Modern Christian Thought</w:t>
      </w:r>
    </w:p>
    <w:p w14:paraId="54F43CFC" w14:textId="77777777" w:rsidR="00F16325" w:rsidRDefault="00C86D6B">
      <w:pPr>
        <w:spacing w:before="260" w:after="120"/>
      </w:pPr>
      <w:r>
        <w:rPr>
          <w:b/>
          <w:bCs/>
          <w:sz w:val="26"/>
          <w:szCs w:val="26"/>
        </w:rPr>
        <w:t>Introduction</w:t>
      </w:r>
    </w:p>
    <w:p w14:paraId="38D47407" w14:textId="77777777" w:rsidR="00F16325" w:rsidRDefault="00C86D6B">
      <w:pPr>
        <w:spacing w:after="160" w:line="360" w:lineRule="auto"/>
        <w:jc w:val="both"/>
      </w:pPr>
      <w:r>
        <w:t>Few accusations in modern theology have proved as durable as the claim that liberal Protestantism dissolved the Christian gospel into the cultural assumptions of nineteenth-century bourgeois Europe. The charge was crystallised by the young Karl Barth and his associates after the First World War, and given its most quotable form by H. Richard Niebuhr, who summarised the supposed liberal message as a creed in which ‘a God without wrath brought men without sin into a kingdom without judgment through the minist</w:t>
      </w:r>
      <w:r>
        <w:t>rations of a Christ without a cross’.</w:t>
      </w:r>
      <w:r>
        <w:rPr>
          <w:vertAlign w:val="superscript"/>
        </w:rPr>
        <w:t>1</w:t>
      </w:r>
      <w:r>
        <w:t xml:space="preserve"> The three figures around whom the indictment characteristically gathers are Friedrich Schleiermacher (1768–1834), Albrecht Ritschl (1822–1889), and Adolf von Harnack (1851–1930): the founder of modern theology and the two dominant figures of German Protestant thought in the later nineteenth century.</w:t>
      </w:r>
    </w:p>
    <w:p w14:paraId="4973FA46" w14:textId="1AC4DA98" w:rsidR="00F16325" w:rsidRDefault="00C86D6B">
      <w:pPr>
        <w:spacing w:after="160" w:line="360" w:lineRule="auto"/>
        <w:jc w:val="both"/>
      </w:pPr>
      <w:r>
        <w:t xml:space="preserve">This essay argues that the charge of cultural reduction, though it identifies a genuine vulnerability and lands with real force at specific points, is finally too undiscriminating to stand as a general verdict. The argument turns on a distinction the crude version of the accusation obscures: the difference between </w:t>
      </w:r>
      <w:r>
        <w:rPr>
          <w:i/>
          <w:iCs/>
        </w:rPr>
        <w:t>reducing</w:t>
      </w:r>
      <w:r>
        <w:t xml:space="preserve"> the gospel to culture and </w:t>
      </w:r>
      <w:r>
        <w:rPr>
          <w:i/>
          <w:iCs/>
        </w:rPr>
        <w:t>translating</w:t>
      </w:r>
      <w:r>
        <w:t xml:space="preserve"> it for a culture. Every theology employs the conceptual resources of its age; the decisive question is not whether Schleiermacher used Romantic categories or Ritschl Kantian ones, but whether those categories carried the Christian content faithfully or supplanted it. The essay examines each theologian in turn, reconstructs the strongest form of the reductionist critique from Barth and Albert Schweitzer, and then assesses it, arguing that it convicts Ritschl and Harnack on </w:t>
      </w:r>
      <w:r w:rsidR="00014942">
        <w:t>counts</w:t>
      </w:r>
      <w:r>
        <w:t xml:space="preserve">, </w:t>
      </w:r>
      <w:r>
        <w:lastRenderedPageBreak/>
        <w:t>above all their handling of eschatology, while failing as a wholesale judgement, and failing most clearly against Schleiermacher.</w:t>
      </w:r>
    </w:p>
    <w:p w14:paraId="01551F15" w14:textId="77777777" w:rsidR="00F16325" w:rsidRDefault="00C86D6B">
      <w:pPr>
        <w:spacing w:before="260" w:after="120"/>
      </w:pPr>
      <w:r>
        <w:rPr>
          <w:b/>
          <w:bCs/>
          <w:sz w:val="26"/>
          <w:szCs w:val="26"/>
        </w:rPr>
        <w:t>Schleiermacher: Piety, Dependence, and the Limits of the Modern Self</w:t>
      </w:r>
    </w:p>
    <w:p w14:paraId="39961F54" w14:textId="77777777" w:rsidR="00F16325" w:rsidRDefault="00C86D6B">
      <w:pPr>
        <w:spacing w:after="160" w:line="360" w:lineRule="auto"/>
        <w:ind w:firstLine="480"/>
        <w:jc w:val="both"/>
      </w:pPr>
      <w:r>
        <w:t xml:space="preserve">Schleiermacher’s theology is best understood as a response to a crisis of intelligibility. Writing after the Enlightenment’s critique of revealed religion and the collapse of the older Protestant orthodoxy, he confronted an educated public for whom the traditional dogmas had become incredible. His early </w:t>
      </w:r>
      <w:r>
        <w:rPr>
          <w:i/>
          <w:iCs/>
        </w:rPr>
        <w:t>On Religion: Speeches to its Cultured Despisers</w:t>
      </w:r>
      <w:r>
        <w:t xml:space="preserve"> (1799) addressed precisely those Romantics who dismissed religion as superstition, and its strategy was audacious: rather than defending the contested doctrines, he relocated the essence of religion entirely. Religion, he argued, is neither metaphysics nor morality, neither a knowing nor a doing, but a distinct and irreducible province of human life, a ‘sense and taste for the infinite’.</w:t>
      </w:r>
      <w:r>
        <w:rPr>
          <w:vertAlign w:val="superscript"/>
        </w:rPr>
        <w:t>2</w:t>
      </w:r>
    </w:p>
    <w:p w14:paraId="4F3CA3EC" w14:textId="77777777" w:rsidR="00F16325" w:rsidRDefault="00C86D6B">
      <w:pPr>
        <w:spacing w:after="160" w:line="360" w:lineRule="auto"/>
        <w:ind w:firstLine="480"/>
        <w:jc w:val="both"/>
      </w:pPr>
      <w:r>
        <w:t xml:space="preserve">This intuition received its mature formulation in </w:t>
      </w:r>
      <w:r>
        <w:rPr>
          <w:i/>
          <w:iCs/>
        </w:rPr>
        <w:t>The Christian Faith</w:t>
      </w:r>
      <w:r>
        <w:t xml:space="preserve"> (1821–22). There Schleiermacher defined the common element in all religious expression as ‘the consciousness of being absolutely dependent, or, which is the same thing, of being in relation with God’.</w:t>
      </w:r>
      <w:r>
        <w:rPr>
          <w:vertAlign w:val="superscript"/>
        </w:rPr>
        <w:t>3</w:t>
      </w:r>
      <w:r>
        <w:t xml:space="preserve"> The ‘feeling of absolute dependence’ (</w:t>
      </w:r>
      <w:proofErr w:type="spellStart"/>
      <w:r>
        <w:rPr>
          <w:i/>
          <w:iCs/>
        </w:rPr>
        <w:t>schlechthinniges</w:t>
      </w:r>
      <w:proofErr w:type="spellEnd"/>
      <w:r>
        <w:rPr>
          <w:i/>
          <w:iCs/>
        </w:rPr>
        <w:t xml:space="preserve"> </w:t>
      </w:r>
      <w:proofErr w:type="spellStart"/>
      <w:r>
        <w:rPr>
          <w:i/>
          <w:iCs/>
        </w:rPr>
        <w:t>Abhängigkeitsgefühl</w:t>
      </w:r>
      <w:proofErr w:type="spellEnd"/>
      <w:r>
        <w:t>) is not an emotion in the ordinary sense but an immediate, pre-reflective awareness of the self’s utter contingency. On this foundation he redefined doctrine itself: ‘Christian doctrines are accounts of the Christian religious affections set forth in speech.’</w:t>
      </w:r>
      <w:r>
        <w:rPr>
          <w:vertAlign w:val="superscript"/>
        </w:rPr>
        <w:t>4</w:t>
      </w:r>
      <w:r>
        <w:t xml:space="preserve"> Dogmatics becomes the disciplined description of the believing community’s pious self-consciousness rather than a body of speculative propositions about the divine nature in the abstract.</w:t>
      </w:r>
    </w:p>
    <w:p w14:paraId="646961D5" w14:textId="77777777" w:rsidR="00F16325" w:rsidRDefault="00C86D6B">
      <w:pPr>
        <w:spacing w:after="160" w:line="360" w:lineRule="auto"/>
        <w:ind w:firstLine="480"/>
        <w:jc w:val="both"/>
      </w:pPr>
      <w:r>
        <w:t>It is not difficult to see why this programme has seemed to invite the charge of reduction. If theology describes a human religious experience, its true subject appears to be anthropology; Feuerbach’s thesis that theology is covert anthropology can be read as drawing out a latent implication of Schleiermacher’s starting point.</w:t>
      </w:r>
      <w:r>
        <w:rPr>
          <w:vertAlign w:val="superscript"/>
        </w:rPr>
        <w:t>5</w:t>
      </w:r>
      <w:r>
        <w:t xml:space="preserve"> Barth’s objection was more precise: by grounding theology in the human religious consciousness, Schleiermacher had made humanity, rather than the sovereign Word of God, the effective criterion of theology, so that God threatened to become a predicate of human piety.</w:t>
      </w:r>
      <w:r>
        <w:rPr>
          <w:vertAlign w:val="superscript"/>
        </w:rPr>
        <w:t>6</w:t>
      </w:r>
      <w:r>
        <w:t xml:space="preserve"> The very address to the ‘cultured despisers’ appears to concede the authority of the audience whose approval is courted.</w:t>
      </w:r>
    </w:p>
    <w:p w14:paraId="39DB250F" w14:textId="73B32A3A" w:rsidR="00F16325" w:rsidRDefault="00C86D6B">
      <w:pPr>
        <w:spacing w:after="160" w:line="360" w:lineRule="auto"/>
        <w:ind w:firstLine="480"/>
        <w:jc w:val="both"/>
      </w:pPr>
      <w:r>
        <w:t xml:space="preserve">Yet the strongest reading resists this verdict, and stating the counter-case carefully establishes the pattern of the whole essay. First, the feeling of absolute dependence is not a comfortable cultural mood but a limit-experience that negates the pretensions of the autonomous modern self. Schleiermacher deliberately distinguishes absolute dependence from </w:t>
      </w:r>
      <w:r>
        <w:lastRenderedPageBreak/>
        <w:t xml:space="preserve">every </w:t>
      </w:r>
      <w:r>
        <w:rPr>
          <w:i/>
          <w:iCs/>
        </w:rPr>
        <w:t>relative</w:t>
      </w:r>
      <w:r>
        <w:t xml:space="preserve"> dependence and every feeling of freedom: it is the precise point at which the </w:t>
      </w:r>
      <w:r w:rsidR="00014942">
        <w:t>self-recognises</w:t>
      </w:r>
      <w:r>
        <w:t xml:space="preserve"> that it is not the ground of its own existence.</w:t>
      </w:r>
      <w:r>
        <w:rPr>
          <w:vertAlign w:val="superscript"/>
        </w:rPr>
        <w:t>7</w:t>
      </w:r>
      <w:r>
        <w:t xml:space="preserve"> Far from flattering the self-sufficient subject of Romantic and Idealist culture, the doctrine confronts that subject with its own creatureliness. Brian Gerrish has argued persuasively that Schleiermacher’s theology is better read as a bold reconstruction of the Reformed doctrine of God’s sovereignty in the idiom of modern self-consciousness than as a capitulation to it.</w:t>
      </w:r>
      <w:r>
        <w:rPr>
          <w:vertAlign w:val="superscript"/>
        </w:rPr>
        <w:t>8</w:t>
      </w:r>
      <w:r>
        <w:t xml:space="preserve"> Second, and decisively, his theology remains resolutely Christocentric. The whole second part of </w:t>
      </w:r>
      <w:r>
        <w:rPr>
          <w:i/>
          <w:iCs/>
        </w:rPr>
        <w:t>The Christian Faith</w:t>
      </w:r>
      <w:r>
        <w:t xml:space="preserve"> is organised around the claim that redemption is accomplished uniquely through Jesus of Nazareth, in whom the constant potency of God-consciousness was ‘a veritable existence of God in him’.</w:t>
      </w:r>
      <w:r>
        <w:rPr>
          <w:vertAlign w:val="superscript"/>
        </w:rPr>
        <w:t>9</w:t>
      </w:r>
      <w:r>
        <w:t xml:space="preserve"> This is not a generic religiosity distilled from culture but a determinedly particular account of Christian redemption. The charge of reduction, pressed against Schleiermacher, must reckon with the fact that his method was designed to preserve the specificity of the Christian claim under conditions in which its older articulation had become unsayable.</w:t>
      </w:r>
    </w:p>
    <w:p w14:paraId="272993E2" w14:textId="77777777" w:rsidR="00F16325" w:rsidRDefault="00C86D6B">
      <w:pPr>
        <w:spacing w:before="260" w:after="120"/>
      </w:pPr>
      <w:r>
        <w:rPr>
          <w:b/>
          <w:bCs/>
          <w:sz w:val="26"/>
          <w:szCs w:val="26"/>
        </w:rPr>
        <w:t>Ritschl: Value-Judgements and the Ethical Kingdom</w:t>
      </w:r>
    </w:p>
    <w:p w14:paraId="011AFA01" w14:textId="77777777" w:rsidR="00F16325" w:rsidRDefault="00C86D6B">
      <w:pPr>
        <w:spacing w:after="160" w:line="360" w:lineRule="auto"/>
        <w:ind w:firstLine="480"/>
        <w:jc w:val="both"/>
      </w:pPr>
      <w:r>
        <w:t>With Albrecht Ritschl the suspicion of cultural accommodation becomes more acute. He reacted sharply against both the mysticism he detected in Pietism and the speculative metaphysics of Hegelian idealism, seeking instead to anchor theology in the concrete historical revelation given in Christ and mediated through the Church.</w:t>
      </w:r>
      <w:r>
        <w:rPr>
          <w:vertAlign w:val="superscript"/>
        </w:rPr>
        <w:t>10</w:t>
      </w:r>
      <w:r>
        <w:t xml:space="preserve"> Two features of his mature dogmatics, expounded in </w:t>
      </w:r>
      <w:r>
        <w:rPr>
          <w:i/>
          <w:iCs/>
        </w:rPr>
        <w:t>The Christian Doctrine of Justification and Reconciliation</w:t>
      </w:r>
      <w:r>
        <w:t xml:space="preserve"> (1870–74), bear directly on our question.</w:t>
      </w:r>
    </w:p>
    <w:p w14:paraId="02F5B4FC" w14:textId="0E86A3D2" w:rsidR="00F16325" w:rsidRDefault="00C86D6B">
      <w:pPr>
        <w:spacing w:after="160" w:line="360" w:lineRule="auto"/>
        <w:ind w:firstLine="480"/>
        <w:jc w:val="both"/>
      </w:pPr>
      <w:r>
        <w:t xml:space="preserve">The first is his theory of religious knowledge as </w:t>
      </w:r>
      <w:r w:rsidR="00014942">
        <w:t>consisting of</w:t>
      </w:r>
      <w:r>
        <w:t xml:space="preserve"> in ‘judgements of value’ (</w:t>
      </w:r>
      <w:proofErr w:type="spellStart"/>
      <w:r>
        <w:rPr>
          <w:i/>
          <w:iCs/>
        </w:rPr>
        <w:t>Werturteile</w:t>
      </w:r>
      <w:proofErr w:type="spellEnd"/>
      <w:r>
        <w:t xml:space="preserve">). Religious knowledge, Ritschl argued, is categorically distinct from the disinterested cognition of the sciences; it concerns the worth of things for our moral and spiritual well-being. To confess the deity of Christ is therefore not to advance a speculative claim about his metaphysical constitution, in the manner of Chalcedon, but to affirm his saving and revelatory </w:t>
      </w:r>
      <w:r>
        <w:rPr>
          <w:i/>
          <w:iCs/>
        </w:rPr>
        <w:t>value</w:t>
      </w:r>
      <w:r>
        <w:t>, ‘the worth of a Godhead’, for the redeemed community.</w:t>
      </w:r>
      <w:r>
        <w:rPr>
          <w:vertAlign w:val="superscript"/>
        </w:rPr>
        <w:t>11</w:t>
      </w:r>
      <w:r>
        <w:t xml:space="preserve"> Critics quickly charged that severing value from being reduced theology to a description of human religious estimation, evacuating it of objective claims about God. That reading is contestable: Ritschl intended the </w:t>
      </w:r>
      <w:proofErr w:type="spellStart"/>
      <w:r>
        <w:rPr>
          <w:i/>
          <w:iCs/>
        </w:rPr>
        <w:t>Werturteil</w:t>
      </w:r>
      <w:proofErr w:type="spellEnd"/>
      <w:r>
        <w:t xml:space="preserve"> not as scepticism but as a refusal to treat faith as neutral theoretical knowledge. But the vulnerability is real, and it foreshadows the deeper problem in his eschatology.</w:t>
      </w:r>
    </w:p>
    <w:p w14:paraId="272CD901" w14:textId="77777777" w:rsidR="00F16325" w:rsidRDefault="00C86D6B">
      <w:pPr>
        <w:spacing w:after="160" w:line="360" w:lineRule="auto"/>
        <w:ind w:firstLine="480"/>
        <w:jc w:val="both"/>
      </w:pPr>
      <w:r>
        <w:lastRenderedPageBreak/>
        <w:t>It is Ritschl’s reconstruction of the Kingdom of God, however, that has drawn the sharpest fire. He made it the organising centre of Christianity but reconceived it, under conspicuously Kantian influence, as ‘the moral organisation of humanity through action inspired by love’, an ethical commonwealth to be realised progressively within history.</w:t>
      </w:r>
      <w:r>
        <w:rPr>
          <w:vertAlign w:val="superscript"/>
        </w:rPr>
        <w:t>12</w:t>
      </w:r>
      <w:r>
        <w:t xml:space="preserve"> Christianity he compared to an ellipse with two foci: the redemption accomplished in Christ, and the moral vocation of the Kingdom.</w:t>
      </w:r>
      <w:r>
        <w:rPr>
          <w:vertAlign w:val="superscript"/>
        </w:rPr>
        <w:t>13</w:t>
      </w:r>
      <w:r>
        <w:t xml:space="preserve"> The difficulty is that this ethical, this-worldly, gradualist Kingdom bears an uncomfortable resemblance to the progressive cultural optimism of Bismarckian Germany. Where the Jesus of the Synoptic Gospels proclaims the imminent, catastrophic in-breaking of God’s reign, Ritschl offers a programme of moral improvement congenial to the confident Protestant </w:t>
      </w:r>
      <w:proofErr w:type="spellStart"/>
      <w:r>
        <w:rPr>
          <w:i/>
          <w:iCs/>
        </w:rPr>
        <w:t>Bildungsbürgertum</w:t>
      </w:r>
      <w:proofErr w:type="spellEnd"/>
      <w:r>
        <w:t xml:space="preserve"> of his day. Here the reductionist charge acquires genuine traction: the eschatological horizon of the New Testament has been quietly domesticated into the ethical aspiration of a particular culture.</w:t>
      </w:r>
    </w:p>
    <w:p w14:paraId="7E8DB5D7" w14:textId="77777777" w:rsidR="00F16325" w:rsidRDefault="00C86D6B">
      <w:pPr>
        <w:spacing w:after="160" w:line="360" w:lineRule="auto"/>
        <w:ind w:firstLine="480"/>
        <w:jc w:val="both"/>
      </w:pPr>
      <w:r>
        <w:t xml:space="preserve">Two qualifications nonetheless complicate even this, the most damaging count. First, Ritschl’s insistence that theology be grounded in a </w:t>
      </w:r>
      <w:r>
        <w:rPr>
          <w:i/>
          <w:iCs/>
        </w:rPr>
        <w:t>particular historical revelation</w:t>
      </w:r>
      <w:r>
        <w:t>, in the concrete person of Christ mediated by his community, was itself a principled resistance to the dissolution of Christianity into the timeless philosophy of religion he associated with idealism.</w:t>
      </w:r>
      <w:r>
        <w:rPr>
          <w:vertAlign w:val="superscript"/>
        </w:rPr>
        <w:t>14</w:t>
      </w:r>
      <w:r>
        <w:t xml:space="preserve"> The impulse behind his theology was anti-speculative and historically anchored, which is not the natural posture of one who wishes merely to echo his culture. Second, as Claude Welch observes, Ritschl’s programme was in significant part a serious attempt to give theology methodological independence from metaphysics, not simply an accommodation to prevailing sentiment.</w:t>
      </w:r>
      <w:r>
        <w:rPr>
          <w:vertAlign w:val="superscript"/>
        </w:rPr>
        <w:t>15</w:t>
      </w:r>
      <w:r>
        <w:t xml:space="preserve"> The verdict of reduction convicts his eschatology far more securely than his </w:t>
      </w:r>
      <w:proofErr w:type="gramStart"/>
      <w:r>
        <w:t>method as a whole, a</w:t>
      </w:r>
      <w:proofErr w:type="gramEnd"/>
      <w:r>
        <w:t xml:space="preserve"> distinction to which the essay will return.</w:t>
      </w:r>
    </w:p>
    <w:p w14:paraId="1D85ECAF" w14:textId="77777777" w:rsidR="00F16325" w:rsidRDefault="00C86D6B">
      <w:pPr>
        <w:spacing w:before="260" w:after="120"/>
      </w:pPr>
      <w:r>
        <w:rPr>
          <w:b/>
          <w:bCs/>
          <w:sz w:val="26"/>
          <w:szCs w:val="26"/>
        </w:rPr>
        <w:t xml:space="preserve">Harnack: The “Essence” of Christianity and the </w:t>
      </w:r>
      <w:proofErr w:type="spellStart"/>
      <w:r>
        <w:rPr>
          <w:b/>
          <w:bCs/>
          <w:sz w:val="26"/>
          <w:szCs w:val="26"/>
        </w:rPr>
        <w:t>Hellenisation</w:t>
      </w:r>
      <w:proofErr w:type="spellEnd"/>
      <w:r>
        <w:rPr>
          <w:b/>
          <w:bCs/>
          <w:sz w:val="26"/>
          <w:szCs w:val="26"/>
        </w:rPr>
        <w:t xml:space="preserve"> Thesis</w:t>
      </w:r>
    </w:p>
    <w:p w14:paraId="35D5C347" w14:textId="77777777" w:rsidR="00F16325" w:rsidRDefault="00C86D6B">
      <w:pPr>
        <w:spacing w:after="160" w:line="360" w:lineRule="auto"/>
        <w:ind w:firstLine="480"/>
        <w:jc w:val="both"/>
      </w:pPr>
      <w:r>
        <w:t xml:space="preserve">Adolf von Harnack, Ritschl’s most distinguished pupil and the foremost church historian of his generation, gave the liberal programme its most influential popular statement and its most exposed one. In the winter of 1899–1900 he delivered to Berlin students of all faculties the lectures published as </w:t>
      </w:r>
      <w:r>
        <w:rPr>
          <w:i/>
          <w:iCs/>
        </w:rPr>
        <w:t xml:space="preserve">Das Wesen des </w:t>
      </w:r>
      <w:proofErr w:type="spellStart"/>
      <w:r>
        <w:rPr>
          <w:i/>
          <w:iCs/>
        </w:rPr>
        <w:t>Christentums</w:t>
      </w:r>
      <w:proofErr w:type="spellEnd"/>
      <w:r>
        <w:t xml:space="preserve"> (</w:t>
      </w:r>
      <w:r>
        <w:rPr>
          <w:i/>
          <w:iCs/>
        </w:rPr>
        <w:t>What is Christianity?</w:t>
      </w:r>
      <w:r>
        <w:t>), which sold in enormous numbers and defined liberal Protestantism for a generation.</w:t>
      </w:r>
      <w:r>
        <w:rPr>
          <w:vertAlign w:val="superscript"/>
        </w:rPr>
        <w:t>16</w:t>
      </w:r>
      <w:r>
        <w:t xml:space="preserve"> His method was to distinguish the enduring ‘kernel’ of the gospel from the historically conditioned ‘husk’ in which it had been transmitted. The kernel, he concluded, comprised three interrelated themes: ‘the kingdom of God and its coming; God the Father and the infinite value of the human soul; and the higher righteousness and the commandment of love’.</w:t>
      </w:r>
      <w:r>
        <w:rPr>
          <w:vertAlign w:val="superscript"/>
        </w:rPr>
        <w:t>17</w:t>
      </w:r>
    </w:p>
    <w:p w14:paraId="64B13C21" w14:textId="77777777" w:rsidR="00F16325" w:rsidRDefault="00C86D6B">
      <w:pPr>
        <w:spacing w:after="160" w:line="360" w:lineRule="auto"/>
        <w:ind w:firstLine="480"/>
        <w:jc w:val="both"/>
      </w:pPr>
      <w:r>
        <w:lastRenderedPageBreak/>
        <w:t>Two consequences are decisive for our question. The first is Christological: in a notorious formulation, Harnack held that ‘the Gospel, as Jesus proclaimed it, has to do with the Father only and not with the Son’.</w:t>
      </w:r>
      <w:r>
        <w:rPr>
          <w:vertAlign w:val="superscript"/>
        </w:rPr>
        <w:t>18</w:t>
      </w:r>
      <w:r>
        <w:t xml:space="preserve"> Jesus is the herald and exemplar of the message, not its content. The second is his account of the origin of dogma in the monumental </w:t>
      </w:r>
      <w:r>
        <w:rPr>
          <w:i/>
          <w:iCs/>
        </w:rPr>
        <w:t>History of Dogma</w:t>
      </w:r>
      <w:r>
        <w:t xml:space="preserve"> (1886–90), where he advanced the celebrated thesis that dogma is ‘in its conception and development a work of the Greek spirit on the soil of the gospel’.</w:t>
      </w:r>
      <w:r>
        <w:rPr>
          <w:vertAlign w:val="superscript"/>
        </w:rPr>
        <w:t>19</w:t>
      </w:r>
      <w:r>
        <w:t xml:space="preserve"> The metaphysical machinery of the creeds represented, on this account, a </w:t>
      </w:r>
      <w:proofErr w:type="spellStart"/>
      <w:r>
        <w:rPr>
          <w:i/>
          <w:iCs/>
        </w:rPr>
        <w:t>Hellenisation</w:t>
      </w:r>
      <w:proofErr w:type="spellEnd"/>
      <w:r>
        <w:t xml:space="preserve"> of an originally simple, ethical, Semitic religion of the heart, whose removal would restore the pure religion of Jesus.</w:t>
      </w:r>
    </w:p>
    <w:p w14:paraId="7E5CA6CF" w14:textId="77777777" w:rsidR="00F16325" w:rsidRDefault="00C86D6B">
      <w:pPr>
        <w:spacing w:after="160" w:line="360" w:lineRule="auto"/>
        <w:ind w:firstLine="480"/>
        <w:jc w:val="both"/>
      </w:pPr>
      <w:r>
        <w:t>It is against Harnack that the reductionist critique appears most nearly vindicated, and, tellingly, some of the sharpest objections came from within the broadly liberal camp. The Catholic modernist George Tyrrell famously charged that the Christ whom Harnack discerned at the bottom of nineteen centuries of history was ‘only the reflection of a Liberal Protestant face, seen at the bottom of a deep well’.</w:t>
      </w:r>
      <w:r>
        <w:rPr>
          <w:vertAlign w:val="superscript"/>
        </w:rPr>
        <w:t>20</w:t>
      </w:r>
      <w:r>
        <w:t xml:space="preserve"> The judgement bites precisely because Harnack’s ethical, undogmatic, interior gospel corresponds so neatly to the ideal self-image of the cultivated German Protestant. The </w:t>
      </w:r>
      <w:proofErr w:type="spellStart"/>
      <w:r>
        <w:t>Hellenisation</w:t>
      </w:r>
      <w:proofErr w:type="spellEnd"/>
      <w:r>
        <w:t xml:space="preserve"> thesis itself has been extensively criticised: the New Testament writings are already thoroughly theological, and the clean separation of a Semitic kernel from a Greek husk looks increasingly like a modern Protestant construction projected back onto the sources rather than a neutral finding.</w:t>
      </w:r>
      <w:r>
        <w:rPr>
          <w:vertAlign w:val="superscript"/>
        </w:rPr>
        <w:t>21</w:t>
      </w:r>
      <w:r>
        <w:t xml:space="preserve"> The very ambition to isolate a doctrine-free ‘essence’ privileges interiority and ethics over cult, sacrament, and dogma in a manner conspicuously congenial to nineteenth-century sensibility.</w:t>
      </w:r>
    </w:p>
    <w:p w14:paraId="437857D3" w14:textId="77777777" w:rsidR="00F16325" w:rsidRDefault="00C86D6B">
      <w:pPr>
        <w:spacing w:after="160" w:line="360" w:lineRule="auto"/>
        <w:ind w:firstLine="480"/>
        <w:jc w:val="both"/>
      </w:pPr>
      <w:r>
        <w:t>Even here, the picture is not one of simple capitulation. Harnack’s historical criticism discomfited ecclesiastical authority as readily as unbelief; his conclusions repeatedly provoked disciplinary anxiety within the Prussian church rather than comfortable endorsement.</w:t>
      </w:r>
      <w:r>
        <w:rPr>
          <w:vertAlign w:val="superscript"/>
        </w:rPr>
        <w:t>22</w:t>
      </w:r>
      <w:r>
        <w:t xml:space="preserve"> His stress on the infinite value of the human soul underwrote a strenuous ethical and social seriousness, evident in his own extensive public engagement, not easily dismissed as mere accommodation. Harnack is the most exposed of the three; he is not thereby reducible to a cipher of his culture.</w:t>
      </w:r>
    </w:p>
    <w:p w14:paraId="7ACE009B" w14:textId="77777777" w:rsidR="00F16325" w:rsidRDefault="00C86D6B">
      <w:pPr>
        <w:spacing w:before="260" w:after="120"/>
      </w:pPr>
      <w:r>
        <w:rPr>
          <w:b/>
          <w:bCs/>
          <w:sz w:val="26"/>
          <w:szCs w:val="26"/>
        </w:rPr>
        <w:t>The Reductionist Critique in its Strongest Form</w:t>
      </w:r>
    </w:p>
    <w:p w14:paraId="4BFA3B09" w14:textId="77777777" w:rsidR="00F16325" w:rsidRDefault="00C86D6B">
      <w:pPr>
        <w:spacing w:after="160" w:line="360" w:lineRule="auto"/>
        <w:ind w:firstLine="480"/>
        <w:jc w:val="both"/>
      </w:pPr>
      <w:r>
        <w:t xml:space="preserve">The critique reached its decisive form through two blows. The first was exegetical. Albert Schweitzer’s </w:t>
      </w:r>
      <w:r>
        <w:rPr>
          <w:i/>
          <w:iCs/>
        </w:rPr>
        <w:t>The Quest of the Historical Jesus</w:t>
      </w:r>
      <w:r>
        <w:t xml:space="preserve"> (1906) demonstrated that the Jesus of the Gospels was a thoroughly eschatological figure whose proclamation of the Kingdom presupposed the imminent, supernatural in-breaking of God, not a programme of ethical </w:t>
      </w:r>
      <w:r>
        <w:lastRenderedPageBreak/>
        <w:t>progress.</w:t>
      </w:r>
      <w:r>
        <w:rPr>
          <w:vertAlign w:val="superscript"/>
        </w:rPr>
        <w:t>23</w:t>
      </w:r>
      <w:r>
        <w:t xml:space="preserve"> The conclusion was devastating: the confident portraits produced by liberal scholarship had discovered their own values in the first century and named them the gospel, so that liberal lives of Jesus revealed more about their authors than their subject.</w:t>
      </w:r>
      <w:r>
        <w:rPr>
          <w:vertAlign w:val="superscript"/>
        </w:rPr>
        <w:t>24</w:t>
      </w:r>
      <w:r>
        <w:t xml:space="preserve"> The eschatological Jesus was a stranger to modernity, and the liberal Jesus was exposed as a mirror.</w:t>
      </w:r>
    </w:p>
    <w:p w14:paraId="59B7A481" w14:textId="3DE05ABA" w:rsidR="00F16325" w:rsidRDefault="00C86D6B">
      <w:pPr>
        <w:spacing w:after="160" w:line="360" w:lineRule="auto"/>
        <w:ind w:firstLine="480"/>
        <w:jc w:val="both"/>
      </w:pPr>
      <w:r>
        <w:t xml:space="preserve">The second blow was theological and biographical. For the young Barth, the moral collapse of the culture to which liberal theology had bound itself was revealed in August 1914, when ninety-three German intellectuals, Harnack among them, signed a manifesto endorsing the Kaiser’s war policy. Barth later described the moment as the twilight of the gods: the ethical failure of his teachers persuaded him that a theology taking its bearings from the religious consciousness of a culture possessed no vantage-point </w:t>
      </w:r>
      <w:r>
        <w:t xml:space="preserve">from which to </w:t>
      </w:r>
      <w:r>
        <w:rPr>
          <w:i/>
          <w:iCs/>
        </w:rPr>
        <w:t>judge</w:t>
      </w:r>
      <w:r>
        <w:t xml:space="preserve"> that culture, and so no resources to resist it when it went astray.</w:t>
      </w:r>
      <w:r>
        <w:rPr>
          <w:vertAlign w:val="superscript"/>
        </w:rPr>
        <w:t>25</w:t>
      </w:r>
      <w:r>
        <w:t xml:space="preserve"> The </w:t>
      </w:r>
      <w:r>
        <w:rPr>
          <w:i/>
          <w:iCs/>
        </w:rPr>
        <w:t>Epistle to the Romans</w:t>
      </w:r>
      <w:r>
        <w:t xml:space="preserve"> (1919; recast 1922) followed, insisting on the infinite qualitative distinction between God and humanity and repudiating the whole enterprise of grounding theology in human religiosity. The mature charge is thus not merely that the liberals used cultural categories but that they had made culture the effective criterion of the </w:t>
      </w:r>
      <w:r w:rsidR="00014942">
        <w:t>gospel and</w:t>
      </w:r>
      <w:r>
        <w:t xml:space="preserve"> had lost the capacity for prophetic critique.</w:t>
      </w:r>
    </w:p>
    <w:p w14:paraId="752ED9B4" w14:textId="77777777" w:rsidR="00F16325" w:rsidRDefault="00C86D6B">
      <w:pPr>
        <w:spacing w:before="260" w:after="120"/>
      </w:pPr>
      <w:r>
        <w:rPr>
          <w:b/>
          <w:bCs/>
          <w:sz w:val="26"/>
          <w:szCs w:val="26"/>
        </w:rPr>
        <w:t>Assessment: Reduction or Translation?</w:t>
      </w:r>
    </w:p>
    <w:p w14:paraId="2162BD5D" w14:textId="77777777" w:rsidR="00F16325" w:rsidRDefault="00C86D6B">
      <w:pPr>
        <w:spacing w:after="160" w:line="360" w:lineRule="auto"/>
        <w:ind w:firstLine="480"/>
        <w:jc w:val="both"/>
      </w:pPr>
      <w:r>
        <w:t>This is a formidable case, and it should not be softened. Yet three considerations show why it cannot stand as a wholesale verdict, and why it must be disaggregated into charges of varying strength.</w:t>
      </w:r>
    </w:p>
    <w:p w14:paraId="64074CB5" w14:textId="77777777" w:rsidR="00F16325" w:rsidRDefault="00C86D6B">
      <w:pPr>
        <w:spacing w:after="160" w:line="360" w:lineRule="auto"/>
        <w:ind w:firstLine="480"/>
        <w:jc w:val="both"/>
      </w:pPr>
      <w:r>
        <w:t xml:space="preserve">First, the accusation trades on an equivocation between accommodation and translation. Every theology articulates the gospel in the vocabulary of its time: Augustine drew on Neoplatonism, Aquinas on Aristotle, and the fathers of Nicaea and Chalcedon on the metaphysics of </w:t>
      </w:r>
      <w:proofErr w:type="spellStart"/>
      <w:r>
        <w:rPr>
          <w:i/>
          <w:iCs/>
        </w:rPr>
        <w:t>ousia</w:t>
      </w:r>
      <w:proofErr w:type="spellEnd"/>
      <w:r>
        <w:t xml:space="preserve"> and </w:t>
      </w:r>
      <w:r>
        <w:rPr>
          <w:i/>
          <w:iCs/>
        </w:rPr>
        <w:t>hypostasis</w:t>
      </w:r>
      <w:r>
        <w:t xml:space="preserve">. That Schleiermacher employed Romantic categories, or Ritschl Kantian ones, does not of itself establish reduction; one must show that the borrowed idiom distorted rather than conveyed the content. The point can be sharpened. Harnack’s charge that patristic dogma was a </w:t>
      </w:r>
      <w:proofErr w:type="spellStart"/>
      <w:r>
        <w:rPr>
          <w:i/>
          <w:iCs/>
        </w:rPr>
        <w:t>Hellenisation</w:t>
      </w:r>
      <w:proofErr w:type="spellEnd"/>
      <w:r>
        <w:t xml:space="preserve"> of the gospel and Barth’s charge that liberal theology was a </w:t>
      </w:r>
      <w:r>
        <w:rPr>
          <w:i/>
          <w:iCs/>
        </w:rPr>
        <w:t>culture-Protestant</w:t>
      </w:r>
      <w:r>
        <w:t xml:space="preserve"> accommodation are structurally identical: each accuses a theology of letting an alien culture reshape the faith. If the mere presence of cultural mediation is fatal, it is fatal to the Nicene orthodoxy the critics wish to defend as surely as to liberalism.</w:t>
      </w:r>
      <w:r>
        <w:rPr>
          <w:vertAlign w:val="superscript"/>
        </w:rPr>
        <w:t>26</w:t>
      </w:r>
      <w:r>
        <w:t xml:space="preserve"> Pressed without qualification, the charge proves too much.</w:t>
      </w:r>
    </w:p>
    <w:p w14:paraId="0716B73D" w14:textId="77777777" w:rsidR="00F16325" w:rsidRDefault="00C86D6B">
      <w:pPr>
        <w:spacing w:after="160" w:line="360" w:lineRule="auto"/>
        <w:ind w:firstLine="480"/>
        <w:jc w:val="both"/>
      </w:pPr>
      <w:r>
        <w:t xml:space="preserve">Second, the reductionist reading illegitimately homogenises three thinkers who differ profoundly. Schleiermacher’s Christ-centred doctrine of redemption is not Ritschl’s ethical </w:t>
      </w:r>
      <w:r>
        <w:lastRenderedPageBreak/>
        <w:t>Kingdom, and neither is Harnack’s historical minimalism. The count on which the critique is strongest, the domestication of eschatology into ethical progress, tells decisively against Ritschl and Harnack, whom Schweitzer directly targets, but scarcely touches Schleiermacher, whose theology is not organised around a progressive doctrine of the Kingdom and whose account of piety negates rather than flatters the autonomous cultural self. A verdict that convicts all three equally has stopped attending to the te</w:t>
      </w:r>
      <w:r>
        <w:t>xts.</w:t>
      </w:r>
    </w:p>
    <w:p w14:paraId="0D805FD4" w14:textId="77777777" w:rsidR="00F16325" w:rsidRDefault="00C86D6B">
      <w:pPr>
        <w:spacing w:after="160" w:line="360" w:lineRule="auto"/>
        <w:ind w:firstLine="480"/>
        <w:jc w:val="both"/>
      </w:pPr>
      <w:r>
        <w:t>Third, one must weigh the purpose the liberal project served. These were not theologians seeking to render Christianity undemanding but theologians confronting a genuine and unprecedented crisis: the rise of historical-critical method, the authority of the natural sciences, and the erosion of the metaphysical and biblical certainties on which the older orthodoxy rested. To dismiss their labour as capitulation ignores the seriousness of the problem to which it responded. The realistic alternative to translat</w:t>
      </w:r>
      <w:r>
        <w:t>ion was not a pristine, culture-free orthodoxy, for no such thing exists, but, quite possibly, the retreat of Christian claims into unintelligibility for educated modern people. As Gary Dorrien has argued, liberal theology is best understood as the sustained attempt to establish faith on ground that neither mere authority nor mere reason could supply, an attempt whose necessity did not end when its nineteenth-century forms failed.</w:t>
      </w:r>
      <w:r>
        <w:rPr>
          <w:vertAlign w:val="superscript"/>
        </w:rPr>
        <w:t>27</w:t>
      </w:r>
      <w:r>
        <w:t xml:space="preserve"> Whether the liberals translated </w:t>
      </w:r>
      <w:r>
        <w:rPr>
          <w:i/>
          <w:iCs/>
        </w:rPr>
        <w:t>wisely</w:t>
      </w:r>
      <w:r>
        <w:t xml:space="preserve"> is a fair question; that they attempted translation rather than surrender remains the more accurate description of their intention and achievement.</w:t>
      </w:r>
    </w:p>
    <w:p w14:paraId="10E8F221" w14:textId="77777777" w:rsidR="00F16325" w:rsidRDefault="00C86D6B">
      <w:pPr>
        <w:spacing w:before="260" w:after="120"/>
      </w:pPr>
      <w:r>
        <w:rPr>
          <w:b/>
          <w:bCs/>
          <w:sz w:val="26"/>
          <w:szCs w:val="26"/>
        </w:rPr>
        <w:t>Conclusion</w:t>
      </w:r>
    </w:p>
    <w:p w14:paraId="539D929C" w14:textId="3E359968" w:rsidR="00F16325" w:rsidRDefault="00C86D6B">
      <w:pPr>
        <w:spacing w:after="160" w:line="360" w:lineRule="auto"/>
        <w:jc w:val="both"/>
      </w:pPr>
      <w:r>
        <w:t>Is liberal theology, as represented by Schleiermacher, Ritschl, and Harnack, guilty of reducing Christianity to the values of its surrounding culture? The evidence supports neither acquittal nor wholesale conviction, but a discriminating verdict. The charge lands with real and enduring force against Ritschl’s ethicised, this-worldly Kingdom and Harnack’s reduction of the gospel to the fatherhood of God and the value of the soul; both were exposed by Schweitzer’s recovery of the eschatological Jesus and disc</w:t>
      </w:r>
      <w:r>
        <w:t>redited, in Barth’s eyes, by the moral collapse of 1914. To that extent the accusation is just. But as a blanket judgement it fails, for three reasons: it conflates the unavoidable translation of the gospel into contemporary categories with its reduction to cultural values; it flattens three significantly different theologians into a single caricature; and it convicts the liberals of a cultural conditioning from which no theology, including the orthodoxy the critics defend, is exempt. Schleiermacher</w:t>
      </w:r>
      <w:r w:rsidR="00014942">
        <w:t xml:space="preserve"> emerges</w:t>
      </w:r>
      <w:r>
        <w:t xml:space="preserve"> substantially vindicated: his summons of the modern self to recognise its absolute dependence is a challenge to its culture, not an echo of it. Liberal theology was guilty, at specific points and in particular persons, of confusing the gospel with the values of nineteenth-century Europe. It was not, in </w:t>
      </w:r>
      <w:r>
        <w:lastRenderedPageBreak/>
        <w:t xml:space="preserve">its governing intention or its whole achievement, the mere reflection of a Liberal Protestant face at the bottom of a well. And the task it undertook, that of speaking the gospel intelligibly and critically </w:t>
      </w:r>
      <w:r>
        <w:t>to the modern age, remains unavoidable for any theology unwilling to retreat into silence.</w:t>
      </w:r>
    </w:p>
    <w:p w14:paraId="5F0E5478" w14:textId="77777777" w:rsidR="00F16325" w:rsidRDefault="00C86D6B">
      <w:pPr>
        <w:spacing w:before="340" w:after="120"/>
      </w:pPr>
      <w:r>
        <w:rPr>
          <w:b/>
          <w:bCs/>
          <w:sz w:val="26"/>
          <w:szCs w:val="26"/>
        </w:rPr>
        <w:t>Footnotes</w:t>
      </w:r>
    </w:p>
    <w:p w14:paraId="43CB6BB7" w14:textId="77777777" w:rsidR="00F16325" w:rsidRDefault="00C86D6B">
      <w:pPr>
        <w:spacing w:after="60"/>
        <w:ind w:left="360" w:hanging="360"/>
      </w:pPr>
      <w:r>
        <w:rPr>
          <w:sz w:val="20"/>
          <w:szCs w:val="20"/>
        </w:rPr>
        <w:t xml:space="preserve">1. H. Richard Niebuhr, </w:t>
      </w:r>
      <w:r>
        <w:rPr>
          <w:i/>
          <w:iCs/>
          <w:sz w:val="20"/>
          <w:szCs w:val="20"/>
        </w:rPr>
        <w:t>The Kingdom of God in America</w:t>
      </w:r>
      <w:r>
        <w:rPr>
          <w:sz w:val="20"/>
          <w:szCs w:val="20"/>
        </w:rPr>
        <w:t xml:space="preserve"> (New York: Harper &amp; Row, 1937), p. 193.</w:t>
      </w:r>
    </w:p>
    <w:p w14:paraId="6DF02970" w14:textId="77777777" w:rsidR="00F16325" w:rsidRDefault="00C86D6B">
      <w:pPr>
        <w:spacing w:after="60"/>
        <w:ind w:left="360" w:hanging="360"/>
      </w:pPr>
      <w:r>
        <w:rPr>
          <w:sz w:val="20"/>
          <w:szCs w:val="20"/>
        </w:rPr>
        <w:t xml:space="preserve">2. Friedrich Schleiermacher, </w:t>
      </w:r>
      <w:r>
        <w:rPr>
          <w:i/>
          <w:iCs/>
          <w:sz w:val="20"/>
          <w:szCs w:val="20"/>
        </w:rPr>
        <w:t>On Religion: Speeches to its Cultured Despisers</w:t>
      </w:r>
      <w:r>
        <w:rPr>
          <w:sz w:val="20"/>
          <w:szCs w:val="20"/>
        </w:rPr>
        <w:t>, trans. by Richard Crouter (Cambridge: Cambridge University Press, 1988), p. 23.</w:t>
      </w:r>
    </w:p>
    <w:p w14:paraId="3172A559" w14:textId="77777777" w:rsidR="00F16325" w:rsidRDefault="00C86D6B">
      <w:pPr>
        <w:spacing w:after="60"/>
        <w:ind w:left="360" w:hanging="360"/>
      </w:pPr>
      <w:r>
        <w:rPr>
          <w:sz w:val="20"/>
          <w:szCs w:val="20"/>
        </w:rPr>
        <w:t xml:space="preserve">3. Friedrich Schleiermacher, </w:t>
      </w:r>
      <w:r>
        <w:rPr>
          <w:i/>
          <w:iCs/>
          <w:sz w:val="20"/>
          <w:szCs w:val="20"/>
        </w:rPr>
        <w:t>The Christian Faith</w:t>
      </w:r>
      <w:r>
        <w:rPr>
          <w:sz w:val="20"/>
          <w:szCs w:val="20"/>
        </w:rPr>
        <w:t>, ed. by H. R. Mackintosh and J. S. Stewart (Edinburgh: T&amp;T Clark, 1928), §4, p. 12.</w:t>
      </w:r>
    </w:p>
    <w:p w14:paraId="163E2452" w14:textId="77777777" w:rsidR="00F16325" w:rsidRDefault="00C86D6B">
      <w:pPr>
        <w:spacing w:after="60"/>
        <w:ind w:left="360" w:hanging="360"/>
      </w:pPr>
      <w:r>
        <w:rPr>
          <w:sz w:val="20"/>
          <w:szCs w:val="20"/>
        </w:rPr>
        <w:t xml:space="preserve">4. Schleiermacher, </w:t>
      </w:r>
      <w:r>
        <w:rPr>
          <w:i/>
          <w:iCs/>
          <w:sz w:val="20"/>
          <w:szCs w:val="20"/>
        </w:rPr>
        <w:t>The Christian Faith</w:t>
      </w:r>
      <w:r>
        <w:rPr>
          <w:sz w:val="20"/>
          <w:szCs w:val="20"/>
        </w:rPr>
        <w:t>, §15, p. 76.</w:t>
      </w:r>
    </w:p>
    <w:p w14:paraId="69042139" w14:textId="77777777" w:rsidR="00F16325" w:rsidRDefault="00C86D6B">
      <w:pPr>
        <w:spacing w:after="60"/>
        <w:ind w:left="360" w:hanging="360"/>
      </w:pPr>
      <w:r>
        <w:rPr>
          <w:sz w:val="20"/>
          <w:szCs w:val="20"/>
        </w:rPr>
        <w:t xml:space="preserve">5. Ludwig Feuerbach, </w:t>
      </w:r>
      <w:r>
        <w:rPr>
          <w:i/>
          <w:iCs/>
          <w:sz w:val="20"/>
          <w:szCs w:val="20"/>
        </w:rPr>
        <w:t>The Essence of Christianity</w:t>
      </w:r>
      <w:r>
        <w:rPr>
          <w:sz w:val="20"/>
          <w:szCs w:val="20"/>
        </w:rPr>
        <w:t>, trans. by George Eliot (New York: Harper &amp; Row, 1957), pp. 12–14.</w:t>
      </w:r>
    </w:p>
    <w:p w14:paraId="5E7B73D4" w14:textId="77777777" w:rsidR="00F16325" w:rsidRDefault="00C86D6B">
      <w:pPr>
        <w:spacing w:after="60"/>
        <w:ind w:left="360" w:hanging="360"/>
      </w:pPr>
      <w:r>
        <w:rPr>
          <w:sz w:val="20"/>
          <w:szCs w:val="20"/>
        </w:rPr>
        <w:t xml:space="preserve">6. Karl Barth, </w:t>
      </w:r>
      <w:r>
        <w:rPr>
          <w:i/>
          <w:iCs/>
          <w:sz w:val="20"/>
          <w:szCs w:val="20"/>
        </w:rPr>
        <w:t>Protestant Theology in the Nineteenth Century: Its Background and History</w:t>
      </w:r>
      <w:r>
        <w:rPr>
          <w:sz w:val="20"/>
          <w:szCs w:val="20"/>
        </w:rPr>
        <w:t>, trans. by Brian Cozens and John Bowden (London: SCM Press, 2001), pp. 425–27.</w:t>
      </w:r>
    </w:p>
    <w:p w14:paraId="411769FA" w14:textId="77777777" w:rsidR="00F16325" w:rsidRDefault="00C86D6B">
      <w:pPr>
        <w:spacing w:after="60"/>
        <w:ind w:left="360" w:hanging="360"/>
      </w:pPr>
      <w:r>
        <w:rPr>
          <w:sz w:val="20"/>
          <w:szCs w:val="20"/>
        </w:rPr>
        <w:t xml:space="preserve">7. Schleiermacher, </w:t>
      </w:r>
      <w:r>
        <w:rPr>
          <w:i/>
          <w:iCs/>
          <w:sz w:val="20"/>
          <w:szCs w:val="20"/>
        </w:rPr>
        <w:t>The Christian Faith</w:t>
      </w:r>
      <w:r>
        <w:rPr>
          <w:sz w:val="20"/>
          <w:szCs w:val="20"/>
        </w:rPr>
        <w:t>, §4, pp. 13–16.</w:t>
      </w:r>
    </w:p>
    <w:p w14:paraId="3A496D1E" w14:textId="77777777" w:rsidR="00F16325" w:rsidRDefault="00C86D6B">
      <w:pPr>
        <w:spacing w:after="60"/>
        <w:ind w:left="360" w:hanging="360"/>
      </w:pPr>
      <w:r>
        <w:rPr>
          <w:sz w:val="20"/>
          <w:szCs w:val="20"/>
        </w:rPr>
        <w:t xml:space="preserve">8. B. A. Gerrish, </w:t>
      </w:r>
      <w:r>
        <w:rPr>
          <w:i/>
          <w:iCs/>
          <w:sz w:val="20"/>
          <w:szCs w:val="20"/>
        </w:rPr>
        <w:t>A Prince of the Church: Schleiermacher and the Beginnings of Modern Theology</w:t>
      </w:r>
      <w:r>
        <w:rPr>
          <w:sz w:val="20"/>
          <w:szCs w:val="20"/>
        </w:rPr>
        <w:t xml:space="preserve"> (Philadelphia: Fortress Press, 1984), pp. 25–30.</w:t>
      </w:r>
    </w:p>
    <w:p w14:paraId="2DEBF4D0" w14:textId="77777777" w:rsidR="00F16325" w:rsidRDefault="00C86D6B">
      <w:pPr>
        <w:spacing w:after="60"/>
        <w:ind w:left="360" w:hanging="360"/>
      </w:pPr>
      <w:r>
        <w:rPr>
          <w:sz w:val="20"/>
          <w:szCs w:val="20"/>
        </w:rPr>
        <w:t xml:space="preserve">9. Schleiermacher, </w:t>
      </w:r>
      <w:r>
        <w:rPr>
          <w:i/>
          <w:iCs/>
          <w:sz w:val="20"/>
          <w:szCs w:val="20"/>
        </w:rPr>
        <w:t>The Christian Faith</w:t>
      </w:r>
      <w:r>
        <w:rPr>
          <w:sz w:val="20"/>
          <w:szCs w:val="20"/>
        </w:rPr>
        <w:t>, §94, pp. 385–89.</w:t>
      </w:r>
    </w:p>
    <w:p w14:paraId="501B8C07" w14:textId="77777777" w:rsidR="00F16325" w:rsidRDefault="00C86D6B">
      <w:pPr>
        <w:spacing w:after="60"/>
        <w:ind w:left="360" w:hanging="360"/>
      </w:pPr>
      <w:r>
        <w:rPr>
          <w:sz w:val="20"/>
          <w:szCs w:val="20"/>
        </w:rPr>
        <w:t xml:space="preserve">10. </w:t>
      </w:r>
      <w:r>
        <w:rPr>
          <w:sz w:val="20"/>
          <w:szCs w:val="20"/>
        </w:rPr>
        <w:t xml:space="preserve">Albrecht Ritschl, </w:t>
      </w:r>
      <w:r>
        <w:rPr>
          <w:i/>
          <w:iCs/>
          <w:sz w:val="20"/>
          <w:szCs w:val="20"/>
        </w:rPr>
        <w:t>The Christian Doctrine of Justification and Reconciliation</w:t>
      </w:r>
      <w:r>
        <w:rPr>
          <w:sz w:val="20"/>
          <w:szCs w:val="20"/>
        </w:rPr>
        <w:t>, trans. by H. R. Mackintosh and A. B. Macaulay (Edinburgh: T&amp;T Clark, 1900), pp. 1–8.</w:t>
      </w:r>
    </w:p>
    <w:p w14:paraId="4BD7D8C9" w14:textId="77777777" w:rsidR="00F16325" w:rsidRDefault="00C86D6B">
      <w:pPr>
        <w:spacing w:after="60"/>
        <w:ind w:left="360" w:hanging="360"/>
      </w:pPr>
      <w:r>
        <w:rPr>
          <w:sz w:val="20"/>
          <w:szCs w:val="20"/>
        </w:rPr>
        <w:t xml:space="preserve">11. Ritschl, </w:t>
      </w:r>
      <w:r>
        <w:rPr>
          <w:i/>
          <w:iCs/>
          <w:sz w:val="20"/>
          <w:szCs w:val="20"/>
        </w:rPr>
        <w:t>Justification and Reconciliation</w:t>
      </w:r>
      <w:r>
        <w:rPr>
          <w:sz w:val="20"/>
          <w:szCs w:val="20"/>
        </w:rPr>
        <w:t>, pp. 203–05, 398.</w:t>
      </w:r>
    </w:p>
    <w:p w14:paraId="32A4749B" w14:textId="77777777" w:rsidR="00F16325" w:rsidRDefault="00C86D6B">
      <w:pPr>
        <w:spacing w:after="60"/>
        <w:ind w:left="360" w:hanging="360"/>
      </w:pPr>
      <w:r>
        <w:rPr>
          <w:sz w:val="20"/>
          <w:szCs w:val="20"/>
        </w:rPr>
        <w:t xml:space="preserve">12. Ritschl, </w:t>
      </w:r>
      <w:r>
        <w:rPr>
          <w:i/>
          <w:iCs/>
          <w:sz w:val="20"/>
          <w:szCs w:val="20"/>
        </w:rPr>
        <w:t>Justification and Reconciliation</w:t>
      </w:r>
      <w:r>
        <w:rPr>
          <w:sz w:val="20"/>
          <w:szCs w:val="20"/>
        </w:rPr>
        <w:t>, p. 30.</w:t>
      </w:r>
    </w:p>
    <w:p w14:paraId="6A1A3320" w14:textId="77777777" w:rsidR="00F16325" w:rsidRDefault="00C86D6B">
      <w:pPr>
        <w:spacing w:after="60"/>
        <w:ind w:left="360" w:hanging="360"/>
      </w:pPr>
      <w:r>
        <w:rPr>
          <w:sz w:val="20"/>
          <w:szCs w:val="20"/>
        </w:rPr>
        <w:t xml:space="preserve">13. Ritschl, </w:t>
      </w:r>
      <w:r>
        <w:rPr>
          <w:i/>
          <w:iCs/>
          <w:sz w:val="20"/>
          <w:szCs w:val="20"/>
        </w:rPr>
        <w:t>Justification and Reconciliation</w:t>
      </w:r>
      <w:r>
        <w:rPr>
          <w:sz w:val="20"/>
          <w:szCs w:val="20"/>
        </w:rPr>
        <w:t>, pp. 10–13.</w:t>
      </w:r>
    </w:p>
    <w:p w14:paraId="0A284425" w14:textId="77777777" w:rsidR="00F16325" w:rsidRDefault="00C86D6B">
      <w:pPr>
        <w:spacing w:after="60"/>
        <w:ind w:left="360" w:hanging="360"/>
      </w:pPr>
      <w:r>
        <w:rPr>
          <w:sz w:val="20"/>
          <w:szCs w:val="20"/>
        </w:rPr>
        <w:t xml:space="preserve">14. Ritschl, </w:t>
      </w:r>
      <w:r>
        <w:rPr>
          <w:i/>
          <w:iCs/>
          <w:sz w:val="20"/>
          <w:szCs w:val="20"/>
        </w:rPr>
        <w:t>Justification and Reconciliation</w:t>
      </w:r>
      <w:r>
        <w:rPr>
          <w:sz w:val="20"/>
          <w:szCs w:val="20"/>
        </w:rPr>
        <w:t>, pp. 385–87.</w:t>
      </w:r>
    </w:p>
    <w:p w14:paraId="45CAFA09" w14:textId="77777777" w:rsidR="00F16325" w:rsidRDefault="00C86D6B">
      <w:pPr>
        <w:spacing w:after="60"/>
        <w:ind w:left="360" w:hanging="360"/>
      </w:pPr>
      <w:r>
        <w:rPr>
          <w:sz w:val="20"/>
          <w:szCs w:val="20"/>
        </w:rPr>
        <w:t xml:space="preserve">15. Claude Welch, </w:t>
      </w:r>
      <w:r>
        <w:rPr>
          <w:i/>
          <w:iCs/>
          <w:sz w:val="20"/>
          <w:szCs w:val="20"/>
        </w:rPr>
        <w:t>Protestant Thought in the Nineteenth Century</w:t>
      </w:r>
      <w:r>
        <w:rPr>
          <w:sz w:val="20"/>
          <w:szCs w:val="20"/>
        </w:rPr>
        <w:t>, 2 vols (New Haven: Yale University Press, 1972–1985), II, pp. 17–24.</w:t>
      </w:r>
    </w:p>
    <w:p w14:paraId="16E706C3" w14:textId="77777777" w:rsidR="00F16325" w:rsidRDefault="00C86D6B">
      <w:pPr>
        <w:spacing w:after="60"/>
        <w:ind w:left="360" w:hanging="360"/>
      </w:pPr>
      <w:r>
        <w:rPr>
          <w:sz w:val="20"/>
          <w:szCs w:val="20"/>
        </w:rPr>
        <w:t xml:space="preserve">16. Adolf von Harnack, </w:t>
      </w:r>
      <w:proofErr w:type="gramStart"/>
      <w:r>
        <w:rPr>
          <w:i/>
          <w:iCs/>
          <w:sz w:val="20"/>
          <w:szCs w:val="20"/>
        </w:rPr>
        <w:t>What</w:t>
      </w:r>
      <w:proofErr w:type="gramEnd"/>
      <w:r>
        <w:rPr>
          <w:i/>
          <w:iCs/>
          <w:sz w:val="20"/>
          <w:szCs w:val="20"/>
        </w:rPr>
        <w:t xml:space="preserve"> is </w:t>
      </w:r>
      <w:proofErr w:type="gramStart"/>
      <w:r>
        <w:rPr>
          <w:i/>
          <w:iCs/>
          <w:sz w:val="20"/>
          <w:szCs w:val="20"/>
        </w:rPr>
        <w:t>Christianity?</w:t>
      </w:r>
      <w:r>
        <w:rPr>
          <w:sz w:val="20"/>
          <w:szCs w:val="20"/>
        </w:rPr>
        <w:t>,</w:t>
      </w:r>
      <w:proofErr w:type="gramEnd"/>
      <w:r>
        <w:rPr>
          <w:sz w:val="20"/>
          <w:szCs w:val="20"/>
        </w:rPr>
        <w:t xml:space="preserve"> trans. by Thomas Bailey Saunders (London: Williams &amp; Norgate, 1901), pp. 6–10. See further Martin Rumscheidt, ed., </w:t>
      </w:r>
      <w:r>
        <w:rPr>
          <w:i/>
          <w:iCs/>
          <w:sz w:val="20"/>
          <w:szCs w:val="20"/>
        </w:rPr>
        <w:t>Adolf von Harnack: Liberal Theology at its Height</w:t>
      </w:r>
      <w:r>
        <w:rPr>
          <w:sz w:val="20"/>
          <w:szCs w:val="20"/>
        </w:rPr>
        <w:t xml:space="preserve"> (London: Collins, 1989), pp. 9–25.</w:t>
      </w:r>
    </w:p>
    <w:p w14:paraId="37FB1200" w14:textId="77777777" w:rsidR="00F16325" w:rsidRDefault="00C86D6B">
      <w:pPr>
        <w:spacing w:after="60"/>
        <w:ind w:left="360" w:hanging="360"/>
      </w:pPr>
      <w:r>
        <w:rPr>
          <w:sz w:val="20"/>
          <w:szCs w:val="20"/>
        </w:rPr>
        <w:t xml:space="preserve">17. Harnack, </w:t>
      </w:r>
      <w:proofErr w:type="gramStart"/>
      <w:r>
        <w:rPr>
          <w:i/>
          <w:iCs/>
          <w:sz w:val="20"/>
          <w:szCs w:val="20"/>
        </w:rPr>
        <w:t>What</w:t>
      </w:r>
      <w:proofErr w:type="gramEnd"/>
      <w:r>
        <w:rPr>
          <w:i/>
          <w:iCs/>
          <w:sz w:val="20"/>
          <w:szCs w:val="20"/>
        </w:rPr>
        <w:t xml:space="preserve"> is </w:t>
      </w:r>
      <w:proofErr w:type="gramStart"/>
      <w:r>
        <w:rPr>
          <w:i/>
          <w:iCs/>
          <w:sz w:val="20"/>
          <w:szCs w:val="20"/>
        </w:rPr>
        <w:t>Christianity?</w:t>
      </w:r>
      <w:r>
        <w:rPr>
          <w:sz w:val="20"/>
          <w:szCs w:val="20"/>
        </w:rPr>
        <w:t>,</w:t>
      </w:r>
      <w:proofErr w:type="gramEnd"/>
      <w:r>
        <w:rPr>
          <w:sz w:val="20"/>
          <w:szCs w:val="20"/>
        </w:rPr>
        <w:t xml:space="preserve"> p. 51.</w:t>
      </w:r>
    </w:p>
    <w:p w14:paraId="35EE5574" w14:textId="77777777" w:rsidR="00F16325" w:rsidRDefault="00C86D6B">
      <w:pPr>
        <w:spacing w:after="60"/>
        <w:ind w:left="360" w:hanging="360"/>
      </w:pPr>
      <w:r>
        <w:rPr>
          <w:sz w:val="20"/>
          <w:szCs w:val="20"/>
        </w:rPr>
        <w:t xml:space="preserve">18. Harnack, </w:t>
      </w:r>
      <w:proofErr w:type="gramStart"/>
      <w:r>
        <w:rPr>
          <w:i/>
          <w:iCs/>
          <w:sz w:val="20"/>
          <w:szCs w:val="20"/>
        </w:rPr>
        <w:t>What</w:t>
      </w:r>
      <w:proofErr w:type="gramEnd"/>
      <w:r>
        <w:rPr>
          <w:i/>
          <w:iCs/>
          <w:sz w:val="20"/>
          <w:szCs w:val="20"/>
        </w:rPr>
        <w:t xml:space="preserve"> is </w:t>
      </w:r>
      <w:proofErr w:type="gramStart"/>
      <w:r>
        <w:rPr>
          <w:i/>
          <w:iCs/>
          <w:sz w:val="20"/>
          <w:szCs w:val="20"/>
        </w:rPr>
        <w:t>Christianity?</w:t>
      </w:r>
      <w:r>
        <w:rPr>
          <w:sz w:val="20"/>
          <w:szCs w:val="20"/>
        </w:rPr>
        <w:t>,</w:t>
      </w:r>
      <w:proofErr w:type="gramEnd"/>
      <w:r>
        <w:rPr>
          <w:sz w:val="20"/>
          <w:szCs w:val="20"/>
        </w:rPr>
        <w:t xml:space="preserve"> p. 144.</w:t>
      </w:r>
    </w:p>
    <w:p w14:paraId="1351199C" w14:textId="77777777" w:rsidR="00F16325" w:rsidRDefault="00C86D6B">
      <w:pPr>
        <w:spacing w:after="60"/>
        <w:ind w:left="360" w:hanging="360"/>
      </w:pPr>
      <w:r>
        <w:rPr>
          <w:sz w:val="20"/>
          <w:szCs w:val="20"/>
        </w:rPr>
        <w:t xml:space="preserve">19. Adolf von Harnack, </w:t>
      </w:r>
      <w:r>
        <w:rPr>
          <w:i/>
          <w:iCs/>
          <w:sz w:val="20"/>
          <w:szCs w:val="20"/>
        </w:rPr>
        <w:t>History of Dogma</w:t>
      </w:r>
      <w:r>
        <w:rPr>
          <w:sz w:val="20"/>
          <w:szCs w:val="20"/>
        </w:rPr>
        <w:t>, trans. by Neil Buchanan, 7 vols (London: Williams &amp; Norgate, 1894–1899), I, p. 17.</w:t>
      </w:r>
    </w:p>
    <w:p w14:paraId="295040AD" w14:textId="77777777" w:rsidR="00F16325" w:rsidRDefault="00C86D6B">
      <w:pPr>
        <w:spacing w:after="60"/>
        <w:ind w:left="360" w:hanging="360"/>
      </w:pPr>
      <w:r>
        <w:rPr>
          <w:sz w:val="20"/>
          <w:szCs w:val="20"/>
        </w:rPr>
        <w:t xml:space="preserve">20. George Tyrrell, </w:t>
      </w:r>
      <w:r>
        <w:rPr>
          <w:i/>
          <w:iCs/>
          <w:sz w:val="20"/>
          <w:szCs w:val="20"/>
        </w:rPr>
        <w:t>Christianity at the Cross-Roads</w:t>
      </w:r>
      <w:r>
        <w:rPr>
          <w:sz w:val="20"/>
          <w:szCs w:val="20"/>
        </w:rPr>
        <w:t xml:space="preserve"> (London: Longmans, Green &amp; Co., 1909), p. 44.</w:t>
      </w:r>
    </w:p>
    <w:p w14:paraId="06CDFFDF" w14:textId="77777777" w:rsidR="00F16325" w:rsidRDefault="00C86D6B">
      <w:pPr>
        <w:spacing w:after="60"/>
        <w:ind w:left="360" w:hanging="360"/>
      </w:pPr>
      <w:r>
        <w:rPr>
          <w:sz w:val="20"/>
          <w:szCs w:val="20"/>
        </w:rPr>
        <w:t xml:space="preserve">21. See Alister E. McGrath, </w:t>
      </w:r>
      <w:r>
        <w:rPr>
          <w:i/>
          <w:iCs/>
          <w:sz w:val="20"/>
          <w:szCs w:val="20"/>
        </w:rPr>
        <w:t>The Making of Modern German Christology, 1750–1990</w:t>
      </w:r>
      <w:r>
        <w:rPr>
          <w:sz w:val="20"/>
          <w:szCs w:val="20"/>
        </w:rPr>
        <w:t xml:space="preserve">, 2nd </w:t>
      </w:r>
      <w:proofErr w:type="spellStart"/>
      <w:r>
        <w:rPr>
          <w:sz w:val="20"/>
          <w:szCs w:val="20"/>
        </w:rPr>
        <w:t>edn</w:t>
      </w:r>
      <w:proofErr w:type="spellEnd"/>
      <w:r>
        <w:rPr>
          <w:sz w:val="20"/>
          <w:szCs w:val="20"/>
        </w:rPr>
        <w:t xml:space="preserve"> (Leicester: Apollos, 1994), pp. 55–62.</w:t>
      </w:r>
    </w:p>
    <w:p w14:paraId="27DDCB61" w14:textId="77777777" w:rsidR="00F16325" w:rsidRDefault="00C86D6B">
      <w:pPr>
        <w:spacing w:after="60"/>
        <w:ind w:left="360" w:hanging="360"/>
      </w:pPr>
      <w:r>
        <w:rPr>
          <w:sz w:val="20"/>
          <w:szCs w:val="20"/>
        </w:rPr>
        <w:t xml:space="preserve">22. Mark D. Chapman, </w:t>
      </w:r>
      <w:r>
        <w:rPr>
          <w:i/>
          <w:iCs/>
          <w:sz w:val="20"/>
          <w:szCs w:val="20"/>
        </w:rPr>
        <w:t>Ernst Troeltsch and Liberal Theology: Religion and Cultural Synthesis in Wilhelmine Germany</w:t>
      </w:r>
      <w:r>
        <w:rPr>
          <w:sz w:val="20"/>
          <w:szCs w:val="20"/>
        </w:rPr>
        <w:t xml:space="preserve"> (Oxford: Oxford University Press, 2001), pp. 40–47.</w:t>
      </w:r>
    </w:p>
    <w:p w14:paraId="02D01904" w14:textId="77777777" w:rsidR="00F16325" w:rsidRDefault="00C86D6B">
      <w:pPr>
        <w:spacing w:after="60"/>
        <w:ind w:left="360" w:hanging="360"/>
      </w:pPr>
      <w:r>
        <w:rPr>
          <w:sz w:val="20"/>
          <w:szCs w:val="20"/>
        </w:rPr>
        <w:t xml:space="preserve">23. Albert Schweitzer, </w:t>
      </w:r>
      <w:r>
        <w:rPr>
          <w:i/>
          <w:iCs/>
          <w:sz w:val="20"/>
          <w:szCs w:val="20"/>
        </w:rPr>
        <w:t>The Quest of the Historical Jesus</w:t>
      </w:r>
      <w:r>
        <w:rPr>
          <w:sz w:val="20"/>
          <w:szCs w:val="20"/>
        </w:rPr>
        <w:t>, trans. by W. Montgomery (London: A. &amp; C. Black, 1910), pp. 398–401.</w:t>
      </w:r>
    </w:p>
    <w:p w14:paraId="045C5A97" w14:textId="77777777" w:rsidR="00F16325" w:rsidRDefault="00C86D6B">
      <w:pPr>
        <w:spacing w:after="60"/>
        <w:ind w:left="360" w:hanging="360"/>
      </w:pPr>
      <w:r>
        <w:rPr>
          <w:sz w:val="20"/>
          <w:szCs w:val="20"/>
        </w:rPr>
        <w:t xml:space="preserve">24. Schweitzer, </w:t>
      </w:r>
      <w:r>
        <w:rPr>
          <w:i/>
          <w:iCs/>
          <w:sz w:val="20"/>
          <w:szCs w:val="20"/>
        </w:rPr>
        <w:t>Quest of the Historical Jesus</w:t>
      </w:r>
      <w:r>
        <w:rPr>
          <w:sz w:val="20"/>
          <w:szCs w:val="20"/>
        </w:rPr>
        <w:t>, pp. 4–6.</w:t>
      </w:r>
    </w:p>
    <w:p w14:paraId="660C05CF" w14:textId="77777777" w:rsidR="00F16325" w:rsidRDefault="00C86D6B">
      <w:pPr>
        <w:spacing w:after="60"/>
        <w:ind w:left="360" w:hanging="360"/>
      </w:pPr>
      <w:r>
        <w:rPr>
          <w:sz w:val="20"/>
          <w:szCs w:val="20"/>
        </w:rPr>
        <w:t xml:space="preserve">25. Karl Barth, </w:t>
      </w:r>
      <w:r>
        <w:rPr>
          <w:i/>
          <w:iCs/>
          <w:sz w:val="20"/>
          <w:szCs w:val="20"/>
        </w:rPr>
        <w:t>The Humanity of God</w:t>
      </w:r>
      <w:r>
        <w:rPr>
          <w:sz w:val="20"/>
          <w:szCs w:val="20"/>
        </w:rPr>
        <w:t>, trans. by John Newton Thomas (Richmond, VA: John Knox Press, 1960), pp. 13–14.</w:t>
      </w:r>
    </w:p>
    <w:p w14:paraId="7647B472" w14:textId="77777777" w:rsidR="00F16325" w:rsidRDefault="00C86D6B">
      <w:pPr>
        <w:spacing w:after="60"/>
        <w:ind w:left="360" w:hanging="360"/>
      </w:pPr>
      <w:r>
        <w:rPr>
          <w:sz w:val="20"/>
          <w:szCs w:val="20"/>
        </w:rPr>
        <w:t xml:space="preserve">26. On the structural parallel between the two charges see McGrath, </w:t>
      </w:r>
      <w:r>
        <w:rPr>
          <w:i/>
          <w:iCs/>
          <w:sz w:val="20"/>
          <w:szCs w:val="20"/>
        </w:rPr>
        <w:t>Making of Modern German Christology</w:t>
      </w:r>
      <w:r>
        <w:rPr>
          <w:sz w:val="20"/>
          <w:szCs w:val="20"/>
        </w:rPr>
        <w:t>, pp. 140–42.</w:t>
      </w:r>
    </w:p>
    <w:p w14:paraId="37E27DAA" w14:textId="77777777" w:rsidR="00F16325" w:rsidRDefault="00C86D6B">
      <w:pPr>
        <w:spacing w:after="60"/>
        <w:ind w:left="360" w:hanging="360"/>
      </w:pPr>
      <w:r>
        <w:rPr>
          <w:sz w:val="20"/>
          <w:szCs w:val="20"/>
        </w:rPr>
        <w:t xml:space="preserve">27. Gary Dorrien, </w:t>
      </w:r>
      <w:r>
        <w:rPr>
          <w:i/>
          <w:iCs/>
          <w:sz w:val="20"/>
          <w:szCs w:val="20"/>
        </w:rPr>
        <w:t>The Making of American Liberal Theology: Imagining Progressive Religion, 1805–1900</w:t>
      </w:r>
      <w:r>
        <w:rPr>
          <w:sz w:val="20"/>
          <w:szCs w:val="20"/>
        </w:rPr>
        <w:t xml:space="preserve"> (Louisville, KY: Westminster John Knox Press, 2001), pp. xiii–xxiii.</w:t>
      </w:r>
    </w:p>
    <w:p w14:paraId="06FBAD2A" w14:textId="77777777" w:rsidR="00F16325" w:rsidRDefault="00C86D6B">
      <w:pPr>
        <w:spacing w:before="340" w:after="120"/>
      </w:pPr>
      <w:r>
        <w:rPr>
          <w:b/>
          <w:bCs/>
          <w:sz w:val="26"/>
          <w:szCs w:val="26"/>
        </w:rPr>
        <w:lastRenderedPageBreak/>
        <w:t>Bibliography</w:t>
      </w:r>
    </w:p>
    <w:p w14:paraId="002EE5E6" w14:textId="77777777" w:rsidR="00F16325" w:rsidRDefault="00C86D6B">
      <w:pPr>
        <w:spacing w:after="120"/>
        <w:ind w:hanging="480"/>
      </w:pPr>
      <w:r>
        <w:t xml:space="preserve">Barth, Karl, </w:t>
      </w:r>
      <w:r>
        <w:rPr>
          <w:i/>
          <w:iCs/>
        </w:rPr>
        <w:t>The Humanity of God</w:t>
      </w:r>
      <w:r>
        <w:t>, trans. by John Newton Thomas (Richmond, VA: John Knox Press, 1960)</w:t>
      </w:r>
    </w:p>
    <w:p w14:paraId="22366087" w14:textId="77777777" w:rsidR="00F16325" w:rsidRDefault="00C86D6B">
      <w:pPr>
        <w:spacing w:after="120"/>
        <w:ind w:hanging="480"/>
      </w:pPr>
      <w:r>
        <w:t xml:space="preserve">Barth, Karl, </w:t>
      </w:r>
      <w:r>
        <w:rPr>
          <w:i/>
          <w:iCs/>
        </w:rPr>
        <w:t>Protestant Theology in the Nineteenth Century: Its Background and History</w:t>
      </w:r>
      <w:r>
        <w:t>, trans. by Brian Cozens and John Bowden (London: SCM Press, 2001)</w:t>
      </w:r>
    </w:p>
    <w:p w14:paraId="1B21E8D3" w14:textId="77777777" w:rsidR="00F16325" w:rsidRDefault="00C86D6B">
      <w:pPr>
        <w:spacing w:after="120"/>
        <w:ind w:hanging="480"/>
      </w:pPr>
      <w:r>
        <w:t xml:space="preserve">Chapman, Mark D., </w:t>
      </w:r>
      <w:r>
        <w:rPr>
          <w:i/>
          <w:iCs/>
        </w:rPr>
        <w:t>Ernst Troeltsch and Liberal Theology: Religion and Cultural Synthesis in Wilhelmine Germany</w:t>
      </w:r>
      <w:r>
        <w:t xml:space="preserve"> (Oxford: Oxford University Press, 2001)</w:t>
      </w:r>
    </w:p>
    <w:p w14:paraId="7EED96FA" w14:textId="77777777" w:rsidR="00F16325" w:rsidRDefault="00C86D6B">
      <w:pPr>
        <w:spacing w:after="120"/>
        <w:ind w:hanging="480"/>
      </w:pPr>
      <w:r>
        <w:t xml:space="preserve">Dorrien, Gary, </w:t>
      </w:r>
      <w:r>
        <w:rPr>
          <w:i/>
          <w:iCs/>
        </w:rPr>
        <w:t>The Making of American Liberal Theology: Imagining Progressive Religion, 1805–1900</w:t>
      </w:r>
      <w:r>
        <w:t xml:space="preserve"> (Louisville, KY: Westminster John Knox Press, 2001)</w:t>
      </w:r>
    </w:p>
    <w:p w14:paraId="7BC5FB17" w14:textId="77777777" w:rsidR="00F16325" w:rsidRDefault="00C86D6B">
      <w:pPr>
        <w:spacing w:after="120"/>
        <w:ind w:hanging="480"/>
      </w:pPr>
      <w:r>
        <w:t xml:space="preserve">Feuerbach, Ludwig, </w:t>
      </w:r>
      <w:r>
        <w:rPr>
          <w:i/>
          <w:iCs/>
        </w:rPr>
        <w:t>The Essence of Christianity</w:t>
      </w:r>
      <w:r>
        <w:t>, trans. by George Eliot (New York: Harper &amp; Row, 1957)</w:t>
      </w:r>
    </w:p>
    <w:p w14:paraId="753E8E60" w14:textId="77777777" w:rsidR="00F16325" w:rsidRDefault="00C86D6B">
      <w:pPr>
        <w:spacing w:after="120"/>
        <w:ind w:hanging="480"/>
      </w:pPr>
      <w:r>
        <w:t xml:space="preserve">Gerrish, B. A., </w:t>
      </w:r>
      <w:r>
        <w:rPr>
          <w:i/>
          <w:iCs/>
        </w:rPr>
        <w:t>A Prince of the Church: Schleiermacher and the Beginnings of Modern Theology</w:t>
      </w:r>
      <w:r>
        <w:t xml:space="preserve"> (Philadelphia: Fortress Press, 1984)</w:t>
      </w:r>
    </w:p>
    <w:p w14:paraId="7BE8DDCD" w14:textId="77777777" w:rsidR="00F16325" w:rsidRDefault="00C86D6B">
      <w:pPr>
        <w:spacing w:after="120"/>
        <w:ind w:hanging="480"/>
      </w:pPr>
      <w:r>
        <w:t xml:space="preserve">Harnack, Adolf von, </w:t>
      </w:r>
      <w:r>
        <w:rPr>
          <w:i/>
          <w:iCs/>
        </w:rPr>
        <w:t>History of Dogma</w:t>
      </w:r>
      <w:r>
        <w:t>, trans. by Neil Buchanan, 7 vols (London: Williams &amp; Norgate, 1894–1899)</w:t>
      </w:r>
    </w:p>
    <w:p w14:paraId="2F91F517" w14:textId="77777777" w:rsidR="00F16325" w:rsidRDefault="00C86D6B">
      <w:pPr>
        <w:spacing w:after="120"/>
        <w:ind w:hanging="480"/>
      </w:pPr>
      <w:r>
        <w:t xml:space="preserve">Harnack, Adolf von, </w:t>
      </w:r>
      <w:proofErr w:type="gramStart"/>
      <w:r>
        <w:rPr>
          <w:i/>
          <w:iCs/>
        </w:rPr>
        <w:t>What</w:t>
      </w:r>
      <w:proofErr w:type="gramEnd"/>
      <w:r>
        <w:rPr>
          <w:i/>
          <w:iCs/>
        </w:rPr>
        <w:t xml:space="preserve"> is </w:t>
      </w:r>
      <w:proofErr w:type="gramStart"/>
      <w:r>
        <w:rPr>
          <w:i/>
          <w:iCs/>
        </w:rPr>
        <w:t>Christianity?</w:t>
      </w:r>
      <w:r>
        <w:t>,</w:t>
      </w:r>
      <w:proofErr w:type="gramEnd"/>
      <w:r>
        <w:t xml:space="preserve"> trans. by Thomas Bailey Saunders (London: Williams &amp; Norgate, 1901)</w:t>
      </w:r>
    </w:p>
    <w:p w14:paraId="0D743153" w14:textId="77777777" w:rsidR="00F16325" w:rsidRDefault="00C86D6B">
      <w:pPr>
        <w:spacing w:after="120"/>
        <w:ind w:hanging="480"/>
      </w:pPr>
      <w:r>
        <w:t xml:space="preserve">McGrath, Alister E., </w:t>
      </w:r>
      <w:r>
        <w:rPr>
          <w:i/>
          <w:iCs/>
        </w:rPr>
        <w:t>The Making of Modern German Christology, 1750–1990</w:t>
      </w:r>
      <w:r>
        <w:t xml:space="preserve">, 2nd </w:t>
      </w:r>
      <w:proofErr w:type="spellStart"/>
      <w:r>
        <w:t>edn</w:t>
      </w:r>
      <w:proofErr w:type="spellEnd"/>
      <w:r>
        <w:t xml:space="preserve"> (Leicester: Apollos, 1994)</w:t>
      </w:r>
    </w:p>
    <w:p w14:paraId="3D94F8F2" w14:textId="77777777" w:rsidR="00F16325" w:rsidRDefault="00C86D6B">
      <w:pPr>
        <w:spacing w:after="120"/>
        <w:ind w:hanging="480"/>
      </w:pPr>
      <w:r>
        <w:t xml:space="preserve">Niebuhr, H. Richard, </w:t>
      </w:r>
      <w:r>
        <w:rPr>
          <w:i/>
          <w:iCs/>
        </w:rPr>
        <w:t>The Kingdom of God in America</w:t>
      </w:r>
      <w:r>
        <w:t xml:space="preserve"> (New York: Harper &amp; Row, 1937)</w:t>
      </w:r>
    </w:p>
    <w:p w14:paraId="171F33CF" w14:textId="77777777" w:rsidR="00F16325" w:rsidRDefault="00C86D6B">
      <w:pPr>
        <w:spacing w:after="120"/>
        <w:ind w:hanging="480"/>
      </w:pPr>
      <w:r>
        <w:t xml:space="preserve">Ritschl, Albrecht, </w:t>
      </w:r>
      <w:r>
        <w:rPr>
          <w:i/>
          <w:iCs/>
        </w:rPr>
        <w:t>The Christian Doctrine of Justification and Reconciliation</w:t>
      </w:r>
      <w:r>
        <w:t>, trans. by H. R. Mackintosh and A. B. Macaulay (Edinburgh: T&amp;T Clark, 1900)</w:t>
      </w:r>
    </w:p>
    <w:p w14:paraId="23134226" w14:textId="77777777" w:rsidR="00F16325" w:rsidRDefault="00C86D6B">
      <w:pPr>
        <w:spacing w:after="120"/>
        <w:ind w:hanging="480"/>
      </w:pPr>
      <w:proofErr w:type="spellStart"/>
      <w:r>
        <w:t>Rumscheidt</w:t>
      </w:r>
      <w:proofErr w:type="spellEnd"/>
      <w:r>
        <w:t xml:space="preserve">, Martin, ed., </w:t>
      </w:r>
      <w:r>
        <w:rPr>
          <w:i/>
          <w:iCs/>
        </w:rPr>
        <w:t>Adolf von Harnack: Liberal Theology at its Height</w:t>
      </w:r>
      <w:r>
        <w:t xml:space="preserve"> (London: Collins, 1989)</w:t>
      </w:r>
    </w:p>
    <w:p w14:paraId="34DD7D41" w14:textId="77777777" w:rsidR="00F16325" w:rsidRDefault="00C86D6B">
      <w:pPr>
        <w:spacing w:after="120"/>
        <w:ind w:hanging="480"/>
      </w:pPr>
      <w:r>
        <w:t xml:space="preserve">Schleiermacher, Friedrich, </w:t>
      </w:r>
      <w:r>
        <w:rPr>
          <w:i/>
          <w:iCs/>
        </w:rPr>
        <w:t>The Christian Faith</w:t>
      </w:r>
      <w:r>
        <w:t>, ed. by H. R. Mackintosh and J. S. Stewart (Edinburgh: T&amp;T Clark, 1928)</w:t>
      </w:r>
    </w:p>
    <w:p w14:paraId="301AEB19" w14:textId="77777777" w:rsidR="00F16325" w:rsidRDefault="00C86D6B">
      <w:pPr>
        <w:spacing w:after="120"/>
        <w:ind w:hanging="480"/>
      </w:pPr>
      <w:r>
        <w:t xml:space="preserve">Schleiermacher, Friedrich, </w:t>
      </w:r>
      <w:r>
        <w:rPr>
          <w:i/>
          <w:iCs/>
        </w:rPr>
        <w:t>On Religion: Speeches to its Cultured Despisers</w:t>
      </w:r>
      <w:r>
        <w:t>, trans. by Richard Crouter (Cambridge: Cambridge University Press, 1988)</w:t>
      </w:r>
    </w:p>
    <w:p w14:paraId="13B9F8AC" w14:textId="77777777" w:rsidR="00F16325" w:rsidRDefault="00C86D6B">
      <w:pPr>
        <w:spacing w:after="120"/>
        <w:ind w:hanging="480"/>
      </w:pPr>
      <w:r>
        <w:t xml:space="preserve">Schweitzer, Albert, </w:t>
      </w:r>
      <w:r>
        <w:rPr>
          <w:i/>
          <w:iCs/>
        </w:rPr>
        <w:t>The Quest of the Historical Jesus</w:t>
      </w:r>
      <w:r>
        <w:t>, trans. by W. Montgomery (London: A. &amp; C. Black, 1910)</w:t>
      </w:r>
    </w:p>
    <w:p w14:paraId="6085A91C" w14:textId="77777777" w:rsidR="00F16325" w:rsidRDefault="00C86D6B">
      <w:pPr>
        <w:spacing w:after="120"/>
        <w:ind w:hanging="480"/>
      </w:pPr>
      <w:r>
        <w:t xml:space="preserve">Tyrrell, George, </w:t>
      </w:r>
      <w:r>
        <w:rPr>
          <w:i/>
          <w:iCs/>
        </w:rPr>
        <w:t>Christianity at the Cross-Roads</w:t>
      </w:r>
      <w:r>
        <w:t xml:space="preserve"> (London: Longmans, Green &amp; Co., 1909)</w:t>
      </w:r>
    </w:p>
    <w:p w14:paraId="02B59415" w14:textId="77777777" w:rsidR="00F16325" w:rsidRDefault="00C86D6B">
      <w:pPr>
        <w:spacing w:after="120"/>
        <w:ind w:hanging="480"/>
      </w:pPr>
      <w:r>
        <w:t xml:space="preserve">Welch, Claude, </w:t>
      </w:r>
      <w:r>
        <w:rPr>
          <w:i/>
          <w:iCs/>
        </w:rPr>
        <w:t>Protestant Thought in the Nineteenth Century</w:t>
      </w:r>
      <w:r>
        <w:t>, 2 vols (New Haven: Yale University Press, 1972–1985)</w:t>
      </w:r>
    </w:p>
    <w:sectPr w:rsidR="00F1632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B9981" w14:textId="77777777" w:rsidR="00C86D6B" w:rsidRDefault="00C86D6B">
      <w:r>
        <w:separator/>
      </w:r>
    </w:p>
  </w:endnote>
  <w:endnote w:type="continuationSeparator" w:id="0">
    <w:p w14:paraId="721C46CA" w14:textId="77777777" w:rsidR="00C86D6B" w:rsidRDefault="00C86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CFACA" w14:textId="77777777" w:rsidR="00C86D6B" w:rsidRDefault="00C86D6B">
      <w:r>
        <w:separator/>
      </w:r>
    </w:p>
  </w:footnote>
  <w:footnote w:type="continuationSeparator" w:id="0">
    <w:p w14:paraId="511D2CEE" w14:textId="77777777" w:rsidR="00C86D6B" w:rsidRDefault="00C86D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6051"/>
    <w:multiLevelType w:val="hybridMultilevel"/>
    <w:tmpl w:val="A3E4CE14"/>
    <w:lvl w:ilvl="0" w:tplc="4C98B7C6">
      <w:start w:val="1"/>
      <w:numFmt w:val="bullet"/>
      <w:lvlText w:val="●"/>
      <w:lvlJc w:val="left"/>
      <w:pPr>
        <w:ind w:left="720" w:hanging="360"/>
      </w:pPr>
    </w:lvl>
    <w:lvl w:ilvl="1" w:tplc="9DB0F3B2">
      <w:start w:val="1"/>
      <w:numFmt w:val="bullet"/>
      <w:lvlText w:val="○"/>
      <w:lvlJc w:val="left"/>
      <w:pPr>
        <w:ind w:left="1440" w:hanging="360"/>
      </w:pPr>
    </w:lvl>
    <w:lvl w:ilvl="2" w:tplc="92F41C68">
      <w:start w:val="1"/>
      <w:numFmt w:val="bullet"/>
      <w:lvlText w:val="■"/>
      <w:lvlJc w:val="left"/>
      <w:pPr>
        <w:ind w:left="2160" w:hanging="360"/>
      </w:pPr>
    </w:lvl>
    <w:lvl w:ilvl="3" w:tplc="39DC387C">
      <w:start w:val="1"/>
      <w:numFmt w:val="bullet"/>
      <w:lvlText w:val="●"/>
      <w:lvlJc w:val="left"/>
      <w:pPr>
        <w:ind w:left="2880" w:hanging="360"/>
      </w:pPr>
    </w:lvl>
    <w:lvl w:ilvl="4" w:tplc="4C2E059A">
      <w:start w:val="1"/>
      <w:numFmt w:val="bullet"/>
      <w:lvlText w:val="○"/>
      <w:lvlJc w:val="left"/>
      <w:pPr>
        <w:ind w:left="3600" w:hanging="360"/>
      </w:pPr>
    </w:lvl>
    <w:lvl w:ilvl="5" w:tplc="44526F14">
      <w:start w:val="1"/>
      <w:numFmt w:val="bullet"/>
      <w:lvlText w:val="■"/>
      <w:lvlJc w:val="left"/>
      <w:pPr>
        <w:ind w:left="4320" w:hanging="360"/>
      </w:pPr>
    </w:lvl>
    <w:lvl w:ilvl="6" w:tplc="E6328B40">
      <w:start w:val="1"/>
      <w:numFmt w:val="bullet"/>
      <w:lvlText w:val="●"/>
      <w:lvlJc w:val="left"/>
      <w:pPr>
        <w:ind w:left="5040" w:hanging="360"/>
      </w:pPr>
    </w:lvl>
    <w:lvl w:ilvl="7" w:tplc="C0BEC524">
      <w:start w:val="1"/>
      <w:numFmt w:val="bullet"/>
      <w:lvlText w:val="●"/>
      <w:lvlJc w:val="left"/>
      <w:pPr>
        <w:ind w:left="5760" w:hanging="360"/>
      </w:pPr>
    </w:lvl>
    <w:lvl w:ilvl="8" w:tplc="8FE01D30">
      <w:start w:val="1"/>
      <w:numFmt w:val="bullet"/>
      <w:lvlText w:val="●"/>
      <w:lvlJc w:val="left"/>
      <w:pPr>
        <w:ind w:left="6480" w:hanging="360"/>
      </w:pPr>
    </w:lvl>
  </w:abstractNum>
  <w:num w:numId="1" w16cid:durableId="17572436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325"/>
    <w:rsid w:val="00014942"/>
    <w:rsid w:val="00206890"/>
    <w:rsid w:val="00C86D6B"/>
    <w:rsid w:val="00D00F8E"/>
    <w:rsid w:val="00F16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BE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Strong">
    <w:name w:val="Strong"/>
    <w:basedOn w:val="DefaultParagraphFont"/>
    <w:uiPriority w:val="22"/>
    <w:qFormat/>
    <w:rsid w:val="00014942"/>
    <w:rPr>
      <w:b/>
      <w:bCs/>
    </w:rPr>
  </w:style>
  <w:style w:type="paragraph" w:styleId="Header">
    <w:name w:val="header"/>
    <w:basedOn w:val="Normal"/>
    <w:link w:val="HeaderChar"/>
    <w:uiPriority w:val="99"/>
    <w:unhideWhenUsed/>
    <w:rsid w:val="00D00F8E"/>
    <w:pPr>
      <w:tabs>
        <w:tab w:val="center" w:pos="4513"/>
        <w:tab w:val="right" w:pos="9026"/>
      </w:tabs>
    </w:pPr>
  </w:style>
  <w:style w:type="character" w:customStyle="1" w:styleId="HeaderChar">
    <w:name w:val="Header Char"/>
    <w:basedOn w:val="DefaultParagraphFont"/>
    <w:link w:val="Header"/>
    <w:uiPriority w:val="99"/>
    <w:rsid w:val="00D00F8E"/>
  </w:style>
  <w:style w:type="paragraph" w:styleId="Footer">
    <w:name w:val="footer"/>
    <w:basedOn w:val="Normal"/>
    <w:link w:val="FooterChar"/>
    <w:uiPriority w:val="99"/>
    <w:unhideWhenUsed/>
    <w:rsid w:val="00D00F8E"/>
    <w:pPr>
      <w:tabs>
        <w:tab w:val="center" w:pos="4513"/>
        <w:tab w:val="right" w:pos="9026"/>
      </w:tabs>
    </w:pPr>
  </w:style>
  <w:style w:type="character" w:customStyle="1" w:styleId="FooterChar">
    <w:name w:val="Footer Char"/>
    <w:basedOn w:val="DefaultParagraphFont"/>
    <w:link w:val="Footer"/>
    <w:uiPriority w:val="99"/>
    <w:rsid w:val="00D00F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3601</Words>
  <Characters>20495</Characters>
  <Application>Microsoft Office Word</Application>
  <DocSecurity>0</DocSecurity>
  <Lines>305</Lines>
  <Paragraphs>92</Paragraphs>
  <ScaleCrop>false</ScaleCrop>
  <Company/>
  <LinksUpToDate>false</LinksUpToDate>
  <CharactersWithSpaces>24004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2026-07-22T15:43:00Z</dcterms:created>
  <dcterms:modified xsi:type="dcterms:W3CDTF">2026-07-22T15:43:00Z</dcterms:modified>
</cp:coreProperties>
</file>