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BDA4B" w14:textId="77777777" w:rsidR="003648F5" w:rsidRPr="00310AF9" w:rsidRDefault="00C36186" w:rsidP="00310AF9">
      <w:pPr>
        <w:pStyle w:val="FirstParagraph"/>
        <w:jc w:val="center"/>
        <w:rPr>
          <w:rFonts w:ascii="pplxSerif" w:hAnsi="pplxSerif"/>
        </w:rPr>
      </w:pPr>
      <w:r>
        <w:rPr>
          <w:rFonts w:ascii="pplxSerif" w:hAnsi="pplxSerif"/>
          <w:noProof/>
          <w:lang w:val="en-GB" w:eastAsia="en-GB"/>
        </w:rPr>
        <w:drawing>
          <wp:inline distT="0" distB="0" distL="0" distR="0" wp14:anchorId="78E942DB" wp14:editId="27B6B1EA">
            <wp:extent cx="3958408" cy="2143125"/>
            <wp:effectExtent l="114300" t="114300" r="99695" b="142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of-wales-trinity-saint-david-logo-vect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61503" cy="21989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12634F" w14:textId="77777777" w:rsidR="00C36186" w:rsidRDefault="003648F5" w:rsidP="00310AF9">
      <w:pPr>
        <w:pStyle w:val="Abstract"/>
        <w:spacing w:after="0" w:line="360" w:lineRule="auto"/>
        <w:jc w:val="center"/>
        <w:rPr>
          <w:rFonts w:ascii="Times New Roman" w:eastAsia="Calibri" w:hAnsi="Times New Roman" w:cs="Times New Roman"/>
          <w:b/>
          <w:color w:val="1A1A1A"/>
          <w:sz w:val="36"/>
          <w:szCs w:val="24"/>
          <w:lang w:val="en-GB" w:eastAsia="en-GB"/>
        </w:rPr>
      </w:pPr>
      <w:r>
        <w:rPr>
          <w:rFonts w:ascii="Times New Roman" w:eastAsia="Times New Roman" w:hAnsi="Times New Roman" w:cs="Times New Roman"/>
          <w:i/>
          <w:kern w:val="2"/>
          <w:sz w:val="36"/>
          <w:u w:val="single"/>
          <w14:ligatures w14:val="standardContextual"/>
        </w:rPr>
        <w:t>Project</w:t>
      </w:r>
      <w:r w:rsidR="00C36186" w:rsidRPr="00CC1C3B">
        <w:rPr>
          <w:rFonts w:ascii="Times New Roman" w:eastAsia="Times New Roman" w:hAnsi="Times New Roman" w:cs="Times New Roman"/>
          <w:i/>
          <w:kern w:val="2"/>
          <w:sz w:val="36"/>
          <w:u w:val="single"/>
          <w14:ligatures w14:val="standardContextual"/>
        </w:rPr>
        <w:t xml:space="preserve"> Title:</w:t>
      </w:r>
      <w:r w:rsidR="00C36186" w:rsidRPr="00CC1C3B">
        <w:rPr>
          <w:rFonts w:ascii="Times New Roman" w:eastAsia="Times New Roman" w:hAnsi="Times New Roman" w:cs="Times New Roman"/>
          <w:kern w:val="2"/>
          <w:sz w:val="36"/>
          <w14:ligatures w14:val="standardContextual"/>
        </w:rPr>
        <w:t xml:space="preserve"> </w:t>
      </w:r>
      <w:r w:rsidRPr="003648F5">
        <w:rPr>
          <w:rFonts w:ascii="Times New Roman" w:eastAsia="Calibri" w:hAnsi="Times New Roman" w:cs="Times New Roman"/>
          <w:b/>
          <w:color w:val="1A1A1A"/>
          <w:sz w:val="36"/>
          <w:szCs w:val="24"/>
          <w:lang w:val="en-GB" w:eastAsia="en-GB"/>
        </w:rPr>
        <w:t>A Project Portfolio</w:t>
      </w:r>
    </w:p>
    <w:p w14:paraId="3F78B566" w14:textId="77777777" w:rsidR="003648F5" w:rsidRPr="00310AF9" w:rsidRDefault="003648F5" w:rsidP="00310AF9">
      <w:pPr>
        <w:pStyle w:val="BodyText"/>
        <w:spacing w:after="0" w:line="360" w:lineRule="auto"/>
        <w:jc w:val="center"/>
        <w:rPr>
          <w:sz w:val="32"/>
          <w:lang w:val="en-GB" w:eastAsia="en-GB"/>
        </w:rPr>
      </w:pPr>
      <w:r w:rsidRPr="00310AF9">
        <w:rPr>
          <w:rFonts w:ascii="Times New Roman" w:eastAsia="Calibri" w:hAnsi="Times New Roman" w:cs="Times New Roman"/>
          <w:i/>
          <w:color w:val="1A1A1A"/>
          <w:sz w:val="36"/>
          <w:u w:val="single"/>
          <w:lang w:val="en-GB" w:eastAsia="en-GB"/>
        </w:rPr>
        <w:t>Part A:</w:t>
      </w:r>
      <w:r>
        <w:rPr>
          <w:lang w:val="en-GB" w:eastAsia="en-GB"/>
        </w:rPr>
        <w:t xml:space="preserve"> </w:t>
      </w:r>
      <w:r w:rsidRPr="00310AF9">
        <w:rPr>
          <w:rFonts w:ascii="Times New Roman" w:hAnsi="Times New Roman" w:cs="Times New Roman"/>
          <w:b/>
          <w:sz w:val="36"/>
          <w:szCs w:val="20"/>
        </w:rPr>
        <w:t>Project Proposal Poster</w:t>
      </w:r>
    </w:p>
    <w:p w14:paraId="14D3F2E2" w14:textId="77777777" w:rsidR="003648F5" w:rsidRPr="00310AF9" w:rsidRDefault="003648F5" w:rsidP="00310AF9">
      <w:pPr>
        <w:pStyle w:val="BodyText"/>
        <w:spacing w:line="360" w:lineRule="auto"/>
        <w:jc w:val="center"/>
        <w:rPr>
          <w:rFonts w:ascii="Times New Roman" w:hAnsi="Times New Roman" w:cs="Times New Roman"/>
          <w:b/>
          <w:sz w:val="36"/>
          <w:szCs w:val="20"/>
        </w:rPr>
      </w:pPr>
      <w:r w:rsidRPr="00310AF9">
        <w:rPr>
          <w:rFonts w:ascii="Times New Roman" w:eastAsia="Calibri" w:hAnsi="Times New Roman" w:cs="Times New Roman"/>
          <w:i/>
          <w:color w:val="1A1A1A"/>
          <w:sz w:val="36"/>
          <w:u w:val="single"/>
          <w:lang w:val="en-GB" w:eastAsia="en-GB"/>
        </w:rPr>
        <w:t>Part B:</w:t>
      </w:r>
      <w:r w:rsidRPr="00310AF9">
        <w:rPr>
          <w:i/>
          <w:u w:val="single"/>
          <w:lang w:val="en-GB" w:eastAsia="en-GB"/>
        </w:rPr>
        <w:t xml:space="preserve"> </w:t>
      </w:r>
      <w:r w:rsidRPr="00310AF9">
        <w:rPr>
          <w:rFonts w:ascii="Times New Roman" w:hAnsi="Times New Roman" w:cs="Times New Roman"/>
          <w:b/>
          <w:sz w:val="36"/>
          <w:szCs w:val="20"/>
        </w:rPr>
        <w:t>Poster Presentation Feedback</w:t>
      </w:r>
    </w:p>
    <w:p w14:paraId="22198000" w14:textId="77777777" w:rsidR="00C36186" w:rsidRPr="00310AF9" w:rsidRDefault="003648F5" w:rsidP="00310AF9">
      <w:pPr>
        <w:pStyle w:val="BodyText"/>
        <w:spacing w:line="360" w:lineRule="auto"/>
        <w:jc w:val="center"/>
        <w:rPr>
          <w:lang w:val="en-GB" w:eastAsia="en-GB"/>
        </w:rPr>
      </w:pPr>
      <w:r w:rsidRPr="00310AF9">
        <w:rPr>
          <w:rFonts w:ascii="Times New Roman" w:eastAsia="Calibri" w:hAnsi="Times New Roman" w:cs="Times New Roman"/>
          <w:i/>
          <w:color w:val="1A1A1A"/>
          <w:sz w:val="36"/>
          <w:u w:val="single"/>
          <w:lang w:val="en-GB" w:eastAsia="en-GB"/>
        </w:rPr>
        <w:t>Part C:</w:t>
      </w:r>
      <w:r>
        <w:rPr>
          <w:rFonts w:ascii="Times New Roman" w:eastAsia="Calibri" w:hAnsi="Times New Roman" w:cs="Times New Roman"/>
          <w:b/>
          <w:color w:val="1A1A1A"/>
          <w:sz w:val="36"/>
          <w:lang w:val="en-GB" w:eastAsia="en-GB"/>
        </w:rPr>
        <w:t xml:space="preserve"> </w:t>
      </w:r>
      <w:r w:rsidRPr="00310AF9">
        <w:rPr>
          <w:rFonts w:ascii="Times New Roman" w:hAnsi="Times New Roman" w:cs="Times New Roman"/>
          <w:b/>
          <w:sz w:val="36"/>
          <w:szCs w:val="20"/>
        </w:rPr>
        <w:t>Project Management Plan</w:t>
      </w:r>
      <w:r w:rsidRPr="00310AF9">
        <w:rPr>
          <w:rFonts w:ascii="Times New Roman" w:hAnsi="Times New Roman" w:cs="Times New Roman"/>
          <w:b/>
          <w:sz w:val="36"/>
        </w:rPr>
        <w:t xml:space="preserve"> </w:t>
      </w:r>
      <w:r w:rsidRPr="00310AF9">
        <w:rPr>
          <w:rFonts w:ascii="Times New Roman" w:hAnsi="Times New Roman" w:cs="Times New Roman"/>
          <w:sz w:val="36"/>
        </w:rPr>
        <w:t>-</w:t>
      </w:r>
      <w:r w:rsidRPr="00310AF9">
        <w:rPr>
          <w:rFonts w:ascii="Times New Roman" w:hAnsi="Times New Roman" w:cs="Times New Roman"/>
          <w:sz w:val="36"/>
          <w:szCs w:val="20"/>
        </w:rPr>
        <w:t xml:space="preserve"> </w:t>
      </w:r>
      <w:r w:rsidR="00C36186" w:rsidRPr="00310AF9">
        <w:rPr>
          <w:rFonts w:ascii="Times New Roman" w:hAnsi="Times New Roman" w:cs="Times New Roman"/>
          <w:b/>
          <w:sz w:val="36"/>
        </w:rPr>
        <w:t>Redevelopment of the Central Transport Hub</w:t>
      </w:r>
    </w:p>
    <w:p w14:paraId="475046CF" w14:textId="77777777" w:rsidR="00C36186" w:rsidRPr="00CC1C3B" w:rsidRDefault="00C36186" w:rsidP="00C36186">
      <w:pPr>
        <w:spacing w:after="160" w:line="360" w:lineRule="auto"/>
        <w:jc w:val="center"/>
        <w:rPr>
          <w:rFonts w:ascii="Times New Roman" w:eastAsia="Times New Roman" w:hAnsi="Times New Roman" w:cs="Times New Roman"/>
          <w:b/>
          <w:kern w:val="2"/>
          <w:sz w:val="36"/>
          <w14:ligatures w14:val="standardContextual"/>
        </w:rPr>
      </w:pPr>
      <w:r w:rsidRPr="0013370B">
        <w:rPr>
          <w:rFonts w:ascii="Times New Roman" w:eastAsia="Times New Roman" w:hAnsi="Times New Roman" w:cs="Times New Roman"/>
          <w:i/>
          <w:kern w:val="2"/>
          <w:sz w:val="36"/>
          <w:u w:val="single"/>
          <w14:ligatures w14:val="standardContextual"/>
        </w:rPr>
        <w:t>Name &amp; ID</w:t>
      </w:r>
      <w:r w:rsidRPr="00CC1C3B">
        <w:rPr>
          <w:rFonts w:ascii="Times New Roman" w:eastAsia="Times New Roman" w:hAnsi="Times New Roman" w:cs="Times New Roman"/>
          <w:b/>
          <w:i/>
          <w:kern w:val="2"/>
          <w:sz w:val="36"/>
          <w:u w:val="single"/>
          <w14:ligatures w14:val="standardContextual"/>
        </w:rPr>
        <w:t>:</w:t>
      </w:r>
      <w:r w:rsidRPr="00CC1C3B">
        <w:rPr>
          <w:rFonts w:ascii="Times New Roman" w:eastAsia="Times New Roman" w:hAnsi="Times New Roman" w:cs="Times New Roman"/>
          <w:b/>
          <w:kern w:val="2"/>
          <w:sz w:val="36"/>
          <w14:ligatures w14:val="standardContextual"/>
        </w:rPr>
        <w:t xml:space="preserve"> </w:t>
      </w:r>
      <w:r>
        <w:rPr>
          <w:rFonts w:ascii="Times New Roman" w:eastAsia="Times New Roman" w:hAnsi="Times New Roman" w:cs="Times New Roman"/>
          <w:b/>
          <w:kern w:val="2"/>
          <w:sz w:val="36"/>
          <w14:ligatures w14:val="standardContextual"/>
        </w:rPr>
        <w:t>Mohammad Jawad Naheem /2332327</w:t>
      </w:r>
    </w:p>
    <w:p w14:paraId="6DB93FA0" w14:textId="77777777" w:rsidR="00C36186" w:rsidRPr="0013370B" w:rsidRDefault="00C36186" w:rsidP="00C36186">
      <w:pPr>
        <w:spacing w:after="160" w:line="360" w:lineRule="auto"/>
        <w:jc w:val="center"/>
        <w:rPr>
          <w:rFonts w:ascii="Times New Roman" w:eastAsia="Times New Roman" w:hAnsi="Times New Roman" w:cs="Times New Roman"/>
          <w:kern w:val="2"/>
          <w:sz w:val="36"/>
          <w14:ligatures w14:val="standardContextual"/>
        </w:rPr>
      </w:pPr>
      <w:r w:rsidRPr="0013370B">
        <w:rPr>
          <w:rFonts w:ascii="Times New Roman" w:eastAsia="Times New Roman" w:hAnsi="Times New Roman" w:cs="Times New Roman"/>
          <w:i/>
          <w:kern w:val="2"/>
          <w:sz w:val="36"/>
          <w:u w:val="single"/>
          <w14:ligatures w14:val="standardContextual"/>
        </w:rPr>
        <w:t>Module Name &amp; Code:</w:t>
      </w:r>
    </w:p>
    <w:p w14:paraId="76CAC173" w14:textId="77777777" w:rsidR="00C36186" w:rsidRPr="00CC1C3B" w:rsidRDefault="007E7E52" w:rsidP="00C36186">
      <w:pPr>
        <w:spacing w:after="160" w:line="360" w:lineRule="auto"/>
        <w:jc w:val="center"/>
        <w:rPr>
          <w:rFonts w:ascii="Times New Roman" w:eastAsia="Times New Roman" w:hAnsi="Times New Roman" w:cs="Times New Roman"/>
          <w:b/>
          <w:kern w:val="2"/>
          <w:sz w:val="32"/>
          <w14:ligatures w14:val="standardContextual"/>
        </w:rPr>
      </w:pPr>
      <w:r>
        <w:rPr>
          <w:rFonts w:ascii="Times New Roman" w:eastAsia="Times New Roman" w:hAnsi="Times New Roman" w:cs="Times New Roman"/>
          <w:b/>
          <w:kern w:val="2"/>
          <w:sz w:val="32"/>
          <w14:ligatures w14:val="standardContextual"/>
        </w:rPr>
        <w:t>Project Management</w:t>
      </w:r>
      <w:r w:rsidR="00C36186">
        <w:rPr>
          <w:rFonts w:ascii="Times New Roman" w:eastAsia="Times New Roman" w:hAnsi="Times New Roman" w:cs="Times New Roman"/>
          <w:b/>
          <w:kern w:val="2"/>
          <w:sz w:val="32"/>
          <w14:ligatures w14:val="standardContextual"/>
        </w:rPr>
        <w:t xml:space="preserve"> /</w:t>
      </w:r>
      <w:r w:rsidR="00C36186" w:rsidRPr="0013370B">
        <w:rPr>
          <w:rFonts w:ascii="Arial" w:eastAsia="Arial" w:hAnsi="Arial" w:cs="Arial"/>
          <w:b/>
          <w:bCs/>
          <w:sz w:val="22"/>
          <w:szCs w:val="22"/>
        </w:rPr>
        <w:t xml:space="preserve"> </w:t>
      </w:r>
      <w:r w:rsidR="00C36186">
        <w:rPr>
          <w:rFonts w:ascii="Times New Roman" w:eastAsia="Times New Roman" w:hAnsi="Times New Roman" w:cs="Times New Roman"/>
          <w:b/>
          <w:kern w:val="2"/>
          <w:sz w:val="32"/>
          <w14:ligatures w14:val="standardContextual"/>
        </w:rPr>
        <w:t>LCLM5003</w:t>
      </w:r>
    </w:p>
    <w:p w14:paraId="5B6C615F" w14:textId="69480B93" w:rsidR="00C36186" w:rsidRPr="0013370B" w:rsidRDefault="0026379E" w:rsidP="00C36186">
      <w:pPr>
        <w:pStyle w:val="FirstParagraph"/>
        <w:spacing w:line="360" w:lineRule="auto"/>
        <w:jc w:val="center"/>
        <w:rPr>
          <w:rFonts w:ascii="Times New Roman" w:eastAsia="Times New Roman" w:hAnsi="Times New Roman" w:cs="Times New Roman"/>
          <w:i/>
          <w:kern w:val="2"/>
          <w:sz w:val="36"/>
          <w:u w:val="single"/>
          <w14:ligatures w14:val="standardContextual"/>
        </w:rPr>
      </w:pPr>
      <w:r>
        <w:rPr>
          <w:rFonts w:ascii="Times New Roman" w:eastAsia="Times New Roman" w:hAnsi="Times New Roman" w:cs="Times New Roman"/>
          <w:i/>
          <w:kern w:val="2"/>
          <w:sz w:val="36"/>
          <w:u w:val="single"/>
          <w14:ligatures w14:val="standardContextual"/>
        </w:rPr>
        <w:t>Module Leader</w:t>
      </w:r>
    </w:p>
    <w:p w14:paraId="67E05872" w14:textId="365FBBE9" w:rsidR="001D7923" w:rsidRPr="00E46333" w:rsidRDefault="00E46333" w:rsidP="00E46333">
      <w:pPr>
        <w:pStyle w:val="BodyText"/>
        <w:spacing w:line="360" w:lineRule="auto"/>
        <w:jc w:val="center"/>
        <w:rPr>
          <w:rFonts w:ascii="Times New Roman" w:eastAsia="Times New Roman" w:hAnsi="Times New Roman" w:cs="Times New Roman"/>
          <w:b/>
          <w:kern w:val="2"/>
          <w:sz w:val="36"/>
          <w14:ligatures w14:val="standardContextual"/>
        </w:rPr>
        <w:sectPr w:rsidR="001D7923" w:rsidRPr="00E46333" w:rsidSect="001D7923">
          <w:headerReference w:type="default" r:id="rId12"/>
          <w:footerReference w:type="default" r:id="rId13"/>
          <w:pgSz w:w="11907" w:h="16839" w:code="9"/>
          <w:pgMar w:top="1411" w:right="1411" w:bottom="1411" w:left="1411" w:header="706" w:footer="706" w:gutter="0"/>
          <w:cols w:space="720"/>
          <w:titlePg/>
          <w:docGrid w:linePitch="360"/>
        </w:sectPr>
      </w:pPr>
      <w:r>
        <w:rPr>
          <w:rFonts w:ascii="Times New Roman" w:eastAsia="Times New Roman" w:hAnsi="Times New Roman" w:cs="Times New Roman"/>
          <w:b/>
          <w:kern w:val="2"/>
          <w:sz w:val="36"/>
          <w14:ligatures w14:val="standardContextual"/>
        </w:rPr>
        <w:t xml:space="preserve">Dr. </w:t>
      </w:r>
      <w:r w:rsidR="0026379E">
        <w:rPr>
          <w:rFonts w:ascii="Times New Roman" w:eastAsia="Times New Roman" w:hAnsi="Times New Roman" w:cs="Times New Roman"/>
          <w:b/>
          <w:kern w:val="2"/>
          <w:sz w:val="36"/>
          <w14:ligatures w14:val="standardContextual"/>
        </w:rPr>
        <w:t>Kareem Sani</w:t>
      </w:r>
    </w:p>
    <w:p w14:paraId="24ADEC93" w14:textId="77777777" w:rsidR="00C36186" w:rsidRDefault="00C36186" w:rsidP="002C4A17">
      <w:pPr>
        <w:spacing w:after="80"/>
        <w:jc w:val="both"/>
        <w:rPr>
          <w:rFonts w:ascii="Times New Roman" w:hAnsi="Times New Roman" w:cs="Times New Roman"/>
          <w:b/>
          <w:bCs/>
          <w:color w:val="1F3864"/>
          <w:sz w:val="36"/>
          <w:szCs w:val="36"/>
        </w:rPr>
      </w:pPr>
    </w:p>
    <w:p w14:paraId="3F59911A" w14:textId="77777777" w:rsidR="001D7923" w:rsidRPr="00E46333" w:rsidRDefault="001D7923" w:rsidP="00E46333">
      <w:pPr>
        <w:pStyle w:val="BodyText"/>
        <w:spacing w:after="0" w:line="360" w:lineRule="auto"/>
        <w:jc w:val="center"/>
        <w:rPr>
          <w:rFonts w:ascii="Times New Roman" w:hAnsi="Times New Roman" w:cs="Times New Roman"/>
          <w:b/>
          <w:sz w:val="36"/>
          <w:szCs w:val="20"/>
          <w:u w:val="double"/>
        </w:rPr>
      </w:pPr>
      <w:r w:rsidRPr="00E46333">
        <w:rPr>
          <w:rFonts w:ascii="Times New Roman" w:eastAsia="Calibri" w:hAnsi="Times New Roman" w:cs="Times New Roman"/>
          <w:b/>
          <w:color w:val="1A1A1A"/>
          <w:sz w:val="36"/>
          <w:u w:val="double"/>
          <w:lang w:val="en-GB" w:eastAsia="en-GB"/>
        </w:rPr>
        <w:t>Part A:</w:t>
      </w:r>
      <w:r w:rsidRPr="00E46333">
        <w:rPr>
          <w:u w:val="double"/>
          <w:lang w:val="en-GB" w:eastAsia="en-GB"/>
        </w:rPr>
        <w:t xml:space="preserve"> </w:t>
      </w:r>
      <w:r w:rsidRPr="00E46333">
        <w:rPr>
          <w:rFonts w:ascii="Times New Roman" w:hAnsi="Times New Roman" w:cs="Times New Roman"/>
          <w:b/>
          <w:sz w:val="36"/>
          <w:szCs w:val="20"/>
          <w:u w:val="double"/>
        </w:rPr>
        <w:t>Project Proposal Poster</w:t>
      </w:r>
    </w:p>
    <w:p w14:paraId="6A207A25" w14:textId="77777777" w:rsidR="00E46333" w:rsidRPr="00E46333" w:rsidRDefault="00E46333" w:rsidP="00E46333">
      <w:pPr>
        <w:pStyle w:val="BodyText"/>
        <w:spacing w:after="0" w:line="360" w:lineRule="auto"/>
        <w:jc w:val="center"/>
        <w:rPr>
          <w:sz w:val="32"/>
          <w:u w:val="double"/>
          <w:lang w:val="en-GB" w:eastAsia="en-GB"/>
        </w:rPr>
      </w:pPr>
      <w:r>
        <w:rPr>
          <w:rFonts w:ascii="Times New Roman" w:hAnsi="Times New Roman" w:cs="Times New Roman"/>
          <w:b/>
          <w:bCs/>
          <w:noProof/>
          <w:color w:val="1F3864"/>
          <w:sz w:val="36"/>
          <w:szCs w:val="36"/>
        </w:rPr>
        <w:drawing>
          <wp:inline distT="0" distB="0" distL="0" distR="0" wp14:anchorId="4FA07920" wp14:editId="5A538E06">
            <wp:extent cx="8051800" cy="1272941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ntral_Transport_Hub_Poste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51800" cy="12729410"/>
                    </a:xfrm>
                    <a:prstGeom prst="rect">
                      <a:avLst/>
                    </a:prstGeom>
                  </pic:spPr>
                </pic:pic>
              </a:graphicData>
            </a:graphic>
          </wp:inline>
        </w:drawing>
      </w:r>
    </w:p>
    <w:p w14:paraId="7AFAC643" w14:textId="77777777" w:rsidR="00E46333" w:rsidRDefault="00E46333" w:rsidP="002C4A17">
      <w:pPr>
        <w:spacing w:after="80"/>
        <w:jc w:val="both"/>
        <w:rPr>
          <w:rFonts w:ascii="Times New Roman" w:hAnsi="Times New Roman" w:cs="Times New Roman"/>
          <w:b/>
          <w:bCs/>
          <w:color w:val="1F3864"/>
          <w:sz w:val="36"/>
          <w:szCs w:val="36"/>
        </w:rPr>
        <w:sectPr w:rsidR="00E46333" w:rsidSect="00013A32">
          <w:pgSz w:w="15840" w:h="24480" w:code="3"/>
          <w:pgMar w:top="1411" w:right="1411" w:bottom="1411" w:left="1411" w:header="706" w:footer="706" w:gutter="0"/>
          <w:cols w:space="720"/>
          <w:titlePg/>
          <w:docGrid w:linePitch="360"/>
        </w:sectPr>
      </w:pPr>
    </w:p>
    <w:p w14:paraId="0194FCF8" w14:textId="77777777" w:rsidR="00E46333" w:rsidRPr="00E46333" w:rsidRDefault="00E46333" w:rsidP="00E46333">
      <w:pPr>
        <w:pStyle w:val="BodyText"/>
        <w:spacing w:line="360" w:lineRule="auto"/>
        <w:jc w:val="center"/>
        <w:rPr>
          <w:rFonts w:ascii="Times New Roman" w:hAnsi="Times New Roman" w:cs="Times New Roman"/>
          <w:b/>
          <w:sz w:val="36"/>
          <w:szCs w:val="20"/>
          <w:u w:val="double"/>
        </w:rPr>
      </w:pPr>
      <w:r w:rsidRPr="00E46333">
        <w:rPr>
          <w:rFonts w:ascii="Times New Roman" w:eastAsia="Calibri" w:hAnsi="Times New Roman" w:cs="Times New Roman"/>
          <w:b/>
          <w:color w:val="1A1A1A"/>
          <w:sz w:val="36"/>
          <w:u w:val="double"/>
          <w:lang w:val="en-GB" w:eastAsia="en-GB"/>
        </w:rPr>
        <w:lastRenderedPageBreak/>
        <w:t>Part B:</w:t>
      </w:r>
      <w:r w:rsidRPr="00E46333">
        <w:rPr>
          <w:b/>
          <w:u w:val="double"/>
          <w:lang w:val="en-GB" w:eastAsia="en-GB"/>
        </w:rPr>
        <w:t xml:space="preserve"> </w:t>
      </w:r>
      <w:r w:rsidRPr="00E46333">
        <w:rPr>
          <w:rFonts w:ascii="Times New Roman" w:hAnsi="Times New Roman" w:cs="Times New Roman"/>
          <w:b/>
          <w:sz w:val="36"/>
          <w:szCs w:val="20"/>
          <w:u w:val="double"/>
        </w:rPr>
        <w:t>Poster Presentation Feedback</w:t>
      </w:r>
    </w:p>
    <w:p w14:paraId="4BB956B0" w14:textId="77777777" w:rsidR="00E46333" w:rsidRPr="00E46333" w:rsidRDefault="00E46333" w:rsidP="00E46333">
      <w:pPr>
        <w:spacing w:after="160" w:line="278" w:lineRule="auto"/>
        <w:jc w:val="both"/>
        <w:rPr>
          <w:rFonts w:ascii="Times New Roman" w:eastAsia="Times New Roman" w:hAnsi="Times New Roman" w:cs="Times New Roman"/>
          <w:b/>
          <w:bCs/>
          <w:color w:val="auto"/>
          <w:kern w:val="2"/>
          <w:sz w:val="28"/>
          <w:lang w:val="en-US" w:eastAsia="en-US"/>
          <w14:ligatures w14:val="standardContextual"/>
        </w:rPr>
      </w:pPr>
      <w:r w:rsidRPr="00E46333">
        <w:rPr>
          <w:rFonts w:ascii="Times New Roman" w:eastAsia="Times New Roman" w:hAnsi="Times New Roman" w:cs="Times New Roman"/>
          <w:b/>
          <w:bCs/>
          <w:color w:val="auto"/>
          <w:kern w:val="2"/>
          <w:sz w:val="28"/>
          <w:lang w:val="en-US" w:eastAsia="en-US"/>
          <w14:ligatures w14:val="standardContextual"/>
        </w:rPr>
        <w:t>Critical Reflection on Feedback</w:t>
      </w:r>
    </w:p>
    <w:p w14:paraId="203F784E" w14:textId="77777777" w:rsidR="00E46333" w:rsidRPr="00E46333" w:rsidRDefault="00E46333" w:rsidP="00E46333">
      <w:pPr>
        <w:spacing w:after="160" w:line="278" w:lineRule="auto"/>
        <w:jc w:val="both"/>
        <w:rPr>
          <w:rFonts w:ascii="Times New Roman" w:eastAsia="Times New Roman" w:hAnsi="Times New Roman" w:cs="Times New Roman"/>
          <w:color w:val="auto"/>
          <w:kern w:val="2"/>
          <w:lang w:val="en-US" w:eastAsia="en-US"/>
          <w14:ligatures w14:val="standardContextual"/>
        </w:rPr>
      </w:pPr>
      <w:r w:rsidRPr="00E46333">
        <w:rPr>
          <w:rFonts w:ascii="Times New Roman" w:eastAsia="Times New Roman" w:hAnsi="Times New Roman" w:cs="Times New Roman"/>
          <w:color w:val="auto"/>
          <w:kern w:val="2"/>
          <w:lang w:val="en-US" w:eastAsia="en-US"/>
          <w14:ligatures w14:val="standardContextual"/>
        </w:rPr>
        <w:t>After submission of my Project Proposal Poster for the redevelopment of the Central Transport Hub, I got formal feedback from my module tutor Dr. Kareem Folohunso Sani and informal observation feedback from my peers during the weekend session. The critical reflections on this feedback have helped me gain insight into the strengths of my submission and how to improve it in the final Project Management Plan (PMP). I know receiving and then understanding and applying evaluative feedback is a sign of good project leadership (Müller, Drouin and Sankaran, 2023).</w:t>
      </w:r>
    </w:p>
    <w:p w14:paraId="3DF70986" w14:textId="77777777" w:rsidR="00E46333" w:rsidRPr="00E46333" w:rsidRDefault="00E46333" w:rsidP="00E46333">
      <w:pPr>
        <w:spacing w:after="160" w:line="278" w:lineRule="auto"/>
        <w:jc w:val="both"/>
        <w:rPr>
          <w:rFonts w:ascii="Times New Roman" w:eastAsia="Times New Roman" w:hAnsi="Times New Roman" w:cs="Times New Roman"/>
          <w:b/>
          <w:bCs/>
          <w:color w:val="auto"/>
          <w:kern w:val="2"/>
          <w:sz w:val="28"/>
          <w:szCs w:val="28"/>
          <w:lang w:val="en-US" w:eastAsia="en-US"/>
          <w14:ligatures w14:val="standardContextual"/>
        </w:rPr>
      </w:pPr>
      <w:r w:rsidRPr="00E46333">
        <w:rPr>
          <w:rFonts w:ascii="Times New Roman" w:eastAsia="Times New Roman" w:hAnsi="Times New Roman" w:cs="Times New Roman"/>
          <w:b/>
          <w:bCs/>
          <w:color w:val="auto"/>
          <w:kern w:val="2"/>
          <w:sz w:val="28"/>
          <w:szCs w:val="28"/>
          <w:lang w:val="en-US" w:eastAsia="en-US"/>
          <w14:ligatures w14:val="standardContextual"/>
        </w:rPr>
        <w:t>Strengths Identified</w:t>
      </w:r>
    </w:p>
    <w:p w14:paraId="49353491" w14:textId="77777777" w:rsidR="00E46333" w:rsidRPr="00E46333" w:rsidRDefault="00E46333" w:rsidP="00E46333">
      <w:pPr>
        <w:spacing w:after="160" w:line="278" w:lineRule="auto"/>
        <w:jc w:val="both"/>
        <w:rPr>
          <w:rFonts w:ascii="Times New Roman" w:eastAsia="Times New Roman" w:hAnsi="Times New Roman" w:cs="Times New Roman"/>
          <w:color w:val="auto"/>
          <w:kern w:val="2"/>
          <w:lang w:val="en-US" w:eastAsia="en-US"/>
          <w14:ligatures w14:val="standardContextual"/>
        </w:rPr>
      </w:pPr>
      <w:r w:rsidRPr="00E46333">
        <w:rPr>
          <w:rFonts w:ascii="Times New Roman" w:eastAsia="Times New Roman" w:hAnsi="Times New Roman" w:cs="Times New Roman"/>
          <w:color w:val="auto"/>
          <w:kern w:val="2"/>
          <w:lang w:val="en-US" w:eastAsia="en-US"/>
          <w14:ligatures w14:val="standardContextual"/>
        </w:rPr>
        <w:t>Dr. Sani described the poster as an excellent and very professional presentation, which exhibited good application of the principles of project management. In particular, he said the use of SMART objectives, stakeholder analysis, risk management, governance, scheduling and resource planning and project controls demonstrated a complete grasp of theory and practice. This statement was especially important to note when considered with the challenge of integrating the PMBOK® and PRINCE2 frameworks into a single consistent delivery plan (PMI, 2021, AXELOS, 2023). The tutor also pointed to the good practice in the use of visual tools such as the stakeholder power–interest matrix, risk heat map, the project schedule and the KPI dashboard, as a means of communicating and displaying critical thinking. I think this was because I was conscious that I was trying to convey various theoretical frameworks like the stakeholder engagement model developed by Eskerod and Jepsen (2022) and the Green Book appraisal approach developed by HM Treasury (2022) into a visual way that would be accessible to an audience of professionals. The poster was also praised for the extensive academic and professional referencing for each section, which I believe was achieved by using existing frameworks and policy documents, such as the DfT's (2023) Transport Decarburization Plan, and the IPA's (2023) Annual Report on Major Projects. Dr. Sani then concluded that the work submitted was beyond the requirements of assessment and that it warranted a distinction which I received with pride and a commitment that I would continue to maintain the same level of standard in the final PMP.</w:t>
      </w:r>
    </w:p>
    <w:p w14:paraId="192E852E" w14:textId="77777777" w:rsidR="00E46333" w:rsidRPr="00E46333" w:rsidRDefault="00E46333" w:rsidP="00E46333">
      <w:pPr>
        <w:spacing w:after="160" w:line="278" w:lineRule="auto"/>
        <w:jc w:val="both"/>
        <w:rPr>
          <w:rFonts w:ascii="Times New Roman" w:eastAsia="Times New Roman" w:hAnsi="Times New Roman" w:cs="Times New Roman"/>
          <w:b/>
          <w:bCs/>
          <w:color w:val="auto"/>
          <w:kern w:val="2"/>
          <w:sz w:val="28"/>
          <w:szCs w:val="28"/>
          <w:lang w:val="en-US" w:eastAsia="en-US"/>
          <w14:ligatures w14:val="standardContextual"/>
        </w:rPr>
      </w:pPr>
      <w:r w:rsidRPr="00E46333">
        <w:rPr>
          <w:rFonts w:ascii="Times New Roman" w:eastAsia="Times New Roman" w:hAnsi="Times New Roman" w:cs="Times New Roman"/>
          <w:b/>
          <w:bCs/>
          <w:color w:val="auto"/>
          <w:kern w:val="2"/>
          <w:sz w:val="28"/>
          <w:szCs w:val="28"/>
          <w:lang w:val="en-US" w:eastAsia="en-US"/>
          <w14:ligatures w14:val="standardContextual"/>
        </w:rPr>
        <w:t>Areas for Improvement</w:t>
      </w:r>
    </w:p>
    <w:p w14:paraId="28B7FBC5" w14:textId="77777777" w:rsidR="00E46333" w:rsidRPr="00E46333" w:rsidRDefault="00E46333" w:rsidP="00E46333">
      <w:pPr>
        <w:spacing w:after="160" w:line="278" w:lineRule="auto"/>
        <w:jc w:val="both"/>
        <w:rPr>
          <w:rFonts w:ascii="Times New Roman" w:eastAsia="Times New Roman" w:hAnsi="Times New Roman" w:cs="Times New Roman"/>
          <w:color w:val="auto"/>
          <w:kern w:val="2"/>
          <w:lang w:val="en-US" w:eastAsia="en-US"/>
          <w14:ligatures w14:val="standardContextual"/>
        </w:rPr>
      </w:pPr>
      <w:r w:rsidRPr="00E46333">
        <w:rPr>
          <w:rFonts w:ascii="Times New Roman" w:eastAsia="Times New Roman" w:hAnsi="Times New Roman" w:cs="Times New Roman"/>
          <w:color w:val="auto"/>
          <w:kern w:val="2"/>
          <w:lang w:val="en-US" w:eastAsia="en-US"/>
          <w14:ligatures w14:val="standardContextual"/>
        </w:rPr>
        <w:t>The only suggested improvement found was for some parts of the reading to be simplified to make it easier to read in a poster presentation setting. To be honest, I can say that some parts of this document became too cluttered and dense to be easily understood in a live presentation especially the Risk Register and Resources section due to the desire to be comprehensive. In his words, Kerzner (2022) warns that a project's documentation can be too detailed and analytical, which may minimize stakeholder involvement if the detail is at the expense of clarity.</w:t>
      </w:r>
    </w:p>
    <w:p w14:paraId="6783AEAB" w14:textId="77777777" w:rsidR="005A5C71" w:rsidRDefault="00E46333" w:rsidP="00274EDB">
      <w:pPr>
        <w:spacing w:after="160" w:line="278" w:lineRule="auto"/>
        <w:jc w:val="both"/>
        <w:rPr>
          <w:rFonts w:ascii="Times New Roman" w:eastAsia="Times New Roman" w:hAnsi="Times New Roman" w:cs="Times New Roman"/>
          <w:b/>
          <w:bCs/>
          <w:color w:val="auto"/>
          <w:kern w:val="2"/>
          <w:sz w:val="28"/>
          <w:szCs w:val="28"/>
          <w:lang w:val="en-US" w:eastAsia="en-US"/>
          <w14:ligatures w14:val="standardContextual"/>
        </w:rPr>
      </w:pPr>
      <w:r w:rsidRPr="00E46333">
        <w:rPr>
          <w:rFonts w:ascii="Times New Roman" w:eastAsia="Times New Roman" w:hAnsi="Times New Roman" w:cs="Times New Roman"/>
          <w:b/>
          <w:bCs/>
          <w:color w:val="auto"/>
          <w:kern w:val="2"/>
          <w:sz w:val="28"/>
          <w:szCs w:val="28"/>
          <w:lang w:val="en-US" w:eastAsia="en-US"/>
          <w14:ligatures w14:val="standardContextual"/>
        </w:rPr>
        <w:t>Influence on the Final Project Management Plan</w:t>
      </w:r>
    </w:p>
    <w:p w14:paraId="0A3BBA7D" w14:textId="2F68EE1E" w:rsidR="00274EDB" w:rsidRPr="005A5C71" w:rsidRDefault="00274EDB" w:rsidP="00274EDB">
      <w:pPr>
        <w:spacing w:after="160" w:line="278" w:lineRule="auto"/>
        <w:jc w:val="both"/>
        <w:rPr>
          <w:rFonts w:ascii="Times New Roman" w:eastAsia="Times New Roman" w:hAnsi="Times New Roman" w:cs="Times New Roman"/>
          <w:b/>
          <w:bCs/>
          <w:color w:val="auto"/>
          <w:kern w:val="2"/>
          <w:sz w:val="28"/>
          <w:szCs w:val="28"/>
          <w:lang w:val="en-US" w:eastAsia="en-US"/>
          <w14:ligatures w14:val="standardContextual"/>
        </w:rPr>
      </w:pPr>
      <w:r w:rsidRPr="00274EDB">
        <w:rPr>
          <w:rFonts w:ascii="Times New Roman" w:eastAsia="Times New Roman" w:hAnsi="Times New Roman" w:cs="Times New Roman"/>
          <w:color w:val="auto"/>
          <w:kern w:val="2"/>
          <w:lang w:eastAsia="en-US"/>
          <w14:ligatures w14:val="standardContextual"/>
        </w:rPr>
        <w:lastRenderedPageBreak/>
        <w:t>This feedback directly influenced the final PMP decisions. I improved the risk section by clearly separating risk owners, probability scores, and mitigations, following Turner’s (2021) structured communication approach. I also strengthened the resource allocation and financial contingency rationale using HM Treasury’s (2022) guidance on proportionate appraisal. Additionally, Ward and Daniel’s (2022) focus on clear benefits communication helped enhance the benefits realisation section. Overall, the feedback improved both the final document and my reflective practice as an emerging project management professional.</w:t>
      </w:r>
    </w:p>
    <w:p w14:paraId="42206111" w14:textId="77777777" w:rsidR="00274EDB" w:rsidRPr="00E46333" w:rsidRDefault="00274EDB" w:rsidP="00E46333">
      <w:pPr>
        <w:spacing w:after="160" w:line="278" w:lineRule="auto"/>
        <w:jc w:val="both"/>
        <w:rPr>
          <w:rFonts w:ascii="Times New Roman" w:eastAsia="Times New Roman" w:hAnsi="Times New Roman" w:cs="Times New Roman"/>
          <w:color w:val="auto"/>
          <w:kern w:val="2"/>
          <w:lang w:val="en-US" w:eastAsia="en-US"/>
          <w14:ligatures w14:val="standardContextual"/>
        </w:rPr>
      </w:pPr>
    </w:p>
    <w:p w14:paraId="071CA266" w14:textId="77777777" w:rsidR="001D7923" w:rsidRPr="00E46333" w:rsidRDefault="001D7923" w:rsidP="00E46333">
      <w:pPr>
        <w:pStyle w:val="BodyText"/>
        <w:spacing w:after="0" w:line="360" w:lineRule="auto"/>
        <w:rPr>
          <w:rFonts w:ascii="Times New Roman" w:hAnsi="Times New Roman" w:cs="Times New Roman"/>
          <w:b/>
          <w:sz w:val="36"/>
          <w:szCs w:val="20"/>
          <w:u w:val="double"/>
        </w:rPr>
      </w:pPr>
      <w:r>
        <w:rPr>
          <w:rFonts w:ascii="Times New Roman" w:hAnsi="Times New Roman" w:cs="Times New Roman"/>
          <w:b/>
          <w:bCs/>
          <w:color w:val="1F3864"/>
          <w:sz w:val="36"/>
          <w:szCs w:val="36"/>
        </w:rPr>
        <w:br w:type="page"/>
      </w:r>
    </w:p>
    <w:p w14:paraId="708EE750" w14:textId="77777777" w:rsidR="003D0990" w:rsidRPr="003D0990" w:rsidRDefault="003D0990" w:rsidP="003D0990">
      <w:pPr>
        <w:pStyle w:val="BodyText"/>
        <w:spacing w:line="360" w:lineRule="auto"/>
        <w:jc w:val="center"/>
        <w:rPr>
          <w:b/>
          <w:u w:val="double"/>
          <w:lang w:val="en-GB" w:eastAsia="en-GB"/>
        </w:rPr>
      </w:pPr>
      <w:r w:rsidRPr="003D0990">
        <w:rPr>
          <w:rFonts w:ascii="Times New Roman" w:eastAsia="Calibri" w:hAnsi="Times New Roman" w:cs="Times New Roman"/>
          <w:b/>
          <w:color w:val="1A1A1A"/>
          <w:sz w:val="36"/>
          <w:u w:val="double"/>
          <w:lang w:val="en-GB" w:eastAsia="en-GB"/>
        </w:rPr>
        <w:lastRenderedPageBreak/>
        <w:t xml:space="preserve">Part C: </w:t>
      </w:r>
      <w:r w:rsidRPr="003D0990">
        <w:rPr>
          <w:rFonts w:ascii="Times New Roman" w:hAnsi="Times New Roman" w:cs="Times New Roman"/>
          <w:b/>
          <w:sz w:val="36"/>
          <w:szCs w:val="20"/>
          <w:u w:val="double"/>
        </w:rPr>
        <w:t>Project Management Plan</w:t>
      </w:r>
      <w:r w:rsidRPr="003D0990">
        <w:rPr>
          <w:rFonts w:ascii="Times New Roman" w:hAnsi="Times New Roman" w:cs="Times New Roman"/>
          <w:b/>
          <w:sz w:val="36"/>
          <w:u w:val="double"/>
        </w:rPr>
        <w:t xml:space="preserve"> -</w:t>
      </w:r>
      <w:r w:rsidRPr="003D0990">
        <w:rPr>
          <w:rFonts w:ascii="Times New Roman" w:hAnsi="Times New Roman" w:cs="Times New Roman"/>
          <w:b/>
          <w:sz w:val="36"/>
          <w:szCs w:val="20"/>
          <w:u w:val="double"/>
        </w:rPr>
        <w:t xml:space="preserve"> </w:t>
      </w:r>
      <w:r w:rsidRPr="003D0990">
        <w:rPr>
          <w:rFonts w:ascii="Times New Roman" w:hAnsi="Times New Roman" w:cs="Times New Roman"/>
          <w:b/>
          <w:sz w:val="36"/>
          <w:u w:val="double"/>
        </w:rPr>
        <w:t>Redevelopment of the Central Transport Hub</w:t>
      </w:r>
    </w:p>
    <w:p w14:paraId="354CD41C" w14:textId="77777777" w:rsidR="001D7923" w:rsidRPr="00F80DEC" w:rsidRDefault="001D7923" w:rsidP="003D0990">
      <w:pPr>
        <w:pBdr>
          <w:bottom w:val="single" w:sz="4" w:space="1" w:color="auto"/>
        </w:pBdr>
        <w:spacing w:after="600"/>
        <w:jc w:val="both"/>
        <w:rPr>
          <w:rFonts w:ascii="Times New Roman" w:hAnsi="Times New Roman" w:cs="Times New Roman"/>
          <w:color w:val="000000" w:themeColor="text1"/>
        </w:rPr>
      </w:pPr>
    </w:p>
    <w:p w14:paraId="5F720D50" w14:textId="77777777" w:rsidR="006564FF" w:rsidRPr="00F80DEC" w:rsidRDefault="0084233A" w:rsidP="00F80DEC">
      <w:pPr>
        <w:spacing w:before="420" w:after="200"/>
        <w:jc w:val="center"/>
        <w:rPr>
          <w:rFonts w:ascii="Times New Roman" w:hAnsi="Times New Roman" w:cs="Times New Roman"/>
          <w:color w:val="000000" w:themeColor="text1"/>
          <w:sz w:val="32"/>
        </w:rPr>
      </w:pPr>
      <w:r w:rsidRPr="00F80DEC">
        <w:rPr>
          <w:rFonts w:ascii="Times New Roman" w:hAnsi="Times New Roman" w:cs="Times New Roman"/>
          <w:b/>
          <w:bCs/>
          <w:color w:val="000000" w:themeColor="text1"/>
          <w:sz w:val="36"/>
          <w:szCs w:val="28"/>
        </w:rPr>
        <w:t>TABLE OF CONTENTS</w:t>
      </w:r>
    </w:p>
    <w:p w14:paraId="3575996B"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1. Introduction                                                                                                     </w:t>
      </w:r>
    </w:p>
    <w:p w14:paraId="7B8B722A"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2. Project Description                                                                                       </w:t>
      </w:r>
    </w:p>
    <w:p w14:paraId="2FA79C5C"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3. Project Scope                                                                                                              </w:t>
      </w:r>
    </w:p>
    <w:p w14:paraId="4C264CDD"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4. Work Breakdown Structure (WBS)                                                                      </w:t>
      </w:r>
    </w:p>
    <w:p w14:paraId="745F9326"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5. Quad Chart                                                                                                           </w:t>
      </w:r>
    </w:p>
    <w:p w14:paraId="119D02FB"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6. Gantt Chart and Project Schedule                                                                 </w:t>
      </w:r>
    </w:p>
    <w:p w14:paraId="4F88197F"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7. Stakeholder Involvement                                                                               </w:t>
      </w:r>
    </w:p>
    <w:p w14:paraId="3346ED76"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8. Resource Allocation                                                                                  </w:t>
      </w:r>
    </w:p>
    <w:p w14:paraId="431096EB"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9. Risk Analysis                                                                                                   </w:t>
      </w:r>
    </w:p>
    <w:p w14:paraId="6E7A810C" w14:textId="77777777" w:rsidR="006564FF" w:rsidRPr="00F80DEC" w:rsidRDefault="0084233A" w:rsidP="00F80DEC">
      <w:pPr>
        <w:spacing w:line="360" w:lineRule="auto"/>
        <w:rPr>
          <w:rFonts w:ascii="Times New Roman" w:hAnsi="Times New Roman" w:cs="Times New Roman"/>
          <w:sz w:val="28"/>
        </w:rPr>
      </w:pPr>
      <w:r w:rsidRPr="00F80DEC">
        <w:rPr>
          <w:rFonts w:ascii="Times New Roman" w:hAnsi="Times New Roman" w:cs="Times New Roman"/>
          <w:sz w:val="28"/>
        </w:rPr>
        <w:t>10. Conclusion                                                                                                   </w:t>
      </w:r>
    </w:p>
    <w:p w14:paraId="6CB594BB" w14:textId="77777777" w:rsidR="006564FF" w:rsidRPr="00F80DEC" w:rsidRDefault="00F31866" w:rsidP="00F80DEC">
      <w:pPr>
        <w:spacing w:line="360" w:lineRule="auto"/>
        <w:rPr>
          <w:rFonts w:ascii="Times New Roman" w:hAnsi="Times New Roman" w:cs="Times New Roman"/>
          <w:sz w:val="28"/>
        </w:rPr>
      </w:pPr>
      <w:r w:rsidRPr="00F80DEC">
        <w:rPr>
          <w:rFonts w:ascii="Times New Roman" w:hAnsi="Times New Roman" w:cs="Times New Roman"/>
          <w:sz w:val="28"/>
        </w:rPr>
        <w:t xml:space="preserve">11 </w:t>
      </w:r>
      <w:r w:rsidR="0084233A" w:rsidRPr="00F80DEC">
        <w:rPr>
          <w:rFonts w:ascii="Times New Roman" w:hAnsi="Times New Roman" w:cs="Times New Roman"/>
          <w:sz w:val="28"/>
        </w:rPr>
        <w:t>References                                                                        </w:t>
      </w:r>
      <w:r w:rsidRPr="00F80DEC">
        <w:rPr>
          <w:rFonts w:ascii="Times New Roman" w:hAnsi="Times New Roman" w:cs="Times New Roman"/>
          <w:sz w:val="28"/>
        </w:rPr>
        <w:t>                               </w:t>
      </w:r>
    </w:p>
    <w:p w14:paraId="0D17AF04" w14:textId="77777777" w:rsidR="006564FF" w:rsidRDefault="006564FF" w:rsidP="002C4A17">
      <w:pPr>
        <w:spacing w:after="400"/>
        <w:jc w:val="both"/>
        <w:rPr>
          <w:rFonts w:ascii="Times New Roman" w:hAnsi="Times New Roman" w:cs="Times New Roman"/>
        </w:rPr>
      </w:pPr>
    </w:p>
    <w:p w14:paraId="60A1E147" w14:textId="77777777" w:rsidR="00F80DEC" w:rsidRDefault="00F80DEC" w:rsidP="002C4A17">
      <w:pPr>
        <w:spacing w:after="400"/>
        <w:jc w:val="both"/>
        <w:rPr>
          <w:rFonts w:ascii="Times New Roman" w:hAnsi="Times New Roman" w:cs="Times New Roman"/>
        </w:rPr>
      </w:pPr>
    </w:p>
    <w:p w14:paraId="3D4C3CCE" w14:textId="77777777" w:rsidR="00F80DEC" w:rsidRDefault="00F80DEC" w:rsidP="002C4A17">
      <w:pPr>
        <w:spacing w:after="400"/>
        <w:jc w:val="both"/>
        <w:rPr>
          <w:rFonts w:ascii="Times New Roman" w:hAnsi="Times New Roman" w:cs="Times New Roman"/>
        </w:rPr>
      </w:pPr>
    </w:p>
    <w:p w14:paraId="30C586C6" w14:textId="77777777" w:rsidR="00F80DEC" w:rsidRDefault="00F80DEC" w:rsidP="002C4A17">
      <w:pPr>
        <w:spacing w:after="400"/>
        <w:jc w:val="both"/>
        <w:rPr>
          <w:rFonts w:ascii="Times New Roman" w:hAnsi="Times New Roman" w:cs="Times New Roman"/>
        </w:rPr>
      </w:pPr>
    </w:p>
    <w:p w14:paraId="24D02EE6" w14:textId="77777777" w:rsidR="00F80DEC" w:rsidRDefault="00F80DEC" w:rsidP="002C4A17">
      <w:pPr>
        <w:spacing w:after="400"/>
        <w:jc w:val="both"/>
        <w:rPr>
          <w:rFonts w:ascii="Times New Roman" w:hAnsi="Times New Roman" w:cs="Times New Roman"/>
        </w:rPr>
      </w:pPr>
    </w:p>
    <w:p w14:paraId="61A406A5" w14:textId="77777777" w:rsidR="00F80DEC" w:rsidRDefault="00F80DEC" w:rsidP="002C4A17">
      <w:pPr>
        <w:spacing w:after="400"/>
        <w:jc w:val="both"/>
        <w:rPr>
          <w:rFonts w:ascii="Times New Roman" w:hAnsi="Times New Roman" w:cs="Times New Roman"/>
        </w:rPr>
      </w:pPr>
    </w:p>
    <w:p w14:paraId="6C9FC0A7" w14:textId="77777777" w:rsidR="00F80DEC" w:rsidRDefault="00F80DEC" w:rsidP="002C4A17">
      <w:pPr>
        <w:spacing w:after="400"/>
        <w:jc w:val="both"/>
        <w:rPr>
          <w:rFonts w:ascii="Times New Roman" w:hAnsi="Times New Roman" w:cs="Times New Roman"/>
        </w:rPr>
      </w:pPr>
    </w:p>
    <w:p w14:paraId="47AEC945" w14:textId="77777777" w:rsidR="00F80DEC" w:rsidRDefault="00F80DEC" w:rsidP="002C4A17">
      <w:pPr>
        <w:spacing w:after="400"/>
        <w:jc w:val="both"/>
        <w:rPr>
          <w:rFonts w:ascii="Times New Roman" w:hAnsi="Times New Roman" w:cs="Times New Roman"/>
        </w:rPr>
      </w:pPr>
    </w:p>
    <w:p w14:paraId="176C269F" w14:textId="77777777" w:rsidR="003D0990" w:rsidRPr="002C4A17" w:rsidRDefault="003D0990" w:rsidP="002C4A17">
      <w:pPr>
        <w:spacing w:after="400"/>
        <w:jc w:val="both"/>
        <w:rPr>
          <w:rFonts w:ascii="Times New Roman" w:hAnsi="Times New Roman" w:cs="Times New Roman"/>
        </w:rPr>
      </w:pPr>
    </w:p>
    <w:p w14:paraId="2B127156" w14:textId="77777777" w:rsidR="002C4A17" w:rsidRPr="00F31866" w:rsidRDefault="00F31866"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lastRenderedPageBreak/>
        <w:t>INTRODUCTION</w:t>
      </w:r>
    </w:p>
    <w:p w14:paraId="7D92C655" w14:textId="77777777" w:rsidR="00F31866" w:rsidRPr="001E4219" w:rsidRDefault="00F31866" w:rsidP="001E4219">
      <w:pPr>
        <w:rPr>
          <w:rFonts w:ascii="Times New Roman" w:hAnsi="Times New Roman" w:cs="Times New Roman"/>
          <w:b/>
          <w:sz w:val="28"/>
        </w:rPr>
      </w:pPr>
    </w:p>
    <w:p w14:paraId="02CF9FC5" w14:textId="77777777" w:rsidR="002C4A17"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 xml:space="preserve">In November 2025, a huge transport hub in a major city was closed, creating a big urban infrastructure crisis that has required a systematic and evidence-based project management solution. All the information contained in this report was produced in accordance with accepted principles, frameworks and methodologies (PMI, 2021) of Project Management and forms part of the Project Management Plan (PMP) for the </w:t>
      </w:r>
      <w:r w:rsidRPr="002C4A17">
        <w:rPr>
          <w:rFonts w:ascii="Times New Roman" w:hAnsi="Times New Roman" w:cs="Times New Roman"/>
          <w:b/>
        </w:rPr>
        <w:t>Redevelopment of the Central Transport Hub</w:t>
      </w:r>
      <w:r w:rsidRPr="002C4A17">
        <w:rPr>
          <w:rFonts w:ascii="Times New Roman" w:hAnsi="Times New Roman" w:cs="Times New Roman"/>
        </w:rPr>
        <w:t>. The plan includes a governance and delivery plan to keep the time, cost, scope and quality goals on track from inception to commissioning (Kerzner, 2022).</w:t>
      </w:r>
    </w:p>
    <w:p w14:paraId="723109D4" w14:textId="77777777" w:rsidR="002C4A17"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The hub's closure has resulted in a profound impact on the lives of commuters, the supply chains, and businesses in the area, leading to significant economic losses (Department for Transport, 2023). To implement infrastructure projects of this magnitude, a rigorous approach to project management is required to manage the conflicted interests of stakeholders, resource limitations and regulatory obligations (Turner, 2021).</w:t>
      </w:r>
    </w:p>
    <w:p w14:paraId="5E52EBDF" w14:textId="77777777" w:rsidR="006564FF"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Four alternate project options are considered in this report, and a negative review of each is presented, with a positive review of full redevelopment as the best solution. The report is presented in ten sections covering: project description and scope, a Work Breakdown Structure (WBS), a Quad Chart, a Gantt chart, stakeholder analysis, resource allocation and a detailed risk register (APM, 2022).</w:t>
      </w:r>
    </w:p>
    <w:p w14:paraId="2E2FC379" w14:textId="77777777" w:rsidR="002C4A17" w:rsidRDefault="00F31866" w:rsidP="00F31866">
      <w:pPr>
        <w:pStyle w:val="ListParagraph"/>
        <w:numPr>
          <w:ilvl w:val="0"/>
          <w:numId w:val="3"/>
        </w:numPr>
        <w:spacing w:line="276" w:lineRule="auto"/>
        <w:rPr>
          <w:rFonts w:ascii="Times New Roman" w:hAnsi="Times New Roman" w:cs="Times New Roman"/>
          <w:b/>
          <w:sz w:val="28"/>
        </w:rPr>
      </w:pPr>
      <w:r w:rsidRPr="00F31866">
        <w:rPr>
          <w:rFonts w:ascii="Times New Roman" w:hAnsi="Times New Roman" w:cs="Times New Roman"/>
          <w:b/>
          <w:sz w:val="28"/>
        </w:rPr>
        <w:t xml:space="preserve"> PROJECT DESCRIPTION</w:t>
      </w:r>
    </w:p>
    <w:p w14:paraId="796ABD4A" w14:textId="77777777" w:rsidR="00F31866" w:rsidRPr="00F31866" w:rsidRDefault="00F31866" w:rsidP="00F31866">
      <w:pPr>
        <w:spacing w:line="276" w:lineRule="auto"/>
        <w:rPr>
          <w:rFonts w:ascii="Times New Roman" w:hAnsi="Times New Roman" w:cs="Times New Roman"/>
          <w:b/>
          <w:sz w:val="28"/>
        </w:rPr>
      </w:pPr>
    </w:p>
    <w:p w14:paraId="0EECB2E7" w14:textId="77777777" w:rsidR="002C4A17"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The Central Transport Hub, a structure created four decades ago, was sanitized after it came under inspection and was found to have serious shortcomings in compliance with safety standards, accessibility and operational capacity. Its closure is indicative of an overall failure at a systemic level with broad socio-economic implications, since transport infrastructure is a key factor for urban productivity (Infrastructure and Projects Authority, 2023).</w:t>
      </w:r>
    </w:p>
    <w:p w14:paraId="2997F481" w14:textId="77777777" w:rsidR="002C4A17"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Four strategic options were considered: temporary transport solutions, digital modernisation alone, standalone sustainable redesign and redevelopment. The first three do not cover all aspects of need at once. The unique nature of full redevelopment is its ability to combine structural safety, environmental sustainability, digital modernisation and inclusive design in one programme, providing the best public investment return (ROPI) (APM, 2022; HM Treasury, 2022).</w:t>
      </w:r>
    </w:p>
    <w:p w14:paraId="458BAF43" w14:textId="77777777" w:rsidR="006564FF" w:rsidRPr="002C4A17" w:rsidRDefault="002C4A17" w:rsidP="00F31866">
      <w:pPr>
        <w:spacing w:after="160" w:line="276" w:lineRule="auto"/>
        <w:jc w:val="both"/>
        <w:rPr>
          <w:rFonts w:ascii="Times New Roman" w:hAnsi="Times New Roman" w:cs="Times New Roman"/>
        </w:rPr>
      </w:pPr>
      <w:r w:rsidRPr="002C4A17">
        <w:rPr>
          <w:rFonts w:ascii="Times New Roman" w:hAnsi="Times New Roman" w:cs="Times New Roman"/>
        </w:rPr>
        <w:t>It aims to: demolish and rebuild the hub to meet current and up-to-date safety and structural standards; integrate multimodal rail, bus and freight connections; provide accessible facilities that meet the requirements of the Equality Act 2010; incorporate green infrastructure and low-carbon technologies; and install intelligent transport management systems. Deliverables are to be a fully functional multimodal interchange, digital passenger information infrastructure, energy efficient installations and a compliant accessibility framework. The project is strategically aligned with national transport decarbonisation targets (DT, 2023), and to the economic regeneration of the area, through the restoration of supply chain connectivity and inv</w:t>
      </w:r>
      <w:r w:rsidR="00F31866">
        <w:rPr>
          <w:rFonts w:ascii="Times New Roman" w:hAnsi="Times New Roman" w:cs="Times New Roman"/>
        </w:rPr>
        <w:t>estor confidence. (Pinto, 2020)</w:t>
      </w:r>
    </w:p>
    <w:p w14:paraId="1ACF723C" w14:textId="77777777" w:rsidR="006564FF" w:rsidRDefault="0084233A"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lastRenderedPageBreak/>
        <w:t>PROJECT SCOPE</w:t>
      </w:r>
    </w:p>
    <w:p w14:paraId="235E39EC" w14:textId="77777777" w:rsidR="00F31866" w:rsidRPr="00F31866" w:rsidRDefault="00F31866" w:rsidP="00F31866">
      <w:pPr>
        <w:pStyle w:val="ListParagraph"/>
        <w:ind w:left="360"/>
        <w:rPr>
          <w:rFonts w:ascii="Times New Roman" w:hAnsi="Times New Roman" w:cs="Times New Roman"/>
          <w:b/>
          <w:sz w:val="28"/>
        </w:rPr>
      </w:pPr>
    </w:p>
    <w:p w14:paraId="70E0C934" w14:textId="77777777" w:rsidR="002C4A17" w:rsidRDefault="002C4A17" w:rsidP="002C4A17">
      <w:pPr>
        <w:spacing w:after="160" w:line="360" w:lineRule="auto"/>
        <w:jc w:val="both"/>
        <w:rPr>
          <w:rFonts w:ascii="Times New Roman" w:hAnsi="Times New Roman" w:cs="Times New Roman"/>
        </w:rPr>
      </w:pPr>
      <w:r w:rsidRPr="002C4A17">
        <w:rPr>
          <w:rFonts w:ascii="Times New Roman" w:hAnsi="Times New Roman" w:cs="Times New Roman"/>
        </w:rPr>
        <w:t>Proper scope management involves delivering agreed upon work within the project and avoiding any unauthorized scope creep that can cause overrun in cost and schedule (PMI, 2021). A Scope Statement is a formal definition of the scope and the yardstick used to evaluate all change requests, which becom</w:t>
      </w:r>
      <w:r>
        <w:rPr>
          <w:rFonts w:ascii="Times New Roman" w:hAnsi="Times New Roman" w:cs="Times New Roman"/>
        </w:rPr>
        <w:t>es the baseline (AXELOS, 2023).</w:t>
      </w:r>
    </w:p>
    <w:p w14:paraId="7A93D21D" w14:textId="77777777" w:rsidR="006564FF" w:rsidRPr="002C4A17" w:rsidRDefault="0084233A" w:rsidP="002C4A17">
      <w:pPr>
        <w:spacing w:before="260" w:after="120"/>
        <w:jc w:val="both"/>
        <w:rPr>
          <w:rFonts w:ascii="Times New Roman" w:hAnsi="Times New Roman" w:cs="Times New Roman"/>
          <w:color w:val="000000" w:themeColor="text1"/>
        </w:rPr>
      </w:pPr>
      <w:r w:rsidRPr="002C4A17">
        <w:rPr>
          <w:rFonts w:ascii="Times New Roman" w:hAnsi="Times New Roman" w:cs="Times New Roman"/>
          <w:b/>
          <w:bCs/>
          <w:color w:val="000000" w:themeColor="text1"/>
        </w:rPr>
        <w:t>Scope Statement – In Scope</w:t>
      </w:r>
    </w:p>
    <w:p w14:paraId="13F0970D"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Demolition</w:t>
      </w:r>
      <w:r w:rsidRPr="002C4A17">
        <w:rPr>
          <w:rFonts w:ascii="Times New Roman" w:hAnsi="Times New Roman" w:cs="Times New Roman"/>
        </w:rPr>
        <w:t xml:space="preserve"> of existing transport hub structures and site clearance</w:t>
      </w:r>
    </w:p>
    <w:p w14:paraId="0FDF9296"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Reconstruction</w:t>
      </w:r>
      <w:r w:rsidRPr="002C4A17">
        <w:rPr>
          <w:rFonts w:ascii="Times New Roman" w:hAnsi="Times New Roman" w:cs="Times New Roman"/>
        </w:rPr>
        <w:t xml:space="preserve"> of the multimodal interchange facility</w:t>
      </w:r>
    </w:p>
    <w:p w14:paraId="0F073533"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Modernisation</w:t>
      </w:r>
      <w:r w:rsidRPr="002C4A17">
        <w:rPr>
          <w:rFonts w:ascii="Times New Roman" w:hAnsi="Times New Roman" w:cs="Times New Roman"/>
        </w:rPr>
        <w:t xml:space="preserve"> of rail, bus, and freight infrastructure and platforms</w:t>
      </w:r>
    </w:p>
    <w:p w14:paraId="22909B8E"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Accessibility</w:t>
      </w:r>
      <w:r w:rsidRPr="002C4A17">
        <w:rPr>
          <w:rFonts w:ascii="Times New Roman" w:hAnsi="Times New Roman" w:cs="Times New Roman"/>
        </w:rPr>
        <w:t xml:space="preserve"> improvements in compliance with the Equality Act 2010</w:t>
      </w:r>
    </w:p>
    <w:p w14:paraId="20AC48A4"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Integration</w:t>
      </w:r>
      <w:r w:rsidRPr="002C4A17">
        <w:rPr>
          <w:rFonts w:ascii="Times New Roman" w:hAnsi="Times New Roman" w:cs="Times New Roman"/>
        </w:rPr>
        <w:t xml:space="preserve"> of digital transport management and passenger information systems</w:t>
      </w:r>
    </w:p>
    <w:p w14:paraId="0C6B7BF2"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Installation</w:t>
      </w:r>
      <w:r w:rsidRPr="002C4A17">
        <w:rPr>
          <w:rFonts w:ascii="Times New Roman" w:hAnsi="Times New Roman" w:cs="Times New Roman"/>
        </w:rPr>
        <w:t xml:space="preserve"> of sustainable energy systems, including solar panels and green roofing</w:t>
      </w:r>
    </w:p>
    <w:p w14:paraId="127EA784"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Stakeholder</w:t>
      </w:r>
      <w:r w:rsidRPr="002C4A17">
        <w:rPr>
          <w:rFonts w:ascii="Times New Roman" w:hAnsi="Times New Roman" w:cs="Times New Roman"/>
        </w:rPr>
        <w:t xml:space="preserve"> engagement, consultation, and community liaison programme</w:t>
      </w:r>
    </w:p>
    <w:p w14:paraId="1FED3A10" w14:textId="77777777" w:rsidR="006564FF" w:rsidRPr="002C4A17" w:rsidRDefault="0084233A" w:rsidP="004172A6">
      <w:pPr>
        <w:spacing w:before="260" w:after="120"/>
        <w:rPr>
          <w:rFonts w:ascii="Times New Roman" w:hAnsi="Times New Roman" w:cs="Times New Roman"/>
          <w:color w:val="000000" w:themeColor="text1"/>
        </w:rPr>
      </w:pPr>
      <w:r w:rsidRPr="002C4A17">
        <w:rPr>
          <w:rFonts w:ascii="Times New Roman" w:hAnsi="Times New Roman" w:cs="Times New Roman"/>
          <w:b/>
          <w:bCs/>
          <w:color w:val="000000" w:themeColor="text1"/>
        </w:rPr>
        <w:t>Scope Statement – Out of Scope</w:t>
      </w:r>
    </w:p>
    <w:p w14:paraId="6AD939BF"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Residential</w:t>
      </w:r>
      <w:r w:rsidRPr="002C4A17">
        <w:rPr>
          <w:rFonts w:ascii="Times New Roman" w:hAnsi="Times New Roman" w:cs="Times New Roman"/>
        </w:rPr>
        <w:t xml:space="preserve"> property development within or adjacent to the site</w:t>
      </w:r>
    </w:p>
    <w:p w14:paraId="2A894E99"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Commercial</w:t>
      </w:r>
      <w:r w:rsidRPr="002C4A17">
        <w:rPr>
          <w:rFonts w:ascii="Times New Roman" w:hAnsi="Times New Roman" w:cs="Times New Roman"/>
        </w:rPr>
        <w:t xml:space="preserve"> real estate expansion or retail concessions beyond transport-related requirements</w:t>
      </w:r>
    </w:p>
    <w:p w14:paraId="709900F2" w14:textId="77777777" w:rsidR="006564FF" w:rsidRPr="002C4A17" w:rsidRDefault="0084233A" w:rsidP="004172A6">
      <w:pPr>
        <w:spacing w:after="80" w:line="300" w:lineRule="auto"/>
        <w:ind w:left="540" w:hanging="280"/>
        <w:rPr>
          <w:rFonts w:ascii="Times New Roman" w:hAnsi="Times New Roman" w:cs="Times New Roman"/>
        </w:rPr>
      </w:pPr>
      <w:r w:rsidRPr="002C4A17">
        <w:rPr>
          <w:rFonts w:ascii="Times New Roman" w:hAnsi="Times New Roman" w:cs="Times New Roman"/>
        </w:rPr>
        <w:t xml:space="preserve">  </w:t>
      </w:r>
      <w:r w:rsidR="002C4A17" w:rsidRPr="002C4A17">
        <w:rPr>
          <w:rFonts w:ascii="Times New Roman" w:hAnsi="Times New Roman" w:cs="Times New Roman"/>
        </w:rPr>
        <w:t>• Unrelated</w:t>
      </w:r>
      <w:r w:rsidRPr="002C4A17">
        <w:rPr>
          <w:rFonts w:ascii="Times New Roman" w:hAnsi="Times New Roman" w:cs="Times New Roman"/>
        </w:rPr>
        <w:t xml:space="preserve"> urban regeneration initiatives in adjacent neighbourhoods</w:t>
      </w:r>
    </w:p>
    <w:p w14:paraId="38C63B0D" w14:textId="77777777" w:rsidR="006564FF" w:rsidRPr="002C4A17" w:rsidRDefault="002C4A17" w:rsidP="00F31866">
      <w:pPr>
        <w:spacing w:after="160" w:line="360" w:lineRule="auto"/>
        <w:jc w:val="both"/>
        <w:rPr>
          <w:rFonts w:ascii="Times New Roman" w:hAnsi="Times New Roman" w:cs="Times New Roman"/>
        </w:rPr>
      </w:pPr>
      <w:r w:rsidRPr="002C4A17">
        <w:rPr>
          <w:rFonts w:ascii="Times New Roman" w:hAnsi="Times New Roman" w:cs="Times New Roman"/>
        </w:rPr>
        <w:t>All changes need to be assessed for impact and appro</w:t>
      </w:r>
      <w:r>
        <w:rPr>
          <w:rFonts w:ascii="Times New Roman" w:hAnsi="Times New Roman" w:cs="Times New Roman"/>
        </w:rPr>
        <w:t xml:space="preserve">ved by the steering committee </w:t>
      </w:r>
      <w:r w:rsidRPr="002C4A17">
        <w:rPr>
          <w:rFonts w:ascii="Times New Roman" w:hAnsi="Times New Roman" w:cs="Times New Roman"/>
        </w:rPr>
        <w:t>a formal change control process (AXELOS, 2023). The project manager keeps the scope boundaries under review with the approved scope baseline using earned value management (EVM) and phase gate reviews ensure that the scope is in line with the baseline as per the PRINCE2 principle of managing by exception (P</w:t>
      </w:r>
      <w:r w:rsidR="00F31866">
        <w:rPr>
          <w:rFonts w:ascii="Times New Roman" w:hAnsi="Times New Roman" w:cs="Times New Roman"/>
        </w:rPr>
        <w:t>MI, 2021).</w:t>
      </w:r>
    </w:p>
    <w:p w14:paraId="27D4345F" w14:textId="77777777" w:rsidR="006564FF" w:rsidRDefault="0084233A"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t>WORK BREAKDOWN STRUCTURE (WBS)</w:t>
      </w:r>
    </w:p>
    <w:p w14:paraId="12E9E167" w14:textId="77777777" w:rsidR="00F31866" w:rsidRPr="00F31866" w:rsidRDefault="00F31866" w:rsidP="00F31866">
      <w:pPr>
        <w:pStyle w:val="ListParagraph"/>
        <w:ind w:left="360"/>
        <w:rPr>
          <w:rFonts w:ascii="Times New Roman" w:hAnsi="Times New Roman" w:cs="Times New Roman"/>
          <w:b/>
          <w:sz w:val="28"/>
        </w:rPr>
      </w:pPr>
    </w:p>
    <w:p w14:paraId="3178EB6F" w14:textId="77777777" w:rsidR="003960D5" w:rsidRPr="002C4A17" w:rsidRDefault="003960D5" w:rsidP="002C4A17">
      <w:pPr>
        <w:spacing w:after="160" w:line="360" w:lineRule="auto"/>
        <w:jc w:val="both"/>
        <w:rPr>
          <w:rFonts w:ascii="Times New Roman" w:hAnsi="Times New Roman" w:cs="Times New Roman"/>
        </w:rPr>
      </w:pPr>
      <w:r w:rsidRPr="003960D5">
        <w:rPr>
          <w:rFonts w:ascii="Times New Roman" w:hAnsi="Times New Roman" w:cs="Times New Roman"/>
        </w:rPr>
        <w:t xml:space="preserve">The Work Breakdown Structure (WBS) breaks down the total project scope into discrete and manageable work packages to be planned, assigned, costed and monitored in isolation (PMI, 2021). Turner (2021, p. 97) believes the WBS is the foundation of project planning. </w:t>
      </w:r>
      <w:r w:rsidR="00D45357">
        <w:rPr>
          <w:rFonts w:ascii="Times New Roman" w:hAnsi="Times New Roman" w:cs="Times New Roman"/>
        </w:rPr>
        <w:t xml:space="preserve"> </w:t>
      </w:r>
      <w:r w:rsidRPr="003960D5">
        <w:rPr>
          <w:rFonts w:ascii="Times New Roman" w:hAnsi="Times New Roman" w:cs="Times New Roman"/>
        </w:rPr>
        <w:t>Table 1: WBS by the 8 Level 2 phases.</w:t>
      </w:r>
    </w:p>
    <w:p w14:paraId="06ECD1F3" w14:textId="77777777" w:rsidR="006564FF" w:rsidRPr="00F80DEC" w:rsidRDefault="0084233A" w:rsidP="00F80DEC">
      <w:pPr>
        <w:spacing w:before="80" w:after="180"/>
        <w:jc w:val="center"/>
        <w:rPr>
          <w:rFonts w:ascii="Times New Roman" w:hAnsi="Times New Roman" w:cs="Times New Roman"/>
          <w:color w:val="000000" w:themeColor="text1"/>
        </w:rPr>
      </w:pPr>
      <w:r w:rsidRPr="00F80DEC">
        <w:rPr>
          <w:rFonts w:ascii="Times New Roman" w:hAnsi="Times New Roman" w:cs="Times New Roman"/>
          <w:b/>
          <w:bCs/>
          <w:color w:val="000000" w:themeColor="text1"/>
          <w:sz w:val="20"/>
          <w:szCs w:val="20"/>
        </w:rPr>
        <w:t>Table 1</w:t>
      </w:r>
      <w:r w:rsidR="00F80DEC" w:rsidRPr="00F80DEC">
        <w:rPr>
          <w:rFonts w:ascii="Times New Roman" w:hAnsi="Times New Roman" w:cs="Times New Roman"/>
          <w:b/>
          <w:bCs/>
          <w:color w:val="000000" w:themeColor="text1"/>
          <w:sz w:val="20"/>
          <w:szCs w:val="20"/>
        </w:rPr>
        <w:t xml:space="preserve">: Work Breakdown Structure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3"/>
        <w:gridCol w:w="1005"/>
        <w:gridCol w:w="5353"/>
        <w:gridCol w:w="2111"/>
      </w:tblGrid>
      <w:tr w:rsidR="006564FF" w:rsidRPr="002C4A17" w14:paraId="0F026D45" w14:textId="77777777">
        <w:tc>
          <w:tcPr>
            <w:tcW w:w="6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63F1BD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Lvl</w:t>
            </w:r>
          </w:p>
        </w:tc>
        <w:tc>
          <w:tcPr>
            <w:tcW w:w="10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7E1BC24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WBS Code</w:t>
            </w:r>
          </w:p>
        </w:tc>
        <w:tc>
          <w:tcPr>
            <w:tcW w:w="5326"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09F9CA7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Phase / Work Package</w:t>
            </w:r>
          </w:p>
        </w:tc>
        <w:tc>
          <w:tcPr>
            <w:tcW w:w="21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ED9A7A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Budget Estimate</w:t>
            </w:r>
          </w:p>
        </w:tc>
      </w:tr>
      <w:tr w:rsidR="006564FF" w:rsidRPr="002C4A17" w14:paraId="30B7DD3F" w14:textId="77777777">
        <w:tc>
          <w:tcPr>
            <w:tcW w:w="600" w:type="dxa"/>
            <w:tcBorders>
              <w:top w:val="single" w:sz="4" w:space="0" w:color="BBBBBB"/>
              <w:left w:val="single" w:sz="4" w:space="0" w:color="BBBBBB"/>
              <w:bottom w:val="single" w:sz="4" w:space="0" w:color="BBBBBB"/>
              <w:right w:val="single" w:sz="4" w:space="0" w:color="BBBBBB"/>
            </w:tcBorders>
            <w:shd w:val="clear" w:color="auto" w:fill="1F3864"/>
            <w:tcMar>
              <w:top w:w="70" w:type="dxa"/>
              <w:left w:w="100" w:type="dxa"/>
              <w:bottom w:w="70" w:type="dxa"/>
              <w:right w:w="100" w:type="dxa"/>
            </w:tcMar>
          </w:tcPr>
          <w:p w14:paraId="6B26A63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0"/>
                <w:szCs w:val="20"/>
              </w:rPr>
              <w:lastRenderedPageBreak/>
              <w:t>1</w:t>
            </w:r>
          </w:p>
        </w:tc>
        <w:tc>
          <w:tcPr>
            <w:tcW w:w="1000" w:type="dxa"/>
            <w:tcBorders>
              <w:top w:val="single" w:sz="4" w:space="0" w:color="BBBBBB"/>
              <w:left w:val="single" w:sz="4" w:space="0" w:color="BBBBBB"/>
              <w:bottom w:val="single" w:sz="4" w:space="0" w:color="BBBBBB"/>
              <w:right w:val="single" w:sz="4" w:space="0" w:color="BBBBBB"/>
            </w:tcBorders>
            <w:shd w:val="clear" w:color="auto" w:fill="1F3864"/>
            <w:tcMar>
              <w:top w:w="70" w:type="dxa"/>
              <w:left w:w="100" w:type="dxa"/>
              <w:bottom w:w="70" w:type="dxa"/>
              <w:right w:w="100" w:type="dxa"/>
            </w:tcMar>
          </w:tcPr>
          <w:p w14:paraId="44C4588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0"/>
                <w:szCs w:val="20"/>
              </w:rPr>
              <w:t>1.0</w:t>
            </w:r>
          </w:p>
        </w:tc>
        <w:tc>
          <w:tcPr>
            <w:tcW w:w="5326" w:type="dxa"/>
            <w:tcBorders>
              <w:top w:val="single" w:sz="4" w:space="0" w:color="BBBBBB"/>
              <w:left w:val="single" w:sz="4" w:space="0" w:color="BBBBBB"/>
              <w:bottom w:val="single" w:sz="4" w:space="0" w:color="BBBBBB"/>
              <w:right w:val="single" w:sz="4" w:space="0" w:color="BBBBBB"/>
            </w:tcBorders>
            <w:shd w:val="clear" w:color="auto" w:fill="1F3864"/>
            <w:tcMar>
              <w:top w:w="70" w:type="dxa"/>
              <w:left w:w="140" w:type="dxa"/>
              <w:bottom w:w="70" w:type="dxa"/>
              <w:right w:w="140" w:type="dxa"/>
            </w:tcMar>
          </w:tcPr>
          <w:p w14:paraId="3B84783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0"/>
                <w:szCs w:val="20"/>
              </w:rPr>
              <w:t>Central Transport Hub Redevelopment</w:t>
            </w:r>
          </w:p>
        </w:tc>
        <w:tc>
          <w:tcPr>
            <w:tcW w:w="2100" w:type="dxa"/>
            <w:tcBorders>
              <w:top w:val="single" w:sz="4" w:space="0" w:color="BBBBBB"/>
              <w:left w:val="single" w:sz="4" w:space="0" w:color="BBBBBB"/>
              <w:bottom w:val="single" w:sz="4" w:space="0" w:color="BBBBBB"/>
              <w:right w:val="single" w:sz="4" w:space="0" w:color="BBBBBB"/>
            </w:tcBorders>
            <w:shd w:val="clear" w:color="auto" w:fill="1F3864"/>
            <w:tcMar>
              <w:top w:w="70" w:type="dxa"/>
              <w:left w:w="140" w:type="dxa"/>
              <w:bottom w:w="70" w:type="dxa"/>
              <w:right w:w="140" w:type="dxa"/>
            </w:tcMar>
          </w:tcPr>
          <w:p w14:paraId="64050C5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0"/>
                <w:szCs w:val="20"/>
              </w:rPr>
              <w:t>£380,000,000</w:t>
            </w:r>
          </w:p>
        </w:tc>
      </w:tr>
      <w:tr w:rsidR="006564FF" w:rsidRPr="002C4A17" w14:paraId="3457D282"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18AF79B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1EDDA51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1.1</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381453D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Project Initiation</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7EE1B7D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£1,800,000</w:t>
            </w:r>
          </w:p>
        </w:tc>
      </w:tr>
      <w:tr w:rsidR="006564FF" w:rsidRPr="002C4A17" w14:paraId="6F1FBD87"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8339FA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5F811FD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1.1.1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7AE4D5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Feasibility study and options appraisal</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4DA208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w:t>
            </w:r>
          </w:p>
        </w:tc>
      </w:tr>
      <w:tr w:rsidR="006564FF" w:rsidRPr="002C4A17" w14:paraId="0A0BA35B"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FB6CB1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299421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1.1.2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1C8929F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Stakeholder identification and mapping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51B0E9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£200,000</w:t>
            </w:r>
          </w:p>
        </w:tc>
      </w:tr>
      <w:tr w:rsidR="006564FF" w:rsidRPr="002C4A17" w14:paraId="7B566925"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B868E2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407916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1.1.3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616221B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Business case development and approval</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CB448B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£1,000,000</w:t>
            </w:r>
          </w:p>
        </w:tc>
      </w:tr>
      <w:tr w:rsidR="006564FF" w:rsidRPr="002C4A17" w14:paraId="52DC9694"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3D0CBA6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2C572AE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1.2</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2714B51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Planning</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6073BB1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£2,400,000</w:t>
            </w:r>
          </w:p>
        </w:tc>
      </w:tr>
      <w:tr w:rsidR="006564FF" w:rsidRPr="002C4A17" w14:paraId="240728B7"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3897AF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C3F2F5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1.2.1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1F08261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Project Management Plan (PMP) development</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6AA72E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£500,000</w:t>
            </w:r>
          </w:p>
        </w:tc>
      </w:tr>
      <w:tr w:rsidR="006564FF" w:rsidRPr="002C4A17" w14:paraId="4BAAEE01"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41B1C6A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5C1FBEA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1.2.2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8E1E46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Risk register and risk management plan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D045E8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£300,000</w:t>
            </w:r>
          </w:p>
        </w:tc>
      </w:tr>
      <w:tr w:rsidR="006564FF" w:rsidRPr="002C4A17" w14:paraId="5629B443"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779867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C283E8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1.2.3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EF2820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Resource and procurement plan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874067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w:t>
            </w:r>
          </w:p>
        </w:tc>
      </w:tr>
      <w:tr w:rsidR="006564FF" w:rsidRPr="002C4A17" w14:paraId="3304720B"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8F559C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7825FF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1.2.4</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FA9634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Communications and stakeholder engagement plan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053342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£400,000</w:t>
            </w:r>
          </w:p>
        </w:tc>
      </w:tr>
      <w:tr w:rsidR="006564FF" w:rsidRPr="002C4A17" w14:paraId="2E62D9D7"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4C97DA7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8A542E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1.2.5</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705584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Environmental Impact Assessment (EIA)</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319C33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w:t>
            </w:r>
          </w:p>
        </w:tc>
      </w:tr>
      <w:tr w:rsidR="006564FF" w:rsidRPr="002C4A17" w14:paraId="6B38179D"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214BE42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777D485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1.3</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1C4E3CE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Design</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008436D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£18,000,000</w:t>
            </w:r>
          </w:p>
        </w:tc>
      </w:tr>
      <w:tr w:rsidR="006564FF" w:rsidRPr="002C4A17" w14:paraId="55A3CAAD"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1EECF8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19B7BC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1.3.1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64E85B0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Architectural and structural design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0FA192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£6,000,000</w:t>
            </w:r>
          </w:p>
        </w:tc>
      </w:tr>
      <w:tr w:rsidR="006564FF" w:rsidRPr="002C4A17" w14:paraId="0D0F7846"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7A3431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D508C1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1.3.2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361B089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Civil and transport engineering design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624CE6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£5,000,000</w:t>
            </w:r>
          </w:p>
        </w:tc>
      </w:tr>
      <w:tr w:rsidR="006564FF" w:rsidRPr="002C4A17" w14:paraId="0ABAD9F6"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585DF0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BC937C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1.3.3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116E98C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Environmental and sustainability design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AE7D3F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£3,500,000</w:t>
            </w:r>
          </w:p>
        </w:tc>
      </w:tr>
      <w:tr w:rsidR="006564FF" w:rsidRPr="002C4A17" w14:paraId="39FBCE34"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3D486D3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E91947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1.3.4</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51F984C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Digital systems and intelligent transport design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6C66ACB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£3,500,000</w:t>
            </w:r>
          </w:p>
        </w:tc>
      </w:tr>
      <w:tr w:rsidR="006564FF" w:rsidRPr="002C4A17" w14:paraId="31FD6D1B"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0C227AE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21D0E95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1.4</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6694CC7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Procurement</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757559A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£8,200,000</w:t>
            </w:r>
          </w:p>
        </w:tc>
      </w:tr>
      <w:tr w:rsidR="006564FF" w:rsidRPr="002C4A17" w14:paraId="5774BA4E"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24F6E0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C3C54B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1.4.1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5189B77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Main contractor tendering and award</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B50D7D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£3,000,000</w:t>
            </w:r>
          </w:p>
        </w:tc>
      </w:tr>
      <w:tr w:rsidR="006564FF" w:rsidRPr="002C4A17" w14:paraId="2D286A31"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341C177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34BCA42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1.4.2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3F2D61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Construction materials and equipment procurement</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60C33B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£3,000,000</w:t>
            </w:r>
          </w:p>
        </w:tc>
      </w:tr>
      <w:tr w:rsidR="006564FF" w:rsidRPr="002C4A17" w14:paraId="5D9CF4FE"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27E9F9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4EBC0EE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1.4.3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1F94D1F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Technology systems procurement</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B46FE7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£2,200,000</w:t>
            </w:r>
          </w:p>
        </w:tc>
      </w:tr>
      <w:tr w:rsidR="006564FF" w:rsidRPr="002C4A17" w14:paraId="277CABA2"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696FA55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7B26D81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1.5</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1C3DC4C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Construction</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08B1C91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£310,000,000</w:t>
            </w:r>
          </w:p>
        </w:tc>
      </w:tr>
      <w:tr w:rsidR="006564FF" w:rsidRPr="002C4A17" w14:paraId="73354C5D"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4D140B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AAD792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1.5.1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0C0E065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Site preparation, demolition, and ground works</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11524E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£45,000,000</w:t>
            </w:r>
          </w:p>
        </w:tc>
      </w:tr>
      <w:tr w:rsidR="006564FF" w:rsidRPr="002C4A17" w14:paraId="5681747F"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5EBF908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61992B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1.5.2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E1D7AD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Foundations and structural works</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BFEBC0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£95,000,000</w:t>
            </w:r>
          </w:p>
        </w:tc>
      </w:tr>
      <w:tr w:rsidR="006564FF" w:rsidRPr="002C4A17" w14:paraId="04EC2086"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3F5F1F4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3F40ADC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1.5.3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2F579F3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Rail, bus, and freight infrastructure installation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F838E0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£85,000,000</w:t>
            </w:r>
          </w:p>
        </w:tc>
      </w:tr>
      <w:tr w:rsidR="006564FF" w:rsidRPr="002C4A17" w14:paraId="38C91254"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1A86BD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53D71D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1.5.4</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0146210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Sustainable energy systems installation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A6CBE2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£35,000,000</w:t>
            </w:r>
          </w:p>
        </w:tc>
      </w:tr>
      <w:tr w:rsidR="006564FF" w:rsidRPr="002C4A17" w14:paraId="566D269E"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4D0EC4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E04DF0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1.5.5</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0BED89E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Interior fit-out, accessibility features, and finishing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2CF514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£50,000,000</w:t>
            </w:r>
          </w:p>
        </w:tc>
      </w:tr>
      <w:tr w:rsidR="006564FF" w:rsidRPr="002C4A17" w14:paraId="608D71BB"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346F6CD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31AF4E1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1.6</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2D53CE5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Testing and Quality Assurance</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031F3DA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£12,000,000</w:t>
            </w:r>
          </w:p>
        </w:tc>
      </w:tr>
      <w:tr w:rsidR="006564FF" w:rsidRPr="002C4A17" w14:paraId="236EF377"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D50FE0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72D72D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1.6.1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59C3D7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Structural and safety certification testing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5EF968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£4,000,000</w:t>
            </w:r>
          </w:p>
        </w:tc>
      </w:tr>
      <w:tr w:rsidR="006564FF" w:rsidRPr="002C4A17" w14:paraId="7DA79E69"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727EF31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B3FE76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1.6.2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2D9C7F8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Systems integration and digital platform testing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67D5519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£4,500,000</w:t>
            </w:r>
          </w:p>
        </w:tc>
      </w:tr>
      <w:tr w:rsidR="006564FF" w:rsidRPr="002C4A17" w14:paraId="1644924C"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27527D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385589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1.6.3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2DA36BC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Accessibility compliance and user acceptance testing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16A4E2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£3,500,000</w:t>
            </w:r>
          </w:p>
        </w:tc>
      </w:tr>
      <w:tr w:rsidR="006564FF" w:rsidRPr="002C4A17" w14:paraId="54F540D6"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5FAD319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12537E3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1.7</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281DC51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Commissioning</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191EFDA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£9,600,000</w:t>
            </w:r>
          </w:p>
        </w:tc>
      </w:tr>
      <w:tr w:rsidR="006564FF" w:rsidRPr="002C4A17" w14:paraId="24A24503"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5FC53DC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CE0456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1.7.1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32D2494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Operational trials and phased service introduction</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8529EC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£4,500,000</w:t>
            </w:r>
          </w:p>
        </w:tc>
      </w:tr>
      <w:tr w:rsidR="006564FF" w:rsidRPr="002C4A17" w14:paraId="4B39F312"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03E3C3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E98BF5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1.7.2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4F0DFF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Staff training and operational readiness</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7CC147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£2,600,000</w:t>
            </w:r>
          </w:p>
        </w:tc>
      </w:tr>
      <w:tr w:rsidR="006564FF" w:rsidRPr="002C4A17" w14:paraId="58BF34AB"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92ECB3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336B00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1.7.3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40B0AF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Phased public opening and monitoring</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6AFFE6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£2,500,000</w:t>
            </w:r>
          </w:p>
        </w:tc>
      </w:tr>
      <w:tr w:rsidR="006564FF" w:rsidRPr="002C4A17" w14:paraId="7713C1F4" w14:textId="77777777">
        <w:tc>
          <w:tcPr>
            <w:tcW w:w="6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3A54652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w:t>
            </w:r>
          </w:p>
        </w:tc>
        <w:tc>
          <w:tcPr>
            <w:tcW w:w="10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00" w:type="dxa"/>
              <w:bottom w:w="70" w:type="dxa"/>
              <w:right w:w="100" w:type="dxa"/>
            </w:tcMar>
          </w:tcPr>
          <w:p w14:paraId="52B96B9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1.8</w:t>
            </w:r>
          </w:p>
        </w:tc>
        <w:tc>
          <w:tcPr>
            <w:tcW w:w="5326" w:type="dxa"/>
            <w:tcBorders>
              <w:top w:val="single" w:sz="4" w:space="0" w:color="BBBBBB"/>
              <w:left w:val="single" w:sz="4" w:space="0" w:color="BBBBBB"/>
              <w:bottom w:val="single" w:sz="4" w:space="0" w:color="BBBBBB"/>
              <w:right w:val="single" w:sz="4" w:space="0" w:color="BBBBBB"/>
            </w:tcBorders>
            <w:shd w:val="clear" w:color="auto" w:fill="D6E4F0"/>
            <w:tcMar>
              <w:top w:w="70" w:type="dxa"/>
              <w:left w:w="200" w:type="dxa"/>
              <w:bottom w:w="70" w:type="dxa"/>
              <w:right w:w="140" w:type="dxa"/>
            </w:tcMar>
          </w:tcPr>
          <w:p w14:paraId="2E62A68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Project Closure</w:t>
            </w:r>
          </w:p>
        </w:tc>
        <w:tc>
          <w:tcPr>
            <w:tcW w:w="2100" w:type="dxa"/>
            <w:tcBorders>
              <w:top w:val="single" w:sz="4" w:space="0" w:color="BBBBBB"/>
              <w:left w:val="single" w:sz="4" w:space="0" w:color="BBBBBB"/>
              <w:bottom w:val="single" w:sz="4" w:space="0" w:color="BBBBBB"/>
              <w:right w:val="single" w:sz="4" w:space="0" w:color="BBBBBB"/>
            </w:tcBorders>
            <w:shd w:val="clear" w:color="auto" w:fill="D6E4F0"/>
            <w:tcMar>
              <w:top w:w="70" w:type="dxa"/>
              <w:left w:w="140" w:type="dxa"/>
              <w:bottom w:w="70" w:type="dxa"/>
              <w:right w:w="140" w:type="dxa"/>
            </w:tcMar>
          </w:tcPr>
          <w:p w14:paraId="199B54E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20"/>
                <w:szCs w:val="20"/>
              </w:rPr>
              <w:t>£2,000,000</w:t>
            </w:r>
          </w:p>
        </w:tc>
      </w:tr>
      <w:tr w:rsidR="006564FF" w:rsidRPr="002C4A17" w14:paraId="02375395"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4C04B0C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AFE243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1.8.1</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32C164F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Final documentation and handover package</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04A6CA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w:t>
            </w:r>
          </w:p>
        </w:tc>
      </w:tr>
      <w:tr w:rsidR="006564FF" w:rsidRPr="002C4A17" w14:paraId="61B7E619"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1F8E39D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lastRenderedPageBreak/>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2E4DEE9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1.8.2</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7EC6B62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Post-project review and lessons learned</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847B35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£600,000</w:t>
            </w:r>
          </w:p>
        </w:tc>
      </w:tr>
      <w:tr w:rsidR="006564FF" w:rsidRPr="002C4A17" w14:paraId="491C9B6F" w14:textId="77777777">
        <w:tc>
          <w:tcPr>
            <w:tcW w:w="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6703309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3</w:t>
            </w:r>
          </w:p>
        </w:tc>
        <w:tc>
          <w:tcPr>
            <w:tcW w:w="10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00" w:type="dxa"/>
              <w:bottom w:w="70" w:type="dxa"/>
              <w:right w:w="100" w:type="dxa"/>
            </w:tcMar>
          </w:tcPr>
          <w:p w14:paraId="006BCCB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1.8.3</w:t>
            </w:r>
          </w:p>
        </w:tc>
        <w:tc>
          <w:tcPr>
            <w:tcW w:w="53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360" w:type="dxa"/>
              <w:bottom w:w="70" w:type="dxa"/>
              <w:right w:w="140" w:type="dxa"/>
            </w:tcMar>
          </w:tcPr>
          <w:p w14:paraId="4299B41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Benefits realisation report</w:t>
            </w:r>
          </w:p>
        </w:tc>
        <w:tc>
          <w:tcPr>
            <w:tcW w:w="2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D9DC85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20"/>
                <w:szCs w:val="20"/>
              </w:rPr>
              <w:t>£800,000</w:t>
            </w:r>
          </w:p>
        </w:tc>
      </w:tr>
    </w:tbl>
    <w:p w14:paraId="6983D0A1" w14:textId="77777777" w:rsidR="003960D5" w:rsidRDefault="0084233A" w:rsidP="003960D5">
      <w:pPr>
        <w:spacing w:before="60" w:after="200"/>
        <w:jc w:val="both"/>
        <w:rPr>
          <w:rFonts w:ascii="Times New Roman" w:hAnsi="Times New Roman" w:cs="Times New Roman"/>
        </w:rPr>
      </w:pPr>
      <w:r w:rsidRPr="002C4A17">
        <w:rPr>
          <w:rFonts w:ascii="Times New Roman" w:hAnsi="Times New Roman" w:cs="Times New Roman"/>
          <w:color w:val="666666"/>
          <w:sz w:val="18"/>
          <w:szCs w:val="18"/>
        </w:rPr>
        <w:t>Note: Budget estimates are indicative and subject to detailed cost planning. Contingency reserve (£38m) is held separately at project level.</w:t>
      </w:r>
    </w:p>
    <w:p w14:paraId="00E7B27E" w14:textId="77777777" w:rsidR="006564FF" w:rsidRPr="002C4A17"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This WBS decomposition helps to create the Gantt chart, to support resource allocation and as the foundation for the cost estimating and risk identification (Kerzner, 2022). Having clear ownership at work-package level allows for the use of earned value management (EVM) and the steering committee to get objective Schedule Performance Index (SPI) and Cost Performance Index (CPI) data. (PMI, 2021).</w:t>
      </w:r>
    </w:p>
    <w:p w14:paraId="53B744DE" w14:textId="77777777" w:rsidR="006564FF" w:rsidRDefault="0084233A"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t>QUAD CHART</w:t>
      </w:r>
    </w:p>
    <w:p w14:paraId="38D9E239" w14:textId="77777777" w:rsidR="00F31866" w:rsidRPr="00F31866" w:rsidRDefault="00F31866" w:rsidP="00F31866">
      <w:pPr>
        <w:pStyle w:val="ListParagraph"/>
        <w:ind w:left="360"/>
        <w:rPr>
          <w:rFonts w:ascii="Times New Roman" w:hAnsi="Times New Roman" w:cs="Times New Roman"/>
          <w:b/>
          <w:sz w:val="28"/>
        </w:rPr>
      </w:pPr>
    </w:p>
    <w:p w14:paraId="19C88764" w14:textId="77777777" w:rsidR="003960D5" w:rsidRPr="002C4A17"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The Quad Chart is a combination of the four key project parameters: objectives, deliverables, schedule, and cost in one place that is easily accessible to senior stakeholders (Meredith &amp; Mantel, 2021). It enables clear decision making and helps to align the project team and Executive sponsors (APM, 2022). The Quad Chart is shown as Table 2.</w:t>
      </w:r>
    </w:p>
    <w:p w14:paraId="3CFEC345" w14:textId="77777777" w:rsidR="006564FF" w:rsidRPr="00F80DEC" w:rsidRDefault="00F80DEC" w:rsidP="00F80DEC">
      <w:pPr>
        <w:spacing w:before="80" w:after="180"/>
        <w:jc w:val="center"/>
        <w:rPr>
          <w:rFonts w:ascii="Times New Roman" w:hAnsi="Times New Roman" w:cs="Times New Roman"/>
          <w:color w:val="000000" w:themeColor="text1"/>
        </w:rPr>
      </w:pPr>
      <w:r w:rsidRPr="00F80DEC">
        <w:rPr>
          <w:rFonts w:ascii="Times New Roman" w:hAnsi="Times New Roman" w:cs="Times New Roman"/>
          <w:b/>
          <w:bCs/>
          <w:color w:val="000000" w:themeColor="text1"/>
          <w:sz w:val="20"/>
          <w:szCs w:val="20"/>
        </w:rPr>
        <w:t xml:space="preserve">Table 2: Quad Chart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36"/>
        <w:gridCol w:w="4536"/>
      </w:tblGrid>
      <w:tr w:rsidR="006564FF" w:rsidRPr="002C4A17" w14:paraId="5C860C42" w14:textId="77777777">
        <w:tc>
          <w:tcPr>
            <w:tcW w:w="9072" w:type="dxa"/>
            <w:gridSpan w:val="2"/>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149613E6" w14:textId="77777777" w:rsidR="006564FF" w:rsidRPr="002C4A17" w:rsidRDefault="00F80DEC" w:rsidP="00F80DEC">
            <w:pPr>
              <w:jc w:val="center"/>
              <w:rPr>
                <w:rFonts w:ascii="Times New Roman" w:hAnsi="Times New Roman" w:cs="Times New Roman"/>
              </w:rPr>
            </w:pPr>
            <w:r>
              <w:rPr>
                <w:rFonts w:ascii="Times New Roman" w:hAnsi="Times New Roman" w:cs="Times New Roman"/>
                <w:b/>
                <w:bCs/>
                <w:color w:val="FFFFFF"/>
                <w:sz w:val="23"/>
                <w:szCs w:val="23"/>
              </w:rPr>
              <w:t>QUAD CHART</w:t>
            </w:r>
          </w:p>
        </w:tc>
      </w:tr>
      <w:tr w:rsidR="006564FF" w:rsidRPr="002C4A17" w14:paraId="135220CF" w14:textId="77777777">
        <w:tc>
          <w:tcPr>
            <w:tcW w:w="4536" w:type="dxa"/>
            <w:tcBorders>
              <w:top w:val="single" w:sz="4" w:space="0" w:color="BBBBBB"/>
              <w:left w:val="single" w:sz="4" w:space="0" w:color="BBBBBB"/>
              <w:bottom w:val="single" w:sz="4" w:space="0" w:color="BBBBBB"/>
              <w:right w:val="single" w:sz="4" w:space="0" w:color="BBBBBB"/>
            </w:tcBorders>
            <w:shd w:val="clear" w:color="auto" w:fill="D6E4F0"/>
            <w:tcMar>
              <w:top w:w="100" w:type="dxa"/>
              <w:left w:w="160" w:type="dxa"/>
              <w:bottom w:w="100" w:type="dxa"/>
              <w:right w:w="160" w:type="dxa"/>
            </w:tcMar>
          </w:tcPr>
          <w:p w14:paraId="1D91388A" w14:textId="77777777" w:rsidR="006564FF" w:rsidRPr="002F7D71" w:rsidRDefault="0084233A" w:rsidP="002F7D71">
            <w:pPr>
              <w:spacing w:after="100" w:line="276" w:lineRule="auto"/>
              <w:jc w:val="both"/>
              <w:rPr>
                <w:rFonts w:ascii="Times New Roman" w:hAnsi="Times New Roman" w:cs="Times New Roman"/>
                <w:color w:val="000000" w:themeColor="text1"/>
              </w:rPr>
            </w:pPr>
            <w:r w:rsidRPr="002F7D71">
              <w:rPr>
                <w:rFonts w:ascii="Times New Roman" w:hAnsi="Times New Roman" w:cs="Times New Roman"/>
                <w:b/>
                <w:bCs/>
                <w:color w:val="000000" w:themeColor="text1"/>
                <w:sz w:val="22"/>
                <w:szCs w:val="22"/>
              </w:rPr>
              <w:t>OBJECTIVES</w:t>
            </w:r>
          </w:p>
          <w:p w14:paraId="6732C392"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Restore full multimodal transport connectivity for rail, bus, and freight operations</w:t>
            </w:r>
          </w:p>
          <w:p w14:paraId="2185B625"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Achieve compliance with current safety and structural regulations</w:t>
            </w:r>
          </w:p>
          <w:p w14:paraId="21A977D2"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Deliver inclusive accessibility improvements under the Equality Act 2010</w:t>
            </w:r>
          </w:p>
          <w:p w14:paraId="7D66669D"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Integrate intelligent transport and digital passenger information systems</w:t>
            </w:r>
          </w:p>
          <w:p w14:paraId="5C7B7F22"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Meet national transport decarbonisation targets through sustainable design</w:t>
            </w:r>
          </w:p>
          <w:p w14:paraId="08C91CFD" w14:textId="77777777" w:rsidR="006564FF" w:rsidRPr="002F7D71" w:rsidRDefault="0084233A" w:rsidP="002F7D71">
            <w:pPr>
              <w:pStyle w:val="ListParagraph"/>
              <w:numPr>
                <w:ilvl w:val="0"/>
                <w:numId w:val="10"/>
              </w:numPr>
              <w:spacing w:after="60" w:line="276" w:lineRule="auto"/>
              <w:jc w:val="both"/>
              <w:rPr>
                <w:rFonts w:ascii="Times New Roman" w:hAnsi="Times New Roman" w:cs="Times New Roman"/>
              </w:rPr>
            </w:pPr>
            <w:r w:rsidRPr="002F7D71">
              <w:rPr>
                <w:rFonts w:ascii="Times New Roman" w:hAnsi="Times New Roman" w:cs="Times New Roman"/>
                <w:sz w:val="20"/>
                <w:szCs w:val="20"/>
              </w:rPr>
              <w:t>6. Restore economic activity and commuter confidence in the city centre</w:t>
            </w:r>
          </w:p>
        </w:tc>
        <w:tc>
          <w:tcPr>
            <w:tcW w:w="4536" w:type="dxa"/>
            <w:tcBorders>
              <w:top w:val="single" w:sz="4" w:space="0" w:color="BBBBBB"/>
              <w:left w:val="single" w:sz="4" w:space="0" w:color="BBBBBB"/>
              <w:bottom w:val="single" w:sz="4" w:space="0" w:color="BBBBBB"/>
              <w:right w:val="single" w:sz="4" w:space="0" w:color="BBBBBB"/>
            </w:tcBorders>
            <w:shd w:val="clear" w:color="auto" w:fill="EBF3FB"/>
            <w:tcMar>
              <w:top w:w="100" w:type="dxa"/>
              <w:left w:w="160" w:type="dxa"/>
              <w:bottom w:w="100" w:type="dxa"/>
              <w:right w:w="160" w:type="dxa"/>
            </w:tcMar>
          </w:tcPr>
          <w:p w14:paraId="2669BD06" w14:textId="77777777" w:rsidR="006564FF" w:rsidRPr="002F7D71" w:rsidRDefault="0084233A" w:rsidP="002F7D71">
            <w:pPr>
              <w:spacing w:after="100" w:line="276" w:lineRule="auto"/>
              <w:jc w:val="both"/>
              <w:rPr>
                <w:rFonts w:ascii="Times New Roman" w:hAnsi="Times New Roman" w:cs="Times New Roman"/>
                <w:color w:val="000000" w:themeColor="text1"/>
              </w:rPr>
            </w:pPr>
            <w:r w:rsidRPr="002F7D71">
              <w:rPr>
                <w:rFonts w:ascii="Times New Roman" w:hAnsi="Times New Roman" w:cs="Times New Roman"/>
                <w:b/>
                <w:bCs/>
                <w:color w:val="000000" w:themeColor="text1"/>
                <w:sz w:val="22"/>
                <w:szCs w:val="22"/>
              </w:rPr>
              <w:t>KEY DELIVERABLES</w:t>
            </w:r>
          </w:p>
          <w:p w14:paraId="418561FA"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Fully operational multimodal transport interchange</w:t>
            </w:r>
          </w:p>
          <w:p w14:paraId="350C82A5"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Reconstructed structural platform and station concourse</w:t>
            </w:r>
          </w:p>
          <w:p w14:paraId="3BFCD114"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Digital transport management system (DTMS)</w:t>
            </w:r>
          </w:p>
          <w:p w14:paraId="6CEDBDA3"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Accessibility-compliant facilities throughout</w:t>
            </w:r>
          </w:p>
          <w:p w14:paraId="7790FA17"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Solar energy installation and green roof infrastructure</w:t>
            </w:r>
          </w:p>
          <w:p w14:paraId="0FD74982"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Stakeholder communication and engagement reports</w:t>
            </w:r>
          </w:p>
          <w:p w14:paraId="512BAB29" w14:textId="77777777" w:rsidR="006564FF" w:rsidRPr="002F7D71" w:rsidRDefault="0084233A" w:rsidP="002F7D71">
            <w:pPr>
              <w:pStyle w:val="ListParagraph"/>
              <w:numPr>
                <w:ilvl w:val="0"/>
                <w:numId w:val="11"/>
              </w:numPr>
              <w:spacing w:after="60" w:line="276" w:lineRule="auto"/>
              <w:jc w:val="both"/>
              <w:rPr>
                <w:rFonts w:ascii="Times New Roman" w:hAnsi="Times New Roman" w:cs="Times New Roman"/>
              </w:rPr>
            </w:pPr>
            <w:r w:rsidRPr="002F7D71">
              <w:rPr>
                <w:rFonts w:ascii="Times New Roman" w:hAnsi="Times New Roman" w:cs="Times New Roman"/>
                <w:sz w:val="20"/>
                <w:szCs w:val="20"/>
              </w:rPr>
              <w:t xml:space="preserve"> Post-opening benefits realisation report</w:t>
            </w:r>
          </w:p>
        </w:tc>
      </w:tr>
      <w:tr w:rsidR="006564FF" w:rsidRPr="002C4A17" w14:paraId="74EE506B" w14:textId="77777777">
        <w:tc>
          <w:tcPr>
            <w:tcW w:w="4536" w:type="dxa"/>
            <w:tcBorders>
              <w:top w:val="single" w:sz="4" w:space="0" w:color="BBBBBB"/>
              <w:left w:val="single" w:sz="4" w:space="0" w:color="BBBBBB"/>
              <w:bottom w:val="single" w:sz="4" w:space="0" w:color="BBBBBB"/>
              <w:right w:val="single" w:sz="4" w:space="0" w:color="BBBBBB"/>
            </w:tcBorders>
            <w:shd w:val="clear" w:color="auto" w:fill="EBF3FB"/>
            <w:tcMar>
              <w:top w:w="100" w:type="dxa"/>
              <w:left w:w="160" w:type="dxa"/>
              <w:bottom w:w="100" w:type="dxa"/>
              <w:right w:w="160" w:type="dxa"/>
            </w:tcMar>
          </w:tcPr>
          <w:p w14:paraId="50C161AA" w14:textId="77777777" w:rsidR="006564FF" w:rsidRPr="002F7D71" w:rsidRDefault="0084233A" w:rsidP="002F7D71">
            <w:pPr>
              <w:spacing w:after="100" w:line="276" w:lineRule="auto"/>
              <w:jc w:val="both"/>
              <w:rPr>
                <w:rFonts w:ascii="Times New Roman" w:hAnsi="Times New Roman" w:cs="Times New Roman"/>
                <w:color w:val="000000" w:themeColor="text1"/>
              </w:rPr>
            </w:pPr>
            <w:r w:rsidRPr="002F7D71">
              <w:rPr>
                <w:rFonts w:ascii="Times New Roman" w:hAnsi="Times New Roman" w:cs="Times New Roman"/>
                <w:b/>
                <w:bCs/>
                <w:color w:val="000000" w:themeColor="text1"/>
                <w:sz w:val="22"/>
                <w:szCs w:val="22"/>
              </w:rPr>
              <w:t>SCHEDULE SUMMARY</w:t>
            </w:r>
          </w:p>
          <w:p w14:paraId="25CCA701"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Project Duration: 30 months</w:t>
            </w:r>
          </w:p>
          <w:p w14:paraId="372F8896"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Start Date: January 2026</w:t>
            </w:r>
          </w:p>
          <w:p w14:paraId="3597B750"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End Date: June 2028</w:t>
            </w:r>
          </w:p>
          <w:p w14:paraId="18604338"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Initiation / Planning: Jan – Apr 2026</w:t>
            </w:r>
          </w:p>
          <w:p w14:paraId="3FFF75F0"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Design: Apr – Aug 2026</w:t>
            </w:r>
          </w:p>
          <w:p w14:paraId="465C53AD"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Procurement: Jul – Sep 2026</w:t>
            </w:r>
          </w:p>
          <w:p w14:paraId="5F02E55E"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Construction: Sep 2026 – Nov 2027</w:t>
            </w:r>
          </w:p>
          <w:p w14:paraId="0D2638F8"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Testing &amp; Commissioning: Nov 2027 – Apr 2028</w:t>
            </w:r>
          </w:p>
          <w:p w14:paraId="0E643233"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Closure: May – Jun 2028</w:t>
            </w:r>
          </w:p>
          <w:p w14:paraId="34E69988"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lastRenderedPageBreak/>
              <w:t>Critical Path: Design → Procurement → Construction</w:t>
            </w:r>
          </w:p>
        </w:tc>
        <w:tc>
          <w:tcPr>
            <w:tcW w:w="4536" w:type="dxa"/>
            <w:tcBorders>
              <w:top w:val="single" w:sz="4" w:space="0" w:color="BBBBBB"/>
              <w:left w:val="single" w:sz="4" w:space="0" w:color="BBBBBB"/>
              <w:bottom w:val="single" w:sz="4" w:space="0" w:color="BBBBBB"/>
              <w:right w:val="single" w:sz="4" w:space="0" w:color="BBBBBB"/>
            </w:tcBorders>
            <w:shd w:val="clear" w:color="auto" w:fill="D6E4F0"/>
            <w:tcMar>
              <w:top w:w="100" w:type="dxa"/>
              <w:left w:w="160" w:type="dxa"/>
              <w:bottom w:w="100" w:type="dxa"/>
              <w:right w:w="160" w:type="dxa"/>
            </w:tcMar>
          </w:tcPr>
          <w:p w14:paraId="0D9CC96E" w14:textId="77777777" w:rsidR="006564FF" w:rsidRPr="002F7D71" w:rsidRDefault="0084233A" w:rsidP="002F7D71">
            <w:pPr>
              <w:spacing w:after="100" w:line="276" w:lineRule="auto"/>
              <w:jc w:val="both"/>
              <w:rPr>
                <w:rFonts w:ascii="Times New Roman" w:hAnsi="Times New Roman" w:cs="Times New Roman"/>
                <w:color w:val="000000" w:themeColor="text1"/>
              </w:rPr>
            </w:pPr>
            <w:r w:rsidRPr="002F7D71">
              <w:rPr>
                <w:rFonts w:ascii="Times New Roman" w:hAnsi="Times New Roman" w:cs="Times New Roman"/>
                <w:b/>
                <w:bCs/>
                <w:color w:val="000000" w:themeColor="text1"/>
                <w:sz w:val="22"/>
                <w:szCs w:val="22"/>
              </w:rPr>
              <w:lastRenderedPageBreak/>
              <w:t>COST SUMMARY</w:t>
            </w:r>
          </w:p>
          <w:p w14:paraId="52E83E54"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Total Capital Budget:  £380,000,000</w:t>
            </w:r>
          </w:p>
          <w:p w14:paraId="32ABED4A"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Contingency Reserve (10%):  £38,000,000</w:t>
            </w:r>
          </w:p>
          <w:p w14:paraId="08BB0262"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Total Project Envelope:  £418,000,000</w:t>
            </w:r>
          </w:p>
          <w:p w14:paraId="09571C8E" w14:textId="77777777" w:rsidR="006564FF" w:rsidRPr="002F7D71" w:rsidRDefault="0084233A" w:rsidP="002F7D71">
            <w:pPr>
              <w:spacing w:after="60" w:line="276" w:lineRule="auto"/>
              <w:jc w:val="both"/>
              <w:rPr>
                <w:rFonts w:ascii="Times New Roman" w:hAnsi="Times New Roman" w:cs="Times New Roman"/>
                <w:b/>
                <w:i/>
                <w:color w:val="000000" w:themeColor="text1"/>
              </w:rPr>
            </w:pPr>
            <w:r w:rsidRPr="002F7D71">
              <w:rPr>
                <w:rFonts w:ascii="Times New Roman" w:hAnsi="Times New Roman" w:cs="Times New Roman"/>
                <w:b/>
                <w:i/>
                <w:color w:val="000000" w:themeColor="text1"/>
                <w:sz w:val="20"/>
                <w:szCs w:val="20"/>
              </w:rPr>
              <w:t>Cost Breakdown:</w:t>
            </w:r>
          </w:p>
          <w:p w14:paraId="6DEF3AD7"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Construction Works:  £310m (82%)</w:t>
            </w:r>
          </w:p>
          <w:p w14:paraId="0DB14059"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Design &amp; Professional Fees:  £18m (5%)</w:t>
            </w:r>
          </w:p>
          <w:p w14:paraId="63FE3BB8"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Digital Systems &amp; Technology:  £12m (3%)</w:t>
            </w:r>
          </w:p>
          <w:p w14:paraId="2B45F430"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Project Management &amp; Governance:  £8m (2%)</w:t>
            </w:r>
          </w:p>
          <w:p w14:paraId="35B58FF5"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Testing &amp; Commissioning:  £12m (3%)</w:t>
            </w:r>
          </w:p>
          <w:p w14:paraId="11607E87"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lastRenderedPageBreak/>
              <w:t xml:space="preserve">  Project Closure:  £2m (&lt;1%)</w:t>
            </w:r>
          </w:p>
          <w:p w14:paraId="3DE2B053"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Funding Sources: Central Government Grant,</w:t>
            </w:r>
          </w:p>
          <w:p w14:paraId="3C932B3B" w14:textId="77777777" w:rsidR="006564FF" w:rsidRPr="002C4A17" w:rsidRDefault="0084233A" w:rsidP="002F7D71">
            <w:pPr>
              <w:spacing w:after="60" w:line="276" w:lineRule="auto"/>
              <w:jc w:val="both"/>
              <w:rPr>
                <w:rFonts w:ascii="Times New Roman" w:hAnsi="Times New Roman" w:cs="Times New Roman"/>
              </w:rPr>
            </w:pPr>
            <w:r w:rsidRPr="002C4A17">
              <w:rPr>
                <w:rFonts w:ascii="Times New Roman" w:hAnsi="Times New Roman" w:cs="Times New Roman"/>
                <w:sz w:val="20"/>
                <w:szCs w:val="20"/>
              </w:rPr>
              <w:t xml:space="preserve">  Local Authority Capital, Private Finance</w:t>
            </w:r>
          </w:p>
        </w:tc>
      </w:tr>
    </w:tbl>
    <w:p w14:paraId="75901ED7" w14:textId="77777777" w:rsidR="006564FF" w:rsidRPr="002C4A17" w:rsidRDefault="006564FF" w:rsidP="002C4A17">
      <w:pPr>
        <w:spacing w:after="80"/>
        <w:jc w:val="both"/>
        <w:rPr>
          <w:rFonts w:ascii="Times New Roman" w:hAnsi="Times New Roman" w:cs="Times New Roman"/>
        </w:rPr>
      </w:pPr>
    </w:p>
    <w:p w14:paraId="34FC159E" w14:textId="77777777" w:rsidR="006564FF" w:rsidRPr="002C4A17" w:rsidRDefault="0084233A" w:rsidP="00F31866">
      <w:pPr>
        <w:spacing w:after="160" w:line="276" w:lineRule="auto"/>
        <w:jc w:val="both"/>
        <w:rPr>
          <w:rFonts w:ascii="Times New Roman" w:hAnsi="Times New Roman" w:cs="Times New Roman"/>
        </w:rPr>
      </w:pPr>
      <w:r w:rsidRPr="002C4A17">
        <w:rPr>
          <w:rFonts w:ascii="Times New Roman" w:hAnsi="Times New Roman" w:cs="Times New Roman"/>
        </w:rPr>
        <w:t>The £380 million estimate is supported by IPA (2023) benchmarking data for comparable city-centre interchange projects (£300–450m range), and the 10% contingency aligns with HM Treasury (2022) guidance. The Quad Chart is updated at each phase gate review, ensuring strategic alignment and governance transparency (PMI, 2021; Turner, 2021).</w:t>
      </w:r>
    </w:p>
    <w:p w14:paraId="45D61D73" w14:textId="77777777" w:rsidR="006564FF" w:rsidRDefault="0084233A"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t>GANTT CHART AND PROJECT SCHEDULE</w:t>
      </w:r>
    </w:p>
    <w:p w14:paraId="42349075" w14:textId="77777777" w:rsidR="00F31866" w:rsidRPr="00F31866" w:rsidRDefault="00F31866" w:rsidP="00F31866">
      <w:pPr>
        <w:pStyle w:val="ListParagraph"/>
        <w:ind w:left="360"/>
        <w:rPr>
          <w:rFonts w:ascii="Times New Roman" w:hAnsi="Times New Roman" w:cs="Times New Roman"/>
          <w:b/>
          <w:sz w:val="28"/>
        </w:rPr>
      </w:pPr>
    </w:p>
    <w:p w14:paraId="75969D83" w14:textId="77777777" w:rsidR="006564FF" w:rsidRPr="002C4A17" w:rsidRDefault="0084233A" w:rsidP="00F31866">
      <w:pPr>
        <w:spacing w:after="160" w:line="276" w:lineRule="auto"/>
        <w:jc w:val="both"/>
        <w:rPr>
          <w:rFonts w:ascii="Times New Roman" w:hAnsi="Times New Roman" w:cs="Times New Roman"/>
        </w:rPr>
      </w:pPr>
      <w:r w:rsidRPr="002C4A17">
        <w:rPr>
          <w:rFonts w:ascii="Times New Roman" w:hAnsi="Times New Roman" w:cs="Times New Roman"/>
        </w:rPr>
        <w:t>Schedule management is critical in large infrastructure projects, as delays generate cascading cost and reputational consequences (Kerzner, 2022). Table 3 presents the 30-month project schedule.</w:t>
      </w:r>
    </w:p>
    <w:p w14:paraId="2E258F98" w14:textId="77777777" w:rsidR="006564FF" w:rsidRPr="00F80DEC" w:rsidRDefault="00F80DEC" w:rsidP="00F80DEC">
      <w:pPr>
        <w:spacing w:before="80" w:after="180"/>
        <w:jc w:val="center"/>
        <w:rPr>
          <w:rFonts w:ascii="Times New Roman" w:hAnsi="Times New Roman" w:cs="Times New Roman"/>
          <w:color w:val="000000" w:themeColor="text1"/>
        </w:rPr>
      </w:pPr>
      <w:r>
        <w:rPr>
          <w:rFonts w:ascii="Times New Roman" w:hAnsi="Times New Roman" w:cs="Times New Roman"/>
          <w:b/>
          <w:bCs/>
          <w:color w:val="000000" w:themeColor="text1"/>
          <w:sz w:val="20"/>
          <w:szCs w:val="20"/>
        </w:rPr>
        <w:t xml:space="preserve">Table 3: Project Schedule </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9"/>
        <w:gridCol w:w="1106"/>
        <w:gridCol w:w="1106"/>
        <w:gridCol w:w="905"/>
        <w:gridCol w:w="1608"/>
        <w:gridCol w:w="2438"/>
      </w:tblGrid>
      <w:tr w:rsidR="006564FF" w:rsidRPr="002C4A17" w14:paraId="494350B6" w14:textId="77777777">
        <w:tc>
          <w:tcPr>
            <w:tcW w:w="19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72028E5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Phase</w:t>
            </w:r>
          </w:p>
        </w:tc>
        <w:tc>
          <w:tcPr>
            <w:tcW w:w="11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671C5EF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Start</w:t>
            </w:r>
          </w:p>
        </w:tc>
        <w:tc>
          <w:tcPr>
            <w:tcW w:w="11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673701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End</w:t>
            </w:r>
          </w:p>
        </w:tc>
        <w:tc>
          <w:tcPr>
            <w:tcW w:w="9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55A0C83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Dur.</w:t>
            </w:r>
          </w:p>
        </w:tc>
        <w:tc>
          <w:tcPr>
            <w:tcW w:w="16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142E1BA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Dependencies</w:t>
            </w:r>
          </w:p>
        </w:tc>
        <w:tc>
          <w:tcPr>
            <w:tcW w:w="2426"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7E8CE6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Key Milestone</w:t>
            </w:r>
          </w:p>
        </w:tc>
      </w:tr>
      <w:tr w:rsidR="006564FF" w:rsidRPr="002C4A17" w14:paraId="4A80ED11" w14:textId="77777777">
        <w:tc>
          <w:tcPr>
            <w:tcW w:w="1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67C234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Project Initiation</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362D18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Jan 2026</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10D2DB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Feb 2026</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19FA11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2 months</w:t>
            </w:r>
          </w:p>
        </w:tc>
        <w:tc>
          <w:tcPr>
            <w:tcW w:w="1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3F4DB5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None</w:t>
            </w:r>
          </w:p>
        </w:tc>
        <w:tc>
          <w:tcPr>
            <w:tcW w:w="24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3901BA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Project Charter approved by Steering Committee</w:t>
            </w:r>
          </w:p>
        </w:tc>
      </w:tr>
      <w:tr w:rsidR="006564FF" w:rsidRPr="002C4A17" w14:paraId="2ED6D1C5" w14:textId="77777777">
        <w:tc>
          <w:tcPr>
            <w:tcW w:w="1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4F138F8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Planning</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C74F1A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Feb 2026</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D683AF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Apr 2026</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2AAC34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3 months</w:t>
            </w:r>
          </w:p>
        </w:tc>
        <w:tc>
          <w:tcPr>
            <w:tcW w:w="16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C12B22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Initiation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448FB1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PMP, Risk Register and EIA approved</w:t>
            </w:r>
          </w:p>
        </w:tc>
      </w:tr>
      <w:tr w:rsidR="006564FF" w:rsidRPr="002C4A17" w14:paraId="2F40FFAE" w14:textId="77777777">
        <w:tc>
          <w:tcPr>
            <w:tcW w:w="1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23A2FA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Design</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D42351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Apr 2026</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FFC7C8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Aug 2026</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441C2C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5 months</w:t>
            </w:r>
          </w:p>
        </w:tc>
        <w:tc>
          <w:tcPr>
            <w:tcW w:w="1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9D9963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Planning approved</w:t>
            </w:r>
          </w:p>
        </w:tc>
        <w:tc>
          <w:tcPr>
            <w:tcW w:w="24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B63D07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Design freeze and planning consent obtained</w:t>
            </w:r>
          </w:p>
        </w:tc>
      </w:tr>
      <w:tr w:rsidR="006564FF" w:rsidRPr="002C4A17" w14:paraId="40944A4E" w14:textId="77777777">
        <w:tc>
          <w:tcPr>
            <w:tcW w:w="1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B9D949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Procurement</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75B6C8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Jul 2026</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95E7B7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Sep 2026</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8B4301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3 months</w:t>
            </w:r>
          </w:p>
        </w:tc>
        <w:tc>
          <w:tcPr>
            <w:tcW w:w="16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3A5DFB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Design 60%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D841E8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All contracts awarded</w:t>
            </w:r>
          </w:p>
        </w:tc>
      </w:tr>
      <w:tr w:rsidR="006564FF" w:rsidRPr="002C4A17" w14:paraId="40678270" w14:textId="77777777">
        <w:tc>
          <w:tcPr>
            <w:tcW w:w="1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3F378B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Construction – Phase 1 (Demolition &amp; Groundworks)</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E69D66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Sep 2026</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D53C8F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Feb 2027</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250D25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6 months</w:t>
            </w:r>
          </w:p>
        </w:tc>
        <w:tc>
          <w:tcPr>
            <w:tcW w:w="1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1A2391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Procurement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773CC0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Site cleared; foundations commenced</w:t>
            </w:r>
          </w:p>
        </w:tc>
      </w:tr>
      <w:tr w:rsidR="006564FF" w:rsidRPr="002C4A17" w14:paraId="762BDABB" w14:textId="77777777">
        <w:tc>
          <w:tcPr>
            <w:tcW w:w="1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E03C9B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Construction – Phase 2 (Structural Works)</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25E792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Feb 2027</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D5B8B5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Aug 2027</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BFC5F5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6 months</w:t>
            </w:r>
          </w:p>
        </w:tc>
        <w:tc>
          <w:tcPr>
            <w:tcW w:w="16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BE2804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Phase 1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B60A87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Main structure complete</w:t>
            </w:r>
          </w:p>
        </w:tc>
      </w:tr>
      <w:tr w:rsidR="006564FF" w:rsidRPr="002C4A17" w14:paraId="48A54A57" w14:textId="77777777">
        <w:tc>
          <w:tcPr>
            <w:tcW w:w="1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B7341B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Construction – Phase 3 (Fit-Out &amp; Systems)</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FAD57E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Aug 2027</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812493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Nov 2027</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090302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4 months</w:t>
            </w:r>
          </w:p>
        </w:tc>
        <w:tc>
          <w:tcPr>
            <w:tcW w:w="1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69337B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Phase 2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8CCECC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All MEP and digital systems installed</w:t>
            </w:r>
          </w:p>
        </w:tc>
      </w:tr>
      <w:tr w:rsidR="006564FF" w:rsidRPr="002C4A17" w14:paraId="406B7D0B" w14:textId="77777777">
        <w:tc>
          <w:tcPr>
            <w:tcW w:w="1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821CB9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Testing &amp; Quality Assurance</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38C2D7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Nov 2027</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3B9A86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Jan 2028</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47ED77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3 months</w:t>
            </w:r>
          </w:p>
        </w:tc>
        <w:tc>
          <w:tcPr>
            <w:tcW w:w="16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11C5B0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Construction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7DCE5E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All certifications obtained</w:t>
            </w:r>
          </w:p>
        </w:tc>
      </w:tr>
      <w:tr w:rsidR="006564FF" w:rsidRPr="002C4A17" w14:paraId="4FA0CE6D" w14:textId="77777777">
        <w:tc>
          <w:tcPr>
            <w:tcW w:w="1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6A8F17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Commissioning</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A43BC8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Jan 2028</w:t>
            </w:r>
          </w:p>
        </w:tc>
        <w:tc>
          <w:tcPr>
            <w:tcW w:w="11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3A4EC6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Apr 2028</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90DDEF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3 months</w:t>
            </w:r>
          </w:p>
        </w:tc>
        <w:tc>
          <w:tcPr>
            <w:tcW w:w="16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42FA8B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Testing passed</w:t>
            </w:r>
          </w:p>
        </w:tc>
        <w:tc>
          <w:tcPr>
            <w:tcW w:w="24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6369099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Hub operational – public opening</w:t>
            </w:r>
          </w:p>
        </w:tc>
      </w:tr>
      <w:tr w:rsidR="006564FF" w:rsidRPr="002C4A17" w14:paraId="0631C89E" w14:textId="77777777">
        <w:tc>
          <w:tcPr>
            <w:tcW w:w="1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71C01C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Project Closure</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87C91B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Apr 2028</w:t>
            </w:r>
          </w:p>
        </w:tc>
        <w:tc>
          <w:tcPr>
            <w:tcW w:w="11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DEE3D2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Jun 2028</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7AD7CD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2 months</w:t>
            </w:r>
          </w:p>
        </w:tc>
        <w:tc>
          <w:tcPr>
            <w:tcW w:w="16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59B960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Commissioning complete</w:t>
            </w:r>
          </w:p>
        </w:tc>
        <w:tc>
          <w:tcPr>
            <w:tcW w:w="24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CD86F4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Final report and benefits plan issued</w:t>
            </w:r>
          </w:p>
        </w:tc>
      </w:tr>
    </w:tbl>
    <w:p w14:paraId="3EEA165D" w14:textId="77777777" w:rsidR="003960D5" w:rsidRDefault="003960D5" w:rsidP="002C4A17">
      <w:pPr>
        <w:spacing w:after="160" w:line="360" w:lineRule="auto"/>
        <w:jc w:val="both"/>
        <w:rPr>
          <w:rFonts w:ascii="Times New Roman" w:hAnsi="Times New Roman" w:cs="Times New Roman"/>
        </w:rPr>
      </w:pPr>
    </w:p>
    <w:p w14:paraId="3568B3C5" w14:textId="77777777" w:rsidR="003960D5" w:rsidRPr="003960D5"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The critical path of Design, Procurement, and Construction, any delay on this critical path directly impacts completion (PMI, 2021). Procurement involves data from late in the design process, and is a fast-tracking technique in line with PMBOK® schedule management (Kerzner, 2022). When demolishing in urban areas, this is requiring a gradual demolition process and resource equalisation to avoid conflicts at different stages of the process (Müller et al., 2023).</w:t>
      </w:r>
    </w:p>
    <w:p w14:paraId="0CC55912" w14:textId="77777777" w:rsidR="006564FF" w:rsidRPr="002C4A17"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lastRenderedPageBreak/>
        <w:t>It has phase end buffers to take up any minor delays, and monthly monitoring of the schedule using earned value measurements (Turner, 2021; AXELOS, 2023).</w:t>
      </w:r>
    </w:p>
    <w:p w14:paraId="09F6CC7A" w14:textId="77777777" w:rsidR="003960D5" w:rsidRDefault="0084233A" w:rsidP="00F31866">
      <w:pPr>
        <w:pStyle w:val="ListParagraph"/>
        <w:numPr>
          <w:ilvl w:val="0"/>
          <w:numId w:val="3"/>
        </w:numPr>
        <w:rPr>
          <w:rFonts w:ascii="Times New Roman" w:hAnsi="Times New Roman" w:cs="Times New Roman"/>
          <w:b/>
          <w:sz w:val="28"/>
        </w:rPr>
      </w:pPr>
      <w:r w:rsidRPr="00F31866">
        <w:rPr>
          <w:rFonts w:ascii="Times New Roman" w:hAnsi="Times New Roman" w:cs="Times New Roman"/>
          <w:b/>
          <w:sz w:val="28"/>
        </w:rPr>
        <w:t xml:space="preserve"> STAKEHOLDER INVOLVEMENT</w:t>
      </w:r>
    </w:p>
    <w:p w14:paraId="5C0F1BFE" w14:textId="77777777" w:rsidR="00F31866" w:rsidRDefault="00F31866" w:rsidP="00F31866">
      <w:pPr>
        <w:pStyle w:val="ListParagraph"/>
        <w:ind w:left="360"/>
        <w:rPr>
          <w:rFonts w:ascii="Times New Roman" w:hAnsi="Times New Roman" w:cs="Times New Roman"/>
          <w:b/>
          <w:sz w:val="28"/>
        </w:rPr>
      </w:pPr>
    </w:p>
    <w:p w14:paraId="4AB1B78A" w14:textId="77777777" w:rsidR="003960D5" w:rsidRPr="002C4A17"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The systematic identification, analysis and engagement of stakeholders is a critical aspect of stakeholder management that is required throughout the project lifecycle (Eskerod and Jepsen, 2022). Ignoring a proactive approach has been proven to help drive cost overruns and delays (PMI, 2021). Table 4 shows the Stakeholder Analysis Matrix for the nine key groups.</w:t>
      </w:r>
    </w:p>
    <w:p w14:paraId="1EDB01ED" w14:textId="77777777" w:rsidR="006564FF" w:rsidRPr="00F80DEC" w:rsidRDefault="0084233A" w:rsidP="00F80DEC">
      <w:pPr>
        <w:spacing w:before="80" w:after="180"/>
        <w:jc w:val="center"/>
        <w:rPr>
          <w:rFonts w:ascii="Times New Roman" w:hAnsi="Times New Roman" w:cs="Times New Roman"/>
          <w:color w:val="000000" w:themeColor="text1"/>
        </w:rPr>
      </w:pPr>
      <w:r w:rsidRPr="00F80DEC">
        <w:rPr>
          <w:rFonts w:ascii="Times New Roman" w:hAnsi="Times New Roman" w:cs="Times New Roman"/>
          <w:b/>
          <w:bCs/>
          <w:color w:val="000000" w:themeColor="text1"/>
          <w:sz w:val="20"/>
          <w:szCs w:val="20"/>
        </w:rPr>
        <w:t>Table 4: Stakeholder Analysis Matrix – Power-Interest Grid and Engagement Strategies</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97"/>
        <w:gridCol w:w="980"/>
        <w:gridCol w:w="924"/>
        <w:gridCol w:w="1393"/>
        <w:gridCol w:w="4078"/>
      </w:tblGrid>
      <w:tr w:rsidR="006564FF" w:rsidRPr="002C4A17" w14:paraId="5DDE0045" w14:textId="77777777">
        <w:tc>
          <w:tcPr>
            <w:tcW w:w="17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52E59DF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Stakeholder</w:t>
            </w:r>
          </w:p>
        </w:tc>
        <w:tc>
          <w:tcPr>
            <w:tcW w:w="9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DE8ECE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Interest</w:t>
            </w:r>
          </w:p>
        </w:tc>
        <w:tc>
          <w:tcPr>
            <w:tcW w:w="9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7BD56F9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Power</w:t>
            </w:r>
          </w:p>
        </w:tc>
        <w:tc>
          <w:tcPr>
            <w:tcW w:w="14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462823D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Grid Position</w:t>
            </w:r>
          </w:p>
        </w:tc>
        <w:tc>
          <w:tcPr>
            <w:tcW w:w="4126"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0CF2E8E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Engagement Strategy</w:t>
            </w:r>
          </w:p>
        </w:tc>
      </w:tr>
      <w:tr w:rsidR="006564FF" w:rsidRPr="002C4A17" w14:paraId="1D231112" w14:textId="77777777">
        <w:tc>
          <w:tcPr>
            <w:tcW w:w="17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8BD37C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Local Authority / Client</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E127A0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5E148F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EB942D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Manage Closely</w:t>
            </w:r>
          </w:p>
        </w:tc>
        <w:tc>
          <w:tcPr>
            <w:tcW w:w="41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446D9E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Regular steering committee meetings; formal progress reports; executive briefings; key decision authority</w:t>
            </w:r>
          </w:p>
        </w:tc>
      </w:tr>
      <w:tr w:rsidR="006564FF" w:rsidRPr="002C4A17" w14:paraId="03B2BBDF" w14:textId="77777777">
        <w:tc>
          <w:tcPr>
            <w:tcW w:w="17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552AD5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Department for Transport (DfT)</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FCFC4B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0BB1EA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14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59331D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Satisfied</w:t>
            </w:r>
          </w:p>
        </w:tc>
        <w:tc>
          <w:tcPr>
            <w:tcW w:w="41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AEC3B7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Formal compliance reporting; statutory consultations; funding milestone updates</w:t>
            </w:r>
          </w:p>
        </w:tc>
      </w:tr>
      <w:tr w:rsidR="006564FF" w:rsidRPr="002C4A17" w14:paraId="091BA033" w14:textId="77777777">
        <w:tc>
          <w:tcPr>
            <w:tcW w:w="17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ADE19E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Environment Agency</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595709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10E16D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49028B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Satisfied</w:t>
            </w:r>
          </w:p>
        </w:tc>
        <w:tc>
          <w:tcPr>
            <w:tcW w:w="41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976440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Environmental Management Plan submissions; regulatory compliance reporting</w:t>
            </w:r>
          </w:p>
        </w:tc>
      </w:tr>
      <w:tr w:rsidR="006564FF" w:rsidRPr="002C4A17" w14:paraId="42517815" w14:textId="77777777">
        <w:tc>
          <w:tcPr>
            <w:tcW w:w="17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3DD831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Transport Operators (Rail / Bus)</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3FAFCE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EC4BA7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14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4C32B9A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Manage Closely</w:t>
            </w:r>
          </w:p>
        </w:tc>
        <w:tc>
          <w:tcPr>
            <w:tcW w:w="41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108312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Operational continuity planning meetings; phased access agreements; co-design of operational layout</w:t>
            </w:r>
          </w:p>
        </w:tc>
      </w:tr>
      <w:tr w:rsidR="006564FF" w:rsidRPr="002C4A17" w14:paraId="2DAF3174" w14:textId="77777777">
        <w:tc>
          <w:tcPr>
            <w:tcW w:w="17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A78A73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Local Businesses</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1B34D1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6A1EF2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D5FBB8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Informed</w:t>
            </w:r>
          </w:p>
        </w:tc>
        <w:tc>
          <w:tcPr>
            <w:tcW w:w="41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CA9EB2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Monthly public bulletins; dedicated project website; business liaison group; compensation framework</w:t>
            </w:r>
          </w:p>
        </w:tc>
      </w:tr>
      <w:tr w:rsidR="006564FF" w:rsidRPr="002C4A17" w14:paraId="7BE05451" w14:textId="77777777">
        <w:tc>
          <w:tcPr>
            <w:tcW w:w="17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508F36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Commuters / General Public</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36E7C1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09BC87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Low</w:t>
            </w:r>
          </w:p>
        </w:tc>
        <w:tc>
          <w:tcPr>
            <w:tcW w:w="14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365461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Informed</w:t>
            </w:r>
          </w:p>
        </w:tc>
        <w:tc>
          <w:tcPr>
            <w:tcW w:w="41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F3F565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Public exhibitions; social media updates; dedicated information helpline; alternative travel guidance</w:t>
            </w:r>
          </w:p>
        </w:tc>
      </w:tr>
      <w:tr w:rsidR="006564FF" w:rsidRPr="002C4A17" w14:paraId="12C76CA0" w14:textId="77777777">
        <w:tc>
          <w:tcPr>
            <w:tcW w:w="17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680FAC4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Contractors / Supply Chain</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C50D53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4108C6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9E6203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Informed</w:t>
            </w:r>
          </w:p>
        </w:tc>
        <w:tc>
          <w:tcPr>
            <w:tcW w:w="41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C6E693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Weekly site progress meetings; contractual governance; change control procedures</w:t>
            </w:r>
          </w:p>
        </w:tc>
      </w:tr>
      <w:tr w:rsidR="006564FF" w:rsidRPr="002C4A17" w14:paraId="6E104F13" w14:textId="77777777">
        <w:tc>
          <w:tcPr>
            <w:tcW w:w="17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79F037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Community and Residents Groups</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A543DF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High</w:t>
            </w:r>
          </w:p>
        </w:tc>
        <w:tc>
          <w:tcPr>
            <w:tcW w:w="9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CDB5D1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Low</w:t>
            </w:r>
          </w:p>
        </w:tc>
        <w:tc>
          <w:tcPr>
            <w:tcW w:w="14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68E31B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Consult</w:t>
            </w:r>
          </w:p>
        </w:tc>
        <w:tc>
          <w:tcPr>
            <w:tcW w:w="412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815F97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Participatory design workshops; public consultation events; community impact monitoring</w:t>
            </w:r>
          </w:p>
        </w:tc>
      </w:tr>
      <w:tr w:rsidR="006564FF" w:rsidRPr="002C4A17" w14:paraId="55070318" w14:textId="77777777">
        <w:tc>
          <w:tcPr>
            <w:tcW w:w="17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2B68DF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9"/>
                <w:szCs w:val="19"/>
              </w:rPr>
              <w:t>Environmental Organisations</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071964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9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09DD45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Medium</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1E7FC3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Keep Informed</w:t>
            </w:r>
          </w:p>
        </w:tc>
        <w:tc>
          <w:tcPr>
            <w:tcW w:w="412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BC30E4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9"/>
                <w:szCs w:val="19"/>
              </w:rPr>
              <w:t>Sustainability reporting; participation in design review panels; independent environmental audits</w:t>
            </w:r>
          </w:p>
        </w:tc>
      </w:tr>
    </w:tbl>
    <w:p w14:paraId="090E98FF" w14:textId="77777777" w:rsidR="006564FF" w:rsidRPr="002C4A17" w:rsidRDefault="006564FF" w:rsidP="002C4A17">
      <w:pPr>
        <w:spacing w:after="80"/>
        <w:jc w:val="both"/>
        <w:rPr>
          <w:rFonts w:ascii="Times New Roman" w:hAnsi="Times New Roman" w:cs="Times New Roman"/>
        </w:rPr>
      </w:pPr>
    </w:p>
    <w:p w14:paraId="101029FC" w14:textId="77777777" w:rsidR="003960D5" w:rsidRPr="003960D5" w:rsidRDefault="003960D5" w:rsidP="003960D5">
      <w:pPr>
        <w:spacing w:after="240"/>
        <w:jc w:val="both"/>
        <w:rPr>
          <w:rFonts w:ascii="Times New Roman" w:hAnsi="Times New Roman" w:cs="Times New Roman"/>
        </w:rPr>
      </w:pPr>
      <w:r w:rsidRPr="003960D5">
        <w:rPr>
          <w:rFonts w:ascii="Times New Roman" w:hAnsi="Times New Roman" w:cs="Times New Roman"/>
        </w:rPr>
        <w:t>Both the Local Authority and Transport Operators fall within the quadrant of manage closely (high interest, high power), and are engaged the most (Eskerod and Jepsen, 2022). Proactive statutory reporting maintains government agencies' satisfaction, including both the DfT and Environment Agency.</w:t>
      </w:r>
    </w:p>
    <w:p w14:paraId="572756A0" w14:textId="77777777" w:rsidR="006564FF" w:rsidRPr="002C4A17" w:rsidRDefault="003960D5" w:rsidP="003960D5">
      <w:pPr>
        <w:spacing w:after="240"/>
        <w:jc w:val="both"/>
        <w:rPr>
          <w:rFonts w:ascii="Times New Roman" w:hAnsi="Times New Roman" w:cs="Times New Roman"/>
        </w:rPr>
      </w:pPr>
      <w:r w:rsidRPr="003960D5">
        <w:rPr>
          <w:rFonts w:ascii="Times New Roman" w:hAnsi="Times New Roman" w:cs="Times New Roman"/>
        </w:rPr>
        <w:t>Public bulletins and a project web site keep Commuters and Local Businesses informed. Community Groups are involved in participatory design workshops, following the IAP2 Spectrum (APM, 2022). Pinto (2020) shows that committed and timely involvement of stakeholders with the project can greatly decrease the number of formal objections and inquiry delays.</w:t>
      </w:r>
    </w:p>
    <w:p w14:paraId="1B332D2A" w14:textId="77777777" w:rsidR="00F31866" w:rsidRPr="00F31866" w:rsidRDefault="0084233A" w:rsidP="00F31866">
      <w:pPr>
        <w:pStyle w:val="ListParagraph"/>
        <w:numPr>
          <w:ilvl w:val="0"/>
          <w:numId w:val="3"/>
        </w:numPr>
        <w:spacing w:before="240"/>
        <w:rPr>
          <w:rFonts w:ascii="Times New Roman" w:hAnsi="Times New Roman" w:cs="Times New Roman"/>
          <w:b/>
          <w:sz w:val="28"/>
        </w:rPr>
      </w:pPr>
      <w:r w:rsidRPr="00F31866">
        <w:rPr>
          <w:rFonts w:ascii="Times New Roman" w:hAnsi="Times New Roman" w:cs="Times New Roman"/>
          <w:b/>
          <w:sz w:val="28"/>
        </w:rPr>
        <w:t>RESOURCE ALLOCATION</w:t>
      </w:r>
    </w:p>
    <w:p w14:paraId="15587376" w14:textId="77777777" w:rsidR="00F31866" w:rsidRDefault="003960D5" w:rsidP="00F31866">
      <w:pPr>
        <w:spacing w:before="240" w:after="160" w:line="276" w:lineRule="auto"/>
        <w:jc w:val="both"/>
        <w:rPr>
          <w:rFonts w:ascii="Times New Roman" w:hAnsi="Times New Roman" w:cs="Times New Roman"/>
        </w:rPr>
      </w:pPr>
      <w:r w:rsidRPr="003960D5">
        <w:rPr>
          <w:rFonts w:ascii="Times New Roman" w:hAnsi="Times New Roman" w:cs="Times New Roman"/>
        </w:rPr>
        <w:lastRenderedPageBreak/>
        <w:t>Resource allocation is a crucial aspect in the successful delivery of mega scale infrastructure projects within the parameters of time, cost and quality (Kerzner, 2022). The resource plan covers four domains human, financial, material and technological.</w:t>
      </w:r>
    </w:p>
    <w:p w14:paraId="7D52291D" w14:textId="77777777" w:rsidR="006564FF" w:rsidRPr="00F31866" w:rsidRDefault="0084233A" w:rsidP="00F31866">
      <w:pPr>
        <w:spacing w:after="160" w:line="276" w:lineRule="auto"/>
        <w:jc w:val="both"/>
        <w:rPr>
          <w:rFonts w:ascii="Times New Roman" w:hAnsi="Times New Roman" w:cs="Times New Roman"/>
          <w:color w:val="000000" w:themeColor="text1"/>
        </w:rPr>
      </w:pPr>
      <w:r w:rsidRPr="00F31866">
        <w:rPr>
          <w:rFonts w:ascii="Times New Roman" w:hAnsi="Times New Roman" w:cs="Times New Roman"/>
          <w:b/>
          <w:bCs/>
          <w:color w:val="000000" w:themeColor="text1"/>
        </w:rPr>
        <w:t>Human Resources</w:t>
      </w:r>
    </w:p>
    <w:p w14:paraId="54004707" w14:textId="77777777" w:rsidR="003960D5" w:rsidRPr="002C4A17"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The project is managed by a PRINCE2 Practitioner or a Project Manager with a Project Management Professional (PMP) qualification and a multi-disciplinary team of engineers, planners, designers and specialists. The maximum workforce is estimated to be 350 people. Resource histograms can be used to identify pressure periods and can lead to proactive adjustments (Turner, 2021).</w:t>
      </w:r>
    </w:p>
    <w:p w14:paraId="29B1BD5F" w14:textId="77777777" w:rsidR="006564FF" w:rsidRPr="00F31866" w:rsidRDefault="0084233A" w:rsidP="00F31866">
      <w:pPr>
        <w:spacing w:before="260" w:after="120" w:line="276" w:lineRule="auto"/>
        <w:jc w:val="both"/>
        <w:rPr>
          <w:rFonts w:ascii="Times New Roman" w:hAnsi="Times New Roman" w:cs="Times New Roman"/>
          <w:color w:val="000000" w:themeColor="text1"/>
        </w:rPr>
      </w:pPr>
      <w:r w:rsidRPr="00F31866">
        <w:rPr>
          <w:rFonts w:ascii="Times New Roman" w:hAnsi="Times New Roman" w:cs="Times New Roman"/>
          <w:b/>
          <w:bCs/>
          <w:color w:val="000000" w:themeColor="text1"/>
        </w:rPr>
        <w:t>Financial Resources</w:t>
      </w:r>
    </w:p>
    <w:p w14:paraId="22BAB995" w14:textId="77777777" w:rsidR="00F31866" w:rsidRDefault="003960D5" w:rsidP="00F31866">
      <w:pPr>
        <w:spacing w:after="160" w:line="276" w:lineRule="auto"/>
        <w:jc w:val="both"/>
        <w:rPr>
          <w:rFonts w:ascii="Times New Roman" w:hAnsi="Times New Roman" w:cs="Times New Roman"/>
        </w:rPr>
      </w:pPr>
      <w:r w:rsidRPr="003960D5">
        <w:rPr>
          <w:rFonts w:ascii="Times New Roman" w:hAnsi="Times New Roman" w:cs="Times New Roman"/>
        </w:rPr>
        <w:t>The £380m budget is allocated by WBS expenditure profiles and the £38m contingency is only available via formal change control (HM Treasury, 2022). Monthly budget review and EVA are conducted to de</w:t>
      </w:r>
      <w:r w:rsidR="00F31866">
        <w:rPr>
          <w:rFonts w:ascii="Times New Roman" w:hAnsi="Times New Roman" w:cs="Times New Roman"/>
        </w:rPr>
        <w:t>al with any variances promptly.</w:t>
      </w:r>
    </w:p>
    <w:p w14:paraId="706E5B53" w14:textId="77777777" w:rsidR="006564FF" w:rsidRPr="00F31866" w:rsidRDefault="0084233A" w:rsidP="00F31866">
      <w:pPr>
        <w:spacing w:after="160" w:line="276" w:lineRule="auto"/>
        <w:jc w:val="both"/>
        <w:rPr>
          <w:rFonts w:ascii="Times New Roman" w:hAnsi="Times New Roman" w:cs="Times New Roman"/>
          <w:color w:val="000000" w:themeColor="text1"/>
        </w:rPr>
      </w:pPr>
      <w:r w:rsidRPr="00F31866">
        <w:rPr>
          <w:rFonts w:ascii="Times New Roman" w:hAnsi="Times New Roman" w:cs="Times New Roman"/>
          <w:b/>
          <w:bCs/>
          <w:color w:val="000000" w:themeColor="text1"/>
        </w:rPr>
        <w:t>Material and Technological Resources</w:t>
      </w:r>
    </w:p>
    <w:p w14:paraId="54B262F5" w14:textId="77777777" w:rsidR="006564FF" w:rsidRPr="002C4A17" w:rsidRDefault="003960D5" w:rsidP="00F31866">
      <w:pPr>
        <w:spacing w:after="240" w:line="276" w:lineRule="auto"/>
        <w:jc w:val="both"/>
        <w:rPr>
          <w:rFonts w:ascii="Times New Roman" w:hAnsi="Times New Roman" w:cs="Times New Roman"/>
        </w:rPr>
      </w:pPr>
      <w:r w:rsidRPr="003960D5">
        <w:rPr>
          <w:rFonts w:ascii="Times New Roman" w:hAnsi="Times New Roman" w:cs="Times New Roman"/>
        </w:rPr>
        <w:t>Early procurement, supplier diversification and escalation clauses are used for managing material supply chain risk. The technology resources include Microsoft Project, Primavera P6 and BIM for design coordination that is required on government infrastructure projects with budgets exceeding £5 million in the UK (IPA, 2023) and the digital transport management system (DTMS).</w:t>
      </w:r>
    </w:p>
    <w:p w14:paraId="5A8B28BE" w14:textId="77777777" w:rsidR="00F31866" w:rsidRPr="00F31866" w:rsidRDefault="0084233A" w:rsidP="00F31866">
      <w:pPr>
        <w:pStyle w:val="ListParagraph"/>
        <w:numPr>
          <w:ilvl w:val="0"/>
          <w:numId w:val="3"/>
        </w:numPr>
        <w:spacing w:before="240"/>
        <w:rPr>
          <w:rFonts w:ascii="Times New Roman" w:hAnsi="Times New Roman" w:cs="Times New Roman"/>
          <w:b/>
          <w:sz w:val="28"/>
        </w:rPr>
      </w:pPr>
      <w:r w:rsidRPr="00F31866">
        <w:rPr>
          <w:rFonts w:ascii="Times New Roman" w:hAnsi="Times New Roman" w:cs="Times New Roman"/>
          <w:b/>
          <w:sz w:val="28"/>
        </w:rPr>
        <w:t>RISK ANALYSIS</w:t>
      </w:r>
    </w:p>
    <w:p w14:paraId="27A6F5C3" w14:textId="77777777" w:rsidR="006564FF" w:rsidRPr="002C4A17" w:rsidRDefault="0084233A" w:rsidP="00F31866">
      <w:pPr>
        <w:spacing w:before="240" w:after="160" w:line="276" w:lineRule="auto"/>
        <w:jc w:val="both"/>
        <w:rPr>
          <w:rFonts w:ascii="Times New Roman" w:hAnsi="Times New Roman" w:cs="Times New Roman"/>
        </w:rPr>
      </w:pPr>
      <w:r w:rsidRPr="002C4A17">
        <w:rPr>
          <w:rFonts w:ascii="Times New Roman" w:hAnsi="Times New Roman" w:cs="Times New Roman"/>
        </w:rPr>
        <w:t>Risk management provides a systematic framework for identifying, assessing, and responding to threats (PMI, 2021). Both PMBOK® and PRINCE2 prescribe structured processes, with PRINCE2 requiring named risk owners for each registered risk (AXELOS, 2023). Table 5 presents the Risk Register for ten major risks.</w:t>
      </w:r>
    </w:p>
    <w:p w14:paraId="4B2F1387" w14:textId="77777777" w:rsidR="006564FF" w:rsidRPr="00F80DEC" w:rsidRDefault="0084233A" w:rsidP="00F80DEC">
      <w:pPr>
        <w:spacing w:before="80" w:after="180"/>
        <w:jc w:val="center"/>
        <w:rPr>
          <w:rFonts w:ascii="Times New Roman" w:hAnsi="Times New Roman" w:cs="Times New Roman"/>
          <w:color w:val="000000" w:themeColor="text1"/>
        </w:rPr>
      </w:pPr>
      <w:r w:rsidRPr="00F80DEC">
        <w:rPr>
          <w:rFonts w:ascii="Times New Roman" w:hAnsi="Times New Roman" w:cs="Times New Roman"/>
          <w:b/>
          <w:bCs/>
          <w:color w:val="000000" w:themeColor="text1"/>
          <w:sz w:val="20"/>
          <w:szCs w:val="20"/>
        </w:rPr>
        <w:t xml:space="preserve">Table </w:t>
      </w:r>
      <w:r w:rsidR="00F80DEC">
        <w:rPr>
          <w:rFonts w:ascii="Times New Roman" w:hAnsi="Times New Roman" w:cs="Times New Roman"/>
          <w:b/>
          <w:bCs/>
          <w:color w:val="000000" w:themeColor="text1"/>
          <w:sz w:val="20"/>
          <w:szCs w:val="20"/>
        </w:rPr>
        <w:t>5: Risk Register</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83"/>
        <w:gridCol w:w="890"/>
        <w:gridCol w:w="922"/>
        <w:gridCol w:w="782"/>
        <w:gridCol w:w="1181"/>
        <w:gridCol w:w="3814"/>
      </w:tblGrid>
      <w:tr w:rsidR="006564FF" w:rsidRPr="002C4A17" w14:paraId="1906A3B8" w14:textId="77777777">
        <w:tc>
          <w:tcPr>
            <w:tcW w:w="15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680D0C2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Risk Description</w:t>
            </w:r>
          </w:p>
        </w:tc>
        <w:tc>
          <w:tcPr>
            <w:tcW w:w="8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5797A2B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Prob. (1–5)</w:t>
            </w:r>
          </w:p>
        </w:tc>
        <w:tc>
          <w:tcPr>
            <w:tcW w:w="8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6F49ED9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Impact (1–5)</w:t>
            </w:r>
          </w:p>
        </w:tc>
        <w:tc>
          <w:tcPr>
            <w:tcW w:w="70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022CB30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Score</w:t>
            </w:r>
          </w:p>
        </w:tc>
        <w:tc>
          <w:tcPr>
            <w:tcW w:w="750"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07DC6F5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Priority</w:t>
            </w:r>
          </w:p>
        </w:tc>
        <w:tc>
          <w:tcPr>
            <w:tcW w:w="4476" w:type="dxa"/>
            <w:tcBorders>
              <w:top w:val="none" w:sz="0" w:space="0" w:color="FFFFFF"/>
              <w:left w:val="none" w:sz="0" w:space="0" w:color="FFFFFF"/>
              <w:bottom w:val="none" w:sz="0" w:space="0" w:color="FFFFFF"/>
              <w:right w:val="none" w:sz="0" w:space="0" w:color="FFFFFF"/>
            </w:tcBorders>
            <w:shd w:val="clear" w:color="auto" w:fill="2E75B6"/>
            <w:tcMar>
              <w:top w:w="90" w:type="dxa"/>
              <w:left w:w="140" w:type="dxa"/>
              <w:bottom w:w="90" w:type="dxa"/>
              <w:right w:w="140" w:type="dxa"/>
            </w:tcMar>
            <w:vAlign w:val="center"/>
          </w:tcPr>
          <w:p w14:paraId="2EA8B3C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color w:val="FFFFFF"/>
                <w:sz w:val="21"/>
                <w:szCs w:val="21"/>
              </w:rPr>
              <w:t>Mitigation Strategy</w:t>
            </w:r>
          </w:p>
        </w:tc>
      </w:tr>
      <w:tr w:rsidR="006564FF" w:rsidRPr="002C4A17" w14:paraId="004DF7CD" w14:textId="77777777">
        <w:tc>
          <w:tcPr>
            <w:tcW w:w="15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EC395C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Budget Overrun: Costs exceed approved capital budget due to estimation error, scope change, or unforeseen ground conditions</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0560A3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FD3898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(5)</w:t>
            </w:r>
          </w:p>
        </w:tc>
        <w:tc>
          <w:tcPr>
            <w:tcW w:w="70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1151086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20</w:t>
            </w:r>
          </w:p>
        </w:tc>
        <w:tc>
          <w:tcPr>
            <w:tcW w:w="75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6CBC4A9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CRITICAL</w:t>
            </w:r>
          </w:p>
        </w:tc>
        <w:tc>
          <w:tcPr>
            <w:tcW w:w="447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E8786E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Robust cost baselining via WBS; monthly EVM analysis; formal contingency approval process; independent cost review at each phase gate (IPA, 2023)</w:t>
            </w:r>
          </w:p>
        </w:tc>
      </w:tr>
      <w:tr w:rsidR="006564FF" w:rsidRPr="002C4A17" w14:paraId="3B084FF6" w14:textId="77777777">
        <w:tc>
          <w:tcPr>
            <w:tcW w:w="15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4A281E5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 xml:space="preserve">Construction Delays: Programme slippage caused by adverse weather, ground </w:t>
            </w:r>
            <w:r w:rsidRPr="002C4A17">
              <w:rPr>
                <w:rFonts w:ascii="Times New Roman" w:hAnsi="Times New Roman" w:cs="Times New Roman"/>
                <w:sz w:val="18"/>
                <w:szCs w:val="18"/>
              </w:rPr>
              <w:lastRenderedPageBreak/>
              <w:t>condition complexity, or subcontractor performance</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02078D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lastRenderedPageBreak/>
              <w:t>High (4)</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8C805A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70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2C8CB63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16</w:t>
            </w:r>
          </w:p>
        </w:tc>
        <w:tc>
          <w:tcPr>
            <w:tcW w:w="75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2D369A1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HIGH</w:t>
            </w:r>
          </w:p>
        </w:tc>
        <w:tc>
          <w:tcPr>
            <w:tcW w:w="447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2C357B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Schedule buffer periods embedded at phase boundaries; phased construction planning; liquidated damages clauses in contractor agreements (AXELOS, 2023)</w:t>
            </w:r>
          </w:p>
        </w:tc>
      </w:tr>
      <w:tr w:rsidR="006564FF" w:rsidRPr="002C4A17" w14:paraId="55AEF234" w14:textId="77777777">
        <w:tc>
          <w:tcPr>
            <w:tcW w:w="15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8F0535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Inflationary Pressures: Materials and labour costs escalating beyond budget assumptions</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6BA8C5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7DA7E8D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70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2D9C28C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16</w:t>
            </w:r>
          </w:p>
        </w:tc>
        <w:tc>
          <w:tcPr>
            <w:tcW w:w="750" w:type="dxa"/>
            <w:tcBorders>
              <w:top w:val="single" w:sz="4" w:space="0" w:color="BBBBBB"/>
              <w:left w:val="single" w:sz="4" w:space="0" w:color="BBBBBB"/>
              <w:bottom w:val="single" w:sz="4" w:space="0" w:color="BBBBBB"/>
              <w:right w:val="single" w:sz="4" w:space="0" w:color="BBBBBB"/>
            </w:tcBorders>
            <w:shd w:val="clear" w:color="auto" w:fill="FFB3B3"/>
            <w:tcMar>
              <w:top w:w="70" w:type="dxa"/>
              <w:left w:w="140" w:type="dxa"/>
              <w:bottom w:w="70" w:type="dxa"/>
              <w:right w:w="140" w:type="dxa"/>
            </w:tcMar>
          </w:tcPr>
          <w:p w14:paraId="5AD5BF7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HIGH</w:t>
            </w:r>
          </w:p>
        </w:tc>
        <w:tc>
          <w:tcPr>
            <w:tcW w:w="447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5205D7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Fixed-price contracts where feasible; cost escalation indexing clauses; early procurement of long-lead materials (HM Treasury, 2022)</w:t>
            </w:r>
          </w:p>
        </w:tc>
      </w:tr>
      <w:tr w:rsidR="006564FF" w:rsidRPr="002C4A17" w14:paraId="17B53E06" w14:textId="77777777">
        <w:tc>
          <w:tcPr>
            <w:tcW w:w="15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338E896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Labour Shortages: Insufficient availability of skilled civil engineers and construction workers</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E3A56C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F204E7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70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356EDF0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12</w:t>
            </w:r>
          </w:p>
        </w:tc>
        <w:tc>
          <w:tcPr>
            <w:tcW w:w="75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796E16E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HIGH</w:t>
            </w:r>
          </w:p>
        </w:tc>
        <w:tc>
          <w:tcPr>
            <w:tcW w:w="447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F71B18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Early contractor engagement; apprenticeship partnerships; flexible working arrangements; engagement with sector workforce bodies (Müller et al., 2023)</w:t>
            </w:r>
          </w:p>
        </w:tc>
      </w:tr>
      <w:tr w:rsidR="006564FF" w:rsidRPr="002C4A17" w14:paraId="0AD78307" w14:textId="77777777">
        <w:tc>
          <w:tcPr>
            <w:tcW w:w="15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F1930D1"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Safety Incidents: Serious on-site accidents causing injury, project suspension, or regulatory enforcement</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2472841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84228BE"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Very High (5)</w:t>
            </w:r>
          </w:p>
        </w:tc>
        <w:tc>
          <w:tcPr>
            <w:tcW w:w="70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7D21D85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15</w:t>
            </w:r>
          </w:p>
        </w:tc>
        <w:tc>
          <w:tcPr>
            <w:tcW w:w="75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1674665B"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HIGH</w:t>
            </w:r>
          </w:p>
        </w:tc>
        <w:tc>
          <w:tcPr>
            <w:tcW w:w="447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0A877D1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Zero-harm safety culture; mandatory site inductions; PPE compliance enforcement; independent H&amp;S audits (AXELOS, 2023)</w:t>
            </w:r>
          </w:p>
        </w:tc>
      </w:tr>
      <w:tr w:rsidR="006564FF" w:rsidRPr="002C4A17" w14:paraId="0BAEE425" w14:textId="77777777">
        <w:tc>
          <w:tcPr>
            <w:tcW w:w="15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8CA4D9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Supply Chain Disruption: Delayed delivery of critical construction materials due to global logistics volatility</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40EFCC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E04729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70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6BAC5D2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9</w:t>
            </w:r>
          </w:p>
        </w:tc>
        <w:tc>
          <w:tcPr>
            <w:tcW w:w="75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4E7E5C49"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MEDIUM</w:t>
            </w:r>
          </w:p>
        </w:tc>
        <w:tc>
          <w:tcPr>
            <w:tcW w:w="447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60A7427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Supplier diversification; buffer stock holding for critical materials; alternative supplier pre-qualification</w:t>
            </w:r>
          </w:p>
        </w:tc>
      </w:tr>
      <w:tr w:rsidR="006564FF" w:rsidRPr="002C4A17" w14:paraId="41D6FF88" w14:textId="77777777">
        <w:tc>
          <w:tcPr>
            <w:tcW w:w="15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F73296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Environmental Compliance Failure: Discovery of ground contamination, protected species, or breach of EIA conditions</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007EC4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Low (2)</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1AFEFD9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700" w:type="dxa"/>
            <w:tcBorders>
              <w:top w:val="single" w:sz="4" w:space="0" w:color="BBBBBB"/>
              <w:left w:val="single" w:sz="4" w:space="0" w:color="BBBBBB"/>
              <w:bottom w:val="single" w:sz="4" w:space="0" w:color="BBBBBB"/>
              <w:right w:val="single" w:sz="4" w:space="0" w:color="BBBBBB"/>
            </w:tcBorders>
            <w:shd w:val="clear" w:color="auto" w:fill="C6EFCE"/>
            <w:tcMar>
              <w:top w:w="70" w:type="dxa"/>
              <w:left w:w="140" w:type="dxa"/>
              <w:bottom w:w="70" w:type="dxa"/>
              <w:right w:w="140" w:type="dxa"/>
            </w:tcMar>
          </w:tcPr>
          <w:p w14:paraId="43532F0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8</w:t>
            </w:r>
          </w:p>
        </w:tc>
        <w:tc>
          <w:tcPr>
            <w:tcW w:w="750" w:type="dxa"/>
            <w:tcBorders>
              <w:top w:val="single" w:sz="4" w:space="0" w:color="BBBBBB"/>
              <w:left w:val="single" w:sz="4" w:space="0" w:color="BBBBBB"/>
              <w:bottom w:val="single" w:sz="4" w:space="0" w:color="BBBBBB"/>
              <w:right w:val="single" w:sz="4" w:space="0" w:color="BBBBBB"/>
            </w:tcBorders>
            <w:shd w:val="clear" w:color="auto" w:fill="C6EFCE"/>
            <w:tcMar>
              <w:top w:w="70" w:type="dxa"/>
              <w:left w:w="140" w:type="dxa"/>
              <w:bottom w:w="70" w:type="dxa"/>
              <w:right w:w="140" w:type="dxa"/>
            </w:tcMar>
          </w:tcPr>
          <w:p w14:paraId="693FB040"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MEDIUM</w:t>
            </w:r>
          </w:p>
        </w:tc>
        <w:tc>
          <w:tcPr>
            <w:tcW w:w="447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4B59747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Pre-construction site investigations and contamination surveys; Environmental Management Plan (EMP); ecological monitoring</w:t>
            </w:r>
          </w:p>
        </w:tc>
      </w:tr>
      <w:tr w:rsidR="006564FF" w:rsidRPr="002C4A17" w14:paraId="71C890E5" w14:textId="77777777">
        <w:tc>
          <w:tcPr>
            <w:tcW w:w="15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7015E49D"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Regulatory Changes: Amendment to planning, environmental, or transport legislation affecting design or delivery requirements</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12F03D9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Low (2)</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2576B81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High (4)</w:t>
            </w:r>
          </w:p>
        </w:tc>
        <w:tc>
          <w:tcPr>
            <w:tcW w:w="700" w:type="dxa"/>
            <w:tcBorders>
              <w:top w:val="single" w:sz="4" w:space="0" w:color="BBBBBB"/>
              <w:left w:val="single" w:sz="4" w:space="0" w:color="BBBBBB"/>
              <w:bottom w:val="single" w:sz="4" w:space="0" w:color="BBBBBB"/>
              <w:right w:val="single" w:sz="4" w:space="0" w:color="BBBBBB"/>
            </w:tcBorders>
            <w:shd w:val="clear" w:color="auto" w:fill="C6EFCE"/>
            <w:tcMar>
              <w:top w:w="70" w:type="dxa"/>
              <w:left w:w="140" w:type="dxa"/>
              <w:bottom w:w="70" w:type="dxa"/>
              <w:right w:w="140" w:type="dxa"/>
            </w:tcMar>
          </w:tcPr>
          <w:p w14:paraId="56824BE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8</w:t>
            </w:r>
          </w:p>
        </w:tc>
        <w:tc>
          <w:tcPr>
            <w:tcW w:w="750" w:type="dxa"/>
            <w:tcBorders>
              <w:top w:val="single" w:sz="4" w:space="0" w:color="BBBBBB"/>
              <w:left w:val="single" w:sz="4" w:space="0" w:color="BBBBBB"/>
              <w:bottom w:val="single" w:sz="4" w:space="0" w:color="BBBBBB"/>
              <w:right w:val="single" w:sz="4" w:space="0" w:color="BBBBBB"/>
            </w:tcBorders>
            <w:shd w:val="clear" w:color="auto" w:fill="C6EFCE"/>
            <w:tcMar>
              <w:top w:w="70" w:type="dxa"/>
              <w:left w:w="140" w:type="dxa"/>
              <w:bottom w:w="70" w:type="dxa"/>
              <w:right w:w="140" w:type="dxa"/>
            </w:tcMar>
          </w:tcPr>
          <w:p w14:paraId="5FA8056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MEDIUM</w:t>
            </w:r>
          </w:p>
        </w:tc>
        <w:tc>
          <w:tcPr>
            <w:tcW w:w="447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4BE3809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Continuous regulatory horizon scanning; legal compliance monitoring; design flexibility built into planning consent conditions</w:t>
            </w:r>
          </w:p>
        </w:tc>
      </w:tr>
      <w:tr w:rsidR="006564FF" w:rsidRPr="002C4A17" w14:paraId="1E206A67" w14:textId="77777777">
        <w:tc>
          <w:tcPr>
            <w:tcW w:w="15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366B86F2"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 xml:space="preserve">Technology Implementation Failure: Integration </w:t>
            </w:r>
            <w:r w:rsidRPr="002C4A17">
              <w:rPr>
                <w:rFonts w:ascii="Times New Roman" w:hAnsi="Times New Roman" w:cs="Times New Roman"/>
                <w:sz w:val="18"/>
                <w:szCs w:val="18"/>
              </w:rPr>
              <w:lastRenderedPageBreak/>
              <w:t>failures in intelligent transport or digital passenger information systems</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624BF2A"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lastRenderedPageBreak/>
              <w:t>Medium (3)</w:t>
            </w:r>
          </w:p>
        </w:tc>
        <w:tc>
          <w:tcPr>
            <w:tcW w:w="800"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AC6928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70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0EEF86C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9</w:t>
            </w:r>
          </w:p>
        </w:tc>
        <w:tc>
          <w:tcPr>
            <w:tcW w:w="75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16125C4F"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MEDIUM</w:t>
            </w:r>
          </w:p>
        </w:tc>
        <w:tc>
          <w:tcPr>
            <w:tcW w:w="4476" w:type="dxa"/>
            <w:tcBorders>
              <w:top w:val="single" w:sz="4" w:space="0" w:color="BBBBBB"/>
              <w:left w:val="single" w:sz="4" w:space="0" w:color="BBBBBB"/>
              <w:bottom w:val="single" w:sz="4" w:space="0" w:color="BBBBBB"/>
              <w:right w:val="single" w:sz="4" w:space="0" w:color="BBBBBB"/>
            </w:tcBorders>
            <w:shd w:val="clear" w:color="auto" w:fill="FFFFFF"/>
            <w:tcMar>
              <w:top w:w="70" w:type="dxa"/>
              <w:left w:w="140" w:type="dxa"/>
              <w:bottom w:w="70" w:type="dxa"/>
              <w:right w:w="140" w:type="dxa"/>
            </w:tcMar>
          </w:tcPr>
          <w:p w14:paraId="596BF846"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Phased technology testing protocols; vendor performance warranties; dedicated IT commissioning periods with acceptance criteria (PMI, 2021)</w:t>
            </w:r>
          </w:p>
        </w:tc>
      </w:tr>
      <w:tr w:rsidR="006564FF" w:rsidRPr="002C4A17" w14:paraId="7574B110" w14:textId="77777777">
        <w:tc>
          <w:tcPr>
            <w:tcW w:w="15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C9EA425"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Stakeholder Resistance: Community, political, or environmental opposition causing planning delays or reputational damage</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4D0BF828"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800"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5F3BF2C4"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Medium (3)</w:t>
            </w:r>
          </w:p>
        </w:tc>
        <w:tc>
          <w:tcPr>
            <w:tcW w:w="70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19DD3A0C"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9</w:t>
            </w:r>
          </w:p>
        </w:tc>
        <w:tc>
          <w:tcPr>
            <w:tcW w:w="750" w:type="dxa"/>
            <w:tcBorders>
              <w:top w:val="single" w:sz="4" w:space="0" w:color="BBBBBB"/>
              <w:left w:val="single" w:sz="4" w:space="0" w:color="BBBBBB"/>
              <w:bottom w:val="single" w:sz="4" w:space="0" w:color="BBBBBB"/>
              <w:right w:val="single" w:sz="4" w:space="0" w:color="BBBBBB"/>
            </w:tcBorders>
            <w:shd w:val="clear" w:color="auto" w:fill="FFD966"/>
            <w:tcMar>
              <w:top w:w="70" w:type="dxa"/>
              <w:left w:w="140" w:type="dxa"/>
              <w:bottom w:w="70" w:type="dxa"/>
              <w:right w:w="140" w:type="dxa"/>
            </w:tcMar>
          </w:tcPr>
          <w:p w14:paraId="5708A6F7"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b/>
                <w:bCs/>
                <w:sz w:val="18"/>
                <w:szCs w:val="18"/>
              </w:rPr>
              <w:t>MEDIUM</w:t>
            </w:r>
          </w:p>
        </w:tc>
        <w:tc>
          <w:tcPr>
            <w:tcW w:w="4476" w:type="dxa"/>
            <w:tcBorders>
              <w:top w:val="single" w:sz="4" w:space="0" w:color="BBBBBB"/>
              <w:left w:val="single" w:sz="4" w:space="0" w:color="BBBBBB"/>
              <w:bottom w:val="single" w:sz="4" w:space="0" w:color="BBBBBB"/>
              <w:right w:val="single" w:sz="4" w:space="0" w:color="BBBBBB"/>
            </w:tcBorders>
            <w:shd w:val="clear" w:color="auto" w:fill="EBF3FB"/>
            <w:tcMar>
              <w:top w:w="70" w:type="dxa"/>
              <w:left w:w="140" w:type="dxa"/>
              <w:bottom w:w="70" w:type="dxa"/>
              <w:right w:w="140" w:type="dxa"/>
            </w:tcMar>
          </w:tcPr>
          <w:p w14:paraId="01FA2BF3" w14:textId="77777777" w:rsidR="006564FF" w:rsidRPr="002C4A17" w:rsidRDefault="0084233A" w:rsidP="002C4A17">
            <w:pPr>
              <w:jc w:val="both"/>
              <w:rPr>
                <w:rFonts w:ascii="Times New Roman" w:hAnsi="Times New Roman" w:cs="Times New Roman"/>
              </w:rPr>
            </w:pPr>
            <w:r w:rsidRPr="002C4A17">
              <w:rPr>
                <w:rFonts w:ascii="Times New Roman" w:hAnsi="Times New Roman" w:cs="Times New Roman"/>
                <w:sz w:val="18"/>
                <w:szCs w:val="18"/>
              </w:rPr>
              <w:t>Proactive stakeholder engagement strategy; formal public consultation; independent review panels; elected member briefings (Pinto, 2020)</w:t>
            </w:r>
          </w:p>
        </w:tc>
      </w:tr>
    </w:tbl>
    <w:p w14:paraId="18B99DF7" w14:textId="77777777" w:rsidR="004172A6" w:rsidRDefault="0084233A" w:rsidP="004172A6">
      <w:pPr>
        <w:spacing w:before="60" w:after="200"/>
        <w:jc w:val="both"/>
        <w:rPr>
          <w:rFonts w:ascii="Times New Roman" w:hAnsi="Times New Roman" w:cs="Times New Roman"/>
        </w:rPr>
      </w:pPr>
      <w:r w:rsidRPr="002C4A17">
        <w:rPr>
          <w:rFonts w:ascii="Times New Roman" w:hAnsi="Times New Roman" w:cs="Times New Roman"/>
          <w:color w:val="666666"/>
          <w:sz w:val="18"/>
          <w:szCs w:val="18"/>
        </w:rPr>
        <w:t>Risk Score = Probability × Impact. Colour coding: Red ≥16 (Critical), Amber 9–15 (High/Medium), Green &lt;9 (Low). Scale: 1 = Very Low, 5 = Very High.</w:t>
      </w:r>
    </w:p>
    <w:p w14:paraId="23EDCD8C" w14:textId="77777777" w:rsidR="004172A6" w:rsidRPr="004172A6" w:rsidRDefault="004172A6" w:rsidP="00F31866">
      <w:pPr>
        <w:spacing w:after="160" w:line="276" w:lineRule="auto"/>
        <w:jc w:val="both"/>
        <w:rPr>
          <w:rFonts w:ascii="Times New Roman" w:hAnsi="Times New Roman" w:cs="Times New Roman"/>
        </w:rPr>
      </w:pPr>
      <w:r w:rsidRPr="004172A6">
        <w:rPr>
          <w:rFonts w:ascii="Times New Roman" w:hAnsi="Times New Roman" w:cs="Times New Roman"/>
        </w:rPr>
        <w:t>The biggest threats are budget overruns, construction delays and inflation (IPA 2023) says that at least 39% of major UK government projects have overrun budgets. Safety incidents have the highest impact score, but are considered to have medium probability, meaning there must be a zero harm approach (AXELOS, 2023). Risk ownership is used throughout the lifecycle with a residual risks review at each phase gate (Kerzner, 2022).</w:t>
      </w:r>
    </w:p>
    <w:p w14:paraId="74F32BE7" w14:textId="77777777" w:rsidR="006564FF" w:rsidRPr="002C4A17" w:rsidRDefault="004172A6" w:rsidP="00F31866">
      <w:pPr>
        <w:spacing w:after="160" w:line="276" w:lineRule="auto"/>
        <w:jc w:val="both"/>
        <w:rPr>
          <w:rFonts w:ascii="Times New Roman" w:hAnsi="Times New Roman" w:cs="Times New Roman"/>
        </w:rPr>
      </w:pPr>
      <w:r w:rsidRPr="004172A6">
        <w:rPr>
          <w:rFonts w:ascii="Times New Roman" w:hAnsi="Times New Roman" w:cs="Times New Roman"/>
        </w:rPr>
        <w:t>Where it is deemed a high priority risk it is recommended that Monte Carlo simulation should be used, giving a probabilistic forecast, in keeping with the commitment of £380 million (HM Treasury, 2022).</w:t>
      </w:r>
    </w:p>
    <w:p w14:paraId="2FE83807" w14:textId="77777777" w:rsidR="006564FF" w:rsidRPr="00F31866" w:rsidRDefault="00F31866" w:rsidP="00F31866">
      <w:pPr>
        <w:pStyle w:val="ListParagraph"/>
        <w:numPr>
          <w:ilvl w:val="0"/>
          <w:numId w:val="3"/>
        </w:numPr>
        <w:spacing w:before="240" w:after="240"/>
        <w:rPr>
          <w:rFonts w:ascii="Times New Roman" w:hAnsi="Times New Roman" w:cs="Times New Roman"/>
          <w:b/>
          <w:sz w:val="28"/>
        </w:rPr>
      </w:pPr>
      <w:r>
        <w:rPr>
          <w:rFonts w:ascii="Times New Roman" w:hAnsi="Times New Roman" w:cs="Times New Roman"/>
          <w:b/>
          <w:sz w:val="28"/>
        </w:rPr>
        <w:t xml:space="preserve"> </w:t>
      </w:r>
      <w:r w:rsidR="0084233A" w:rsidRPr="00F31866">
        <w:rPr>
          <w:rFonts w:ascii="Times New Roman" w:hAnsi="Times New Roman" w:cs="Times New Roman"/>
          <w:b/>
          <w:sz w:val="28"/>
        </w:rPr>
        <w:t>CONCLUSION</w:t>
      </w:r>
    </w:p>
    <w:p w14:paraId="7ABA28CD" w14:textId="77777777" w:rsidR="004172A6" w:rsidRPr="004172A6" w:rsidRDefault="004172A6" w:rsidP="00F31866">
      <w:pPr>
        <w:spacing w:after="240" w:line="276" w:lineRule="auto"/>
        <w:jc w:val="both"/>
        <w:rPr>
          <w:rFonts w:ascii="Times New Roman" w:hAnsi="Times New Roman" w:cs="Times New Roman"/>
        </w:rPr>
      </w:pPr>
      <w:r w:rsidRPr="004172A6">
        <w:rPr>
          <w:rFonts w:ascii="Times New Roman" w:hAnsi="Times New Roman" w:cs="Times New Roman"/>
        </w:rPr>
        <w:t>This Project Management Plan proves that full redevelopment is the best way to address the current infrastructure crisis, being a unique approach that considers all aspects of structural safety, sustainability, digital modernisation and accessibility in a coherent programme (APM, 2022). The PMI, (2021), and AXELOS, (2023), and Kerzner (2022) have used the PMBOK® and PRINCE2 frameworks to define scope, developing the WBS and schedule, engaging stakeholders, allocating resources and establishing a comprehensive risk register.</w:t>
      </w:r>
    </w:p>
    <w:p w14:paraId="52BC2C85" w14:textId="77777777" w:rsidR="00F31866" w:rsidRPr="002C4A17" w:rsidRDefault="004172A6" w:rsidP="00F80DEC">
      <w:pPr>
        <w:spacing w:after="160" w:line="276" w:lineRule="auto"/>
        <w:jc w:val="both"/>
        <w:rPr>
          <w:rFonts w:ascii="Times New Roman" w:hAnsi="Times New Roman" w:cs="Times New Roman"/>
        </w:rPr>
      </w:pPr>
      <w:r w:rsidRPr="004172A6">
        <w:rPr>
          <w:rFonts w:ascii="Times New Roman" w:hAnsi="Times New Roman" w:cs="Times New Roman"/>
        </w:rPr>
        <w:t>They need to be well-governed, involve stakeholders in advance and monitor risks diligently to ensure they meet the delivery target of £418m in 30 months. The redevelopment will lead to long-term public benefits, in line with the UK Government's national decarbonisation targets, and connect the region together for transport (Department for Transport, 2023; IPA, 2023).</w:t>
      </w:r>
    </w:p>
    <w:p w14:paraId="1804C176" w14:textId="77777777" w:rsidR="006564FF" w:rsidRPr="00F31866" w:rsidRDefault="0084233A" w:rsidP="00F31866">
      <w:pPr>
        <w:pStyle w:val="ListParagraph"/>
        <w:numPr>
          <w:ilvl w:val="0"/>
          <w:numId w:val="3"/>
        </w:numPr>
        <w:spacing w:before="240" w:after="240"/>
        <w:rPr>
          <w:rFonts w:ascii="Times New Roman" w:hAnsi="Times New Roman" w:cs="Times New Roman"/>
          <w:b/>
          <w:sz w:val="28"/>
        </w:rPr>
      </w:pPr>
      <w:r w:rsidRPr="00F31866">
        <w:rPr>
          <w:rFonts w:ascii="Times New Roman" w:hAnsi="Times New Roman" w:cs="Times New Roman"/>
          <w:b/>
          <w:sz w:val="28"/>
        </w:rPr>
        <w:t xml:space="preserve"> REFERENCES</w:t>
      </w:r>
    </w:p>
    <w:p w14:paraId="097E88DD"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Association for Project Management (APM) (2022) APM Body</w:t>
      </w:r>
      <w:r w:rsidR="00F80DEC" w:rsidRPr="00F80DEC">
        <w:rPr>
          <w:rFonts w:ascii="Times New Roman" w:hAnsi="Times New Roman" w:cs="Times New Roman"/>
        </w:rPr>
        <w:t xml:space="preserve"> of Knowledge. 7th edn. Princes </w:t>
      </w:r>
      <w:r w:rsidRPr="00F80DEC">
        <w:rPr>
          <w:rFonts w:ascii="Times New Roman" w:hAnsi="Times New Roman" w:cs="Times New Roman"/>
        </w:rPr>
        <w:t>Risborough: APM.</w:t>
      </w:r>
    </w:p>
    <w:p w14:paraId="56553437"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AXELOS (2023) Managing Successful Projects with PRINCE2. 7th edn. London: TSO.</w:t>
      </w:r>
    </w:p>
    <w:p w14:paraId="1DC10916"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lastRenderedPageBreak/>
        <w:t>Department for Transport (DfT) (2023) Transport Decarbonisation Plan: Delivering Net Zero. London: HMSO.</w:t>
      </w:r>
    </w:p>
    <w:p w14:paraId="11864213"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Eskerod, P. and Jepsen, A.L. (2022) Project Stakeholder Management. 2nd edn. London: Routledge.</w:t>
      </w:r>
    </w:p>
    <w:p w14:paraId="66A18567"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HM Treasury (2022) The Green Book: Central Government Guidance on Appraisal and Evaluation. London: HM Government.</w:t>
      </w:r>
    </w:p>
    <w:p w14:paraId="5D87AA97"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Infrastructure and Projects Authority (IPA) (2023) Annual Report on Major Projects 2022–23. London: Cabinet Office.</w:t>
      </w:r>
    </w:p>
    <w:p w14:paraId="38A84B75"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Kerzner, H. (2022) Project Management: A Systems Approach to Planning, Scheduling, and Controlling. 13th edn. Hoboken: Wiley.</w:t>
      </w:r>
    </w:p>
    <w:p w14:paraId="2B6390DC" w14:textId="77777777" w:rsidR="00F80DEC" w:rsidRPr="00B41467"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Locatelli, G., Mancini, M. and Romano, E. (2023) 'Systems engineering to improve the governance of complex project ecosystems', Project Management Journal, 54(2), pp. 183–199.</w:t>
      </w:r>
    </w:p>
    <w:p w14:paraId="25B91B18"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Meredith, J.R. and Mantel, S.J. (2021) Project Management: A Managerial Approach. 10th edn. Hoboken: Wiley.</w:t>
      </w:r>
    </w:p>
    <w:p w14:paraId="49513305"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Müller, R., Drouin, N. and Sankaran, S. (2023) 'Balanced leadership in projects: empirical findings and implications', International Journal of Project Management, 41(1), pp. 12–24.</w:t>
      </w:r>
    </w:p>
    <w:p w14:paraId="4B1F35B6"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Pinto, J.K. (2020) Project Management: Achieving Competitive Advantage. 5th edn. Harlow: Pearson Education.</w:t>
      </w:r>
    </w:p>
    <w:p w14:paraId="075C5A5E"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Project Management Institute (PMI) (2021) A Guide to the Project Management Body of Knowledge (PMBOK® Guide). 7th edn. Pennsylvania: PMI.</w:t>
      </w:r>
    </w:p>
    <w:p w14:paraId="7D03740E" w14:textId="77777777" w:rsidR="00F80DEC"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Turner, J.R. (2021) The Handbook of Project-Based Management. 4th edn. New York: McGraw-Hill.</w:t>
      </w:r>
    </w:p>
    <w:p w14:paraId="088827DD" w14:textId="77777777" w:rsidR="006564FF" w:rsidRPr="00F80DEC" w:rsidRDefault="0084233A" w:rsidP="00F80DEC">
      <w:pPr>
        <w:pStyle w:val="ListParagraph"/>
        <w:numPr>
          <w:ilvl w:val="0"/>
          <w:numId w:val="13"/>
        </w:numPr>
        <w:spacing w:line="360" w:lineRule="auto"/>
        <w:rPr>
          <w:rFonts w:ascii="Times New Roman" w:hAnsi="Times New Roman" w:cs="Times New Roman"/>
        </w:rPr>
      </w:pPr>
      <w:r w:rsidRPr="00F80DEC">
        <w:rPr>
          <w:rFonts w:ascii="Times New Roman" w:hAnsi="Times New Roman" w:cs="Times New Roman"/>
        </w:rPr>
        <w:t>Ward, J. and Daniel, E. (2022) Benefits Management: How to Increase the Business Value of Your IT Projects. 3rd edn. Chichester: John Wiley &amp; Sons.</w:t>
      </w:r>
    </w:p>
    <w:sectPr w:rsidR="006564FF" w:rsidRPr="00F80DEC" w:rsidSect="000841D3">
      <w:pgSz w:w="11906" w:h="16838"/>
      <w:pgMar w:top="1411" w:right="1411" w:bottom="1411" w:left="1411" w:header="706" w:footer="7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42190" w14:textId="77777777" w:rsidR="004A1574" w:rsidRDefault="004A1574">
      <w:r>
        <w:separator/>
      </w:r>
    </w:p>
  </w:endnote>
  <w:endnote w:type="continuationSeparator" w:id="0">
    <w:p w14:paraId="44864981" w14:textId="77777777" w:rsidR="004A1574" w:rsidRDefault="004A1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plx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41884" w14:textId="77777777" w:rsidR="001D7923" w:rsidRPr="00F80DEC" w:rsidRDefault="001D7923" w:rsidP="00F80DEC">
    <w:pPr>
      <w:pStyle w:val="Footer"/>
      <w:ind w:firstLine="144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6BEDA" w14:textId="77777777" w:rsidR="004A1574" w:rsidRDefault="004A1574">
      <w:r>
        <w:separator/>
      </w:r>
    </w:p>
  </w:footnote>
  <w:footnote w:type="continuationSeparator" w:id="0">
    <w:p w14:paraId="1FE5E2D9" w14:textId="77777777" w:rsidR="004A1574" w:rsidRDefault="004A1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08E8" w14:textId="77777777" w:rsidR="001D7923" w:rsidRPr="00F80DEC" w:rsidRDefault="001D7923" w:rsidP="001D7923">
    <w:pPr>
      <w:spacing w:after="100"/>
      <w:rPr>
        <w:rFonts w:ascii="Arial" w:hAnsi="Arial" w:cs="Arial"/>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553B8"/>
    <w:multiLevelType w:val="hybridMultilevel"/>
    <w:tmpl w:val="DFDA5040"/>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5B2E8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E6A65DB"/>
    <w:multiLevelType w:val="hybridMultilevel"/>
    <w:tmpl w:val="AAF87CF8"/>
    <w:lvl w:ilvl="0" w:tplc="04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AF92967"/>
    <w:multiLevelType w:val="hybridMultilevel"/>
    <w:tmpl w:val="00CA9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F4DA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CC934EF"/>
    <w:multiLevelType w:val="hybridMultilevel"/>
    <w:tmpl w:val="1EBEBA70"/>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1C4A31"/>
    <w:multiLevelType w:val="hybridMultilevel"/>
    <w:tmpl w:val="E996DBF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02295"/>
    <w:multiLevelType w:val="multilevel"/>
    <w:tmpl w:val="1EBEBA70"/>
    <w:lvl w:ilvl="0">
      <w:start w:val="1"/>
      <w:numFmt w:val="decimal"/>
      <w:lvlText w:val="%1."/>
      <w:lvlJc w:val="left"/>
      <w:pPr>
        <w:ind w:left="360" w:hanging="360"/>
      </w:pPr>
      <w:rPr>
        <w:rFonts w:hint="default"/>
        <w:sz w:val="20"/>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15:restartNumberingAfterBreak="0">
    <w:nsid w:val="51723847"/>
    <w:multiLevelType w:val="hybridMultilevel"/>
    <w:tmpl w:val="67FEE6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A714E0"/>
    <w:multiLevelType w:val="hybridMultilevel"/>
    <w:tmpl w:val="22CEAB26"/>
    <w:lvl w:ilvl="0" w:tplc="55FE414A">
      <w:start w:val="1"/>
      <w:numFmt w:val="bullet"/>
      <w:lvlText w:val="●"/>
      <w:lvlJc w:val="left"/>
      <w:pPr>
        <w:ind w:left="720" w:hanging="360"/>
      </w:pPr>
    </w:lvl>
    <w:lvl w:ilvl="1" w:tplc="4288DDCA">
      <w:start w:val="1"/>
      <w:numFmt w:val="bullet"/>
      <w:lvlText w:val="○"/>
      <w:lvlJc w:val="left"/>
      <w:pPr>
        <w:ind w:left="1440" w:hanging="360"/>
      </w:pPr>
    </w:lvl>
    <w:lvl w:ilvl="2" w:tplc="3E8843CA">
      <w:start w:val="1"/>
      <w:numFmt w:val="bullet"/>
      <w:lvlText w:val="■"/>
      <w:lvlJc w:val="left"/>
      <w:pPr>
        <w:ind w:left="2160" w:hanging="360"/>
      </w:pPr>
    </w:lvl>
    <w:lvl w:ilvl="3" w:tplc="29027E06">
      <w:start w:val="1"/>
      <w:numFmt w:val="bullet"/>
      <w:lvlText w:val="●"/>
      <w:lvlJc w:val="left"/>
      <w:pPr>
        <w:ind w:left="2880" w:hanging="360"/>
      </w:pPr>
    </w:lvl>
    <w:lvl w:ilvl="4" w:tplc="491C1366">
      <w:start w:val="1"/>
      <w:numFmt w:val="bullet"/>
      <w:lvlText w:val="○"/>
      <w:lvlJc w:val="left"/>
      <w:pPr>
        <w:ind w:left="3600" w:hanging="360"/>
      </w:pPr>
    </w:lvl>
    <w:lvl w:ilvl="5" w:tplc="92A2E73C">
      <w:start w:val="1"/>
      <w:numFmt w:val="bullet"/>
      <w:lvlText w:val="■"/>
      <w:lvlJc w:val="left"/>
      <w:pPr>
        <w:ind w:left="4320" w:hanging="360"/>
      </w:pPr>
    </w:lvl>
    <w:lvl w:ilvl="6" w:tplc="907A25FE">
      <w:start w:val="1"/>
      <w:numFmt w:val="bullet"/>
      <w:lvlText w:val="●"/>
      <w:lvlJc w:val="left"/>
      <w:pPr>
        <w:ind w:left="5040" w:hanging="360"/>
      </w:pPr>
    </w:lvl>
    <w:lvl w:ilvl="7" w:tplc="03F05452">
      <w:start w:val="1"/>
      <w:numFmt w:val="bullet"/>
      <w:lvlText w:val="●"/>
      <w:lvlJc w:val="left"/>
      <w:pPr>
        <w:ind w:left="5760" w:hanging="360"/>
      </w:pPr>
    </w:lvl>
    <w:lvl w:ilvl="8" w:tplc="5A0CE8CC">
      <w:start w:val="1"/>
      <w:numFmt w:val="bullet"/>
      <w:lvlText w:val="●"/>
      <w:lvlJc w:val="left"/>
      <w:pPr>
        <w:ind w:left="6480" w:hanging="360"/>
      </w:pPr>
    </w:lvl>
  </w:abstractNum>
  <w:abstractNum w:abstractNumId="10" w15:restartNumberingAfterBreak="0">
    <w:nsid w:val="57261C9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6A80033"/>
    <w:multiLevelType w:val="multilevel"/>
    <w:tmpl w:val="1EBEBA70"/>
    <w:lvl w:ilvl="0">
      <w:start w:val="1"/>
      <w:numFmt w:val="decimal"/>
      <w:lvlText w:val="%1."/>
      <w:lvlJc w:val="left"/>
      <w:pPr>
        <w:ind w:left="720" w:hanging="360"/>
      </w:pPr>
      <w:rPr>
        <w:rFonts w:hint="default"/>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72D35D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7868041">
    <w:abstractNumId w:val="9"/>
    <w:lvlOverride w:ilvl="0">
      <w:startOverride w:val="1"/>
    </w:lvlOverride>
  </w:num>
  <w:num w:numId="2" w16cid:durableId="265231289">
    <w:abstractNumId w:val="3"/>
  </w:num>
  <w:num w:numId="3" w16cid:durableId="10690373">
    <w:abstractNumId w:val="8"/>
  </w:num>
  <w:num w:numId="4" w16cid:durableId="837035322">
    <w:abstractNumId w:val="12"/>
  </w:num>
  <w:num w:numId="5" w16cid:durableId="1515071837">
    <w:abstractNumId w:val="1"/>
  </w:num>
  <w:num w:numId="6" w16cid:durableId="54208940">
    <w:abstractNumId w:val="10"/>
  </w:num>
  <w:num w:numId="7" w16cid:durableId="1923223436">
    <w:abstractNumId w:val="4"/>
  </w:num>
  <w:num w:numId="8" w16cid:durableId="345865684">
    <w:abstractNumId w:val="5"/>
  </w:num>
  <w:num w:numId="9" w16cid:durableId="857354858">
    <w:abstractNumId w:val="11"/>
  </w:num>
  <w:num w:numId="10" w16cid:durableId="335426517">
    <w:abstractNumId w:val="7"/>
  </w:num>
  <w:num w:numId="11" w16cid:durableId="1892956592">
    <w:abstractNumId w:val="0"/>
  </w:num>
  <w:num w:numId="12" w16cid:durableId="875658224">
    <w:abstractNumId w:val="6"/>
  </w:num>
  <w:num w:numId="13" w16cid:durableId="1765809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4FF"/>
    <w:rsid w:val="00013A32"/>
    <w:rsid w:val="000841D3"/>
    <w:rsid w:val="001D7923"/>
    <w:rsid w:val="001E4219"/>
    <w:rsid w:val="0026379E"/>
    <w:rsid w:val="00274EDB"/>
    <w:rsid w:val="002C4A17"/>
    <w:rsid w:val="002F7D71"/>
    <w:rsid w:val="00310AF9"/>
    <w:rsid w:val="003648F5"/>
    <w:rsid w:val="003960D5"/>
    <w:rsid w:val="003D0990"/>
    <w:rsid w:val="004172A6"/>
    <w:rsid w:val="00442B81"/>
    <w:rsid w:val="004A1574"/>
    <w:rsid w:val="005A5C71"/>
    <w:rsid w:val="006564FF"/>
    <w:rsid w:val="00697C07"/>
    <w:rsid w:val="007E7E52"/>
    <w:rsid w:val="0084233A"/>
    <w:rsid w:val="009572E6"/>
    <w:rsid w:val="00B30B15"/>
    <w:rsid w:val="00B41467"/>
    <w:rsid w:val="00B5712D"/>
    <w:rsid w:val="00C36186"/>
    <w:rsid w:val="00C62977"/>
    <w:rsid w:val="00D45357"/>
    <w:rsid w:val="00DA6A95"/>
    <w:rsid w:val="00E46333"/>
    <w:rsid w:val="00F31866"/>
    <w:rsid w:val="00F80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BFABA"/>
  <w15:docId w15:val="{BF8A52F9-AE6F-4F9C-A3EA-398877BA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A1A1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cursor-pointer">
    <w:name w:val="cursor-pointer"/>
    <w:basedOn w:val="DefaultParagraphFont"/>
    <w:rsid w:val="003960D5"/>
  </w:style>
  <w:style w:type="paragraph" w:styleId="Header">
    <w:name w:val="header"/>
    <w:basedOn w:val="Normal"/>
    <w:link w:val="HeaderChar"/>
    <w:uiPriority w:val="99"/>
    <w:unhideWhenUsed/>
    <w:rsid w:val="00F80DEC"/>
    <w:pPr>
      <w:tabs>
        <w:tab w:val="center" w:pos="4680"/>
        <w:tab w:val="right" w:pos="9360"/>
      </w:tabs>
    </w:pPr>
  </w:style>
  <w:style w:type="character" w:customStyle="1" w:styleId="HeaderChar">
    <w:name w:val="Header Char"/>
    <w:basedOn w:val="DefaultParagraphFont"/>
    <w:link w:val="Header"/>
    <w:uiPriority w:val="99"/>
    <w:rsid w:val="00F80DEC"/>
  </w:style>
  <w:style w:type="paragraph" w:styleId="Footer">
    <w:name w:val="footer"/>
    <w:basedOn w:val="Normal"/>
    <w:link w:val="FooterChar"/>
    <w:uiPriority w:val="99"/>
    <w:unhideWhenUsed/>
    <w:rsid w:val="00F80DEC"/>
    <w:pPr>
      <w:tabs>
        <w:tab w:val="center" w:pos="4680"/>
        <w:tab w:val="right" w:pos="9360"/>
      </w:tabs>
    </w:pPr>
  </w:style>
  <w:style w:type="character" w:customStyle="1" w:styleId="FooterChar">
    <w:name w:val="Footer Char"/>
    <w:basedOn w:val="DefaultParagraphFont"/>
    <w:link w:val="Footer"/>
    <w:uiPriority w:val="99"/>
    <w:rsid w:val="00F80DEC"/>
  </w:style>
  <w:style w:type="paragraph" w:styleId="BodyText">
    <w:name w:val="Body Text"/>
    <w:basedOn w:val="Normal"/>
    <w:link w:val="BodyTextChar"/>
    <w:qFormat/>
    <w:rsid w:val="00C36186"/>
    <w:pPr>
      <w:spacing w:before="180" w:after="180"/>
    </w:pPr>
    <w:rPr>
      <w:rFonts w:asciiTheme="minorHAnsi" w:eastAsiaTheme="minorHAnsi" w:hAnsiTheme="minorHAnsi" w:cstheme="minorBidi"/>
      <w:color w:val="auto"/>
      <w:lang w:val="en-US" w:eastAsia="en-US"/>
    </w:rPr>
  </w:style>
  <w:style w:type="character" w:customStyle="1" w:styleId="BodyTextChar">
    <w:name w:val="Body Text Char"/>
    <w:basedOn w:val="DefaultParagraphFont"/>
    <w:link w:val="BodyText"/>
    <w:rsid w:val="00C36186"/>
    <w:rPr>
      <w:rFonts w:asciiTheme="minorHAnsi" w:eastAsiaTheme="minorHAnsi" w:hAnsiTheme="minorHAnsi" w:cstheme="minorBidi"/>
      <w:color w:val="auto"/>
      <w:lang w:val="en-US" w:eastAsia="en-US"/>
    </w:rPr>
  </w:style>
  <w:style w:type="paragraph" w:customStyle="1" w:styleId="FirstParagraph">
    <w:name w:val="First Paragraph"/>
    <w:basedOn w:val="BodyText"/>
    <w:next w:val="BodyText"/>
    <w:qFormat/>
    <w:rsid w:val="00C36186"/>
  </w:style>
  <w:style w:type="paragraph" w:customStyle="1" w:styleId="Abstract">
    <w:name w:val="Abstract"/>
    <w:basedOn w:val="Normal"/>
    <w:next w:val="BodyText"/>
    <w:qFormat/>
    <w:rsid w:val="00C36186"/>
    <w:pPr>
      <w:keepNext/>
      <w:keepLines/>
      <w:spacing w:before="100" w:after="300"/>
    </w:pPr>
    <w:rPr>
      <w:rFonts w:asciiTheme="minorHAnsi" w:eastAsiaTheme="minorHAnsi" w:hAnsiTheme="minorHAnsi" w:cstheme="minorBidi"/>
      <w:color w:val="auto"/>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6" ma:contentTypeDescription="Create a new document." ma:contentTypeScope="" ma:versionID="e86d0c5a027d6b19a392683affc446d2">
  <xsd:schema xmlns:xsd="http://www.w3.org/2001/XMLSchema" xmlns:xs="http://www.w3.org/2001/XMLSchema" xmlns:p="http://schemas.microsoft.com/office/2006/metadata/properties" xmlns:ns3="2fb9b754-ff8e-487c-b2c9-9bb8e92e13c5" targetNamespace="http://schemas.microsoft.com/office/2006/metadata/properties" ma:root="true" ma:fieldsID="910c0c4024664d1a56202de49e80dd4c"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0E3EC156-B5A7-40BA-9EC9-6DFEE9B40DAA}">
  <ds:schemaRefs>
    <ds:schemaRef ds:uri="http://schemas.openxmlformats.org/officeDocument/2006/bibliography"/>
  </ds:schemaRefs>
</ds:datastoreItem>
</file>

<file path=customXml/itemProps2.xml><?xml version="1.0" encoding="utf-8"?>
<ds:datastoreItem xmlns:ds="http://schemas.openxmlformats.org/officeDocument/2006/customXml" ds:itemID="{E944F213-09B9-4275-9285-C35AFCE75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713487-9A9F-4453-8557-8C75566BAA5C}">
  <ds:schemaRefs>
    <ds:schemaRef ds:uri="http://schemas.microsoft.com/sharepoint/v3/contenttype/forms"/>
  </ds:schemaRefs>
</ds:datastoreItem>
</file>

<file path=customXml/itemProps4.xml><?xml version="1.0" encoding="utf-8"?>
<ds:datastoreItem xmlns:ds="http://schemas.openxmlformats.org/officeDocument/2006/customXml" ds:itemID="{DD72EBB6-D6D6-4D5E-944F-A16A7CB7EC2E}">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4146</Words>
  <Characters>23635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Mohammad Jawad Naheem (2332327)</cp:lastModifiedBy>
  <cp:revision>5</cp:revision>
  <dcterms:created xsi:type="dcterms:W3CDTF">2026-07-14T20:48:00Z</dcterms:created>
  <dcterms:modified xsi:type="dcterms:W3CDTF">2026-07-14T20:54:00Z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