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eastAsiaTheme="minorEastAsia"/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3FEB0358" w:rsidR="007D1947" w:rsidRDefault="005E2A2C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The Applicability and Practicality of </w:t>
              </w:r>
              <w:r w:rsidR="00E2465F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Beyond Budgeting Model</w:t>
              </w: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 </w:t>
              </w:r>
            </w:p>
          </w:sdtContent>
        </w:sdt>
        <w:sdt>
          <w:sdtPr>
            <w:rPr>
              <w:rFonts w:hint="eastAsia"/>
              <w:color w:val="5B9BD5" w:themeColor="accent1"/>
              <w:sz w:val="28"/>
              <w:szCs w:val="28"/>
              <w:lang w:eastAsia="zh-CN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4A23F497" w:rsidR="007D1947" w:rsidRDefault="00227E01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rFonts w:hint="eastAsia"/>
                  <w:color w:val="5B9BD5" w:themeColor="accent1"/>
                  <w:sz w:val="28"/>
                  <w:szCs w:val="28"/>
                  <w:lang w:eastAsia="zh-CN"/>
                </w:rPr>
                <w:t>Songlin</w:t>
              </w:r>
              <w:r>
                <w:rPr>
                  <w:color w:val="5B9BD5" w:themeColor="accent1"/>
                  <w:sz w:val="28"/>
                  <w:szCs w:val="28"/>
                </w:rPr>
                <w:t xml:space="preserve"> Zou 2300327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1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09265D19" w:rsidR="007D1947" w:rsidRDefault="00227E0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November 27, 2023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11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09265D19" w:rsidR="007D1947" w:rsidRDefault="00227E0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November 27, 2023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51995225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</w:t>
          </w:r>
          <w:proofErr w:type="gramStart"/>
          <w:r>
            <w:t>…..</w:t>
          </w:r>
          <w:proofErr w:type="gramEnd"/>
        </w:p>
        <w:p w14:paraId="7979DD93" w14:textId="77777777" w:rsidR="007D1947" w:rsidRDefault="00D854A5">
          <w:r>
            <w:t>DO THIS SECTION LAST!!!!!!</w:t>
          </w:r>
        </w:p>
        <w:p w14:paraId="53363C13" w14:textId="5D606A8D" w:rsidR="00D854A5" w:rsidRDefault="00D854A5">
          <w:r>
            <w:t>NOT INCLUDED IN WORD COUNT</w:t>
          </w:r>
          <w:r w:rsidR="00931CAA">
            <w:t xml:space="preserve"> – this section should be around ¾ of a page in length for a </w:t>
          </w:r>
          <w:proofErr w:type="gramStart"/>
          <w:r w:rsidR="00931CAA">
            <w:t>2500 word</w:t>
          </w:r>
          <w:proofErr w:type="gramEnd"/>
          <w:r w:rsidR="00931CAA">
            <w:t xml:space="preserve">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rFonts w:eastAsiaTheme="minorEastAsia"/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0F4C2AD9" w14:textId="1B8ED442" w:rsidR="009A1FE9" w:rsidRDefault="007D1947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51995225" w:history="1">
                <w:r w:rsidR="009A1FE9" w:rsidRPr="00964065">
                  <w:rPr>
                    <w:rStyle w:val="Hyperlink"/>
                    <w:noProof/>
                  </w:rPr>
                  <w:t>Executive Summary</w:t>
                </w:r>
                <w:r w:rsidR="009A1FE9">
                  <w:rPr>
                    <w:noProof/>
                    <w:webHidden/>
                  </w:rPr>
                  <w:tab/>
                </w:r>
                <w:r w:rsidR="009A1FE9">
                  <w:rPr>
                    <w:noProof/>
                    <w:webHidden/>
                  </w:rPr>
                  <w:fldChar w:fldCharType="begin"/>
                </w:r>
                <w:r w:rsidR="009A1FE9">
                  <w:rPr>
                    <w:noProof/>
                    <w:webHidden/>
                  </w:rPr>
                  <w:instrText xml:space="preserve"> PAGEREF _Toc151995225 \h </w:instrText>
                </w:r>
                <w:r w:rsidR="009A1FE9">
                  <w:rPr>
                    <w:noProof/>
                    <w:webHidden/>
                  </w:rPr>
                </w:r>
                <w:r w:rsidR="009A1FE9">
                  <w:rPr>
                    <w:noProof/>
                    <w:webHidden/>
                  </w:rPr>
                  <w:fldChar w:fldCharType="separate"/>
                </w:r>
                <w:r w:rsidR="009A1FE9">
                  <w:rPr>
                    <w:noProof/>
                    <w:webHidden/>
                  </w:rPr>
                  <w:t>1</w:t>
                </w:r>
                <w:r w:rsidR="009A1FE9">
                  <w:rPr>
                    <w:noProof/>
                    <w:webHidden/>
                  </w:rPr>
                  <w:fldChar w:fldCharType="end"/>
                </w:r>
              </w:hyperlink>
            </w:p>
            <w:p w14:paraId="7814817F" w14:textId="243FAEA5" w:rsidR="009A1FE9" w:rsidRDefault="009A1FE9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26" w:history="1">
                <w:r w:rsidRPr="00964065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5B8EDF5" w14:textId="4CE5EC49" w:rsidR="009A1FE9" w:rsidRDefault="009A1FE9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27" w:history="1">
                <w:r w:rsidRPr="00964065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8D9D8E" w14:textId="548FA103" w:rsidR="009A1FE9" w:rsidRDefault="009A1FE9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28" w:history="1">
                <w:r w:rsidRPr="00964065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E22A59" w14:textId="7A27CB3A" w:rsidR="009A1FE9" w:rsidRDefault="009A1FE9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29" w:history="1">
                <w:r w:rsidRPr="00964065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87F8967" w14:textId="19894B13" w:rsidR="009A1FE9" w:rsidRDefault="009A1FE9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30" w:history="1">
                <w:r w:rsidRPr="00964065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FC6EBA3" w14:textId="45FB82E2" w:rsidR="009A1FE9" w:rsidRDefault="009A1FE9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  <w14:ligatures w14:val="standardContextual"/>
                </w:rPr>
              </w:pPr>
              <w:hyperlink w:anchor="_Toc151995231" w:history="1">
                <w:r w:rsidRPr="00964065">
                  <w:rPr>
                    <w:rStyle w:val="Hyperlink"/>
                    <w:noProof/>
                  </w:rPr>
                  <w:t>Appendix A: Key Principles of Beyond Budgeting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_Toc151995231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1E0791B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7E92C0BD" w:rsidR="007D1947" w:rsidRDefault="007D1947" w:rsidP="00A12B58">
          <w:pPr>
            <w:pStyle w:val="Heading1"/>
          </w:pPr>
          <w:bookmarkStart w:id="1" w:name="_Toc151995226"/>
          <w:r>
            <w:lastRenderedPageBreak/>
            <w:t>Introduction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 xml:space="preserve"> is about (but not its purpose). It sets the project in its wider </w:t>
          </w:r>
          <w:proofErr w:type="gramStart"/>
          <w:r>
            <w:rPr>
              <w:rFonts w:ascii="Arial" w:hAnsi="Arial" w:cs="Arial"/>
              <w:color w:val="222222"/>
              <w:shd w:val="clear" w:color="auto" w:fill="FFFFFF"/>
            </w:rPr>
            <w:t>context, and</w:t>
          </w:r>
          <w:proofErr w:type="gramEnd"/>
          <w:r>
            <w:rPr>
              <w:rFonts w:ascii="Arial" w:hAnsi="Arial" w:cs="Arial"/>
              <w:color w:val="222222"/>
              <w:shd w:val="clear" w:color="auto" w:fill="FFFFFF"/>
            </w:rPr>
            <w:t xml:space="preserve">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36257713" w:rsidR="004A11F6" w:rsidRDefault="00227E01" w:rsidP="007D1947">
          <w:pPr>
            <w:rPr>
              <w:rFonts w:hint="eastAsia"/>
              <w:lang w:eastAsia="zh-CN"/>
            </w:rPr>
          </w:pPr>
          <w:r>
            <w:rPr>
              <w:rFonts w:hint="eastAsia"/>
              <w:lang w:eastAsia="zh-CN"/>
            </w:rPr>
            <w:t>H</w:t>
          </w:r>
          <w:r>
            <w:rPr>
              <w:lang w:eastAsia="zh-CN"/>
            </w:rPr>
            <w:t xml:space="preserve">ow Budgeting has evolved over time to fit the various needs of different </w:t>
          </w:r>
          <w:proofErr w:type="gramStart"/>
          <w:r>
            <w:rPr>
              <w:lang w:eastAsia="zh-CN"/>
            </w:rPr>
            <w:t>organisations</w:t>
          </w:r>
          <w:proofErr w:type="gramEnd"/>
        </w:p>
        <w:p w14:paraId="63BE38B9" w14:textId="24439927" w:rsidR="004A11F6" w:rsidRDefault="004A11F6" w:rsidP="007D1947">
          <w:pPr>
            <w:rPr>
              <w:rFonts w:hint="eastAsia"/>
              <w:lang w:eastAsia="zh-CN"/>
            </w:rPr>
          </w:pPr>
        </w:p>
        <w:p w14:paraId="1392FEFB" w14:textId="77777777" w:rsidR="004A11F6" w:rsidRPr="00E2465F" w:rsidRDefault="004A11F6" w:rsidP="007D1947">
          <w:pPr>
            <w:rPr>
              <w:lang w:eastAsia="zh-CN"/>
            </w:rPr>
          </w:pPr>
        </w:p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51995227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3" w:name="_Toc151995228"/>
          <w:proofErr w:type="gramStart"/>
          <w:r>
            <w:t>Sub Headings</w:t>
          </w:r>
          <w:proofErr w:type="gramEnd"/>
          <w:r>
            <w:t xml:space="preserve"> can be included</w:t>
          </w:r>
          <w:bookmarkEnd w:id="3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4" w:name="_Toc151995229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1CD0C7BE" w14:textId="7A68A20C" w:rsidR="005D64FB" w:rsidRDefault="00AA2A91" w:rsidP="005D64FB">
          <w:pPr>
            <w:pStyle w:val="Heading1"/>
          </w:pPr>
          <w:bookmarkStart w:id="5" w:name="_Toc151995230"/>
          <w:r>
            <w:lastRenderedPageBreak/>
            <w:t>Bibliography</w:t>
          </w:r>
          <w:bookmarkEnd w:id="5"/>
        </w:p>
        <w:p w14:paraId="5B97338A" w14:textId="77777777" w:rsidR="005D64FB" w:rsidRPr="005D64FB" w:rsidRDefault="005D64FB" w:rsidP="005D64FB"/>
        <w:p w14:paraId="6F170B95" w14:textId="0C88C779" w:rsidR="005D64FB" w:rsidRDefault="005D64FB">
          <w:proofErr w:type="spellStart"/>
          <w:r w:rsidRPr="005D64FB">
            <w:t>Atrill</w:t>
          </w:r>
          <w:proofErr w:type="spellEnd"/>
          <w:r w:rsidRPr="005D64FB">
            <w:t xml:space="preserve">, P. </w:t>
          </w:r>
          <w:r>
            <w:t xml:space="preserve">&amp; McLaney, E. </w:t>
          </w:r>
          <w:r w:rsidRPr="005D64FB">
            <w:t>(2021)</w:t>
          </w:r>
          <w:r w:rsidR="00091667">
            <w:t>,</w:t>
          </w:r>
          <w:r w:rsidRPr="005D64FB">
            <w:t xml:space="preserve"> </w:t>
          </w:r>
          <w:r w:rsidRPr="005D64FB">
            <w:rPr>
              <w:i/>
              <w:iCs/>
            </w:rPr>
            <w:t xml:space="preserve">Management </w:t>
          </w:r>
          <w:r w:rsidRPr="005D64FB">
            <w:rPr>
              <w:i/>
              <w:iCs/>
            </w:rPr>
            <w:t>A</w:t>
          </w:r>
          <w:r w:rsidRPr="005D64FB">
            <w:rPr>
              <w:i/>
              <w:iCs/>
            </w:rPr>
            <w:t xml:space="preserve">ccounting </w:t>
          </w:r>
          <w:r w:rsidRPr="005D64FB">
            <w:rPr>
              <w:i/>
              <w:iCs/>
            </w:rPr>
            <w:t>f</w:t>
          </w:r>
          <w:r w:rsidRPr="005D64FB">
            <w:rPr>
              <w:i/>
              <w:iCs/>
            </w:rPr>
            <w:t xml:space="preserve">or </w:t>
          </w:r>
          <w:r w:rsidRPr="005D64FB">
            <w:rPr>
              <w:i/>
              <w:iCs/>
            </w:rPr>
            <w:t>D</w:t>
          </w:r>
          <w:r w:rsidRPr="005D64FB">
            <w:rPr>
              <w:i/>
              <w:iCs/>
            </w:rPr>
            <w:t xml:space="preserve">ecision </w:t>
          </w:r>
          <w:r w:rsidRPr="005D64FB">
            <w:rPr>
              <w:i/>
              <w:iCs/>
            </w:rPr>
            <w:t>M</w:t>
          </w:r>
          <w:r w:rsidRPr="005D64FB">
            <w:rPr>
              <w:i/>
              <w:iCs/>
            </w:rPr>
            <w:t>akers</w:t>
          </w:r>
          <w:r>
            <w:rPr>
              <w:i/>
              <w:iCs/>
            </w:rPr>
            <w:t>,</w:t>
          </w:r>
          <w:r w:rsidRPr="005D64FB">
            <w:t xml:space="preserve"> </w:t>
          </w:r>
          <w:r>
            <w:t>(</w:t>
          </w:r>
          <w:r w:rsidRPr="005D64FB">
            <w:t xml:space="preserve">Tenth </w:t>
          </w:r>
          <w:r>
            <w:t>E</w:t>
          </w:r>
          <w:r w:rsidRPr="005D64FB">
            <w:t>diton</w:t>
          </w:r>
          <w:r>
            <w:t>)</w:t>
          </w:r>
          <w:r w:rsidRPr="005D64FB">
            <w:t xml:space="preserve"> Harlow</w:t>
          </w:r>
          <w:r>
            <w:t>:</w:t>
          </w:r>
          <w:r w:rsidRPr="005D64FB">
            <w:t xml:space="preserve"> Pearson</w:t>
          </w:r>
        </w:p>
        <w:p w14:paraId="493B6BC7" w14:textId="77777777" w:rsidR="00091667" w:rsidRDefault="00091667"/>
        <w:p w14:paraId="162FFED0" w14:textId="50A8A24C" w:rsidR="00EE3EBF" w:rsidRDefault="00EE3EBF">
          <w:pPr>
            <w:rPr>
              <w:rFonts w:hint="eastAsia"/>
              <w:lang w:eastAsia="zh-CN"/>
            </w:rPr>
          </w:pPr>
          <w:r>
            <w:rPr>
              <w:rFonts w:hint="eastAsia"/>
              <w:lang w:eastAsia="zh-CN"/>
            </w:rPr>
            <w:t>B</w:t>
          </w:r>
          <w:r>
            <w:rPr>
              <w:lang w:eastAsia="zh-CN"/>
            </w:rPr>
            <w:t xml:space="preserve">eyond Budgeting Round Table (2023) Available at: </w:t>
          </w:r>
          <w:hyperlink r:id="rId8" w:history="1">
            <w:r w:rsidRPr="00FE5E3E">
              <w:rPr>
                <w:rStyle w:val="Hyperlink"/>
                <w:lang w:eastAsia="zh-CN"/>
              </w:rPr>
              <w:t>https://bbrt.org</w:t>
            </w:r>
          </w:hyperlink>
          <w:r>
            <w:rPr>
              <w:lang w:eastAsia="zh-CN"/>
            </w:rPr>
            <w:t>, (Accessed 27</w:t>
          </w:r>
          <w:r w:rsidRPr="00EE3EBF">
            <w:rPr>
              <w:vertAlign w:val="superscript"/>
              <w:lang w:eastAsia="zh-CN"/>
            </w:rPr>
            <w:t>th</w:t>
          </w:r>
          <w:r>
            <w:rPr>
              <w:lang w:eastAsia="zh-CN"/>
            </w:rPr>
            <w:t xml:space="preserve"> November 2023)</w:t>
          </w:r>
        </w:p>
        <w:p w14:paraId="58586D4C" w14:textId="77777777" w:rsidR="00EE3EBF" w:rsidRDefault="00EE3EBF"/>
        <w:p w14:paraId="600D5E37" w14:textId="712657C4" w:rsidR="008B74E0" w:rsidRDefault="008B74E0">
          <w:r w:rsidRPr="008B74E0">
            <w:t>Cokins, G. (2001)</w:t>
          </w:r>
          <w:r>
            <w:t>,</w:t>
          </w:r>
          <w:r w:rsidRPr="008B74E0">
            <w:t xml:space="preserve"> </w:t>
          </w:r>
          <w:r>
            <w:t>‘</w:t>
          </w:r>
          <w:r w:rsidRPr="008B74E0">
            <w:t>A Management Accounting Framework</w:t>
          </w:r>
          <w:r>
            <w:t>’,</w:t>
          </w:r>
          <w:r w:rsidRPr="008B74E0">
            <w:t xml:space="preserve"> </w:t>
          </w:r>
          <w:proofErr w:type="spellStart"/>
          <w:r w:rsidRPr="008B74E0">
            <w:rPr>
              <w:i/>
              <w:iCs/>
            </w:rPr>
            <w:t>Journal</w:t>
          </w:r>
          <w:proofErr w:type="spellEnd"/>
          <w:r w:rsidRPr="008B74E0">
            <w:rPr>
              <w:i/>
              <w:iCs/>
            </w:rPr>
            <w:t xml:space="preserve"> of Corporate Accounting &amp; Finance</w:t>
          </w:r>
          <w:r>
            <w:t>,</w:t>
          </w:r>
          <w:r w:rsidRPr="008B74E0">
            <w:t xml:space="preserve"> 13. 73 - 82. 10.1002/jcaf.1210</w:t>
          </w:r>
        </w:p>
        <w:p w14:paraId="565C8E7A" w14:textId="77777777" w:rsidR="008B74E0" w:rsidRDefault="008B74E0"/>
        <w:p w14:paraId="18C7A929" w14:textId="6387D333" w:rsidR="008B74E0" w:rsidRDefault="00091667">
          <w:r w:rsidRPr="00091667">
            <w:t xml:space="preserve">Datar, S.M. </w:t>
          </w:r>
          <w:r>
            <w:t>&amp;</w:t>
          </w:r>
          <w:r w:rsidRPr="00091667">
            <w:t xml:space="preserve"> Rajan, M.V. (2021)</w:t>
          </w:r>
          <w:r>
            <w:t>,</w:t>
          </w:r>
          <w:r w:rsidRPr="00091667">
            <w:t xml:space="preserve"> </w:t>
          </w:r>
          <w:r w:rsidRPr="00091667">
            <w:rPr>
              <w:i/>
              <w:iCs/>
            </w:rPr>
            <w:t xml:space="preserve">Horngren’s </w:t>
          </w:r>
          <w:r>
            <w:rPr>
              <w:i/>
              <w:iCs/>
            </w:rPr>
            <w:t>C</w:t>
          </w:r>
          <w:r w:rsidRPr="00091667">
            <w:rPr>
              <w:i/>
              <w:iCs/>
            </w:rPr>
            <w:t xml:space="preserve">ost </w:t>
          </w:r>
          <w:r>
            <w:rPr>
              <w:i/>
              <w:iCs/>
            </w:rPr>
            <w:t>A</w:t>
          </w:r>
          <w:r w:rsidRPr="00091667">
            <w:rPr>
              <w:i/>
              <w:iCs/>
            </w:rPr>
            <w:t>ccounting</w:t>
          </w:r>
          <w:r>
            <w:rPr>
              <w:i/>
              <w:iCs/>
            </w:rPr>
            <w:t xml:space="preserve"> - A</w:t>
          </w:r>
          <w:r w:rsidRPr="00091667">
            <w:rPr>
              <w:i/>
              <w:iCs/>
            </w:rPr>
            <w:t xml:space="preserve"> </w:t>
          </w:r>
          <w:r>
            <w:rPr>
              <w:i/>
              <w:iCs/>
            </w:rPr>
            <w:t>M</w:t>
          </w:r>
          <w:r w:rsidRPr="00091667">
            <w:rPr>
              <w:i/>
              <w:iCs/>
            </w:rPr>
            <w:t xml:space="preserve">anagerial </w:t>
          </w:r>
          <w:r>
            <w:rPr>
              <w:i/>
              <w:iCs/>
            </w:rPr>
            <w:t>E</w:t>
          </w:r>
          <w:r w:rsidRPr="00091667">
            <w:rPr>
              <w:i/>
              <w:iCs/>
            </w:rPr>
            <w:t>mphasis</w:t>
          </w:r>
          <w:r>
            <w:t>,</w:t>
          </w:r>
          <w:r w:rsidRPr="00091667">
            <w:t xml:space="preserve"> </w:t>
          </w:r>
          <w:r>
            <w:t>(</w:t>
          </w:r>
          <w:r w:rsidRPr="00091667">
            <w:t>Seventeenth</w:t>
          </w:r>
          <w:r>
            <w:t xml:space="preserve"> Edition)</w:t>
          </w:r>
          <w:r w:rsidRPr="00091667">
            <w:t xml:space="preserve"> Harlo</w:t>
          </w:r>
          <w:r w:rsidR="008B74E0">
            <w:t>w</w:t>
          </w:r>
          <w:r>
            <w:t>:</w:t>
          </w:r>
          <w:r w:rsidRPr="00091667">
            <w:t xml:space="preserve"> Pearson</w:t>
          </w:r>
        </w:p>
        <w:p w14:paraId="31B169FE" w14:textId="77777777" w:rsidR="008B74E0" w:rsidRDefault="008B74E0"/>
        <w:p w14:paraId="32B67FDB" w14:textId="35066FEB" w:rsidR="00E95190" w:rsidRDefault="00E95190">
          <w:proofErr w:type="spellStart"/>
          <w:r w:rsidRPr="00E95190">
            <w:t>Lebas</w:t>
          </w:r>
          <w:proofErr w:type="spellEnd"/>
          <w:r w:rsidRPr="00E95190">
            <w:t xml:space="preserve">, M. </w:t>
          </w:r>
          <w:r>
            <w:t>&amp;</w:t>
          </w:r>
          <w:r w:rsidRPr="00E95190">
            <w:t xml:space="preserve"> </w:t>
          </w:r>
          <w:proofErr w:type="spellStart"/>
          <w:r w:rsidRPr="00E95190">
            <w:t>Weigenstein</w:t>
          </w:r>
          <w:proofErr w:type="spellEnd"/>
          <w:r w:rsidRPr="00E95190">
            <w:t xml:space="preserve">, J. (1986), </w:t>
          </w:r>
          <w:r>
            <w:t>‘</w:t>
          </w:r>
          <w:r w:rsidRPr="00E95190">
            <w:t>M</w:t>
          </w:r>
          <w:r>
            <w:t>anagement</w:t>
          </w:r>
          <w:r w:rsidRPr="00E95190">
            <w:t xml:space="preserve"> C</w:t>
          </w:r>
          <w:r>
            <w:t>ontrol</w:t>
          </w:r>
          <w:r w:rsidRPr="00E95190">
            <w:t xml:space="preserve">: </w:t>
          </w:r>
          <w:r>
            <w:t>The</w:t>
          </w:r>
          <w:r w:rsidRPr="00E95190">
            <w:t xml:space="preserve"> R</w:t>
          </w:r>
          <w:r>
            <w:t>oles</w:t>
          </w:r>
          <w:r w:rsidRPr="00E95190">
            <w:t xml:space="preserve"> </w:t>
          </w:r>
          <w:r>
            <w:t>of</w:t>
          </w:r>
          <w:r w:rsidRPr="00E95190">
            <w:t xml:space="preserve"> R</w:t>
          </w:r>
          <w:r>
            <w:t>ules</w:t>
          </w:r>
          <w:r w:rsidRPr="00E95190">
            <w:t>, M</w:t>
          </w:r>
          <w:r>
            <w:t>arkets</w:t>
          </w:r>
          <w:r w:rsidRPr="00E95190">
            <w:t xml:space="preserve"> </w:t>
          </w:r>
          <w:r>
            <w:t>and</w:t>
          </w:r>
          <w:r w:rsidRPr="00E95190">
            <w:t xml:space="preserve"> C</w:t>
          </w:r>
          <w:r>
            <w:t>ulture’,</w:t>
          </w:r>
          <w:r w:rsidRPr="00E95190">
            <w:t xml:space="preserve"> </w:t>
          </w:r>
          <w:r w:rsidRPr="00E95190">
            <w:rPr>
              <w:i/>
              <w:iCs/>
            </w:rPr>
            <w:t>Journal of Management Studies</w:t>
          </w:r>
          <w:r w:rsidRPr="00E95190">
            <w:t>, 23: 259-272. </w:t>
          </w:r>
          <w:r>
            <w:t xml:space="preserve">Available at: </w:t>
          </w:r>
          <w:hyperlink r:id="rId9" w:history="1">
            <w:r w:rsidRPr="00FE5E3E">
              <w:rPr>
                <w:rStyle w:val="Hyperlink"/>
              </w:rPr>
              <w:t>https://doi.org/10.1111/j.1467-6486.1986.tb009</w:t>
            </w:r>
            <w:r w:rsidRPr="00FE5E3E">
              <w:rPr>
                <w:rStyle w:val="Hyperlink"/>
              </w:rPr>
              <w:t>5</w:t>
            </w:r>
            <w:r w:rsidRPr="00FE5E3E">
              <w:rPr>
                <w:rStyle w:val="Hyperlink"/>
              </w:rPr>
              <w:t>3.x</w:t>
            </w:r>
          </w:hyperlink>
        </w:p>
        <w:p w14:paraId="0CE615FA" w14:textId="77777777" w:rsidR="00E95190" w:rsidRDefault="00E95190"/>
        <w:p w14:paraId="768362A8" w14:textId="3234972E" w:rsidR="0084317D" w:rsidRPr="0084317D" w:rsidRDefault="0084317D" w:rsidP="0084317D">
          <w:r w:rsidRPr="0084317D">
            <w:t>Marr, B. (2012)</w:t>
          </w:r>
          <w:r>
            <w:t>,</w:t>
          </w:r>
          <w:r w:rsidRPr="0084317D">
            <w:t xml:space="preserve"> </w:t>
          </w:r>
          <w:r w:rsidRPr="0084317D">
            <w:rPr>
              <w:i/>
              <w:iCs/>
            </w:rPr>
            <w:t xml:space="preserve">Key </w:t>
          </w:r>
          <w:r w:rsidRPr="0084317D">
            <w:rPr>
              <w:i/>
              <w:iCs/>
            </w:rPr>
            <w:t>P</w:t>
          </w:r>
          <w:r w:rsidRPr="0084317D">
            <w:rPr>
              <w:i/>
              <w:iCs/>
            </w:rPr>
            <w:t xml:space="preserve">erformance </w:t>
          </w:r>
          <w:r w:rsidRPr="0084317D">
            <w:rPr>
              <w:i/>
              <w:iCs/>
            </w:rPr>
            <w:t>I</w:t>
          </w:r>
          <w:r w:rsidRPr="0084317D">
            <w:rPr>
              <w:i/>
              <w:iCs/>
            </w:rPr>
            <w:t>ndicators</w:t>
          </w:r>
          <w:r w:rsidRPr="0084317D">
            <w:rPr>
              <w:i/>
              <w:iCs/>
            </w:rPr>
            <w:t xml:space="preserve"> - t</w:t>
          </w:r>
          <w:r w:rsidRPr="0084317D">
            <w:rPr>
              <w:i/>
              <w:iCs/>
            </w:rPr>
            <w:t xml:space="preserve">he 75 </w:t>
          </w:r>
          <w:r w:rsidRPr="0084317D">
            <w:rPr>
              <w:i/>
              <w:iCs/>
            </w:rPr>
            <w:t>M</w:t>
          </w:r>
          <w:r w:rsidRPr="0084317D">
            <w:rPr>
              <w:i/>
              <w:iCs/>
            </w:rPr>
            <w:t xml:space="preserve">easures </w:t>
          </w:r>
          <w:r w:rsidRPr="0084317D">
            <w:rPr>
              <w:i/>
              <w:iCs/>
            </w:rPr>
            <w:t>E</w:t>
          </w:r>
          <w:r w:rsidRPr="0084317D">
            <w:rPr>
              <w:i/>
              <w:iCs/>
            </w:rPr>
            <w:t xml:space="preserve">very </w:t>
          </w:r>
          <w:r w:rsidRPr="0084317D">
            <w:rPr>
              <w:i/>
              <w:iCs/>
            </w:rPr>
            <w:t>M</w:t>
          </w:r>
          <w:r w:rsidRPr="0084317D">
            <w:rPr>
              <w:i/>
              <w:iCs/>
            </w:rPr>
            <w:t xml:space="preserve">anager </w:t>
          </w:r>
          <w:r w:rsidRPr="0084317D">
            <w:rPr>
              <w:i/>
              <w:iCs/>
            </w:rPr>
            <w:t>N</w:t>
          </w:r>
          <w:r w:rsidRPr="0084317D">
            <w:rPr>
              <w:i/>
              <w:iCs/>
            </w:rPr>
            <w:t xml:space="preserve">eeds to </w:t>
          </w:r>
          <w:r w:rsidRPr="0084317D">
            <w:rPr>
              <w:i/>
              <w:iCs/>
            </w:rPr>
            <w:t>K</w:t>
          </w:r>
          <w:r w:rsidRPr="0084317D">
            <w:rPr>
              <w:i/>
              <w:iCs/>
            </w:rPr>
            <w:t>now</w:t>
          </w:r>
          <w:r>
            <w:rPr>
              <w:i/>
              <w:iCs/>
            </w:rPr>
            <w:t>,</w:t>
          </w:r>
          <w:r w:rsidRPr="0084317D">
            <w:t xml:space="preserve"> Harlow: Pearson</w:t>
          </w:r>
        </w:p>
        <w:p w14:paraId="0702E340" w14:textId="77777777" w:rsidR="0084317D" w:rsidRDefault="0084317D"/>
        <w:p w14:paraId="6753A1F9" w14:textId="643BC675" w:rsidR="00DF168C" w:rsidRDefault="00DF168C">
          <w:pPr>
            <w:rPr>
              <w:rFonts w:hint="eastAsia"/>
              <w:lang w:eastAsia="zh-CN"/>
            </w:rPr>
          </w:pPr>
          <w:r>
            <w:rPr>
              <w:rFonts w:hint="eastAsia"/>
              <w:lang w:eastAsia="zh-CN"/>
            </w:rPr>
            <w:t>S</w:t>
          </w:r>
          <w:r>
            <w:rPr>
              <w:lang w:eastAsia="zh-CN"/>
            </w:rPr>
            <w:t xml:space="preserve">chmidt, J. (2018) ‘Types of Budget’ [Online] Available: </w:t>
          </w:r>
          <w:hyperlink r:id="rId10" w:history="1">
            <w:r w:rsidRPr="00FE5E3E">
              <w:rPr>
                <w:rStyle w:val="Hyperlink"/>
                <w:lang w:eastAsia="zh-CN"/>
              </w:rPr>
              <w:t>https://corporatefinanceinstitute.com/resources/fpa/types-of-budgets-budgeting-methods/</w:t>
            </w:r>
          </w:hyperlink>
          <w:r>
            <w:rPr>
              <w:lang w:eastAsia="zh-CN"/>
            </w:rPr>
            <w:t xml:space="preserve">, </w:t>
          </w:r>
          <w:r w:rsidR="00EE3EBF">
            <w:rPr>
              <w:lang w:eastAsia="zh-CN"/>
            </w:rPr>
            <w:t>(</w:t>
          </w:r>
          <w:r w:rsidR="00EE3EBF">
            <w:rPr>
              <w:lang w:eastAsia="zh-CN"/>
            </w:rPr>
            <w:t>27</w:t>
          </w:r>
          <w:r w:rsidR="00EE3EBF" w:rsidRPr="00EE3EBF">
            <w:rPr>
              <w:vertAlign w:val="superscript"/>
              <w:lang w:eastAsia="zh-CN"/>
            </w:rPr>
            <w:t>th</w:t>
          </w:r>
          <w:r w:rsidR="00EE3EBF">
            <w:rPr>
              <w:lang w:eastAsia="zh-CN"/>
            </w:rPr>
            <w:t xml:space="preserve"> November 2023</w:t>
          </w:r>
          <w:r w:rsidR="00EE3EBF">
            <w:rPr>
              <w:lang w:eastAsia="zh-CN"/>
            </w:rPr>
            <w:t>)</w:t>
          </w:r>
        </w:p>
        <w:p w14:paraId="704CAFA7" w14:textId="77777777" w:rsidR="00DF168C" w:rsidRDefault="00DF168C"/>
        <w:p w14:paraId="39127D2C" w14:textId="5981DE78" w:rsidR="00091667" w:rsidRDefault="00091667">
          <w:r w:rsidRPr="00091667">
            <w:t>Seal, W.B. et al. (2019)</w:t>
          </w:r>
          <w:r>
            <w:t>,</w:t>
          </w:r>
          <w:r w:rsidRPr="00091667">
            <w:t xml:space="preserve"> </w:t>
          </w:r>
          <w:r w:rsidRPr="00091667">
            <w:rPr>
              <w:i/>
              <w:iCs/>
            </w:rPr>
            <w:t xml:space="preserve">Management </w:t>
          </w:r>
          <w:r>
            <w:rPr>
              <w:i/>
              <w:iCs/>
            </w:rPr>
            <w:t>Accounting,</w:t>
          </w:r>
          <w:r>
            <w:t xml:space="preserve"> (</w:t>
          </w:r>
          <w:r w:rsidRPr="00091667">
            <w:t xml:space="preserve">Sixth </w:t>
          </w:r>
          <w:r>
            <w:t>E</w:t>
          </w:r>
          <w:r w:rsidRPr="00091667">
            <w:t>dition</w:t>
          </w:r>
          <w:r>
            <w:t>)</w:t>
          </w:r>
          <w:r w:rsidRPr="00091667">
            <w:t xml:space="preserve"> London: McGraw-Hill Education</w:t>
          </w:r>
        </w:p>
        <w:p w14:paraId="565D69B4" w14:textId="3916C1B8" w:rsidR="000849D1" w:rsidRDefault="00000000"/>
      </w:sdtContent>
    </w:sdt>
    <w:p w14:paraId="7F890C1F" w14:textId="00F8D3A6" w:rsidR="00CA09F3" w:rsidRDefault="000849D1">
      <w:proofErr w:type="spellStart"/>
      <w:r w:rsidRPr="000849D1">
        <w:t>Tayles</w:t>
      </w:r>
      <w:proofErr w:type="spellEnd"/>
      <w:r>
        <w:t>, M. &amp;</w:t>
      </w:r>
      <w:r w:rsidRPr="000849D1">
        <w:t xml:space="preserve"> </w:t>
      </w:r>
      <w:r>
        <w:t>Drury, C.</w:t>
      </w:r>
      <w:r w:rsidRPr="000849D1">
        <w:t xml:space="preserve"> (20</w:t>
      </w:r>
      <w:r>
        <w:t>20</w:t>
      </w:r>
      <w:r w:rsidRPr="000849D1">
        <w:t xml:space="preserve">) </w:t>
      </w:r>
      <w:r w:rsidRPr="005D64FB">
        <w:rPr>
          <w:i/>
          <w:iCs/>
        </w:rPr>
        <w:t>Management and Cost Accounting</w:t>
      </w:r>
      <w:r w:rsidR="004572B6">
        <w:t>,</w:t>
      </w:r>
      <w:r w:rsidRPr="000849D1">
        <w:t xml:space="preserve"> </w:t>
      </w:r>
      <w:r w:rsidR="004572B6">
        <w:t>(Eleven</w:t>
      </w:r>
      <w:r w:rsidRPr="000849D1">
        <w:t xml:space="preserve">th </w:t>
      </w:r>
      <w:r w:rsidR="004572B6">
        <w:t>E</w:t>
      </w:r>
      <w:r w:rsidRPr="000849D1">
        <w:t>dition</w:t>
      </w:r>
      <w:r w:rsidR="004572B6">
        <w:t>)</w:t>
      </w:r>
      <w:r w:rsidRPr="000849D1">
        <w:t xml:space="preserve"> </w:t>
      </w:r>
      <w:r w:rsidR="005D64FB">
        <w:t>Hampshire:</w:t>
      </w:r>
      <w:r w:rsidRPr="000849D1">
        <w:t xml:space="preserve"> </w:t>
      </w:r>
      <w:r w:rsidR="005D64FB">
        <w:t xml:space="preserve">Cengage </w:t>
      </w:r>
      <w:r w:rsidRPr="000849D1">
        <w:t>Learning</w:t>
      </w:r>
    </w:p>
    <w:p w14:paraId="62FDDA4A" w14:textId="77777777" w:rsidR="008B74E0" w:rsidRDefault="008B74E0">
      <w:pPr>
        <w:rPr>
          <w:lang w:eastAsia="zh-CN"/>
        </w:rPr>
      </w:pPr>
    </w:p>
    <w:p w14:paraId="163BC1BB" w14:textId="2F646FBE" w:rsidR="009A1FE9" w:rsidRDefault="009A1FE9">
      <w:pPr>
        <w:rPr>
          <w:lang w:eastAsia="zh-CN"/>
        </w:rPr>
      </w:pPr>
    </w:p>
    <w:p w14:paraId="3B1FA125" w14:textId="77777777" w:rsidR="009A1FE9" w:rsidRDefault="009A1FE9">
      <w:pPr>
        <w:rPr>
          <w:lang w:eastAsia="zh-CN"/>
        </w:rPr>
      </w:pPr>
      <w:r>
        <w:rPr>
          <w:lang w:eastAsia="zh-CN"/>
        </w:rPr>
        <w:br w:type="page"/>
      </w:r>
    </w:p>
    <w:p w14:paraId="4775C91B" w14:textId="17F9A414" w:rsidR="009A1FE9" w:rsidRDefault="009A1FE9" w:rsidP="009A1FE9">
      <w:pPr>
        <w:pStyle w:val="Heading1"/>
      </w:pPr>
      <w:bookmarkStart w:id="6" w:name="_Toc151995231"/>
      <w:r>
        <w:lastRenderedPageBreak/>
        <w:t>Appendix A: Key Principles of Beyond Budgeting</w:t>
      </w:r>
      <w:bookmarkEnd w:id="6"/>
    </w:p>
    <w:p w14:paraId="0ACB2C05" w14:textId="4A0A1F31" w:rsidR="008B74E0" w:rsidRDefault="009A1FE9">
      <w:pPr>
        <w:rPr>
          <w:lang w:eastAsia="zh-CN"/>
        </w:rPr>
      </w:pPr>
      <w:r>
        <w:rPr>
          <w:noProof/>
        </w:rPr>
        <w:drawing>
          <wp:inline distT="0" distB="0" distL="0" distR="0" wp14:anchorId="015B7205" wp14:editId="2C31EDC7">
            <wp:extent cx="4505325" cy="3362325"/>
            <wp:effectExtent l="0" t="0" r="9525" b="9525"/>
            <wp:docPr id="1438892894" name="Picture 1" descr="A diagram of a business strateg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892894" name="Picture 1" descr="A diagram of a business strategy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72265" w14:textId="3603B42B" w:rsidR="009A1FE9" w:rsidRDefault="009A1FE9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(</w:t>
      </w:r>
      <w:r>
        <w:rPr>
          <w:rFonts w:hint="eastAsia"/>
          <w:lang w:eastAsia="zh-CN"/>
        </w:rPr>
        <w:t>B</w:t>
      </w:r>
      <w:r>
        <w:rPr>
          <w:lang w:eastAsia="zh-CN"/>
        </w:rPr>
        <w:t>eyond Budgeting Round Table</w:t>
      </w:r>
      <w:r>
        <w:rPr>
          <w:lang w:eastAsia="zh-CN"/>
        </w:rPr>
        <w:t xml:space="preserve">, </w:t>
      </w:r>
      <w:r>
        <w:rPr>
          <w:lang w:eastAsia="zh-CN"/>
        </w:rPr>
        <w:t>2023</w:t>
      </w:r>
      <w:r>
        <w:rPr>
          <w:lang w:eastAsia="zh-CN"/>
        </w:rPr>
        <w:t>)</w:t>
      </w:r>
    </w:p>
    <w:sectPr w:rsidR="009A1FE9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49D1"/>
    <w:rsid w:val="00084E65"/>
    <w:rsid w:val="00091667"/>
    <w:rsid w:val="00107936"/>
    <w:rsid w:val="00115B96"/>
    <w:rsid w:val="00227E01"/>
    <w:rsid w:val="00324CCD"/>
    <w:rsid w:val="004572B6"/>
    <w:rsid w:val="00480872"/>
    <w:rsid w:val="004A11F6"/>
    <w:rsid w:val="004D519C"/>
    <w:rsid w:val="005D64FB"/>
    <w:rsid w:val="005E2A2C"/>
    <w:rsid w:val="007B7263"/>
    <w:rsid w:val="007D1947"/>
    <w:rsid w:val="0084317D"/>
    <w:rsid w:val="008B74E0"/>
    <w:rsid w:val="00931CAA"/>
    <w:rsid w:val="009A1FE9"/>
    <w:rsid w:val="00A12B58"/>
    <w:rsid w:val="00AA2A91"/>
    <w:rsid w:val="00CA09F3"/>
    <w:rsid w:val="00D854A5"/>
    <w:rsid w:val="00DF168C"/>
    <w:rsid w:val="00E2465F"/>
    <w:rsid w:val="00E95190"/>
    <w:rsid w:val="00EE3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DF16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51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631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18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7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476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01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81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03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164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18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brt.org" TargetMode="Externa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hyperlink" Target="https://corporatefinanceinstitute.com/resources/fpa/types-of-budgets-budgeting-method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11/j.1467-6486.1986.tb00953.x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A34C42"/>
    <w:rsid w:val="00BC1251"/>
    <w:rsid w:val="00C67429"/>
    <w:rsid w:val="00CF634A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2023-11-27T00:00:00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</TotalTime>
  <Pages>8</Pages>
  <Words>309</Words>
  <Characters>1874</Characters>
  <Application>Microsoft Office Word</Application>
  <DocSecurity>0</DocSecurity>
  <Lines>188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Applicability and Practicality of Beyond Budgeting Model</dc:title>
  <dc:subject>Songlin Zou 2300327</dc:subject>
  <dc:creator>Marie Pitson</dc:creator>
  <cp:keywords/>
  <dc:description/>
  <cp:lastModifiedBy>Songlin Zou (2300327)</cp:lastModifiedBy>
  <cp:revision>4</cp:revision>
  <dcterms:created xsi:type="dcterms:W3CDTF">2020-09-09T07:24:00Z</dcterms:created>
  <dcterms:modified xsi:type="dcterms:W3CDTF">2023-11-27T16:55:00Z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9daa7698d6bca329652a0c7d66998bc00a37ba399b1f0c8dccedb6e5da955957</vt:lpwstr>
  </property>
</Properties>
</file>