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5F1989E5" w:rsidP="43AD88FE" w:rsidRDefault="5F1989E5" w14:paraId="0AF983E9" w14:textId="37F2BEB9">
      <w:pPr>
        <w:jc w:val="center"/>
        <w:rPr>
          <w:rFonts w:hint="eastAsia"/>
        </w:rPr>
      </w:pPr>
      <w:r>
        <w:t>Ahmad Habib (2317248)</w:t>
      </w:r>
    </w:p>
    <w:p w:rsidR="5F1989E5" w:rsidP="43AD88FE" w:rsidRDefault="5F1989E5" w14:paraId="74FC181E" w14:textId="373D579A">
      <w:pPr>
        <w:jc w:val="center"/>
        <w:rPr>
          <w:rFonts w:hint="eastAsia"/>
        </w:rPr>
      </w:pPr>
      <w:r>
        <w:t xml:space="preserve">Legal Process assignment 2 </w:t>
      </w:r>
    </w:p>
    <w:p w:rsidR="5F1989E5" w:rsidP="43AD88FE" w:rsidRDefault="5F1989E5" w14:paraId="48A9A747" w14:textId="40FF17D3">
      <w:pPr>
        <w:jc w:val="center"/>
        <w:rPr>
          <w:rFonts w:hint="eastAsia"/>
        </w:rPr>
      </w:pPr>
      <w:r>
        <w:t>BMLW4006</w:t>
      </w:r>
    </w:p>
    <w:p w:rsidR="43AD88FE" w:rsidP="43AD88FE" w:rsidRDefault="43AD88FE" w14:paraId="74960A93" w14:textId="6006797B">
      <w:pPr>
        <w:jc w:val="center"/>
        <w:rPr>
          <w:rFonts w:hint="eastAsia"/>
        </w:rPr>
      </w:pPr>
    </w:p>
    <w:p w:rsidR="43AD88FE" w:rsidP="43AD88FE" w:rsidRDefault="43AD88FE" w14:paraId="17049525" w14:textId="70FBC6B2">
      <w:pPr>
        <w:rPr>
          <w:rFonts w:hint="eastAsia"/>
        </w:rPr>
      </w:pPr>
    </w:p>
    <w:p w:rsidR="43AD88FE" w:rsidP="7355A8B9" w:rsidRDefault="43AD88FE" w14:paraId="132C1A11" w14:textId="4FD62D12">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3AD88FE" w:rsidP="7355A8B9" w:rsidRDefault="43AD88FE" w14:paraId="1BACFED7" w14:textId="014DE7B6">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British civil legal aid, which is seen as a critical component of the UK court system and has been used to ensure legal counsel for those who cannot pay it. On the contrary, the existing system's optimisation has recently suffered a significant reduction, raising concerns about its ability to complete its intended mission. Through a comprehensive study of the pinpointed areas, we can focus on the main difficulties that civil legal aid faces and find the solutions that are close to the problems. The thesis of this article is to critically analyse the landscape of civil legal aid in the UK, including definitions, eligibility requirements, the impact of the Legal Aid Sentencing and Punishment of Offenders Act 2012 (LASPO), and recommended reform initiatives. </w:t>
      </w:r>
    </w:p>
    <w:p w:rsidR="43AD88FE" w:rsidP="7355A8B9" w:rsidRDefault="43AD88FE" w14:paraId="2F3734EC" w14:textId="0917FB82">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3AD88FE" w:rsidP="7355A8B9" w:rsidRDefault="43AD88FE" w14:paraId="4DE47F82" w14:textId="552A4D02">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Civil legal aid is an essential component of the British court system that provides legal help to persons with civil disputes or legal issues (Byrne et al, 2021). It is a legal services system that includes housing, social benefits, employment issues, and family law (Sandefur and Denne, 2022). However, eligibility for civil legal assistance in the United Kingdom is subject to strict criteria. Initially, the applicants must exhibit that they cannot afford a private or public attorney through financial disclosure comprising income and expenses, savings, and assets (Frost </w:t>
      </w:r>
      <w:r w:rsidRPr="7355A8B9" w:rsidR="7E16DBBA">
        <w:rPr>
          <w:rFonts w:ascii="Arial" w:hAnsi="Arial" w:eastAsia="Arial" w:cs="Arial"/>
          <w:b w:val="0"/>
          <w:bCs w:val="0"/>
          <w:i w:val="1"/>
          <w:iCs w:val="1"/>
          <w:strike w:val="0"/>
          <w:dstrike w:val="0"/>
          <w:noProof w:val="0"/>
          <w:color w:val="000000" w:themeColor="text1" w:themeTint="FF" w:themeShade="FF"/>
          <w:sz w:val="24"/>
          <w:szCs w:val="24"/>
          <w:u w:val="none"/>
          <w:lang w:val="en-GB"/>
        </w:rPr>
        <w:t>et al</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2022). This leads to another essential legal issue that must be addressed to ensure that resources are well-spent and only directed toward worthy cases needing legal services. In addition, civil legal aid involves handling specific legal problems, for instance, in housing cases, family law issues, or sorting out discrimination issues, with each type having its eligibility requirements to access legal aid (Hemsworth, 2020). </w:t>
      </w:r>
    </w:p>
    <w:p w:rsidR="43AD88FE" w:rsidP="7355A8B9" w:rsidRDefault="43AD88FE" w14:paraId="324DE0E8" w14:textId="34820CA3">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LASPO, decades back, revolutionised the legal aid regime in the UK with very restrictive rules and accessibility of lawyers. This lowered the justice accessibility, which was the poorer people, especially those with immigration matters. Even though the Legal Aid, Sentencing, and Punishment of Offenders Act was created to facilitate fair access to legal aid, many still struggle. Although exceptional case support funds exist, the obstacles in directing aid to those most vulnerable and those lacking the capacity to navigate the process involve many legal issues (Flegg and Boyle, 2022). Accordingly, achieving effective allocation amongst the post-reform legal aid represents a challenge. </w:t>
      </w:r>
    </w:p>
    <w:p w:rsidR="43AD88FE" w:rsidP="7355A8B9" w:rsidRDefault="43AD88FE" w14:paraId="0936FF53" w14:textId="60CE5742">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LASPO Act was introduced in 2012, representing a considerable milestone in civil legal aid in the UK. The LASPO brought about a host of reforms, most notably the restricting of the scope of civil legal assistance concerning legal areas of law unless there is evidence of domestic violence or child abuse present (Kalliris and Alysandratos, 2022). That was done to eliminate wasteful spending and deal with the abuse of public funds in the legal aid system. Though unintended, it reduced the value and accessibility of legal aid for several people, especially those from marginalised neighbourhoods. </w:t>
      </w:r>
    </w:p>
    <w:p w:rsidR="43AD88FE" w:rsidP="7355A8B9" w:rsidRDefault="43AD88FE" w14:paraId="7AE370AC" w14:textId="109A41E6">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enactment of LASPO created a fresh image of civil legal aid in the UK, undoubtedly giving opportunities to people experiencing poverty. At the same time, it narrows the acceptance of cases according to specific parameters (Anderson, 2020). Sometimes, this inflexibility denies many people access to justice, making these cases extremely complex. This reform does not take into account issues like housing and welfare cases, violence against children, or child abuse (Sandefur and Denne, 2022). Yet LASPO is intended to ensure the fairness and effectiveness of the legal aid service; it also does a lot to limit access to justice for those who do not act the case now. Under this scenario, LASPO's reforms, which should be based on fairness, are bringing the issue of the fair representation of legal aid in the UK. </w:t>
      </w:r>
    </w:p>
    <w:p w:rsidR="43AD88FE" w:rsidP="7355A8B9" w:rsidRDefault="43AD88FE" w14:paraId="1B9BE0CD" w14:textId="4F7C3C2E">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effect of LASPO is likely to reduce civil legal aid in housing, welfare, and family law cases. However, exceptions to this rule are granted to victims of violence, for instance, domestic and child abuse (Sandefur and Denne, 2022). Anderson (2020) argues that LASPO's financial competency requirements, which are aimed at preventing access actively, have increased these barriers. Many people who could be able to seek aid choose not to because of the extra formalities. Thereby, the LASPO law increases the number of ineligible people for legal </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assistance</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contributes to the diminishing of justice for many. This is aggravated by the fact that these individuals should prove their financial need, which is often beyond their power, even when they qualify for </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assistance</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Ultimately, LASPO</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makes the situation worse by creating gaps in access to justice for </w:t>
      </w:r>
      <w:r w:rsidRPr="7355A8B9" w:rsidR="69E3AB60">
        <w:rPr>
          <w:rFonts w:ascii="Arial" w:hAnsi="Arial" w:eastAsia="Arial" w:cs="Arial"/>
          <w:b w:val="0"/>
          <w:bCs w:val="0"/>
          <w:i w:val="0"/>
          <w:iCs w:val="0"/>
          <w:strike w:val="0"/>
          <w:dstrike w:val="0"/>
          <w:noProof w:val="0"/>
          <w:color w:val="000000" w:themeColor="text1" w:themeTint="FF" w:themeShade="FF"/>
          <w:sz w:val="24"/>
          <w:szCs w:val="24"/>
          <w:u w:val="none"/>
          <w:lang w:val="en-GB"/>
        </w:rPr>
        <w:t>many</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people and, by this, increasing inequality within the legal system. </w:t>
      </w:r>
    </w:p>
    <w:p w:rsidR="43AD88FE" w:rsidP="7355A8B9" w:rsidRDefault="43AD88FE" w14:paraId="5D31064E" w14:textId="33DEECF6">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LASPO's money constraints have also influenced how civil legal aid services are practised. Instead of funding civil legal aid services, the Act highlighted cost-cutting plans; people had to seek help from other areas where clinics were closed, and services were withdrawn in some regions (Hanretty, 2020). The imbalance in finance causes the problem of unequal access to justice, again questioning the fairness of the judiciary system. In addition, Grant (2020, p.10) highlights that his aim is to reveal the outcome of the cuts in funding, such as the closure of some legal aid clinics and the disconnection of the services in some other places, leading to the aggravation of fate of individuals in need of justice. </w:t>
      </w:r>
    </w:p>
    <w:p w:rsidR="43AD88FE" w:rsidP="7355A8B9" w:rsidRDefault="43AD88FE" w14:paraId="33022A8D" w14:textId="7748EAC3">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two most prominent consequences of the Act, however, are the ones that directly impact people with low income who cannot afford legal advice on civil cases. Research results point to increasing numbers of socially marginalised individuals having trouble understanding procedural regulations that leave many deprived and, therefore, creating cycles of poverty and social prejudice (Denvir et al, 2022). Denvir </w:t>
      </w:r>
      <w:r w:rsidRPr="7355A8B9" w:rsidR="7E16DBBA">
        <w:rPr>
          <w:rFonts w:ascii="Arial" w:hAnsi="Arial" w:eastAsia="Arial" w:cs="Arial"/>
          <w:b w:val="0"/>
          <w:bCs w:val="0"/>
          <w:i w:val="1"/>
          <w:iCs w:val="1"/>
          <w:strike w:val="0"/>
          <w:dstrike w:val="0"/>
          <w:noProof w:val="0"/>
          <w:color w:val="000000" w:themeColor="text1" w:themeTint="FF" w:themeShade="FF"/>
          <w:sz w:val="24"/>
          <w:szCs w:val="24"/>
          <w:u w:val="none"/>
          <w:lang w:val="en-GB"/>
        </w:rPr>
        <w:t>et al</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(2022) specifically indicates LASPO's disproportionate effect on disadvantaged groups and expresses the immediate need for reform to deal with social injustices within the administration of justice. Generally, LASPO has drastically cut civil legal aid provision for many economically disadvantaged individuals in the UK. </w:t>
      </w:r>
    </w:p>
    <w:p w:rsidR="43AD88FE" w:rsidP="7355A8B9" w:rsidRDefault="43AD88FE" w14:paraId="6E685DDE" w14:textId="143CE599">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Aside from the fact that LASPO has caused the problems of accessing civil legal aid, it is also critical to look at the purposes it is designed for and its effects on the public. LASPO's goal was to decrease expenses and channel the resources to the people who genuinely deserve it while addressing the claim that public funds were misused with the appropriate mechanisms for the legal aid system. Besides that, the criteria for selection and the appraisal of the programme are bringing the playing field of those who need soliciting services to the lowest level, especially the ones who are more vulnerable. In addition, the roll-out of LASPO includes cost-cutting measures that have shut down several legal clinics while others have lost their services (Anderson, 2020). As a result, more and more people are left unable to find justice. </w:t>
      </w:r>
    </w:p>
    <w:p w:rsidR="43AD88FE" w:rsidP="7355A8B9" w:rsidRDefault="43AD88FE" w14:paraId="65ED79ED" w14:textId="4A7C0615">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3AD88FE" w:rsidP="7355A8B9" w:rsidRDefault="43AD88FE" w14:paraId="494597A0" w14:textId="6D4337E0">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legal aid services deficiency and the fairness of justice for all should be the target of a system reform that is thorough and has multiple components. The strategy's primary purpose is to continue the funding and improve its efficiency to secure extra funds, reopen closed legal aid clinics, and extend services to areas being poorly covered. According to Tomlinson and Marshall (2020), budgeting money for civil legal aid services can make provision for many of the most vulnerable populations in our society to acquire legal services. Moreover, checking the application process is vital for making the process of providing legal aid faster, especially for the vulnerable people living on the edge of society (Grant, 2020). Simplified bureaucratic administrative procedures can remove bottlenecks and provide smooth services to needy people. Overall, the reform strategy is the main factor that should include upgrading the funds and simplifying the procedures so that justice delivery can become faster and solve the problem at the exact time. </w:t>
      </w:r>
    </w:p>
    <w:p w:rsidR="43AD88FE" w:rsidP="7355A8B9" w:rsidRDefault="43AD88FE" w14:paraId="575382F9" w14:textId="7E1F4938">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It should be included in legal aid programs crucial to inclusivity, such as housing, welfare benefits, and family law, irrespective of their strict criteria (Garlicka, 2021). This will allow many people to be involved in legal proceedings, regardless of their financial status. At the same time, building public awareness through essential communication techniques is important (Barnett, 2021). This way, people become aware of their rights and can use legal aid facilities or services. Through these reforms, politicians can sort out civil disputes, legal difficulties, and other challenges facing the current legal system and help create a more equitable one. </w:t>
      </w:r>
    </w:p>
    <w:p w:rsidR="43AD88FE" w:rsidP="7355A8B9" w:rsidRDefault="43AD88FE" w14:paraId="5237699A" w14:textId="794480CA">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Collaboration between legal aid agencies, stakeholders, and community groups is the key to improving the delivery of efficient services and systemic issues concerning justice and access to justice. Alliance building leads to cooperation and sharing of resources, increasing aid to the individuals. Exposing technology creates more effective and accessible services reaching out beyond geographical borders through internet platforms and telemedicine. This digitalization, attended to by officers, coordinates the services of legal aid that fit modern society. </w:t>
      </w:r>
    </w:p>
    <w:p w:rsidR="43AD88FE" w:rsidP="7355A8B9" w:rsidRDefault="43AD88FE" w14:paraId="23FCCB9A" w14:textId="0C10818C">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3AD88FE" w:rsidP="7355A8B9" w:rsidRDefault="43AD88FE" w14:paraId="488FE47A" w14:textId="7815E3B1">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 conclude, the increasing gap in providing civil legal aid in the UK is an alarming matter since it leads to injustice </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exacerbated</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by the implementation of LASPO. Increasing funding, streamlining operations, and broadening access areas are critical to address this issue. The </w:t>
      </w:r>
      <w:bookmarkStart w:name="_Int_XJTloNGm" w:id="1630827896"/>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main focus</w:t>
      </w:r>
      <w:bookmarkEnd w:id="1630827896"/>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is still creating a legitimate forum for anyone linked with the civil war to </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attain</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justice. Noticing the role of civil legal aid </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in the process of judiciary</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reform the government should keep on going. The participation of public administration entities, legal aid institutions, and the whole partnership will help provide equal access to civil justice regardless of social class. Finally, holistic reform may result in the creation of a judiciary where justice is an inalienable right which is undoubtedly synonymous with the duty of the law. </w:t>
      </w:r>
    </w:p>
    <w:p w:rsidR="43AD88FE" w:rsidP="7355A8B9" w:rsidRDefault="43AD88FE" w14:paraId="7FA66B79" w14:textId="10DC2A67">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3AD88FE" w:rsidP="7355A8B9" w:rsidRDefault="43AD88FE" w14:paraId="59D2243F" w14:textId="2093F717">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3AD88FE" w:rsidP="7355A8B9" w:rsidRDefault="43AD88FE" w14:paraId="377A3B1D" w14:textId="5968C68F">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3AD88FE" w:rsidP="7355A8B9" w:rsidRDefault="43AD88FE" w14:paraId="01C4001A" w14:textId="4ECB67FF">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3AD88FE" w:rsidP="7355A8B9" w:rsidRDefault="43AD88FE" w14:paraId="3CDDCA84" w14:textId="42DB774F">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3AD88FE" w:rsidP="7355A8B9" w:rsidRDefault="43AD88FE" w14:paraId="39242BCD" w14:textId="04EC54DF">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3AD88FE" w:rsidP="7355A8B9" w:rsidRDefault="43AD88FE" w14:paraId="2ACCF93A" w14:textId="35267242">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3AD88FE" w:rsidP="7355A8B9" w:rsidRDefault="43AD88FE" w14:paraId="335EDB78" w14:textId="6029A115">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3AD88FE" w:rsidP="7355A8B9" w:rsidRDefault="43AD88FE" w14:paraId="3F782E65" w14:textId="4C119D78">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3AD88FE" w:rsidP="7355A8B9" w:rsidRDefault="43AD88FE" w14:paraId="345E0DBB" w14:textId="74B7FE50">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3AD88FE" w:rsidP="7355A8B9" w:rsidRDefault="43AD88FE" w14:paraId="367522B1" w14:textId="41C043C7">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3AD88FE" w:rsidP="7355A8B9" w:rsidRDefault="43AD88FE" w14:paraId="2BD51241" w14:textId="0B9F1CC3">
      <w:pPr>
        <w:shd w:val="clear" w:color="auto" w:fill="FFFFFF" w:themeFill="background1"/>
        <w:spacing w:before="0" w:beforeAutospacing="off" w:after="0" w:afterAutospacing="off"/>
      </w:pPr>
    </w:p>
    <w:p w:rsidR="43AD88FE" w:rsidP="7355A8B9" w:rsidRDefault="43AD88FE" w14:paraId="33C4BA23" w14:textId="6DAD6CEF">
      <w:pPr>
        <w:shd w:val="clear" w:color="auto" w:fill="FFFFFF" w:themeFill="background1"/>
        <w:spacing w:before="0" w:beforeAutospacing="off" w:after="0" w:afterAutospacing="off"/>
      </w:pPr>
    </w:p>
    <w:p w:rsidR="43AD88FE" w:rsidP="7355A8B9" w:rsidRDefault="43AD88FE" w14:paraId="4468ECE0" w14:textId="54716D44">
      <w:pPr>
        <w:pStyle w:val="Normal"/>
        <w:shd w:val="clear" w:color="auto" w:fill="FFFFFF" w:themeFill="background1"/>
        <w:spacing w:before="0" w:beforeAutospacing="off" w:after="0" w:afterAutospacing="off"/>
      </w:pPr>
    </w:p>
    <w:p w:rsidR="43AD88FE" w:rsidP="7355A8B9" w:rsidRDefault="43AD88FE" w14:paraId="783DA213" w14:textId="4FF72457">
      <w:pPr>
        <w:shd w:val="clear" w:color="auto" w:fill="FFFFFF" w:themeFill="background1"/>
        <w:spacing w:before="0" w:beforeAutospacing="off" w:after="0" w:afterAutospacing="off"/>
      </w:pPr>
    </w:p>
    <w:p w:rsidR="43AD88FE" w:rsidP="7355A8B9" w:rsidRDefault="43AD88FE" w14:paraId="1C760319" w14:textId="0C97F8A0">
      <w:pPr>
        <w:shd w:val="clear" w:color="auto" w:fill="FFFFFF" w:themeFill="background1"/>
        <w:spacing w:before="0" w:beforeAutospacing="off" w:after="0" w:afterAutospacing="off"/>
      </w:pPr>
    </w:p>
    <w:p w:rsidR="43AD88FE" w:rsidP="7355A8B9" w:rsidRDefault="43AD88FE" w14:paraId="69753453" w14:textId="7C8EC4B3">
      <w:pPr>
        <w:shd w:val="clear" w:color="auto" w:fill="FFFFFF" w:themeFill="background1"/>
        <w:spacing w:before="0" w:beforeAutospacing="off" w:after="0" w:afterAutospacing="off"/>
      </w:pPr>
    </w:p>
    <w:p w:rsidR="43AD88FE" w:rsidP="7355A8B9" w:rsidRDefault="43AD88FE" w14:paraId="77616CC7" w14:textId="2EE67464">
      <w:pPr>
        <w:shd w:val="clear" w:color="auto" w:fill="FFFFFF" w:themeFill="background1"/>
        <w:spacing w:before="0" w:beforeAutospacing="off" w:after="0" w:afterAutospacing="off"/>
      </w:pPr>
    </w:p>
    <w:p w:rsidR="43AD88FE" w:rsidP="7355A8B9" w:rsidRDefault="43AD88FE" w14:paraId="578E6ABD" w14:textId="1FACBBE0">
      <w:pPr>
        <w:shd w:val="clear" w:color="auto" w:fill="FFFFFF" w:themeFill="background1"/>
        <w:spacing w:before="0" w:beforeAutospacing="off" w:after="0" w:afterAutospacing="off"/>
      </w:pPr>
    </w:p>
    <w:p w:rsidR="43AD88FE" w:rsidP="7355A8B9" w:rsidRDefault="43AD88FE" w14:paraId="59DC0929" w14:textId="40A6251F">
      <w:pPr>
        <w:pStyle w:val="Normal"/>
        <w:shd w:val="clear" w:color="auto" w:fill="FFFFFF" w:themeFill="background1"/>
        <w:spacing w:before="0" w:beforeAutospacing="off" w:after="0" w:afterAutospacing="off"/>
      </w:pPr>
    </w:p>
    <w:p w:rsidR="43AD88FE" w:rsidP="7355A8B9" w:rsidRDefault="43AD88FE" w14:paraId="0B18D60B" w14:textId="3E1A6F84">
      <w:pPr>
        <w:pStyle w:val="Normal"/>
        <w:shd w:val="clear" w:color="auto" w:fill="FFFFFF" w:themeFill="background1"/>
        <w:spacing w:before="0" w:beforeAutospacing="off" w:after="0" w:afterAutospacing="off"/>
      </w:pPr>
    </w:p>
    <w:p w:rsidR="43AD88FE" w:rsidP="7355A8B9" w:rsidRDefault="43AD88FE" w14:paraId="0D6DB9B0" w14:textId="47BA83DA">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References  </w:t>
      </w:r>
    </w:p>
    <w:p w:rsidR="43AD88FE" w:rsidP="7355A8B9" w:rsidRDefault="43AD88FE" w14:paraId="7C59ED9A" w14:textId="2E5A4D2E">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3AD88FE" w:rsidP="7355A8B9" w:rsidRDefault="43AD88FE" w14:paraId="52A93FC7" w14:textId="552073B6">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Anderson, R. (2020) Justice for the Rich: Have Changes to the Way Criminal Legal Aid is Awarded Undermined Access to Justice? Sunderland Student Law Journal, 1, pp.21-29</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3AD88FE" w:rsidP="7355A8B9" w:rsidRDefault="43AD88FE" w14:paraId="3A9B905C" w14:textId="0650D002">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3AD88FE" w:rsidP="7355A8B9" w:rsidRDefault="43AD88FE" w14:paraId="3628A53E" w14:textId="107BB8CC">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Barnett, H. (2021)</w:t>
      </w:r>
      <w:r w:rsidRPr="7355A8B9" w:rsidR="7E16DBBA">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Children's rights and the law: An Introduction.</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Oxford: Routledge.</w:t>
      </w:r>
    </w:p>
    <w:p w:rsidR="43AD88FE" w:rsidP="7355A8B9" w:rsidRDefault="43AD88FE" w14:paraId="3D03A16A" w14:textId="46BF0D7E">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3AD88FE" w:rsidP="7355A8B9" w:rsidRDefault="43AD88FE" w14:paraId="01D0153A" w14:textId="65075634">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Boyle, K. (2020) </w:t>
      </w:r>
      <w:r w:rsidRPr="7355A8B9" w:rsidR="7E16DBBA">
        <w:rPr>
          <w:rFonts w:ascii="Arial" w:hAnsi="Arial" w:eastAsia="Arial" w:cs="Arial"/>
          <w:b w:val="0"/>
          <w:bCs w:val="0"/>
          <w:i w:val="1"/>
          <w:iCs w:val="1"/>
          <w:strike w:val="0"/>
          <w:dstrike w:val="0"/>
          <w:noProof w:val="0"/>
          <w:color w:val="000000" w:themeColor="text1" w:themeTint="FF" w:themeShade="FF"/>
          <w:sz w:val="24"/>
          <w:szCs w:val="24"/>
          <w:u w:val="none"/>
          <w:lang w:val="en-GB"/>
        </w:rPr>
        <w:t>Economic and Social Rights Law: Incorporation, Justiciability and Principles of Adjudication.</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New York: Routledge. </w:t>
      </w:r>
    </w:p>
    <w:p w:rsidR="43AD88FE" w:rsidP="7355A8B9" w:rsidRDefault="43AD88FE" w14:paraId="2B4C91CA" w14:textId="4F76456A">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3AD88FE" w:rsidP="7355A8B9" w:rsidRDefault="43AD88FE" w14:paraId="1FAD92AB" w14:textId="54607E68">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Byrne, R., McCutcheon, P., Cahillane, L. and Roche-Cagney, E. (2021) </w:t>
      </w:r>
      <w:r w:rsidRPr="7355A8B9" w:rsidR="7E16DBBA">
        <w:rPr>
          <w:rFonts w:ascii="Arial" w:hAnsi="Arial" w:eastAsia="Arial" w:cs="Arial"/>
          <w:b w:val="0"/>
          <w:bCs w:val="0"/>
          <w:i w:val="1"/>
          <w:iCs w:val="1"/>
          <w:strike w:val="0"/>
          <w:dstrike w:val="0"/>
          <w:noProof w:val="0"/>
          <w:color w:val="000000" w:themeColor="text1" w:themeTint="FF" w:themeShade="FF"/>
          <w:sz w:val="24"/>
          <w:szCs w:val="24"/>
          <w:u w:val="none"/>
          <w:lang w:val="en-GB"/>
        </w:rPr>
        <w:t>Byrne and McCutcheon on the Irish legal system.</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London: Bloomsbury Publishing. </w:t>
      </w:r>
    </w:p>
    <w:p w:rsidR="43AD88FE" w:rsidP="7355A8B9" w:rsidRDefault="43AD88FE" w14:paraId="2237186B" w14:textId="52B895DC">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3AD88FE" w:rsidP="7355A8B9" w:rsidRDefault="43AD88FE" w14:paraId="2BCBD5A9" w14:textId="055C100B">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Denvir, C., </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Kinghan</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J., Mant, J., Newman, D. and Aristotle, S. (2022)</w:t>
      </w:r>
      <w:r w:rsidRPr="7355A8B9" w:rsidR="7E16DBBA">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We Are Legal Aid: Findings from the 2021 Legal Aid Census</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London: Legal Aid Practitioners Group.</w:t>
      </w:r>
    </w:p>
    <w:p w:rsidR="43AD88FE" w:rsidP="7355A8B9" w:rsidRDefault="43AD88FE" w14:paraId="58CDB25A" w14:textId="40329EEC">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3AD88FE" w:rsidP="7355A8B9" w:rsidRDefault="43AD88FE" w14:paraId="15975763" w14:textId="6DA953D1">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Flegg, A. and Boyle, K. (2022) </w:t>
      </w:r>
      <w:r w:rsidRPr="7355A8B9" w:rsidR="7E16DBBA">
        <w:rPr>
          <w:rFonts w:ascii="Arial" w:hAnsi="Arial" w:eastAsia="Arial" w:cs="Arial"/>
          <w:b w:val="0"/>
          <w:bCs w:val="0"/>
          <w:i w:val="1"/>
          <w:iCs w:val="1"/>
          <w:strike w:val="0"/>
          <w:dstrike w:val="0"/>
          <w:noProof w:val="0"/>
          <w:color w:val="000000" w:themeColor="text1" w:themeTint="FF" w:themeShade="FF"/>
          <w:sz w:val="24"/>
          <w:szCs w:val="24"/>
          <w:u w:val="none"/>
          <w:lang w:val="en-GB"/>
        </w:rPr>
        <w:t>The UK's unmet legal needs: a comparative study of legal aid and the social rights gap.</w:t>
      </w:r>
      <w:hyperlink r:id="Rc48bc1e049b54b54">
        <w:r w:rsidRPr="7355A8B9" w:rsidR="7E16DBBA">
          <w:rPr>
            <w:rStyle w:val="Hyperlink"/>
            <w:rFonts w:ascii="Arial" w:hAnsi="Arial" w:eastAsia="Arial" w:cs="Arial"/>
            <w:b w:val="0"/>
            <w:bCs w:val="0"/>
            <w:i w:val="0"/>
            <w:iCs w:val="0"/>
            <w:strike w:val="0"/>
            <w:dstrike w:val="0"/>
            <w:noProof w:val="0"/>
            <w:sz w:val="24"/>
            <w:szCs w:val="24"/>
            <w:lang w:val="en-GB"/>
          </w:rPr>
          <w:t xml:space="preserve"> Available at: </w:t>
        </w:r>
        <w:r w:rsidRPr="7355A8B9" w:rsidR="7E16DBBA">
          <w:rPr>
            <w:rStyle w:val="Hyperlink"/>
            <w:rFonts w:ascii="Arial" w:hAnsi="Arial" w:eastAsia="Arial" w:cs="Arial"/>
            <w:b w:val="0"/>
            <w:bCs w:val="0"/>
            <w:i w:val="0"/>
            <w:iCs w:val="0"/>
            <w:strike w:val="0"/>
            <w:dstrike w:val="0"/>
            <w:noProof w:val="0"/>
            <w:color w:val="467886"/>
            <w:sz w:val="24"/>
            <w:szCs w:val="24"/>
            <w:u w:val="none"/>
            <w:lang w:val="en-GB"/>
          </w:rPr>
          <w:t>https://dspace.stir.ac.uk/retrieve/9d300104-ddcc-4229-8ab8-5cb2ba96f34c/07_The%20UK__s%20unmet%20legal%20needs_18MAY22.pdf</w:t>
        </w:r>
      </w:hyperlink>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18 April 2024).</w:t>
      </w:r>
    </w:p>
    <w:p w:rsidR="43AD88FE" w:rsidP="7355A8B9" w:rsidRDefault="43AD88FE" w14:paraId="445BD865" w14:textId="386A1D04">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3AD88FE" w:rsidP="7355A8B9" w:rsidRDefault="43AD88FE" w14:paraId="11BF1765" w14:textId="1AB10C04">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Frost, T., Huxley-Binns, R., Martin, J. and Mithani, S. (2014)</w:t>
      </w:r>
      <w:r w:rsidRPr="7355A8B9" w:rsidR="7E16DBBA">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Unlocking the English legal system.</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4th </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Edn</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London: Routledge.</w:t>
      </w:r>
    </w:p>
    <w:p w:rsidR="43AD88FE" w:rsidP="7355A8B9" w:rsidRDefault="43AD88FE" w14:paraId="51286709" w14:textId="6C0A6EDB">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3AD88FE" w:rsidP="7355A8B9" w:rsidRDefault="43AD88FE" w14:paraId="0381FDFA" w14:textId="22CEA5EF">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Garlicka</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S. (2021)</w:t>
      </w:r>
      <w:r w:rsidRPr="7355A8B9" w:rsidR="7E16DBBA">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Investigating the relationship between criminal trespass under section 144 of the Legal Aid, Sentencing and Punishment of Offenders Act 2012 and the doctrine of adverse possession A comparative analysis of England &amp; Wales and Canada.</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59e5d1813b104d60">
        <w:r w:rsidRPr="7355A8B9" w:rsidR="7E16DBBA">
          <w:rPr>
            <w:rStyle w:val="Hyperlink"/>
            <w:rFonts w:ascii="Arial" w:hAnsi="Arial" w:eastAsia="Arial" w:cs="Arial"/>
            <w:b w:val="0"/>
            <w:bCs w:val="0"/>
            <w:i w:val="0"/>
            <w:iCs w:val="0"/>
            <w:strike w:val="0"/>
            <w:dstrike w:val="0"/>
            <w:noProof w:val="0"/>
            <w:color w:val="467886"/>
            <w:sz w:val="24"/>
            <w:szCs w:val="24"/>
            <w:u w:val="none"/>
            <w:lang w:val="en-GB"/>
          </w:rPr>
          <w:t>https://pureadmin.qub.ac.uk/ws/portalfiles/portal/258054083/Stefania_Garlicka_Dissertation_FINAL_VERSION.pdf</w:t>
        </w:r>
      </w:hyperlink>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16 April 2022).</w:t>
      </w:r>
    </w:p>
    <w:p w:rsidR="43AD88FE" w:rsidP="7355A8B9" w:rsidRDefault="43AD88FE" w14:paraId="1F7D22C4" w14:textId="1EC8CBF7">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3AD88FE" w:rsidP="7355A8B9" w:rsidRDefault="43AD88FE" w14:paraId="51241B14" w14:textId="2246102F">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Grant, S. (2020) </w:t>
      </w:r>
      <w:r w:rsidRPr="7355A8B9" w:rsidR="7E16DBBA">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An overview of immigration advice services in England and Wales. </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5492ac92051843a5">
        <w:r w:rsidRPr="7355A8B9" w:rsidR="7E16DBBA">
          <w:rPr>
            <w:rStyle w:val="Hyperlink"/>
            <w:rFonts w:ascii="Arial" w:hAnsi="Arial" w:eastAsia="Arial" w:cs="Arial"/>
            <w:b w:val="0"/>
            <w:bCs w:val="0"/>
            <w:i w:val="0"/>
            <w:iCs w:val="0"/>
            <w:strike w:val="0"/>
            <w:dstrike w:val="0"/>
            <w:noProof w:val="0"/>
            <w:color w:val="467886"/>
            <w:sz w:val="24"/>
            <w:szCs w:val="24"/>
            <w:u w:val="none"/>
            <w:lang w:val="en-GB"/>
          </w:rPr>
          <w:t>https://www.phf.org.uk/wp-content/uploads/2020/07/PHF-Immigration-Advice-Services-Report_FINAL.pdf</w:t>
        </w:r>
      </w:hyperlink>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17 April 2024). </w:t>
      </w:r>
    </w:p>
    <w:p w:rsidR="43AD88FE" w:rsidP="7355A8B9" w:rsidRDefault="43AD88FE" w14:paraId="1E35663A" w14:textId="231E3CCF">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3AD88FE" w:rsidP="7355A8B9" w:rsidRDefault="43AD88FE" w14:paraId="54B8A94B" w14:textId="16F4FD2D">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Hanretty, C. (2020) </w:t>
      </w:r>
      <w:r w:rsidRPr="7355A8B9" w:rsidR="7E16DBBA">
        <w:rPr>
          <w:rFonts w:ascii="Arial" w:hAnsi="Arial" w:eastAsia="Arial" w:cs="Arial"/>
          <w:b w:val="0"/>
          <w:bCs w:val="0"/>
          <w:i w:val="1"/>
          <w:iCs w:val="1"/>
          <w:strike w:val="0"/>
          <w:dstrike w:val="0"/>
          <w:noProof w:val="0"/>
          <w:color w:val="000000" w:themeColor="text1" w:themeTint="FF" w:themeShade="FF"/>
          <w:sz w:val="24"/>
          <w:szCs w:val="24"/>
          <w:u w:val="none"/>
          <w:lang w:val="en-GB"/>
        </w:rPr>
        <w:t>A court of specialists: Judicial behaviour on the UK Supreme Court.</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London: Oxford University Press.</w:t>
      </w:r>
    </w:p>
    <w:p w:rsidR="43AD88FE" w:rsidP="7355A8B9" w:rsidRDefault="43AD88FE" w14:paraId="4EDDBD1B" w14:textId="106D35F8">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Hemsworth, A.E. (2021) ‘The'Exceptionality'of Legal Aid: Affordable Access to Justice in Judicial Review’, </w:t>
      </w:r>
      <w:r w:rsidRPr="7355A8B9" w:rsidR="7E16DBBA">
        <w:rPr>
          <w:rFonts w:ascii="Arial" w:hAnsi="Arial" w:eastAsia="Arial" w:cs="Arial"/>
          <w:b w:val="0"/>
          <w:bCs w:val="0"/>
          <w:i w:val="1"/>
          <w:iCs w:val="1"/>
          <w:strike w:val="0"/>
          <w:dstrike w:val="0"/>
          <w:noProof w:val="0"/>
          <w:color w:val="000000" w:themeColor="text1" w:themeTint="FF" w:themeShade="FF"/>
          <w:sz w:val="24"/>
          <w:szCs w:val="24"/>
          <w:u w:val="none"/>
          <w:lang w:val="en-GB"/>
        </w:rPr>
        <w:t>The London School of  Economics Law Review,</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6(3), pp. 255-277</w:t>
      </w:r>
      <w:r w:rsidRPr="7355A8B9" w:rsidR="7E16DBBA">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hyperlink r:id="Rb11eabfadffc490b">
        <w:r w:rsidRPr="7355A8B9" w:rsidR="7E16DBBA">
          <w:rPr>
            <w:rStyle w:val="Hyperlink"/>
            <w:rFonts w:ascii="Arial" w:hAnsi="Arial" w:eastAsia="Arial" w:cs="Arial"/>
            <w:b w:val="0"/>
            <w:bCs w:val="0"/>
            <w:i w:val="1"/>
            <w:iCs w:val="1"/>
            <w:strike w:val="0"/>
            <w:dstrike w:val="0"/>
            <w:noProof w:val="0"/>
            <w:color w:val="4C346C"/>
            <w:sz w:val="24"/>
            <w:szCs w:val="24"/>
            <w:u w:val="none"/>
            <w:lang w:val="en-GB"/>
          </w:rPr>
          <w:t>DOI: 10.61315/lselr.176</w:t>
        </w:r>
      </w:hyperlink>
    </w:p>
    <w:p w:rsidR="43AD88FE" w:rsidP="7355A8B9" w:rsidRDefault="43AD88FE" w14:paraId="77F89D78" w14:textId="12FB79EB">
      <w:pPr>
        <w:shd w:val="clear" w:color="auto" w:fill="FFFFFF" w:themeFill="background1"/>
        <w:spacing w:before="0" w:beforeAutospacing="off" w:after="0" w:afterAutospacing="off"/>
      </w:pPr>
    </w:p>
    <w:p w:rsidR="43AD88FE" w:rsidP="7355A8B9" w:rsidRDefault="43AD88FE" w14:paraId="168BB857" w14:textId="442B8309">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Kalliris</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K. and </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Alysandratos</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T. (2022)</w:t>
      </w:r>
      <w:r w:rsidRPr="7355A8B9" w:rsidR="7E16DBBA">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The Effects of LASPO on Court Efficiency and the Impact of Litigants in Person: An Empirical Study.</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w:r w:rsidRPr="7355A8B9" w:rsidR="7E16DBBA">
          <w:rPr>
            <w:rStyle w:val="Hyperlink"/>
            <w:rFonts w:ascii="Arial" w:hAnsi="Arial" w:eastAsia="Arial" w:cs="Arial"/>
            <w:b w:val="0"/>
            <w:bCs w:val="0"/>
            <w:i w:val="0"/>
            <w:iCs w:val="0"/>
            <w:strike w:val="0"/>
            <w:dstrike w:val="0"/>
            <w:noProof w:val="0"/>
            <w:color w:val="1155CC"/>
            <w:sz w:val="24"/>
            <w:szCs w:val="24"/>
            <w:u w:val="none"/>
            <w:lang w:val="en-GB"/>
          </w:rPr>
          <w:t>https://file:///C:/Users/Student/Downloads/SSRN-id4196138.pdf</w:t>
        </w:r>
      </w:hyperlink>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17 April 2024)</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43AD88FE" w:rsidP="7355A8B9" w:rsidRDefault="43AD88FE" w14:paraId="270AB098" w14:textId="56DD95DA">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3AD88FE" w:rsidP="7355A8B9" w:rsidRDefault="43AD88FE" w14:paraId="797B8AE0" w14:textId="1BC3382D">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Sandefur, R.L. and Denne, E. (2022) ‘Access to justice and legal services regulatory reform’,</w:t>
      </w:r>
      <w:r w:rsidRPr="7355A8B9" w:rsidR="7E16DBBA">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Annual Review of Law and Social Science</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18, pp.27-42.</w:t>
      </w:r>
      <w:hyperlink r:id="R63dc59ac319d45ef">
        <w:r w:rsidRPr="7355A8B9" w:rsidR="7E16DBBA">
          <w:rPr>
            <w:rStyle w:val="Hyperlink"/>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w:hyperlink r:id="R1ec86d62fa274942">
        <w:r w:rsidRPr="7355A8B9" w:rsidR="7E16DBBA">
          <w:rPr>
            <w:rStyle w:val="Hyperlink"/>
            <w:rFonts w:ascii="Arial" w:hAnsi="Arial" w:eastAsia="Arial" w:cs="Arial"/>
            <w:b w:val="0"/>
            <w:bCs w:val="0"/>
            <w:i w:val="0"/>
            <w:iCs w:val="0"/>
            <w:strike w:val="0"/>
            <w:dstrike w:val="0"/>
            <w:noProof w:val="0"/>
            <w:color w:val="2F5E83"/>
            <w:sz w:val="24"/>
            <w:szCs w:val="24"/>
            <w:u w:val="none"/>
            <w:lang w:val="en-GB"/>
          </w:rPr>
          <w:t>https://doi.org/10.1146/annurev-lawsocsci-050520-101425</w:t>
        </w:r>
      </w:hyperlink>
    </w:p>
    <w:p w:rsidR="43AD88FE" w:rsidP="7355A8B9" w:rsidRDefault="43AD88FE" w14:paraId="0EE20C4F" w14:textId="098CB78A">
      <w:pPr>
        <w:pStyle w:val="Normal"/>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2F5E83"/>
          <w:sz w:val="24"/>
          <w:szCs w:val="24"/>
          <w:u w:val="none"/>
          <w:lang w:val="en-GB"/>
        </w:rPr>
      </w:pPr>
    </w:p>
    <w:p w:rsidR="43AD88FE" w:rsidP="7355A8B9" w:rsidRDefault="43AD88FE" w14:paraId="69D48044" w14:textId="76AFC12E">
      <w:pPr>
        <w:shd w:val="clear" w:color="auto" w:fill="FFFFFF" w:themeFill="background1"/>
        <w:spacing w:before="0" w:beforeAutospacing="off" w:after="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Tomlinson, J. and Marshall, E. (2020) </w:t>
      </w:r>
      <w:r w:rsidRPr="7355A8B9" w:rsidR="7E16DBBA">
        <w:rPr>
          <w:rFonts w:ascii="Arial" w:hAnsi="Arial" w:eastAsia="Arial" w:cs="Arial"/>
          <w:b w:val="0"/>
          <w:bCs w:val="0"/>
          <w:i w:val="1"/>
          <w:iCs w:val="1"/>
          <w:strike w:val="0"/>
          <w:dstrike w:val="0"/>
          <w:noProof w:val="0"/>
          <w:color w:val="000000" w:themeColor="text1" w:themeTint="FF" w:themeShade="FF"/>
          <w:sz w:val="24"/>
          <w:szCs w:val="24"/>
          <w:u w:val="none"/>
          <w:lang w:val="en-GB"/>
        </w:rPr>
        <w:t>Improving Exceptional Case Funding: Providers' Perspectives.</w:t>
      </w: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Available at: </w:t>
      </w:r>
      <w:hyperlink r:id="Rcec04cf8c9844caf">
        <w:r w:rsidRPr="7355A8B9" w:rsidR="7E16DBBA">
          <w:rPr>
            <w:rStyle w:val="Hyperlink"/>
            <w:rFonts w:ascii="Arial" w:hAnsi="Arial" w:eastAsia="Arial" w:cs="Arial"/>
            <w:b w:val="0"/>
            <w:bCs w:val="0"/>
            <w:i w:val="0"/>
            <w:iCs w:val="0"/>
            <w:strike w:val="0"/>
            <w:dstrike w:val="0"/>
            <w:noProof w:val="0"/>
            <w:color w:val="467886"/>
            <w:sz w:val="24"/>
            <w:szCs w:val="24"/>
            <w:u w:val="none"/>
            <w:lang w:val="en-GB"/>
          </w:rPr>
          <w:t>https://essexcaji.org/wp-content/uploads/2020/01/improving-exceptional-case-funding-website-publication-version-docx.docx.pdf</w:t>
        </w:r>
      </w:hyperlink>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18 April 2024). </w:t>
      </w:r>
    </w:p>
    <w:p w:rsidR="43AD88FE" w:rsidP="7355A8B9" w:rsidRDefault="43AD88FE" w14:paraId="7237CA61" w14:textId="625E4017">
      <w:pPr>
        <w:shd w:val="clear" w:color="auto" w:fill="FFFFFF" w:themeFill="background1"/>
        <w:spacing w:before="0" w:beforeAutospacing="off" w:after="160" w:afterAutospacing="off"/>
      </w:pPr>
      <w:r w:rsidRPr="7355A8B9" w:rsidR="7E16DBB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43AD88FE" w:rsidP="43AD88FE" w:rsidRDefault="43AD88FE" w14:paraId="224F94F0" w14:textId="5C2E2738">
      <w:pPr/>
    </w:p>
    <w:p w:rsidR="43AD88FE" w:rsidP="7355A8B9" w:rsidRDefault="43AD88FE" w14:paraId="3DB2E4D4" w14:textId="2105662A">
      <w:pPr>
        <w:pStyle w:val="Normal"/>
        <w:spacing w:line="360" w:lineRule="auto"/>
        <w:rPr>
          <w:rFonts w:ascii="Arial" w:hAnsi="Arial" w:cs="Arial"/>
        </w:rPr>
      </w:pPr>
    </w:p>
    <w:sectPr w:rsidR="43AD88FE">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B2281" w:rsidP="00AF440F" w:rsidRDefault="003B2281" w14:paraId="209AC2C3" w14:textId="77777777">
      <w:pPr>
        <w:spacing w:after="0" w:line="240" w:lineRule="auto"/>
        <w:rPr>
          <w:rFonts w:hint="eastAsia"/>
        </w:rPr>
      </w:pPr>
      <w:r>
        <w:separator/>
      </w:r>
    </w:p>
  </w:endnote>
  <w:endnote w:type="continuationSeparator" w:id="0">
    <w:p w:rsidR="003B2281" w:rsidP="00AF440F" w:rsidRDefault="003B2281" w14:paraId="55AB0AC7" w14:textId="77777777">
      <w:pPr>
        <w:spacing w:after="0" w:line="240" w:lineRule="auto"/>
        <w:rPr>
          <w:rFonts w:hint="eastAsia"/>
        </w:rPr>
      </w:pPr>
      <w:r>
        <w:continuationSeparator/>
      </w:r>
    </w:p>
  </w:endnote>
  <w:endnote w:type="continuationNotice" w:id="1">
    <w:p w:rsidR="003B2281" w:rsidRDefault="003B2281" w14:paraId="4361DBF6" w14:textId="77777777">
      <w:pPr>
        <w:spacing w:after="0" w:line="240" w:lineRule="auto"/>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B2281" w:rsidP="00AF440F" w:rsidRDefault="003B2281" w14:paraId="031F7566" w14:textId="77777777">
      <w:pPr>
        <w:spacing w:after="0" w:line="240" w:lineRule="auto"/>
        <w:rPr>
          <w:rFonts w:hint="eastAsia"/>
        </w:rPr>
      </w:pPr>
      <w:r>
        <w:separator/>
      </w:r>
    </w:p>
  </w:footnote>
  <w:footnote w:type="continuationSeparator" w:id="0">
    <w:p w:rsidR="003B2281" w:rsidP="00AF440F" w:rsidRDefault="003B2281" w14:paraId="42FAEAC3" w14:textId="77777777">
      <w:pPr>
        <w:spacing w:after="0" w:line="240" w:lineRule="auto"/>
        <w:rPr>
          <w:rFonts w:hint="eastAsia"/>
        </w:rPr>
      </w:pPr>
      <w:r>
        <w:continuationSeparator/>
      </w:r>
    </w:p>
  </w:footnote>
  <w:footnote w:type="continuationNotice" w:id="1">
    <w:p w:rsidR="003B2281" w:rsidRDefault="003B2281" w14:paraId="4D8B0E40" w14:textId="77777777">
      <w:pPr>
        <w:spacing w:after="0" w:line="240" w:lineRule="auto"/>
        <w:rPr>
          <w:rFonts w:hint="eastAsia"/>
        </w:rPr>
      </w:pPr>
    </w:p>
  </w:footnote>
</w:footnotes>
</file>

<file path=word/intelligence2.xml><?xml version="1.0" encoding="utf-8"?>
<int2:intelligence xmlns:int2="http://schemas.microsoft.com/office/intelligence/2020/intelligence" xmlns:oel="http://schemas.microsoft.com/office/2019/extlst">
  <int2:observations>
    <int2:bookmark int2:bookmarkName="_Int_XJTloNGm" int2:invalidationBookmarkName="" int2:hashCode="b4zE7MyH2VBFFX" int2:id="w57KVZRj">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626ECE"/>
    <w:multiLevelType w:val="hybridMultilevel"/>
    <w:tmpl w:val="FFFFFFFF"/>
    <w:lvl w:ilvl="0" w:tplc="9EE8B95E">
      <w:start w:val="1"/>
      <w:numFmt w:val="decimal"/>
      <w:lvlText w:val="%1."/>
      <w:lvlJc w:val="left"/>
      <w:pPr>
        <w:ind w:left="720" w:hanging="360"/>
      </w:pPr>
    </w:lvl>
    <w:lvl w:ilvl="1" w:tplc="BC24302A">
      <w:start w:val="1"/>
      <w:numFmt w:val="lowerLetter"/>
      <w:lvlText w:val="%2."/>
      <w:lvlJc w:val="left"/>
      <w:pPr>
        <w:ind w:left="1440" w:hanging="360"/>
      </w:pPr>
    </w:lvl>
    <w:lvl w:ilvl="2" w:tplc="2E387674">
      <w:start w:val="1"/>
      <w:numFmt w:val="lowerRoman"/>
      <w:lvlText w:val="%3."/>
      <w:lvlJc w:val="right"/>
      <w:pPr>
        <w:ind w:left="2160" w:hanging="180"/>
      </w:pPr>
    </w:lvl>
    <w:lvl w:ilvl="3" w:tplc="E00CD6B6">
      <w:start w:val="1"/>
      <w:numFmt w:val="decimal"/>
      <w:lvlText w:val="%4."/>
      <w:lvlJc w:val="left"/>
      <w:pPr>
        <w:ind w:left="2880" w:hanging="360"/>
      </w:pPr>
    </w:lvl>
    <w:lvl w:ilvl="4" w:tplc="BE06628E">
      <w:start w:val="1"/>
      <w:numFmt w:val="lowerLetter"/>
      <w:lvlText w:val="%5."/>
      <w:lvlJc w:val="left"/>
      <w:pPr>
        <w:ind w:left="3600" w:hanging="360"/>
      </w:pPr>
    </w:lvl>
    <w:lvl w:ilvl="5" w:tplc="36642950">
      <w:start w:val="1"/>
      <w:numFmt w:val="lowerRoman"/>
      <w:lvlText w:val="%6."/>
      <w:lvlJc w:val="right"/>
      <w:pPr>
        <w:ind w:left="4320" w:hanging="180"/>
      </w:pPr>
    </w:lvl>
    <w:lvl w:ilvl="6" w:tplc="6AC458F8">
      <w:start w:val="1"/>
      <w:numFmt w:val="decimal"/>
      <w:lvlText w:val="%7."/>
      <w:lvlJc w:val="left"/>
      <w:pPr>
        <w:ind w:left="5040" w:hanging="360"/>
      </w:pPr>
    </w:lvl>
    <w:lvl w:ilvl="7" w:tplc="83526F44">
      <w:start w:val="1"/>
      <w:numFmt w:val="lowerLetter"/>
      <w:lvlText w:val="%8."/>
      <w:lvlJc w:val="left"/>
      <w:pPr>
        <w:ind w:left="5760" w:hanging="360"/>
      </w:pPr>
    </w:lvl>
    <w:lvl w:ilvl="8" w:tplc="1A22D29E">
      <w:start w:val="1"/>
      <w:numFmt w:val="lowerRoman"/>
      <w:lvlText w:val="%9."/>
      <w:lvlJc w:val="right"/>
      <w:pPr>
        <w:ind w:left="6480" w:hanging="180"/>
      </w:pPr>
    </w:lvl>
  </w:abstractNum>
  <w:num w:numId="1" w16cid:durableId="191772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06B549"/>
    <w:rsid w:val="00017891"/>
    <w:rsid w:val="00046D37"/>
    <w:rsid w:val="000771CA"/>
    <w:rsid w:val="000D0871"/>
    <w:rsid w:val="000E24D7"/>
    <w:rsid w:val="000E3635"/>
    <w:rsid w:val="00345CFC"/>
    <w:rsid w:val="003B2281"/>
    <w:rsid w:val="003F3137"/>
    <w:rsid w:val="00445D69"/>
    <w:rsid w:val="00512166"/>
    <w:rsid w:val="005829A5"/>
    <w:rsid w:val="006735F2"/>
    <w:rsid w:val="00785E56"/>
    <w:rsid w:val="008E5410"/>
    <w:rsid w:val="008F37C2"/>
    <w:rsid w:val="009B1922"/>
    <w:rsid w:val="00AF440F"/>
    <w:rsid w:val="00B132A7"/>
    <w:rsid w:val="00B562D4"/>
    <w:rsid w:val="00B9703E"/>
    <w:rsid w:val="00C41F5B"/>
    <w:rsid w:val="00D67876"/>
    <w:rsid w:val="00DE4925"/>
    <w:rsid w:val="00E23FC8"/>
    <w:rsid w:val="00E67A98"/>
    <w:rsid w:val="00F357B2"/>
    <w:rsid w:val="00F61877"/>
    <w:rsid w:val="00FC10F3"/>
    <w:rsid w:val="032A2DD1"/>
    <w:rsid w:val="05F8D03B"/>
    <w:rsid w:val="06B71DD3"/>
    <w:rsid w:val="06BA12AD"/>
    <w:rsid w:val="09D3897D"/>
    <w:rsid w:val="0A05A19D"/>
    <w:rsid w:val="0A2597E6"/>
    <w:rsid w:val="0AB31901"/>
    <w:rsid w:val="0ACBECD4"/>
    <w:rsid w:val="0C6F08F4"/>
    <w:rsid w:val="0C8B297D"/>
    <w:rsid w:val="0DEAB9C3"/>
    <w:rsid w:val="0FDBBFCB"/>
    <w:rsid w:val="1133ED69"/>
    <w:rsid w:val="1177902C"/>
    <w:rsid w:val="11A6B8BD"/>
    <w:rsid w:val="11FF8BEE"/>
    <w:rsid w:val="12178203"/>
    <w:rsid w:val="148A8372"/>
    <w:rsid w:val="14AAB3F5"/>
    <w:rsid w:val="16255945"/>
    <w:rsid w:val="16FF8235"/>
    <w:rsid w:val="1706B549"/>
    <w:rsid w:val="177F8A4F"/>
    <w:rsid w:val="178EA171"/>
    <w:rsid w:val="18CD9F34"/>
    <w:rsid w:val="1A212F5D"/>
    <w:rsid w:val="1AA00FBD"/>
    <w:rsid w:val="1B4D7C04"/>
    <w:rsid w:val="1C2DCCCA"/>
    <w:rsid w:val="1DDD2E57"/>
    <w:rsid w:val="1DF82776"/>
    <w:rsid w:val="1FA72B11"/>
    <w:rsid w:val="224AC8A3"/>
    <w:rsid w:val="24C481D3"/>
    <w:rsid w:val="2DAB0133"/>
    <w:rsid w:val="2E9BC234"/>
    <w:rsid w:val="2EC6A52E"/>
    <w:rsid w:val="2F93BCCE"/>
    <w:rsid w:val="30698F62"/>
    <w:rsid w:val="3366B08A"/>
    <w:rsid w:val="3633F023"/>
    <w:rsid w:val="37448E68"/>
    <w:rsid w:val="376F7F73"/>
    <w:rsid w:val="37EF87B2"/>
    <w:rsid w:val="389A19AC"/>
    <w:rsid w:val="39865B63"/>
    <w:rsid w:val="3CDBE59E"/>
    <w:rsid w:val="3D55B4DE"/>
    <w:rsid w:val="3D73DCDC"/>
    <w:rsid w:val="3EDC85A0"/>
    <w:rsid w:val="407889D6"/>
    <w:rsid w:val="42142662"/>
    <w:rsid w:val="42CA12B7"/>
    <w:rsid w:val="43AD88FE"/>
    <w:rsid w:val="4575E51D"/>
    <w:rsid w:val="47199E69"/>
    <w:rsid w:val="474CB4C5"/>
    <w:rsid w:val="4A56971E"/>
    <w:rsid w:val="4A6D6689"/>
    <w:rsid w:val="4C0D8F2D"/>
    <w:rsid w:val="4CA63A97"/>
    <w:rsid w:val="4E17ED96"/>
    <w:rsid w:val="50561349"/>
    <w:rsid w:val="575CE8CB"/>
    <w:rsid w:val="5D295F98"/>
    <w:rsid w:val="5D7102A4"/>
    <w:rsid w:val="5EB6CC50"/>
    <w:rsid w:val="5F1989E5"/>
    <w:rsid w:val="6079B4CC"/>
    <w:rsid w:val="60CDC0E3"/>
    <w:rsid w:val="60D53FB3"/>
    <w:rsid w:val="61BEBA92"/>
    <w:rsid w:val="620E3C2E"/>
    <w:rsid w:val="63EF36AF"/>
    <w:rsid w:val="69E3AB60"/>
    <w:rsid w:val="6BD65E55"/>
    <w:rsid w:val="701E07F7"/>
    <w:rsid w:val="71A25D28"/>
    <w:rsid w:val="724D446F"/>
    <w:rsid w:val="7355A8B9"/>
    <w:rsid w:val="74F0D8D5"/>
    <w:rsid w:val="752B2998"/>
    <w:rsid w:val="75441F24"/>
    <w:rsid w:val="756B4886"/>
    <w:rsid w:val="75FE0D90"/>
    <w:rsid w:val="77327AA2"/>
    <w:rsid w:val="782B4094"/>
    <w:rsid w:val="785571DA"/>
    <w:rsid w:val="79C25AA0"/>
    <w:rsid w:val="7A179047"/>
    <w:rsid w:val="7A499607"/>
    <w:rsid w:val="7A89DFF5"/>
    <w:rsid w:val="7B4C1B4D"/>
    <w:rsid w:val="7C0EC28F"/>
    <w:rsid w:val="7DDBD6B2"/>
    <w:rsid w:val="7E0B12C3"/>
    <w:rsid w:val="7E16DBBA"/>
    <w:rsid w:val="7FEE719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6B549"/>
  <w15:chartTrackingRefBased/>
  <w15:docId w15:val="{55F679BE-59DA-4410-8EAA-4776329C3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43AD88FE"/>
    <w:rPr>
      <w:lang w:val="en-GB"/>
    </w:rPr>
  </w:style>
  <w:style w:type="paragraph" w:styleId="Heading1">
    <w:name w:val="heading 1"/>
    <w:basedOn w:val="Normal"/>
    <w:next w:val="Normal"/>
    <w:link w:val="Heading1Char"/>
    <w:uiPriority w:val="9"/>
    <w:qFormat/>
    <w:rsid w:val="43AD88F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43AD88F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43AD88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43AD88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43AD88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43AD88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43AD88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43AD88FE"/>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43AD88FE"/>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43AD88FE"/>
    <w:rPr>
      <w:rFonts w:asciiTheme="majorHAnsi" w:hAnsiTheme="majorHAnsi" w:eastAsiaTheme="majorEastAsia" w:cstheme="majorBidi"/>
      <w:noProof w:val="0"/>
      <w:color w:val="0F4761" w:themeColor="accent1" w:themeShade="BF"/>
      <w:sz w:val="40"/>
      <w:szCs w:val="40"/>
      <w:lang w:val="en-GB"/>
    </w:rPr>
  </w:style>
  <w:style w:type="character" w:styleId="Heading2Char" w:customStyle="1">
    <w:name w:val="Heading 2 Char"/>
    <w:basedOn w:val="DefaultParagraphFont"/>
    <w:link w:val="Heading2"/>
    <w:uiPriority w:val="9"/>
    <w:rsid w:val="43AD88FE"/>
    <w:rPr>
      <w:rFonts w:asciiTheme="majorHAnsi" w:hAnsiTheme="majorHAnsi" w:eastAsiaTheme="majorEastAsia" w:cstheme="majorBidi"/>
      <w:noProof w:val="0"/>
      <w:color w:val="0F4761" w:themeColor="accent1" w:themeShade="BF"/>
      <w:sz w:val="32"/>
      <w:szCs w:val="32"/>
      <w:lang w:val="en-GB"/>
    </w:rPr>
  </w:style>
  <w:style w:type="character" w:styleId="Heading3Char" w:customStyle="1">
    <w:name w:val="Heading 3 Char"/>
    <w:basedOn w:val="DefaultParagraphFont"/>
    <w:link w:val="Heading3"/>
    <w:uiPriority w:val="9"/>
    <w:rsid w:val="43AD88FE"/>
    <w:rPr>
      <w:rFonts w:asciiTheme="minorHAnsi" w:hAnsiTheme="minorHAnsi" w:eastAsiaTheme="majorEastAsia" w:cstheme="majorBidi"/>
      <w:noProof w:val="0"/>
      <w:color w:val="0F4761" w:themeColor="accent1" w:themeShade="BF"/>
      <w:sz w:val="28"/>
      <w:szCs w:val="28"/>
      <w:lang w:val="en-GB"/>
    </w:rPr>
  </w:style>
  <w:style w:type="character" w:styleId="Heading4Char" w:customStyle="1">
    <w:name w:val="Heading 4 Char"/>
    <w:basedOn w:val="DefaultParagraphFont"/>
    <w:link w:val="Heading4"/>
    <w:uiPriority w:val="9"/>
    <w:rsid w:val="43AD88FE"/>
    <w:rPr>
      <w:rFonts w:asciiTheme="minorHAnsi" w:hAnsiTheme="minorHAnsi" w:eastAsiaTheme="majorEastAsia" w:cstheme="majorBidi"/>
      <w:i/>
      <w:iCs/>
      <w:noProof w:val="0"/>
      <w:color w:val="0F4761" w:themeColor="accent1" w:themeShade="BF"/>
      <w:lang w:val="en-GB"/>
    </w:rPr>
  </w:style>
  <w:style w:type="character" w:styleId="Heading5Char" w:customStyle="1">
    <w:name w:val="Heading 5 Char"/>
    <w:basedOn w:val="DefaultParagraphFont"/>
    <w:link w:val="Heading5"/>
    <w:uiPriority w:val="9"/>
    <w:rsid w:val="43AD88FE"/>
    <w:rPr>
      <w:rFonts w:asciiTheme="minorHAnsi" w:hAnsiTheme="minorHAnsi" w:eastAsiaTheme="majorEastAsia" w:cstheme="majorBidi"/>
      <w:noProof w:val="0"/>
      <w:color w:val="0F4761" w:themeColor="accent1" w:themeShade="BF"/>
      <w:lang w:val="en-GB"/>
    </w:rPr>
  </w:style>
  <w:style w:type="character" w:styleId="Heading6Char" w:customStyle="1">
    <w:name w:val="Heading 6 Char"/>
    <w:basedOn w:val="DefaultParagraphFont"/>
    <w:link w:val="Heading6"/>
    <w:uiPriority w:val="9"/>
    <w:rsid w:val="43AD88FE"/>
    <w:rPr>
      <w:rFonts w:asciiTheme="minorHAnsi" w:hAnsiTheme="minorHAnsi" w:eastAsiaTheme="majorEastAsia" w:cstheme="majorBidi"/>
      <w:i/>
      <w:iCs/>
      <w:noProof w:val="0"/>
      <w:color w:val="595959" w:themeColor="text1" w:themeTint="A6"/>
      <w:lang w:val="en-GB"/>
    </w:rPr>
  </w:style>
  <w:style w:type="character" w:styleId="Heading7Char" w:customStyle="1">
    <w:name w:val="Heading 7 Char"/>
    <w:basedOn w:val="DefaultParagraphFont"/>
    <w:link w:val="Heading7"/>
    <w:uiPriority w:val="9"/>
    <w:rsid w:val="43AD88FE"/>
    <w:rPr>
      <w:rFonts w:asciiTheme="minorHAnsi" w:hAnsiTheme="minorHAnsi" w:eastAsiaTheme="majorEastAsia" w:cstheme="majorBidi"/>
      <w:noProof w:val="0"/>
      <w:color w:val="595959" w:themeColor="text1" w:themeTint="A6"/>
      <w:lang w:val="en-GB"/>
    </w:rPr>
  </w:style>
  <w:style w:type="character" w:styleId="Heading8Char" w:customStyle="1">
    <w:name w:val="Heading 8 Char"/>
    <w:basedOn w:val="DefaultParagraphFont"/>
    <w:link w:val="Heading8"/>
    <w:uiPriority w:val="9"/>
    <w:rsid w:val="43AD88FE"/>
    <w:rPr>
      <w:rFonts w:asciiTheme="minorHAnsi" w:hAnsiTheme="minorHAnsi" w:eastAsiaTheme="majorEastAsia" w:cstheme="majorBidi"/>
      <w:i/>
      <w:iCs/>
      <w:noProof w:val="0"/>
      <w:color w:val="272727"/>
      <w:lang w:val="en-GB"/>
    </w:rPr>
  </w:style>
  <w:style w:type="character" w:styleId="Heading9Char" w:customStyle="1">
    <w:name w:val="Heading 9 Char"/>
    <w:basedOn w:val="DefaultParagraphFont"/>
    <w:link w:val="Heading9"/>
    <w:uiPriority w:val="9"/>
    <w:rsid w:val="43AD88FE"/>
    <w:rPr>
      <w:rFonts w:asciiTheme="minorHAnsi" w:hAnsiTheme="minorHAnsi" w:eastAsiaTheme="majorEastAsia" w:cstheme="majorBidi"/>
      <w:noProof w:val="0"/>
      <w:color w:val="272727"/>
      <w:lang w:val="en-GB"/>
    </w:rPr>
  </w:style>
  <w:style w:type="character" w:styleId="TitleChar" w:customStyle="1">
    <w:name w:val="Title Char"/>
    <w:basedOn w:val="DefaultParagraphFont"/>
    <w:link w:val="Title"/>
    <w:uiPriority w:val="10"/>
    <w:rsid w:val="43AD88FE"/>
    <w:rPr>
      <w:rFonts w:asciiTheme="majorHAnsi" w:hAnsiTheme="majorHAnsi" w:eastAsiaTheme="majorEastAsia" w:cstheme="majorBidi"/>
      <w:noProof w:val="0"/>
      <w:sz w:val="56"/>
      <w:szCs w:val="56"/>
      <w:lang w:val="en-GB"/>
    </w:rPr>
  </w:style>
  <w:style w:type="paragraph" w:styleId="Title">
    <w:name w:val="Title"/>
    <w:basedOn w:val="Normal"/>
    <w:next w:val="Normal"/>
    <w:link w:val="TitleChar"/>
    <w:uiPriority w:val="10"/>
    <w:qFormat/>
    <w:rsid w:val="43AD88FE"/>
    <w:pPr>
      <w:spacing w:after="80"/>
      <w:contextualSpacing/>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sid w:val="43AD88FE"/>
    <w:rPr>
      <w:rFonts w:asciiTheme="minorHAnsi" w:hAnsiTheme="minorHAnsi" w:eastAsiaTheme="majorEastAsia" w:cstheme="majorBidi"/>
      <w:noProof w:val="0"/>
      <w:color w:val="595959" w:themeColor="text1" w:themeTint="A6"/>
      <w:sz w:val="28"/>
      <w:szCs w:val="28"/>
      <w:lang w:val="en-GB"/>
    </w:rPr>
  </w:style>
  <w:style w:type="paragraph" w:styleId="Subtitle">
    <w:name w:val="Subtitle"/>
    <w:basedOn w:val="Normal"/>
    <w:next w:val="Normal"/>
    <w:link w:val="SubtitleChar"/>
    <w:uiPriority w:val="11"/>
    <w:qFormat/>
    <w:rsid w:val="43AD88FE"/>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sid w:val="43AD88FE"/>
    <w:rPr>
      <w:i/>
      <w:iCs/>
      <w:noProof w:val="0"/>
      <w:color w:val="404040" w:themeColor="text1" w:themeTint="BF"/>
      <w:lang w:val="en-GB"/>
    </w:rPr>
  </w:style>
  <w:style w:type="paragraph" w:styleId="Quote">
    <w:name w:val="Quote"/>
    <w:basedOn w:val="Normal"/>
    <w:next w:val="Normal"/>
    <w:link w:val="QuoteChar"/>
    <w:uiPriority w:val="29"/>
    <w:qFormat/>
    <w:rsid w:val="43AD88FE"/>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sid w:val="43AD88FE"/>
    <w:rPr>
      <w:i/>
      <w:iCs/>
      <w:noProof w:val="0"/>
      <w:color w:val="0F4761" w:themeColor="accent1" w:themeShade="BF"/>
      <w:lang w:val="en-GB"/>
    </w:rPr>
  </w:style>
  <w:style w:type="paragraph" w:styleId="IntenseQuote">
    <w:name w:val="Intense Quote"/>
    <w:basedOn w:val="Normal"/>
    <w:next w:val="Normal"/>
    <w:link w:val="IntenseQuoteChar"/>
    <w:uiPriority w:val="30"/>
    <w:qFormat/>
    <w:rsid w:val="43AD88FE"/>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3AD88FE"/>
    <w:pPr>
      <w:ind w:left="720"/>
      <w:contextualSpacing/>
    </w:pPr>
  </w:style>
  <w:style w:type="paragraph" w:styleId="TOC1">
    <w:name w:val="toc 1"/>
    <w:basedOn w:val="Normal"/>
    <w:next w:val="Normal"/>
    <w:uiPriority w:val="39"/>
    <w:unhideWhenUsed/>
    <w:rsid w:val="43AD88FE"/>
    <w:pPr>
      <w:spacing w:after="100"/>
    </w:pPr>
  </w:style>
  <w:style w:type="paragraph" w:styleId="TOC2">
    <w:name w:val="toc 2"/>
    <w:basedOn w:val="Normal"/>
    <w:next w:val="Normal"/>
    <w:uiPriority w:val="39"/>
    <w:unhideWhenUsed/>
    <w:rsid w:val="43AD88FE"/>
    <w:pPr>
      <w:spacing w:after="100"/>
      <w:ind w:left="220"/>
    </w:pPr>
  </w:style>
  <w:style w:type="paragraph" w:styleId="TOC3">
    <w:name w:val="toc 3"/>
    <w:basedOn w:val="Normal"/>
    <w:next w:val="Normal"/>
    <w:uiPriority w:val="39"/>
    <w:unhideWhenUsed/>
    <w:rsid w:val="43AD88FE"/>
    <w:pPr>
      <w:spacing w:after="100"/>
      <w:ind w:left="440"/>
    </w:pPr>
  </w:style>
  <w:style w:type="paragraph" w:styleId="TOC4">
    <w:name w:val="toc 4"/>
    <w:basedOn w:val="Normal"/>
    <w:next w:val="Normal"/>
    <w:uiPriority w:val="39"/>
    <w:unhideWhenUsed/>
    <w:rsid w:val="43AD88FE"/>
    <w:pPr>
      <w:spacing w:after="100"/>
      <w:ind w:left="660"/>
    </w:pPr>
  </w:style>
  <w:style w:type="paragraph" w:styleId="TOC5">
    <w:name w:val="toc 5"/>
    <w:basedOn w:val="Normal"/>
    <w:next w:val="Normal"/>
    <w:uiPriority w:val="39"/>
    <w:unhideWhenUsed/>
    <w:rsid w:val="43AD88FE"/>
    <w:pPr>
      <w:spacing w:after="100"/>
      <w:ind w:left="880"/>
    </w:pPr>
  </w:style>
  <w:style w:type="paragraph" w:styleId="TOC6">
    <w:name w:val="toc 6"/>
    <w:basedOn w:val="Normal"/>
    <w:next w:val="Normal"/>
    <w:uiPriority w:val="39"/>
    <w:unhideWhenUsed/>
    <w:rsid w:val="43AD88FE"/>
    <w:pPr>
      <w:spacing w:after="100"/>
      <w:ind w:left="1100"/>
    </w:pPr>
  </w:style>
  <w:style w:type="paragraph" w:styleId="TOC7">
    <w:name w:val="toc 7"/>
    <w:basedOn w:val="Normal"/>
    <w:next w:val="Normal"/>
    <w:uiPriority w:val="39"/>
    <w:unhideWhenUsed/>
    <w:rsid w:val="43AD88FE"/>
    <w:pPr>
      <w:spacing w:after="100"/>
      <w:ind w:left="1320"/>
    </w:pPr>
  </w:style>
  <w:style w:type="paragraph" w:styleId="TOC8">
    <w:name w:val="toc 8"/>
    <w:basedOn w:val="Normal"/>
    <w:next w:val="Normal"/>
    <w:uiPriority w:val="39"/>
    <w:unhideWhenUsed/>
    <w:rsid w:val="43AD88FE"/>
    <w:pPr>
      <w:spacing w:after="100"/>
      <w:ind w:left="1540"/>
    </w:pPr>
  </w:style>
  <w:style w:type="paragraph" w:styleId="TOC9">
    <w:name w:val="toc 9"/>
    <w:basedOn w:val="Normal"/>
    <w:next w:val="Normal"/>
    <w:uiPriority w:val="39"/>
    <w:unhideWhenUsed/>
    <w:rsid w:val="43AD88FE"/>
    <w:pPr>
      <w:spacing w:after="100"/>
      <w:ind w:left="1760"/>
    </w:pPr>
  </w:style>
  <w:style w:type="paragraph" w:styleId="EndnoteText">
    <w:name w:val="endnote text"/>
    <w:basedOn w:val="Normal"/>
    <w:link w:val="EndnoteTextChar"/>
    <w:uiPriority w:val="99"/>
    <w:semiHidden/>
    <w:unhideWhenUsed/>
    <w:rsid w:val="43AD88FE"/>
    <w:pPr>
      <w:spacing w:after="0"/>
    </w:pPr>
    <w:rPr>
      <w:sz w:val="20"/>
      <w:szCs w:val="20"/>
    </w:rPr>
  </w:style>
  <w:style w:type="character" w:styleId="EndnoteTextChar" w:customStyle="1">
    <w:name w:val="Endnote Text Char"/>
    <w:basedOn w:val="DefaultParagraphFont"/>
    <w:link w:val="EndnoteText"/>
    <w:uiPriority w:val="99"/>
    <w:semiHidden/>
    <w:rsid w:val="43AD88FE"/>
    <w:rPr>
      <w:noProof w:val="0"/>
      <w:sz w:val="20"/>
      <w:szCs w:val="20"/>
      <w:lang w:val="en-GB"/>
    </w:rPr>
  </w:style>
  <w:style w:type="paragraph" w:styleId="Footer">
    <w:name w:val="footer"/>
    <w:basedOn w:val="Normal"/>
    <w:link w:val="FooterChar"/>
    <w:uiPriority w:val="99"/>
    <w:unhideWhenUsed/>
    <w:rsid w:val="43AD88FE"/>
    <w:pPr>
      <w:tabs>
        <w:tab w:val="center" w:pos="4680"/>
        <w:tab w:val="right" w:pos="9360"/>
      </w:tabs>
      <w:spacing w:after="0"/>
    </w:pPr>
  </w:style>
  <w:style w:type="character" w:styleId="FooterChar" w:customStyle="1">
    <w:name w:val="Footer Char"/>
    <w:basedOn w:val="DefaultParagraphFont"/>
    <w:link w:val="Footer"/>
    <w:uiPriority w:val="99"/>
    <w:rsid w:val="43AD88FE"/>
    <w:rPr>
      <w:noProof w:val="0"/>
      <w:lang w:val="en-GB"/>
    </w:rPr>
  </w:style>
  <w:style w:type="paragraph" w:styleId="FootnoteText">
    <w:name w:val="footnote text"/>
    <w:basedOn w:val="Normal"/>
    <w:link w:val="FootnoteTextChar"/>
    <w:uiPriority w:val="99"/>
    <w:semiHidden/>
    <w:unhideWhenUsed/>
    <w:rsid w:val="43AD88FE"/>
    <w:pPr>
      <w:spacing w:after="0"/>
    </w:pPr>
    <w:rPr>
      <w:sz w:val="20"/>
      <w:szCs w:val="20"/>
    </w:rPr>
  </w:style>
  <w:style w:type="character" w:styleId="FootnoteTextChar" w:customStyle="1">
    <w:name w:val="Footnote Text Char"/>
    <w:basedOn w:val="DefaultParagraphFont"/>
    <w:link w:val="FootnoteText"/>
    <w:uiPriority w:val="99"/>
    <w:semiHidden/>
    <w:rsid w:val="43AD88FE"/>
    <w:rPr>
      <w:noProof w:val="0"/>
      <w:sz w:val="20"/>
      <w:szCs w:val="20"/>
      <w:lang w:val="en-GB"/>
    </w:rPr>
  </w:style>
  <w:style w:type="paragraph" w:styleId="Header">
    <w:name w:val="header"/>
    <w:basedOn w:val="Normal"/>
    <w:link w:val="HeaderChar"/>
    <w:uiPriority w:val="99"/>
    <w:unhideWhenUsed/>
    <w:rsid w:val="43AD88FE"/>
    <w:pPr>
      <w:tabs>
        <w:tab w:val="center" w:pos="4680"/>
        <w:tab w:val="right" w:pos="9360"/>
      </w:tabs>
      <w:spacing w:after="0"/>
    </w:pPr>
  </w:style>
  <w:style w:type="character" w:styleId="HeaderChar" w:customStyle="1">
    <w:name w:val="Header Char"/>
    <w:basedOn w:val="DefaultParagraphFont"/>
    <w:link w:val="Header"/>
    <w:uiPriority w:val="99"/>
    <w:rsid w:val="43AD88FE"/>
    <w:rPr>
      <w:noProof w:val="0"/>
      <w:lang w:val="en-GB"/>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18" /><Relationship Type="http://schemas.openxmlformats.org/officeDocument/2006/relationships/settings" Target="settings.xml" Id="rId3"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hyperlink" Target="https://dspace.stir.ac.uk/retrieve/9d300104-ddcc-4229-8ab8-5cb2ba96f34c/07_The%20UK__s%20unmet%20legal%20needs_18MAY22.pdf" TargetMode="External" Id="Rc48bc1e049b54b54" /><Relationship Type="http://schemas.openxmlformats.org/officeDocument/2006/relationships/hyperlink" Target="https://pureadmin.qub.ac.uk/ws/portalfiles/portal/258054083/Stefania_Garlicka_Dissertation_FINAL_VERSION.pdf" TargetMode="External" Id="R59e5d1813b104d60" /><Relationship Type="http://schemas.openxmlformats.org/officeDocument/2006/relationships/hyperlink" Target="https://www.phf.org.uk/wp-content/uploads/2020/07/PHF-Immigration-Advice-Services-Report_FINAL.pdf" TargetMode="External" Id="R5492ac92051843a5" /><Relationship Type="http://schemas.openxmlformats.org/officeDocument/2006/relationships/hyperlink" Target="https://doi.org/10.61315/lselr.176" TargetMode="External" Id="Rb11eabfadffc490b" /><Relationship Type="http://schemas.openxmlformats.org/officeDocument/2006/relationships/hyperlink" Target="https://www.annualreviews.org/content/journals/10.1146/annurev-lawsocsci-050520-101425" TargetMode="External" Id="R63dc59ac319d45ef" /><Relationship Type="http://schemas.openxmlformats.org/officeDocument/2006/relationships/hyperlink" Target="https://doi.org/10.1146/annurev-lawsocsci-050520-101425" TargetMode="External" Id="R1ec86d62fa274942" /><Relationship Type="http://schemas.openxmlformats.org/officeDocument/2006/relationships/hyperlink" Target="https://essexcaji.org/wp-content/uploads/2020/01/improving-exceptional-case-funding-website-publication-version-docx.docx.pdf" TargetMode="External" Id="Rcec04cf8c9844c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Ahmad Habib (2317248)</dc:creator>
  <keywords/>
  <dc:description/>
  <lastModifiedBy>Ahmad Habib (2317248)</lastModifiedBy>
  <revision>11</revision>
  <dcterms:created xsi:type="dcterms:W3CDTF">2024-04-29T07:25:00.0000000Z</dcterms:created>
  <dcterms:modified xsi:type="dcterms:W3CDTF">2024-05-02T22:01:35.8785423Z</dcterms:modified>
</coreProperties>
</file>