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7676" w:rsidRPr="00EF733E" w:rsidRDefault="00766D9D" w:rsidP="00766D9D">
      <w:pPr>
        <w:spacing w:line="360" w:lineRule="auto"/>
        <w:jc w:val="center"/>
        <w:rPr>
          <w:rFonts w:cstheme="minorHAnsi"/>
          <w:sz w:val="28"/>
          <w:szCs w:val="28"/>
        </w:rPr>
      </w:pPr>
      <w:r w:rsidRPr="00EF733E">
        <w:rPr>
          <w:rFonts w:cstheme="minorHAnsi"/>
          <w:b/>
          <w:sz w:val="28"/>
          <w:szCs w:val="28"/>
        </w:rPr>
        <w:t xml:space="preserve">Cesare Beccaria’s </w:t>
      </w:r>
      <w:r w:rsidRPr="00EF733E">
        <w:rPr>
          <w:rFonts w:cstheme="minorHAnsi"/>
          <w:b/>
          <w:i/>
          <w:sz w:val="28"/>
          <w:szCs w:val="28"/>
        </w:rPr>
        <w:t>On Crime and Punishment</w:t>
      </w:r>
      <w:r w:rsidRPr="00EF733E">
        <w:rPr>
          <w:rFonts w:cstheme="minorHAnsi"/>
          <w:b/>
          <w:sz w:val="28"/>
          <w:szCs w:val="28"/>
        </w:rPr>
        <w:t xml:space="preserve"> had a profound impact upon the law makers of the Enlightenment period. Discuss with specific reference to the so called ‘Enlightened Despots’.</w:t>
      </w:r>
    </w:p>
    <w:p w:rsidR="0088145B" w:rsidRPr="00EF733E" w:rsidRDefault="0088145B" w:rsidP="00766D9D">
      <w:pPr>
        <w:spacing w:line="360" w:lineRule="auto"/>
        <w:rPr>
          <w:rFonts w:cstheme="minorHAnsi"/>
          <w:sz w:val="24"/>
          <w:szCs w:val="24"/>
        </w:rPr>
      </w:pPr>
    </w:p>
    <w:p w:rsidR="00F45C57" w:rsidRPr="00F45C57" w:rsidRDefault="00F45C57" w:rsidP="001A5F0E">
      <w:pPr>
        <w:spacing w:line="360" w:lineRule="auto"/>
        <w:ind w:firstLine="720"/>
        <w:rPr>
          <w:rFonts w:cstheme="minorHAnsi"/>
          <w:sz w:val="24"/>
          <w:szCs w:val="24"/>
        </w:rPr>
      </w:pPr>
      <w:r>
        <w:rPr>
          <w:rFonts w:cstheme="minorHAnsi"/>
          <w:sz w:val="24"/>
          <w:szCs w:val="24"/>
        </w:rPr>
        <w:t xml:space="preserve">Cesare Beccaria’s </w:t>
      </w:r>
      <w:r>
        <w:rPr>
          <w:rFonts w:cstheme="minorHAnsi"/>
          <w:i/>
          <w:sz w:val="24"/>
          <w:szCs w:val="24"/>
        </w:rPr>
        <w:t>On Crime and Punishment</w:t>
      </w:r>
      <w:r>
        <w:rPr>
          <w:rFonts w:cstheme="minorHAnsi"/>
          <w:sz w:val="24"/>
          <w:szCs w:val="24"/>
        </w:rPr>
        <w:t xml:space="preserve"> </w:t>
      </w:r>
      <w:r w:rsidR="002E73F7">
        <w:rPr>
          <w:rFonts w:cstheme="minorHAnsi"/>
          <w:sz w:val="24"/>
          <w:szCs w:val="24"/>
        </w:rPr>
        <w:t xml:space="preserve">attempted to bring together the notion of the social contract, in which individuals forego certain liberties in return for the benefits offered by societies, and the utilitarian notion of public happiness. The </w:t>
      </w:r>
      <w:r w:rsidR="00E37ACD">
        <w:rPr>
          <w:rFonts w:cstheme="minorHAnsi"/>
          <w:sz w:val="24"/>
          <w:szCs w:val="24"/>
        </w:rPr>
        <w:t>vision of justice that it provides is clear: ‘punishment… should be public, speedy, necessary, the minimum possible in the given circumstances, proportionate to the crime, and determined by the law.’</w:t>
      </w:r>
      <w:r w:rsidR="00E37ACD">
        <w:rPr>
          <w:rStyle w:val="FootnoteReference"/>
          <w:rFonts w:cstheme="minorHAnsi"/>
          <w:sz w:val="24"/>
          <w:szCs w:val="24"/>
        </w:rPr>
        <w:footnoteReference w:id="1"/>
      </w:r>
      <w:r w:rsidR="00E37ACD">
        <w:rPr>
          <w:rFonts w:cstheme="minorHAnsi"/>
          <w:sz w:val="24"/>
          <w:szCs w:val="24"/>
        </w:rPr>
        <w:t xml:space="preserve"> In examining the reforms of a few of the ‘Enlightened Despots’, one can deduce the impact which Beccaria’s treatise had on these states.</w:t>
      </w:r>
    </w:p>
    <w:p w:rsidR="00B91442" w:rsidRDefault="00B91442" w:rsidP="001A5F0E">
      <w:pPr>
        <w:spacing w:line="360" w:lineRule="auto"/>
        <w:ind w:firstLine="720"/>
        <w:rPr>
          <w:rFonts w:cstheme="minorHAnsi"/>
          <w:sz w:val="24"/>
          <w:szCs w:val="24"/>
        </w:rPr>
      </w:pPr>
      <w:r>
        <w:rPr>
          <w:rFonts w:cstheme="minorHAnsi"/>
          <w:sz w:val="24"/>
          <w:szCs w:val="24"/>
        </w:rPr>
        <w:t xml:space="preserve">Catherine the Great showed perhaps the most obvious influence of Beccaria among the Enlightened Despots. In 1767, she drafted </w:t>
      </w:r>
      <w:proofErr w:type="spellStart"/>
      <w:r>
        <w:rPr>
          <w:rFonts w:cstheme="minorHAnsi"/>
          <w:i/>
          <w:sz w:val="24"/>
          <w:szCs w:val="24"/>
        </w:rPr>
        <w:t>Nakaz</w:t>
      </w:r>
      <w:proofErr w:type="spellEnd"/>
      <w:r>
        <w:rPr>
          <w:rFonts w:cstheme="minorHAnsi"/>
          <w:sz w:val="24"/>
          <w:szCs w:val="24"/>
        </w:rPr>
        <w:t xml:space="preserve"> as guidance for the new Legislative Assembly; of its 526 articles, 108 were taken directly from </w:t>
      </w:r>
      <w:r w:rsidR="008C7E00">
        <w:rPr>
          <w:rFonts w:cstheme="minorHAnsi"/>
          <w:i/>
          <w:sz w:val="24"/>
          <w:szCs w:val="24"/>
        </w:rPr>
        <w:t>On Crime and Punishment</w:t>
      </w:r>
      <w:r w:rsidR="008C7E00">
        <w:rPr>
          <w:rFonts w:cstheme="minorHAnsi"/>
          <w:sz w:val="24"/>
          <w:szCs w:val="24"/>
        </w:rPr>
        <w:t>.</w:t>
      </w:r>
      <w:r w:rsidR="008C7E00">
        <w:rPr>
          <w:rStyle w:val="FootnoteReference"/>
          <w:rFonts w:cstheme="minorHAnsi"/>
          <w:sz w:val="24"/>
          <w:szCs w:val="24"/>
        </w:rPr>
        <w:footnoteReference w:id="2"/>
      </w:r>
      <w:r w:rsidR="000456E8">
        <w:rPr>
          <w:rFonts w:cstheme="minorHAnsi"/>
          <w:sz w:val="24"/>
          <w:szCs w:val="24"/>
        </w:rPr>
        <w:t xml:space="preserve"> </w:t>
      </w:r>
      <w:r w:rsidR="00D04B62">
        <w:rPr>
          <w:rFonts w:cstheme="minorHAnsi"/>
          <w:sz w:val="24"/>
          <w:szCs w:val="24"/>
        </w:rPr>
        <w:t xml:space="preserve">Among the reforms </w:t>
      </w:r>
      <w:proofErr w:type="gramStart"/>
      <w:r w:rsidR="00D04B62">
        <w:rPr>
          <w:rFonts w:cstheme="minorHAnsi"/>
          <w:sz w:val="24"/>
          <w:szCs w:val="24"/>
        </w:rPr>
        <w:t>actually carried</w:t>
      </w:r>
      <w:proofErr w:type="gramEnd"/>
      <w:r w:rsidR="00D04B62">
        <w:rPr>
          <w:rFonts w:cstheme="minorHAnsi"/>
          <w:sz w:val="24"/>
          <w:szCs w:val="24"/>
        </w:rPr>
        <w:t xml:space="preserve"> out were: the creation of independent law courts; the abolition of torture; and the distinguishing of detention pending trial and punitive imprisonment.</w:t>
      </w:r>
      <w:r w:rsidR="00D04B62">
        <w:rPr>
          <w:rStyle w:val="FootnoteReference"/>
          <w:rFonts w:cstheme="minorHAnsi"/>
          <w:sz w:val="24"/>
          <w:szCs w:val="24"/>
        </w:rPr>
        <w:footnoteReference w:id="3"/>
      </w:r>
      <w:r w:rsidR="00D04B62">
        <w:rPr>
          <w:rFonts w:cstheme="minorHAnsi"/>
          <w:sz w:val="24"/>
          <w:szCs w:val="24"/>
        </w:rPr>
        <w:t xml:space="preserve"> The latter two were shown particular attention in Beccaria’s treatise. </w:t>
      </w:r>
      <w:r w:rsidR="00B11C5A">
        <w:rPr>
          <w:rFonts w:cstheme="minorHAnsi"/>
          <w:sz w:val="24"/>
          <w:szCs w:val="24"/>
        </w:rPr>
        <w:t xml:space="preserve">Torture </w:t>
      </w:r>
      <w:r w:rsidR="00482E5B">
        <w:rPr>
          <w:rFonts w:cstheme="minorHAnsi"/>
          <w:sz w:val="24"/>
          <w:szCs w:val="24"/>
        </w:rPr>
        <w:t xml:space="preserve">and punitive imprisonment </w:t>
      </w:r>
      <w:r w:rsidR="00B11C5A">
        <w:rPr>
          <w:rFonts w:cstheme="minorHAnsi"/>
          <w:sz w:val="24"/>
          <w:szCs w:val="24"/>
        </w:rPr>
        <w:t>before guilt has been established w</w:t>
      </w:r>
      <w:r w:rsidR="00482E5B">
        <w:rPr>
          <w:rFonts w:cstheme="minorHAnsi"/>
          <w:sz w:val="24"/>
          <w:szCs w:val="24"/>
        </w:rPr>
        <w:t>ere</w:t>
      </w:r>
      <w:r w:rsidR="00B11C5A">
        <w:rPr>
          <w:rFonts w:cstheme="minorHAnsi"/>
          <w:sz w:val="24"/>
          <w:szCs w:val="24"/>
        </w:rPr>
        <w:t xml:space="preserve"> both ineffective </w:t>
      </w:r>
      <w:proofErr w:type="gramStart"/>
      <w:r w:rsidR="00B11C5A">
        <w:rPr>
          <w:rFonts w:cstheme="minorHAnsi"/>
          <w:sz w:val="24"/>
          <w:szCs w:val="24"/>
        </w:rPr>
        <w:t>and</w:t>
      </w:r>
      <w:r w:rsidR="00482E5B">
        <w:rPr>
          <w:rFonts w:cstheme="minorHAnsi"/>
          <w:sz w:val="24"/>
          <w:szCs w:val="24"/>
        </w:rPr>
        <w:t xml:space="preserve"> also</w:t>
      </w:r>
      <w:proofErr w:type="gramEnd"/>
      <w:r w:rsidR="00B11C5A">
        <w:rPr>
          <w:rFonts w:cstheme="minorHAnsi"/>
          <w:sz w:val="24"/>
          <w:szCs w:val="24"/>
        </w:rPr>
        <w:t>, he argued, unjust because such a person was still under the protection of society.</w:t>
      </w:r>
      <w:r w:rsidR="00B11C5A">
        <w:rPr>
          <w:rStyle w:val="FootnoteReference"/>
          <w:rFonts w:cstheme="minorHAnsi"/>
          <w:sz w:val="24"/>
          <w:szCs w:val="24"/>
        </w:rPr>
        <w:footnoteReference w:id="4"/>
      </w:r>
      <w:r w:rsidR="00D35177">
        <w:rPr>
          <w:rFonts w:cstheme="minorHAnsi"/>
          <w:sz w:val="24"/>
          <w:szCs w:val="24"/>
        </w:rPr>
        <w:t xml:space="preserve"> However, these were among very few ideas in </w:t>
      </w:r>
      <w:proofErr w:type="spellStart"/>
      <w:r w:rsidR="00D35177">
        <w:rPr>
          <w:rFonts w:cstheme="minorHAnsi"/>
          <w:i/>
          <w:sz w:val="24"/>
          <w:szCs w:val="24"/>
        </w:rPr>
        <w:t>Nakaz</w:t>
      </w:r>
      <w:proofErr w:type="spellEnd"/>
      <w:r w:rsidR="00D35177">
        <w:rPr>
          <w:rFonts w:cstheme="minorHAnsi"/>
          <w:sz w:val="24"/>
          <w:szCs w:val="24"/>
        </w:rPr>
        <w:t xml:space="preserve"> which were actually implemented.</w:t>
      </w:r>
      <w:r w:rsidR="00D35177">
        <w:rPr>
          <w:rStyle w:val="FootnoteReference"/>
          <w:rFonts w:cstheme="minorHAnsi"/>
          <w:sz w:val="24"/>
          <w:szCs w:val="24"/>
        </w:rPr>
        <w:footnoteReference w:id="5"/>
      </w:r>
      <w:r w:rsidR="00D35177">
        <w:rPr>
          <w:rFonts w:cstheme="minorHAnsi"/>
          <w:sz w:val="24"/>
          <w:szCs w:val="24"/>
        </w:rPr>
        <w:t xml:space="preserve"> Furthermore, subsequent reforms were introduced which were directly opposed to the ideas set out in </w:t>
      </w:r>
      <w:r w:rsidR="00D35177">
        <w:rPr>
          <w:rFonts w:cstheme="minorHAnsi"/>
          <w:i/>
          <w:sz w:val="24"/>
          <w:szCs w:val="24"/>
        </w:rPr>
        <w:t xml:space="preserve">On Crime and </w:t>
      </w:r>
      <w:r w:rsidR="00D35177" w:rsidRPr="00D35177">
        <w:rPr>
          <w:rFonts w:cstheme="minorHAnsi"/>
          <w:i/>
          <w:sz w:val="24"/>
          <w:szCs w:val="24"/>
        </w:rPr>
        <w:t>Punishment</w:t>
      </w:r>
      <w:r w:rsidR="00D35177">
        <w:rPr>
          <w:rFonts w:cstheme="minorHAnsi"/>
          <w:sz w:val="24"/>
          <w:szCs w:val="24"/>
        </w:rPr>
        <w:t xml:space="preserve">. </w:t>
      </w:r>
      <w:proofErr w:type="gramStart"/>
      <w:r w:rsidR="00D35177" w:rsidRPr="00D35177">
        <w:rPr>
          <w:rFonts w:cstheme="minorHAnsi"/>
          <w:sz w:val="24"/>
          <w:szCs w:val="24"/>
        </w:rPr>
        <w:t>In</w:t>
      </w:r>
      <w:r w:rsidR="00D35177">
        <w:rPr>
          <w:rFonts w:cstheme="minorHAnsi"/>
          <w:sz w:val="24"/>
          <w:szCs w:val="24"/>
        </w:rPr>
        <w:t xml:space="preserve"> particular, the</w:t>
      </w:r>
      <w:proofErr w:type="gramEnd"/>
      <w:r w:rsidR="00D35177">
        <w:rPr>
          <w:rFonts w:cstheme="minorHAnsi"/>
          <w:sz w:val="24"/>
          <w:szCs w:val="24"/>
        </w:rPr>
        <w:t xml:space="preserve"> Charter </w:t>
      </w:r>
      <w:r w:rsidR="00B65663">
        <w:rPr>
          <w:rFonts w:cstheme="minorHAnsi"/>
          <w:sz w:val="24"/>
          <w:szCs w:val="24"/>
        </w:rPr>
        <w:t xml:space="preserve">to the Nobility and Charter to the Towns that were introduced in 1785 cemented and increased inequalities in the law that would have been anathema to Beccaria: the nobility and the wealthiest commoners were made immune from corporal punishment, for example, while the nobility </w:t>
      </w:r>
      <w:r w:rsidR="00B65663">
        <w:rPr>
          <w:rFonts w:cstheme="minorHAnsi"/>
          <w:sz w:val="24"/>
          <w:szCs w:val="24"/>
        </w:rPr>
        <w:lastRenderedPageBreak/>
        <w:t>was also exempted from personal taxation.</w:t>
      </w:r>
      <w:r w:rsidR="00B65663">
        <w:rPr>
          <w:rStyle w:val="FootnoteReference"/>
          <w:rFonts w:cstheme="minorHAnsi"/>
          <w:sz w:val="24"/>
          <w:szCs w:val="24"/>
        </w:rPr>
        <w:footnoteReference w:id="6"/>
      </w:r>
      <w:r w:rsidR="00B65663">
        <w:rPr>
          <w:rFonts w:cstheme="minorHAnsi"/>
          <w:sz w:val="24"/>
          <w:szCs w:val="24"/>
        </w:rPr>
        <w:t xml:space="preserve"> This concept of unequal laws was something Beccaria had specifically argued against </w:t>
      </w:r>
      <w:r w:rsidR="00A2150B">
        <w:rPr>
          <w:rFonts w:cstheme="minorHAnsi"/>
          <w:sz w:val="24"/>
          <w:szCs w:val="24"/>
        </w:rPr>
        <w:t xml:space="preserve">as illegitimate </w:t>
      </w:r>
      <w:r w:rsidR="00B65663">
        <w:rPr>
          <w:rFonts w:cstheme="minorHAnsi"/>
          <w:sz w:val="24"/>
          <w:szCs w:val="24"/>
        </w:rPr>
        <w:t>in his treatise</w:t>
      </w:r>
      <w:r w:rsidR="00A2150B">
        <w:rPr>
          <w:rFonts w:cstheme="minorHAnsi"/>
          <w:sz w:val="24"/>
          <w:szCs w:val="24"/>
        </w:rPr>
        <w:t xml:space="preserve">, as all </w:t>
      </w:r>
      <w:r w:rsidR="00F121E9">
        <w:rPr>
          <w:rFonts w:cstheme="minorHAnsi"/>
          <w:sz w:val="24"/>
          <w:szCs w:val="24"/>
        </w:rPr>
        <w:t>should be</w:t>
      </w:r>
      <w:r w:rsidR="00A2150B">
        <w:rPr>
          <w:rFonts w:cstheme="minorHAnsi"/>
          <w:sz w:val="24"/>
          <w:szCs w:val="24"/>
        </w:rPr>
        <w:t xml:space="preserve"> equally subordinate to the law</w:t>
      </w:r>
      <w:r w:rsidR="005F72EC">
        <w:rPr>
          <w:rFonts w:cstheme="minorHAnsi"/>
          <w:sz w:val="24"/>
          <w:szCs w:val="24"/>
        </w:rPr>
        <w:t xml:space="preserve"> regardless of social distinction</w:t>
      </w:r>
      <w:r w:rsidR="00A2150B">
        <w:rPr>
          <w:rFonts w:cstheme="minorHAnsi"/>
          <w:sz w:val="24"/>
          <w:szCs w:val="24"/>
        </w:rPr>
        <w:t>.</w:t>
      </w:r>
      <w:r w:rsidR="00A2150B">
        <w:rPr>
          <w:rStyle w:val="FootnoteReference"/>
          <w:rFonts w:cstheme="minorHAnsi"/>
          <w:sz w:val="24"/>
          <w:szCs w:val="24"/>
        </w:rPr>
        <w:footnoteReference w:id="7"/>
      </w:r>
    </w:p>
    <w:p w:rsidR="009E7F9B" w:rsidRDefault="00A83E5C" w:rsidP="001A5F0E">
      <w:pPr>
        <w:spacing w:line="360" w:lineRule="auto"/>
        <w:ind w:firstLine="720"/>
        <w:rPr>
          <w:rFonts w:cstheme="minorHAnsi"/>
          <w:iCs/>
          <w:sz w:val="24"/>
          <w:szCs w:val="24"/>
        </w:rPr>
      </w:pPr>
      <w:r>
        <w:rPr>
          <w:rFonts w:cstheme="minorHAnsi"/>
          <w:sz w:val="24"/>
          <w:szCs w:val="24"/>
        </w:rPr>
        <w:t>In Prussia under Frederick the Great, however, legal reforms were being introduced on a much grander scale. Here, torture was also abolished</w:t>
      </w:r>
      <w:r w:rsidRPr="00EF733E">
        <w:rPr>
          <w:rFonts w:cstheme="minorHAnsi"/>
          <w:i/>
          <w:iCs/>
          <w:sz w:val="24"/>
          <w:szCs w:val="24"/>
        </w:rPr>
        <w:t>—</w:t>
      </w:r>
      <w:r>
        <w:rPr>
          <w:rFonts w:cstheme="minorHAnsi"/>
          <w:iCs/>
          <w:sz w:val="24"/>
          <w:szCs w:val="24"/>
        </w:rPr>
        <w:t>at first reduced to a punishment only for mass murder and high treason, which was never used before its outright abolition in 1755.</w:t>
      </w:r>
      <w:r>
        <w:rPr>
          <w:rStyle w:val="FootnoteReference"/>
          <w:rFonts w:cstheme="minorHAnsi"/>
          <w:iCs/>
          <w:sz w:val="24"/>
          <w:szCs w:val="24"/>
        </w:rPr>
        <w:footnoteReference w:id="8"/>
      </w:r>
      <w:r>
        <w:rPr>
          <w:rFonts w:cstheme="minorHAnsi"/>
          <w:iCs/>
          <w:sz w:val="24"/>
          <w:szCs w:val="24"/>
        </w:rPr>
        <w:t xml:space="preserve"> Capital punishment was also greatly reduced to 14-15 sentences a year.</w:t>
      </w:r>
      <w:r>
        <w:rPr>
          <w:rStyle w:val="FootnoteReference"/>
          <w:rFonts w:cstheme="minorHAnsi"/>
          <w:iCs/>
          <w:sz w:val="24"/>
          <w:szCs w:val="24"/>
        </w:rPr>
        <w:footnoteReference w:id="9"/>
      </w:r>
      <w:r>
        <w:rPr>
          <w:rFonts w:cstheme="minorHAnsi"/>
          <w:iCs/>
          <w:sz w:val="24"/>
          <w:szCs w:val="24"/>
        </w:rPr>
        <w:t xml:space="preserve"> In a letter to Voltaire, Frederick </w:t>
      </w:r>
      <w:r w:rsidR="000101BB">
        <w:rPr>
          <w:rFonts w:cstheme="minorHAnsi"/>
          <w:iCs/>
          <w:sz w:val="24"/>
          <w:szCs w:val="24"/>
        </w:rPr>
        <w:t xml:space="preserve">described this as a virtual elimination of capital punishment, which </w:t>
      </w:r>
      <w:proofErr w:type="spellStart"/>
      <w:r w:rsidR="000101BB">
        <w:rPr>
          <w:rFonts w:cstheme="minorHAnsi"/>
          <w:iCs/>
          <w:sz w:val="24"/>
          <w:szCs w:val="24"/>
        </w:rPr>
        <w:t>Blanning</w:t>
      </w:r>
      <w:proofErr w:type="spellEnd"/>
      <w:r w:rsidR="000101BB">
        <w:rPr>
          <w:rFonts w:cstheme="minorHAnsi"/>
          <w:iCs/>
          <w:sz w:val="24"/>
          <w:szCs w:val="24"/>
        </w:rPr>
        <w:t xml:space="preserve"> has stressed should be measured against the other, much more brutal systems in other European countries</w:t>
      </w:r>
      <w:r w:rsidR="005D1213">
        <w:rPr>
          <w:rFonts w:cstheme="minorHAnsi"/>
          <w:iCs/>
          <w:sz w:val="24"/>
          <w:szCs w:val="24"/>
        </w:rPr>
        <w:t xml:space="preserve"> at the time</w:t>
      </w:r>
      <w:r w:rsidR="000101BB">
        <w:rPr>
          <w:rFonts w:cstheme="minorHAnsi"/>
          <w:iCs/>
          <w:sz w:val="24"/>
          <w:szCs w:val="24"/>
        </w:rPr>
        <w:t>.</w:t>
      </w:r>
      <w:r w:rsidR="000101BB">
        <w:rPr>
          <w:rStyle w:val="FootnoteReference"/>
          <w:rFonts w:cstheme="minorHAnsi"/>
          <w:iCs/>
          <w:sz w:val="24"/>
          <w:szCs w:val="24"/>
        </w:rPr>
        <w:footnoteReference w:id="10"/>
      </w:r>
      <w:r w:rsidR="002A5690">
        <w:rPr>
          <w:rFonts w:cstheme="minorHAnsi"/>
          <w:iCs/>
          <w:sz w:val="24"/>
          <w:szCs w:val="24"/>
        </w:rPr>
        <w:t xml:space="preserve"> </w:t>
      </w:r>
      <w:r w:rsidR="0004177B">
        <w:rPr>
          <w:rFonts w:cstheme="minorHAnsi"/>
          <w:iCs/>
          <w:sz w:val="24"/>
          <w:szCs w:val="24"/>
        </w:rPr>
        <w:t>The death penalty was, of course, something that Beccaria had ruled out in his treatise, arguing that it should only be used when it is useful and necessary which, he says, it never is.</w:t>
      </w:r>
      <w:r w:rsidR="0004177B">
        <w:rPr>
          <w:rStyle w:val="FootnoteReference"/>
          <w:rFonts w:cstheme="minorHAnsi"/>
          <w:iCs/>
          <w:sz w:val="24"/>
          <w:szCs w:val="24"/>
        </w:rPr>
        <w:footnoteReference w:id="11"/>
      </w:r>
      <w:r w:rsidR="0004177B">
        <w:rPr>
          <w:rFonts w:cstheme="minorHAnsi"/>
          <w:iCs/>
          <w:sz w:val="24"/>
          <w:szCs w:val="24"/>
        </w:rPr>
        <w:t xml:space="preserve"> To Beccaria, other forms of punishment that are longer lasting were preferable, since they would leave a lasting impression and so act as a greater deterrent. This concept, that punishment should be preventative rather than retributive, was specifically mentioned by Frederick in the same letter to Voltaire.</w:t>
      </w:r>
      <w:r w:rsidR="0004177B">
        <w:rPr>
          <w:rStyle w:val="FootnoteReference"/>
          <w:rFonts w:cstheme="minorHAnsi"/>
          <w:iCs/>
          <w:sz w:val="24"/>
          <w:szCs w:val="24"/>
        </w:rPr>
        <w:footnoteReference w:id="12"/>
      </w:r>
      <w:r w:rsidR="0004177B">
        <w:rPr>
          <w:rFonts w:cstheme="minorHAnsi"/>
          <w:iCs/>
          <w:sz w:val="24"/>
          <w:szCs w:val="24"/>
        </w:rPr>
        <w:t xml:space="preserve"> These were parts of a Prussian legal system that was, </w:t>
      </w:r>
      <w:proofErr w:type="spellStart"/>
      <w:r w:rsidR="0004177B">
        <w:rPr>
          <w:rFonts w:cstheme="minorHAnsi"/>
          <w:iCs/>
          <w:sz w:val="24"/>
          <w:szCs w:val="24"/>
        </w:rPr>
        <w:t>Blanning</w:t>
      </w:r>
      <w:proofErr w:type="spellEnd"/>
      <w:r w:rsidR="0004177B">
        <w:rPr>
          <w:rFonts w:cstheme="minorHAnsi"/>
          <w:iCs/>
          <w:sz w:val="24"/>
          <w:szCs w:val="24"/>
        </w:rPr>
        <w:t xml:space="preserve"> has suggested, quicker, cheaper, more uniform and more impartial </w:t>
      </w:r>
      <w:r w:rsidR="00867536">
        <w:rPr>
          <w:rFonts w:cstheme="minorHAnsi"/>
          <w:iCs/>
          <w:sz w:val="24"/>
          <w:szCs w:val="24"/>
        </w:rPr>
        <w:t>than the systems of Britain and France at the time.</w:t>
      </w:r>
      <w:r w:rsidR="00867536">
        <w:rPr>
          <w:rStyle w:val="FootnoteReference"/>
          <w:rFonts w:cstheme="minorHAnsi"/>
          <w:iCs/>
          <w:sz w:val="24"/>
          <w:szCs w:val="24"/>
        </w:rPr>
        <w:footnoteReference w:id="13"/>
      </w:r>
    </w:p>
    <w:p w:rsidR="00867536" w:rsidRPr="009E3D40" w:rsidRDefault="00867536" w:rsidP="001A5F0E">
      <w:pPr>
        <w:spacing w:line="360" w:lineRule="auto"/>
        <w:ind w:firstLine="720"/>
        <w:rPr>
          <w:rFonts w:cstheme="minorHAnsi"/>
          <w:sz w:val="24"/>
          <w:szCs w:val="24"/>
        </w:rPr>
      </w:pPr>
      <w:r>
        <w:rPr>
          <w:rFonts w:cstheme="minorHAnsi"/>
          <w:sz w:val="24"/>
          <w:szCs w:val="24"/>
        </w:rPr>
        <w:t xml:space="preserve">However, </w:t>
      </w:r>
      <w:r w:rsidR="00F8445E">
        <w:rPr>
          <w:rFonts w:cstheme="minorHAnsi"/>
          <w:sz w:val="24"/>
          <w:szCs w:val="24"/>
        </w:rPr>
        <w:t xml:space="preserve">Frederick rejected other parts of </w:t>
      </w:r>
      <w:r w:rsidR="00F8445E">
        <w:rPr>
          <w:rFonts w:cstheme="minorHAnsi"/>
          <w:i/>
          <w:sz w:val="24"/>
          <w:szCs w:val="24"/>
        </w:rPr>
        <w:t xml:space="preserve">On Crimes and </w:t>
      </w:r>
      <w:r w:rsidR="00F8445E" w:rsidRPr="00F8445E">
        <w:rPr>
          <w:rFonts w:cstheme="minorHAnsi"/>
          <w:i/>
          <w:sz w:val="24"/>
          <w:szCs w:val="24"/>
        </w:rPr>
        <w:t>Punishments</w:t>
      </w:r>
      <w:r w:rsidR="00F8445E">
        <w:rPr>
          <w:rFonts w:cstheme="minorHAnsi"/>
          <w:i/>
          <w:sz w:val="24"/>
          <w:szCs w:val="24"/>
        </w:rPr>
        <w:t xml:space="preserve">. </w:t>
      </w:r>
      <w:r w:rsidRPr="00F8445E">
        <w:rPr>
          <w:rFonts w:cstheme="minorHAnsi"/>
          <w:sz w:val="24"/>
          <w:szCs w:val="24"/>
        </w:rPr>
        <w:t>Frederick</w:t>
      </w:r>
      <w:r>
        <w:rPr>
          <w:rFonts w:cstheme="minorHAnsi"/>
          <w:sz w:val="24"/>
          <w:szCs w:val="24"/>
        </w:rPr>
        <w:t xml:space="preserve"> </w:t>
      </w:r>
      <w:r w:rsidR="009825DD">
        <w:rPr>
          <w:rFonts w:cstheme="minorHAnsi"/>
          <w:sz w:val="24"/>
          <w:szCs w:val="24"/>
        </w:rPr>
        <w:t xml:space="preserve">and Samuel </w:t>
      </w:r>
      <w:proofErr w:type="spellStart"/>
      <w:r w:rsidR="009825DD">
        <w:rPr>
          <w:rFonts w:cstheme="minorHAnsi"/>
          <w:sz w:val="24"/>
          <w:szCs w:val="24"/>
        </w:rPr>
        <w:t>Cocceji</w:t>
      </w:r>
      <w:proofErr w:type="spellEnd"/>
      <w:r w:rsidR="009825DD">
        <w:rPr>
          <w:rFonts w:cstheme="minorHAnsi"/>
          <w:sz w:val="24"/>
          <w:szCs w:val="24"/>
        </w:rPr>
        <w:t xml:space="preserve">, who oversaw reforms in the early part of Frederick’s reign, were </w:t>
      </w:r>
      <w:r>
        <w:rPr>
          <w:rFonts w:cstheme="minorHAnsi"/>
          <w:sz w:val="24"/>
          <w:szCs w:val="24"/>
        </w:rPr>
        <w:t>determined to protect and elevate the nobility</w:t>
      </w:r>
      <w:r w:rsidR="009825DD">
        <w:rPr>
          <w:rFonts w:cstheme="minorHAnsi"/>
          <w:sz w:val="24"/>
          <w:szCs w:val="24"/>
        </w:rPr>
        <w:t>, and so the judicial system remained essentially aristocratic.</w:t>
      </w:r>
      <w:r w:rsidR="001454FD">
        <w:rPr>
          <w:rStyle w:val="FootnoteReference"/>
          <w:rFonts w:cstheme="minorHAnsi"/>
          <w:sz w:val="24"/>
          <w:szCs w:val="24"/>
        </w:rPr>
        <w:footnoteReference w:id="14"/>
      </w:r>
      <w:r w:rsidR="009825DD">
        <w:rPr>
          <w:rFonts w:cstheme="minorHAnsi"/>
          <w:sz w:val="24"/>
          <w:szCs w:val="24"/>
        </w:rPr>
        <w:t xml:space="preserve"> </w:t>
      </w:r>
      <w:r w:rsidR="001454FD">
        <w:rPr>
          <w:rFonts w:cstheme="minorHAnsi"/>
          <w:sz w:val="24"/>
          <w:szCs w:val="24"/>
        </w:rPr>
        <w:t>Frederick was also more than willing to intervene in the legal process, as demonstrated by the Miller Arnold affair of 1779-1780</w:t>
      </w:r>
      <w:r w:rsidR="004447E2">
        <w:rPr>
          <w:rFonts w:cstheme="minorHAnsi"/>
          <w:sz w:val="24"/>
          <w:szCs w:val="24"/>
        </w:rPr>
        <w:t>.</w:t>
      </w:r>
      <w:r w:rsidR="004447E2">
        <w:rPr>
          <w:rStyle w:val="FootnoteReference"/>
          <w:rFonts w:cstheme="minorHAnsi"/>
          <w:sz w:val="24"/>
          <w:szCs w:val="24"/>
        </w:rPr>
        <w:footnoteReference w:id="15"/>
      </w:r>
      <w:r w:rsidR="004447E2">
        <w:rPr>
          <w:rFonts w:cstheme="minorHAnsi"/>
          <w:sz w:val="24"/>
          <w:szCs w:val="24"/>
        </w:rPr>
        <w:t xml:space="preserve"> Such intervention was also strongly </w:t>
      </w:r>
      <w:r w:rsidR="009E3D40">
        <w:rPr>
          <w:rFonts w:cstheme="minorHAnsi"/>
          <w:sz w:val="24"/>
          <w:szCs w:val="24"/>
        </w:rPr>
        <w:t xml:space="preserve">opposed in principle in </w:t>
      </w:r>
      <w:r w:rsidR="009E3D40">
        <w:rPr>
          <w:rFonts w:cstheme="minorHAnsi"/>
          <w:i/>
          <w:sz w:val="24"/>
          <w:szCs w:val="24"/>
        </w:rPr>
        <w:t>On Crimes and Punishment</w:t>
      </w:r>
      <w:r w:rsidR="009E3D40">
        <w:rPr>
          <w:rFonts w:cstheme="minorHAnsi"/>
          <w:sz w:val="24"/>
          <w:szCs w:val="24"/>
        </w:rPr>
        <w:t>, where Beccaria argued that authority over laws should be held solely by the legislator.</w:t>
      </w:r>
      <w:r w:rsidR="009E3D40">
        <w:rPr>
          <w:rStyle w:val="FootnoteReference"/>
          <w:rFonts w:cstheme="minorHAnsi"/>
          <w:sz w:val="24"/>
          <w:szCs w:val="24"/>
        </w:rPr>
        <w:footnoteReference w:id="16"/>
      </w:r>
      <w:r w:rsidR="009E3D40">
        <w:rPr>
          <w:rFonts w:cstheme="minorHAnsi"/>
          <w:sz w:val="24"/>
          <w:szCs w:val="24"/>
        </w:rPr>
        <w:t xml:space="preserve"> He went on to suggest that </w:t>
      </w:r>
      <w:r w:rsidR="009E3D40">
        <w:rPr>
          <w:rFonts w:cstheme="minorHAnsi"/>
          <w:sz w:val="24"/>
          <w:szCs w:val="24"/>
        </w:rPr>
        <w:lastRenderedPageBreak/>
        <w:t>conforming to the spirit rather than the letter of the law was the worst form of despotism.</w:t>
      </w:r>
      <w:r w:rsidR="009E3D40">
        <w:rPr>
          <w:rStyle w:val="FootnoteReference"/>
          <w:rFonts w:cstheme="minorHAnsi"/>
          <w:sz w:val="24"/>
          <w:szCs w:val="24"/>
        </w:rPr>
        <w:footnoteReference w:id="17"/>
      </w:r>
      <w:r w:rsidR="009E3D40">
        <w:rPr>
          <w:rFonts w:cstheme="minorHAnsi"/>
          <w:sz w:val="24"/>
          <w:szCs w:val="24"/>
        </w:rPr>
        <w:t xml:space="preserve"> Some of the basis for Beccaria’s reasoning in this regard was that he considered the effectiveness of punishment as a deterrent to be determined much more by its inexorability than by its severity.</w:t>
      </w:r>
      <w:r w:rsidR="009E3D40">
        <w:rPr>
          <w:rStyle w:val="FootnoteReference"/>
          <w:rFonts w:cstheme="minorHAnsi"/>
          <w:sz w:val="24"/>
          <w:szCs w:val="24"/>
        </w:rPr>
        <w:footnoteReference w:id="18"/>
      </w:r>
    </w:p>
    <w:p w:rsidR="00766D9D" w:rsidRPr="00EF733E" w:rsidRDefault="00F944DB" w:rsidP="001A5F0E">
      <w:pPr>
        <w:spacing w:line="360" w:lineRule="auto"/>
        <w:ind w:firstLine="720"/>
        <w:rPr>
          <w:rFonts w:cstheme="minorHAnsi"/>
          <w:sz w:val="24"/>
          <w:szCs w:val="24"/>
        </w:rPr>
      </w:pPr>
      <w:r w:rsidRPr="00EF733E">
        <w:rPr>
          <w:rFonts w:cstheme="minorHAnsi"/>
          <w:sz w:val="24"/>
          <w:szCs w:val="24"/>
        </w:rPr>
        <w:t>Ultimately, the tensions that exist between Beccaria’s treatise and the</w:t>
      </w:r>
      <w:r w:rsidR="002F286B" w:rsidRPr="00EF733E">
        <w:rPr>
          <w:rFonts w:cstheme="minorHAnsi"/>
          <w:sz w:val="24"/>
          <w:szCs w:val="24"/>
        </w:rPr>
        <w:t xml:space="preserve"> reforms of the Enlightened Despots reflect the inherent contradiction of the very concept of ‘Enlightened Despotism’</w:t>
      </w:r>
      <w:r w:rsidR="00F22869" w:rsidRPr="00EF733E">
        <w:rPr>
          <w:rFonts w:cstheme="minorHAnsi"/>
          <w:i/>
          <w:iCs/>
          <w:sz w:val="24"/>
          <w:szCs w:val="24"/>
        </w:rPr>
        <w:t>—</w:t>
      </w:r>
      <w:r w:rsidR="002F286B" w:rsidRPr="00EF733E">
        <w:rPr>
          <w:rFonts w:cstheme="minorHAnsi"/>
          <w:sz w:val="24"/>
          <w:szCs w:val="24"/>
        </w:rPr>
        <w:t xml:space="preserve">Beccaria’s work rests heavily on the idea of the social contract, but this is itself inimical to </w:t>
      </w:r>
      <w:r w:rsidR="00F22869" w:rsidRPr="00EF733E">
        <w:rPr>
          <w:rFonts w:cstheme="minorHAnsi"/>
          <w:sz w:val="24"/>
          <w:szCs w:val="24"/>
        </w:rPr>
        <w:t>authoritarian rule.</w:t>
      </w:r>
      <w:r w:rsidR="002F286B" w:rsidRPr="00EF733E">
        <w:rPr>
          <w:rFonts w:cstheme="minorHAnsi"/>
          <w:sz w:val="24"/>
          <w:szCs w:val="24"/>
        </w:rPr>
        <w:t xml:space="preserve"> As </w:t>
      </w:r>
      <w:r w:rsidR="00733D47">
        <w:rPr>
          <w:rFonts w:cstheme="minorHAnsi"/>
          <w:sz w:val="24"/>
          <w:szCs w:val="24"/>
        </w:rPr>
        <w:t xml:space="preserve">de </w:t>
      </w:r>
      <w:proofErr w:type="spellStart"/>
      <w:r w:rsidR="002F286B" w:rsidRPr="00EF733E">
        <w:rPr>
          <w:rFonts w:cstheme="minorHAnsi"/>
          <w:sz w:val="24"/>
          <w:szCs w:val="24"/>
        </w:rPr>
        <w:t>Madariaga</w:t>
      </w:r>
      <w:proofErr w:type="spellEnd"/>
      <w:r w:rsidR="002F286B" w:rsidRPr="00EF733E">
        <w:rPr>
          <w:rFonts w:cstheme="minorHAnsi"/>
          <w:sz w:val="24"/>
          <w:szCs w:val="24"/>
        </w:rPr>
        <w:t xml:space="preserve"> has </w:t>
      </w:r>
      <w:r w:rsidR="00A558C8" w:rsidRPr="00EF733E">
        <w:rPr>
          <w:rFonts w:cstheme="minorHAnsi"/>
          <w:sz w:val="24"/>
          <w:szCs w:val="24"/>
        </w:rPr>
        <w:t>noted</w:t>
      </w:r>
      <w:r w:rsidR="002F286B" w:rsidRPr="00EF733E">
        <w:rPr>
          <w:rFonts w:cstheme="minorHAnsi"/>
          <w:sz w:val="24"/>
          <w:szCs w:val="24"/>
        </w:rPr>
        <w:t xml:space="preserve">, Catherine the Great rejected this idea completely, drawing instead on </w:t>
      </w:r>
      <w:r w:rsidR="00F22869" w:rsidRPr="00EF733E">
        <w:rPr>
          <w:rFonts w:cstheme="minorHAnsi"/>
          <w:sz w:val="24"/>
          <w:szCs w:val="24"/>
        </w:rPr>
        <w:t>Beccaria’s</w:t>
      </w:r>
      <w:r w:rsidR="002F286B" w:rsidRPr="00EF733E">
        <w:rPr>
          <w:rFonts w:cstheme="minorHAnsi"/>
          <w:sz w:val="24"/>
          <w:szCs w:val="24"/>
        </w:rPr>
        <w:t xml:space="preserve"> utilitarianism</w:t>
      </w:r>
      <w:r w:rsidR="00F22869" w:rsidRPr="00EF733E">
        <w:rPr>
          <w:rFonts w:cstheme="minorHAnsi"/>
          <w:sz w:val="24"/>
          <w:szCs w:val="24"/>
        </w:rPr>
        <w:t>.</w:t>
      </w:r>
      <w:r w:rsidR="00F22869" w:rsidRPr="00EF733E">
        <w:rPr>
          <w:rStyle w:val="FootnoteReference"/>
          <w:rFonts w:cstheme="minorHAnsi"/>
          <w:sz w:val="24"/>
          <w:szCs w:val="24"/>
        </w:rPr>
        <w:t xml:space="preserve"> </w:t>
      </w:r>
      <w:r w:rsidR="00F22869" w:rsidRPr="00EF733E">
        <w:rPr>
          <w:rStyle w:val="FootnoteReference"/>
          <w:rFonts w:cstheme="minorHAnsi"/>
          <w:sz w:val="24"/>
          <w:szCs w:val="24"/>
        </w:rPr>
        <w:footnoteReference w:id="19"/>
      </w:r>
      <w:r w:rsidR="00F22869" w:rsidRPr="00EF733E">
        <w:rPr>
          <w:rFonts w:cstheme="minorHAnsi"/>
          <w:sz w:val="24"/>
          <w:szCs w:val="24"/>
        </w:rPr>
        <w:t xml:space="preserve"> </w:t>
      </w:r>
      <w:r w:rsidR="007950CF" w:rsidRPr="00EF733E">
        <w:rPr>
          <w:rFonts w:cstheme="minorHAnsi"/>
          <w:sz w:val="24"/>
          <w:szCs w:val="24"/>
        </w:rPr>
        <w:t>Her</w:t>
      </w:r>
      <w:r w:rsidR="00F22869" w:rsidRPr="00EF733E">
        <w:rPr>
          <w:rFonts w:cstheme="minorHAnsi"/>
          <w:sz w:val="24"/>
          <w:szCs w:val="24"/>
        </w:rPr>
        <w:t xml:space="preserve"> </w:t>
      </w:r>
      <w:r w:rsidR="00683442" w:rsidRPr="00EF733E">
        <w:rPr>
          <w:rFonts w:cstheme="minorHAnsi"/>
          <w:sz w:val="24"/>
          <w:szCs w:val="24"/>
        </w:rPr>
        <w:t xml:space="preserve">abolition </w:t>
      </w:r>
      <w:r w:rsidR="00F22869" w:rsidRPr="00EF733E">
        <w:rPr>
          <w:rFonts w:cstheme="minorHAnsi"/>
          <w:sz w:val="24"/>
          <w:szCs w:val="24"/>
        </w:rPr>
        <w:t xml:space="preserve">of </w:t>
      </w:r>
      <w:r w:rsidR="002F286B" w:rsidRPr="00EF733E">
        <w:rPr>
          <w:rFonts w:cstheme="minorHAnsi"/>
          <w:sz w:val="24"/>
          <w:szCs w:val="24"/>
        </w:rPr>
        <w:t xml:space="preserve">torture, questioning </w:t>
      </w:r>
      <w:r w:rsidR="00F22869" w:rsidRPr="00EF733E">
        <w:rPr>
          <w:rFonts w:cstheme="minorHAnsi"/>
          <w:sz w:val="24"/>
          <w:szCs w:val="24"/>
        </w:rPr>
        <w:t xml:space="preserve">of </w:t>
      </w:r>
      <w:r w:rsidR="002F286B" w:rsidRPr="00EF733E">
        <w:rPr>
          <w:rFonts w:cstheme="minorHAnsi"/>
          <w:sz w:val="24"/>
          <w:szCs w:val="24"/>
        </w:rPr>
        <w:t xml:space="preserve">the forms and goals of punishment and </w:t>
      </w:r>
      <w:r w:rsidR="00F22869" w:rsidRPr="00EF733E">
        <w:rPr>
          <w:rFonts w:cstheme="minorHAnsi"/>
          <w:sz w:val="24"/>
          <w:szCs w:val="24"/>
        </w:rPr>
        <w:t>condemnation of</w:t>
      </w:r>
      <w:r w:rsidR="007950CF" w:rsidRPr="00EF733E">
        <w:rPr>
          <w:rFonts w:cstheme="minorHAnsi"/>
          <w:sz w:val="24"/>
          <w:szCs w:val="24"/>
        </w:rPr>
        <w:t xml:space="preserve"> </w:t>
      </w:r>
      <w:r w:rsidR="002F286B" w:rsidRPr="00EF733E">
        <w:rPr>
          <w:rFonts w:cstheme="minorHAnsi"/>
          <w:sz w:val="24"/>
          <w:szCs w:val="24"/>
        </w:rPr>
        <w:t>cruelty</w:t>
      </w:r>
      <w:r w:rsidR="007950CF" w:rsidRPr="00EF733E">
        <w:rPr>
          <w:rFonts w:cstheme="minorHAnsi"/>
          <w:sz w:val="24"/>
          <w:szCs w:val="24"/>
        </w:rPr>
        <w:t xml:space="preserve"> represented</w:t>
      </w:r>
      <w:r w:rsidR="002F286B" w:rsidRPr="00EF733E">
        <w:rPr>
          <w:rFonts w:cstheme="minorHAnsi"/>
          <w:sz w:val="24"/>
          <w:szCs w:val="24"/>
        </w:rPr>
        <w:t xml:space="preserve"> created a clear break from previous Russian rulers</w:t>
      </w:r>
      <w:r w:rsidR="007950CF" w:rsidRPr="00EF733E">
        <w:rPr>
          <w:rFonts w:cstheme="minorHAnsi"/>
          <w:sz w:val="24"/>
          <w:szCs w:val="24"/>
        </w:rPr>
        <w:t xml:space="preserve">, </w:t>
      </w:r>
      <w:r w:rsidR="001B7077" w:rsidRPr="00EF733E">
        <w:rPr>
          <w:rFonts w:cstheme="minorHAnsi"/>
          <w:sz w:val="24"/>
          <w:szCs w:val="24"/>
        </w:rPr>
        <w:t>but she avoided having to question her own place in this society</w:t>
      </w:r>
      <w:r w:rsidR="002F286B" w:rsidRPr="00EF733E">
        <w:rPr>
          <w:rFonts w:cstheme="minorHAnsi"/>
          <w:sz w:val="24"/>
          <w:szCs w:val="24"/>
        </w:rPr>
        <w:t>.</w:t>
      </w:r>
      <w:r w:rsidR="00F22869" w:rsidRPr="00EF733E">
        <w:rPr>
          <w:rStyle w:val="FootnoteReference"/>
          <w:rFonts w:cstheme="minorHAnsi"/>
          <w:sz w:val="24"/>
          <w:szCs w:val="24"/>
        </w:rPr>
        <w:t xml:space="preserve"> </w:t>
      </w:r>
      <w:proofErr w:type="spellStart"/>
      <w:r w:rsidR="002F286B" w:rsidRPr="00EF733E">
        <w:rPr>
          <w:rFonts w:cstheme="minorHAnsi"/>
          <w:sz w:val="24"/>
          <w:szCs w:val="24"/>
        </w:rPr>
        <w:t>Blanning</w:t>
      </w:r>
      <w:proofErr w:type="spellEnd"/>
      <w:r w:rsidR="002F286B" w:rsidRPr="00EF733E">
        <w:rPr>
          <w:rFonts w:cstheme="minorHAnsi"/>
          <w:sz w:val="24"/>
          <w:szCs w:val="24"/>
        </w:rPr>
        <w:t xml:space="preserve"> has noted that Frederick the Great, on the other hand, chose to reinterpret the social contract</w:t>
      </w:r>
      <w:r w:rsidR="0088145B" w:rsidRPr="00EF733E">
        <w:rPr>
          <w:rFonts w:cstheme="minorHAnsi"/>
          <w:sz w:val="24"/>
          <w:szCs w:val="24"/>
        </w:rPr>
        <w:t>: in a 1777 essay, he argued that he had complete authority within his dominion of maintaining laws, providing government and defending his people, accepting the liberty of his people only outside these areas.</w:t>
      </w:r>
      <w:r w:rsidR="0088145B" w:rsidRPr="00EF733E">
        <w:rPr>
          <w:rStyle w:val="FootnoteReference"/>
          <w:rFonts w:cstheme="minorHAnsi"/>
          <w:sz w:val="24"/>
          <w:szCs w:val="24"/>
        </w:rPr>
        <w:footnoteReference w:id="20"/>
      </w:r>
      <w:r w:rsidR="0088145B" w:rsidRPr="00EF733E">
        <w:rPr>
          <w:rFonts w:cstheme="minorHAnsi"/>
          <w:sz w:val="24"/>
          <w:szCs w:val="24"/>
        </w:rPr>
        <w:t xml:space="preserve"> </w:t>
      </w:r>
      <w:r w:rsidR="001A5F0E" w:rsidRPr="00EF733E">
        <w:rPr>
          <w:rFonts w:cstheme="minorHAnsi"/>
          <w:sz w:val="24"/>
          <w:szCs w:val="24"/>
        </w:rPr>
        <w:t>In arguing that he ha</w:t>
      </w:r>
      <w:r w:rsidR="00F8445E">
        <w:rPr>
          <w:rFonts w:cstheme="minorHAnsi"/>
          <w:sz w:val="24"/>
          <w:szCs w:val="24"/>
        </w:rPr>
        <w:t xml:space="preserve">d </w:t>
      </w:r>
      <w:r w:rsidR="001A5F0E" w:rsidRPr="00EF733E">
        <w:rPr>
          <w:rFonts w:cstheme="minorHAnsi"/>
          <w:sz w:val="24"/>
          <w:szCs w:val="24"/>
        </w:rPr>
        <w:t xml:space="preserve">unlimited power outside of these defined areas, Frederick </w:t>
      </w:r>
      <w:r w:rsidR="00F8445E">
        <w:rPr>
          <w:rFonts w:cstheme="minorHAnsi"/>
          <w:sz w:val="24"/>
          <w:szCs w:val="24"/>
        </w:rPr>
        <w:t xml:space="preserve">was </w:t>
      </w:r>
      <w:r w:rsidR="001A5F0E" w:rsidRPr="00EF733E">
        <w:rPr>
          <w:rFonts w:cstheme="minorHAnsi"/>
          <w:sz w:val="24"/>
          <w:szCs w:val="24"/>
        </w:rPr>
        <w:t xml:space="preserve">effectively reversing the notion that societies of people give up liberties in certain limited ways: liberty in Frederick’s view is something granted and maintained by his own benevolence. </w:t>
      </w:r>
      <w:r w:rsidR="0088145B" w:rsidRPr="00EF733E">
        <w:rPr>
          <w:rFonts w:cstheme="minorHAnsi"/>
          <w:sz w:val="24"/>
          <w:szCs w:val="24"/>
        </w:rPr>
        <w:t>While Beccaria argued that the social contract emerged naturally from ‘the opposition of private interests’,</w:t>
      </w:r>
      <w:r w:rsidR="0088145B" w:rsidRPr="00EF733E">
        <w:rPr>
          <w:rStyle w:val="FootnoteReference"/>
          <w:rFonts w:cstheme="minorHAnsi"/>
          <w:sz w:val="24"/>
          <w:szCs w:val="24"/>
        </w:rPr>
        <w:footnoteReference w:id="21"/>
      </w:r>
      <w:r w:rsidR="0088145B" w:rsidRPr="00EF733E">
        <w:rPr>
          <w:rFonts w:cstheme="minorHAnsi"/>
          <w:sz w:val="24"/>
          <w:szCs w:val="24"/>
        </w:rPr>
        <w:t xml:space="preserve"> Frederick suggested that his obligation was to completely abandon his own self-interest so as </w:t>
      </w:r>
      <w:r w:rsidR="00F8445E">
        <w:rPr>
          <w:rFonts w:cstheme="minorHAnsi"/>
          <w:sz w:val="24"/>
          <w:szCs w:val="24"/>
        </w:rPr>
        <w:t xml:space="preserve">the first servant </w:t>
      </w:r>
      <w:r w:rsidR="0088145B" w:rsidRPr="00EF733E">
        <w:rPr>
          <w:rFonts w:cstheme="minorHAnsi"/>
          <w:sz w:val="24"/>
          <w:szCs w:val="24"/>
        </w:rPr>
        <w:t>of his people.</w:t>
      </w:r>
      <w:r w:rsidR="0088145B" w:rsidRPr="00EF733E">
        <w:rPr>
          <w:rStyle w:val="FootnoteReference"/>
          <w:rFonts w:cstheme="minorHAnsi"/>
          <w:sz w:val="24"/>
          <w:szCs w:val="24"/>
        </w:rPr>
        <w:footnoteReference w:id="22"/>
      </w:r>
      <w:r w:rsidR="001A5F0E" w:rsidRPr="00EF733E">
        <w:rPr>
          <w:rFonts w:cstheme="minorHAnsi"/>
          <w:sz w:val="24"/>
          <w:szCs w:val="24"/>
        </w:rPr>
        <w:t xml:space="preserve"> Both Frederick and Catherine’s cases demonstrate</w:t>
      </w:r>
      <w:r w:rsidR="003D63EA" w:rsidRPr="00EF733E">
        <w:rPr>
          <w:rFonts w:cstheme="minorHAnsi"/>
          <w:sz w:val="24"/>
          <w:szCs w:val="24"/>
        </w:rPr>
        <w:t xml:space="preserve"> the need to take selective influence from Beccaria </w:t>
      </w:r>
      <w:proofErr w:type="gramStart"/>
      <w:r w:rsidR="003D63EA" w:rsidRPr="00EF733E">
        <w:rPr>
          <w:rFonts w:cstheme="minorHAnsi"/>
          <w:sz w:val="24"/>
          <w:szCs w:val="24"/>
        </w:rPr>
        <w:t>in order to</w:t>
      </w:r>
      <w:proofErr w:type="gramEnd"/>
      <w:r w:rsidR="003D63EA" w:rsidRPr="00EF733E">
        <w:rPr>
          <w:rFonts w:cstheme="minorHAnsi"/>
          <w:sz w:val="24"/>
          <w:szCs w:val="24"/>
        </w:rPr>
        <w:t xml:space="preserve"> reconcile this contradiction, but </w:t>
      </w:r>
      <w:r w:rsidR="00F8445E">
        <w:rPr>
          <w:rFonts w:cstheme="minorHAnsi"/>
          <w:sz w:val="24"/>
          <w:szCs w:val="24"/>
        </w:rPr>
        <w:t>rejecting and reinterpreting the social contract</w:t>
      </w:r>
      <w:r w:rsidR="003D63EA" w:rsidRPr="00EF733E">
        <w:rPr>
          <w:rFonts w:cstheme="minorHAnsi"/>
          <w:sz w:val="24"/>
          <w:szCs w:val="24"/>
        </w:rPr>
        <w:t xml:space="preserve"> they undermine the entire basis of Beccaria’s reasoning.</w:t>
      </w:r>
    </w:p>
    <w:p w:rsidR="00683442" w:rsidRPr="00EF733E" w:rsidRDefault="00683442" w:rsidP="001A5F0E">
      <w:pPr>
        <w:spacing w:line="360" w:lineRule="auto"/>
        <w:ind w:firstLine="720"/>
        <w:rPr>
          <w:rFonts w:cstheme="minorHAnsi"/>
          <w:sz w:val="24"/>
          <w:szCs w:val="24"/>
        </w:rPr>
      </w:pPr>
      <w:r w:rsidRPr="00EF733E">
        <w:rPr>
          <w:rFonts w:cstheme="minorHAnsi"/>
          <w:sz w:val="24"/>
          <w:szCs w:val="24"/>
        </w:rPr>
        <w:lastRenderedPageBreak/>
        <w:t>The countries which saw the greatest and most immediate influence of Beccaria in legislation were these countries had to reject such large parts of his argument</w:t>
      </w:r>
      <w:r w:rsidR="00460629" w:rsidRPr="00EF733E">
        <w:rPr>
          <w:rFonts w:cstheme="minorHAnsi"/>
          <w:sz w:val="24"/>
          <w:szCs w:val="24"/>
        </w:rPr>
        <w:t>; t</w:t>
      </w:r>
      <w:r w:rsidRPr="00EF733E">
        <w:rPr>
          <w:rFonts w:cstheme="minorHAnsi"/>
          <w:sz w:val="24"/>
          <w:szCs w:val="24"/>
        </w:rPr>
        <w:t>he nature of autocratic rule allowed reforms to be swift</w:t>
      </w:r>
      <w:r w:rsidR="00EF733E">
        <w:rPr>
          <w:rFonts w:cstheme="minorHAnsi"/>
          <w:sz w:val="24"/>
          <w:szCs w:val="24"/>
        </w:rPr>
        <w:t>.</w:t>
      </w:r>
      <w:r w:rsidR="009A1BEC" w:rsidRPr="00EF733E">
        <w:rPr>
          <w:rFonts w:cstheme="minorHAnsi"/>
          <w:sz w:val="24"/>
          <w:szCs w:val="24"/>
        </w:rPr>
        <w:t xml:space="preserve"> </w:t>
      </w:r>
      <w:r w:rsidR="00EF733E">
        <w:rPr>
          <w:rFonts w:cstheme="minorHAnsi"/>
          <w:sz w:val="24"/>
          <w:szCs w:val="24"/>
        </w:rPr>
        <w:t>W</w:t>
      </w:r>
      <w:r w:rsidR="009A1BEC" w:rsidRPr="00EF733E">
        <w:rPr>
          <w:rFonts w:cstheme="minorHAnsi"/>
          <w:sz w:val="24"/>
          <w:szCs w:val="24"/>
        </w:rPr>
        <w:t>hile Britain</w:t>
      </w:r>
      <w:r w:rsidR="00EF733E">
        <w:rPr>
          <w:rFonts w:cstheme="minorHAnsi"/>
          <w:sz w:val="24"/>
          <w:szCs w:val="24"/>
        </w:rPr>
        <w:t>, for instance,</w:t>
      </w:r>
      <w:r w:rsidR="009A1BEC" w:rsidRPr="00EF733E">
        <w:rPr>
          <w:rFonts w:cstheme="minorHAnsi"/>
          <w:sz w:val="24"/>
          <w:szCs w:val="24"/>
        </w:rPr>
        <w:t xml:space="preserve"> had enthusiastic reformers </w:t>
      </w:r>
      <w:r w:rsidR="00A558C8" w:rsidRPr="00EF733E">
        <w:rPr>
          <w:rFonts w:cstheme="minorHAnsi"/>
          <w:sz w:val="24"/>
          <w:szCs w:val="24"/>
        </w:rPr>
        <w:t>such as Romilly and Eden</w:t>
      </w:r>
      <w:r w:rsidR="009A1BEC" w:rsidRPr="00EF733E">
        <w:rPr>
          <w:rStyle w:val="Emphasis"/>
          <w:rFonts w:cstheme="minorHAnsi"/>
          <w:color w:val="2A2A2A"/>
          <w:sz w:val="24"/>
          <w:szCs w:val="24"/>
          <w:shd w:val="clear" w:color="auto" w:fill="FFFFFF"/>
        </w:rPr>
        <w:t>—</w:t>
      </w:r>
      <w:r w:rsidR="009A1BEC" w:rsidRPr="00EF733E">
        <w:rPr>
          <w:rStyle w:val="Emphasis"/>
          <w:rFonts w:cstheme="minorHAnsi"/>
          <w:i w:val="0"/>
          <w:color w:val="2A2A2A"/>
          <w:sz w:val="24"/>
          <w:szCs w:val="24"/>
          <w:shd w:val="clear" w:color="auto" w:fill="FFFFFF"/>
        </w:rPr>
        <w:t xml:space="preserve">both influenced by </w:t>
      </w:r>
      <w:proofErr w:type="spellStart"/>
      <w:r w:rsidR="009A1BEC" w:rsidRPr="00EF733E">
        <w:rPr>
          <w:rStyle w:val="Emphasis"/>
          <w:rFonts w:cstheme="minorHAnsi"/>
          <w:i w:val="0"/>
          <w:color w:val="2A2A2A"/>
          <w:sz w:val="24"/>
          <w:szCs w:val="24"/>
          <w:shd w:val="clear" w:color="auto" w:fill="FFFFFF"/>
        </w:rPr>
        <w:t>Baccaria</w:t>
      </w:r>
      <w:proofErr w:type="spellEnd"/>
      <w:r w:rsidR="009A1BEC" w:rsidRPr="00EF733E">
        <w:rPr>
          <w:rStyle w:val="Emphasis"/>
          <w:rFonts w:cstheme="minorHAnsi"/>
          <w:color w:val="2A2A2A"/>
          <w:sz w:val="24"/>
          <w:szCs w:val="24"/>
          <w:shd w:val="clear" w:color="auto" w:fill="FFFFFF"/>
        </w:rPr>
        <w:t>—</w:t>
      </w:r>
      <w:r w:rsidR="009A1BEC" w:rsidRPr="00EF733E">
        <w:rPr>
          <w:rFonts w:cstheme="minorHAnsi"/>
          <w:sz w:val="24"/>
          <w:szCs w:val="24"/>
        </w:rPr>
        <w:t>reform was slowed by political resistance</w:t>
      </w:r>
      <w:r w:rsidR="000F1A2F">
        <w:rPr>
          <w:rFonts w:cstheme="minorHAnsi"/>
          <w:sz w:val="24"/>
          <w:szCs w:val="24"/>
        </w:rPr>
        <w:t>.</w:t>
      </w:r>
      <w:r w:rsidR="009A1BEC" w:rsidRPr="00EF733E">
        <w:rPr>
          <w:rStyle w:val="FootnoteReference"/>
          <w:rFonts w:cstheme="minorHAnsi"/>
          <w:sz w:val="24"/>
          <w:szCs w:val="24"/>
        </w:rPr>
        <w:footnoteReference w:id="23"/>
      </w:r>
      <w:r w:rsidR="00EF733E">
        <w:rPr>
          <w:rFonts w:cstheme="minorHAnsi"/>
          <w:sz w:val="24"/>
          <w:szCs w:val="24"/>
        </w:rPr>
        <w:t xml:space="preserve"> </w:t>
      </w:r>
      <w:r w:rsidR="000F1A2F">
        <w:rPr>
          <w:rFonts w:cstheme="minorHAnsi"/>
          <w:sz w:val="24"/>
          <w:szCs w:val="24"/>
        </w:rPr>
        <w:t>I</w:t>
      </w:r>
      <w:r w:rsidR="00EF733E">
        <w:rPr>
          <w:rFonts w:cstheme="minorHAnsi"/>
          <w:sz w:val="24"/>
          <w:szCs w:val="24"/>
        </w:rPr>
        <w:t xml:space="preserve">n contrast, Tuscany saw among the most rapid reforms in Europe during the </w:t>
      </w:r>
      <w:r w:rsidR="0002556C">
        <w:rPr>
          <w:rFonts w:cstheme="minorHAnsi"/>
          <w:sz w:val="24"/>
          <w:szCs w:val="24"/>
        </w:rPr>
        <w:t>reign</w:t>
      </w:r>
      <w:r w:rsidR="00EF733E">
        <w:rPr>
          <w:rFonts w:cstheme="minorHAnsi"/>
          <w:sz w:val="24"/>
          <w:szCs w:val="24"/>
        </w:rPr>
        <w:t xml:space="preserve"> of Leopold II</w:t>
      </w:r>
      <w:r w:rsidR="008328EC">
        <w:rPr>
          <w:rFonts w:cstheme="minorHAnsi"/>
          <w:sz w:val="24"/>
          <w:szCs w:val="24"/>
        </w:rPr>
        <w:t>.</w:t>
      </w:r>
      <w:r w:rsidR="00EF733E">
        <w:rPr>
          <w:rStyle w:val="FootnoteReference"/>
          <w:rFonts w:cstheme="minorHAnsi"/>
          <w:sz w:val="24"/>
          <w:szCs w:val="24"/>
        </w:rPr>
        <w:footnoteReference w:id="24"/>
      </w:r>
      <w:r w:rsidR="000F1A2F">
        <w:rPr>
          <w:rFonts w:cstheme="minorHAnsi"/>
          <w:sz w:val="24"/>
          <w:szCs w:val="24"/>
        </w:rPr>
        <w:t xml:space="preserve"> </w:t>
      </w:r>
      <w:r w:rsidR="008328EC">
        <w:rPr>
          <w:rFonts w:cstheme="minorHAnsi"/>
          <w:sz w:val="24"/>
          <w:szCs w:val="24"/>
        </w:rPr>
        <w:t>I</w:t>
      </w:r>
      <w:r w:rsidR="000F1A2F">
        <w:rPr>
          <w:rFonts w:cstheme="minorHAnsi"/>
          <w:sz w:val="24"/>
          <w:szCs w:val="24"/>
        </w:rPr>
        <w:t xml:space="preserve">ronically, </w:t>
      </w:r>
      <w:r w:rsidR="002A5560">
        <w:rPr>
          <w:rFonts w:cstheme="minorHAnsi"/>
          <w:sz w:val="24"/>
          <w:szCs w:val="24"/>
        </w:rPr>
        <w:t>his</w:t>
      </w:r>
      <w:r w:rsidR="000F1A2F">
        <w:rPr>
          <w:rFonts w:cstheme="minorHAnsi"/>
          <w:sz w:val="24"/>
          <w:szCs w:val="24"/>
        </w:rPr>
        <w:t xml:space="preserve"> aim was to diminish his own power by introducing a constitution, </w:t>
      </w:r>
      <w:r w:rsidR="0002556C">
        <w:rPr>
          <w:rFonts w:cstheme="minorHAnsi"/>
          <w:sz w:val="24"/>
          <w:szCs w:val="24"/>
        </w:rPr>
        <w:t xml:space="preserve">and he came close to </w:t>
      </w:r>
      <w:r w:rsidR="009D3A10">
        <w:rPr>
          <w:rFonts w:cstheme="minorHAnsi"/>
          <w:sz w:val="24"/>
          <w:szCs w:val="24"/>
        </w:rPr>
        <w:t xml:space="preserve">achieving </w:t>
      </w:r>
      <w:r w:rsidR="0002556C">
        <w:rPr>
          <w:rFonts w:cstheme="minorHAnsi"/>
          <w:sz w:val="24"/>
          <w:szCs w:val="24"/>
        </w:rPr>
        <w:t>this through despotic rule</w:t>
      </w:r>
      <w:r w:rsidR="008328EC">
        <w:rPr>
          <w:rFonts w:cstheme="minorHAnsi"/>
          <w:sz w:val="24"/>
          <w:szCs w:val="24"/>
        </w:rPr>
        <w:t>; as such</w:t>
      </w:r>
      <w:r w:rsidR="002A5560">
        <w:rPr>
          <w:rFonts w:cstheme="minorHAnsi"/>
          <w:sz w:val="24"/>
          <w:szCs w:val="24"/>
        </w:rPr>
        <w:t xml:space="preserve">, Leopold is </w:t>
      </w:r>
      <w:r w:rsidR="00B91442">
        <w:rPr>
          <w:rFonts w:cstheme="minorHAnsi"/>
          <w:sz w:val="24"/>
          <w:szCs w:val="24"/>
        </w:rPr>
        <w:t>a rare</w:t>
      </w:r>
      <w:r w:rsidR="002A5560">
        <w:rPr>
          <w:rFonts w:cstheme="minorHAnsi"/>
          <w:sz w:val="24"/>
          <w:szCs w:val="24"/>
        </w:rPr>
        <w:t xml:space="preserve"> example of a despotic ruler willing to engage with this central contradiction</w:t>
      </w:r>
      <w:r w:rsidR="00B91442">
        <w:rPr>
          <w:rFonts w:cstheme="minorHAnsi"/>
          <w:sz w:val="24"/>
          <w:szCs w:val="24"/>
        </w:rPr>
        <w:t xml:space="preserve"> thrown up by the embrace of Enlightenment thought.</w:t>
      </w:r>
      <w:r w:rsidR="00F8445E">
        <w:rPr>
          <w:rStyle w:val="FootnoteReference"/>
          <w:rFonts w:cstheme="minorHAnsi"/>
          <w:sz w:val="24"/>
          <w:szCs w:val="24"/>
        </w:rPr>
        <w:footnoteReference w:id="25"/>
      </w:r>
    </w:p>
    <w:p w:rsidR="00A26563" w:rsidRPr="00EF733E" w:rsidRDefault="00A26563" w:rsidP="001A5F0E">
      <w:pPr>
        <w:spacing w:line="360" w:lineRule="auto"/>
        <w:ind w:firstLine="720"/>
        <w:rPr>
          <w:rFonts w:cstheme="minorHAnsi"/>
          <w:sz w:val="24"/>
          <w:szCs w:val="24"/>
        </w:rPr>
      </w:pPr>
      <w:r w:rsidRPr="00EF733E">
        <w:rPr>
          <w:rFonts w:cstheme="minorHAnsi"/>
          <w:sz w:val="24"/>
          <w:szCs w:val="24"/>
        </w:rPr>
        <w:t xml:space="preserve">The impact of Beccaria’s work on the Enlightened Despots was </w:t>
      </w:r>
      <w:r w:rsidR="00683442" w:rsidRPr="00EF733E">
        <w:rPr>
          <w:rFonts w:cstheme="minorHAnsi"/>
          <w:sz w:val="24"/>
          <w:szCs w:val="24"/>
        </w:rPr>
        <w:t>profound but necessarily limited.</w:t>
      </w:r>
      <w:r w:rsidR="00F8445E">
        <w:rPr>
          <w:rFonts w:cstheme="minorHAnsi"/>
          <w:sz w:val="24"/>
          <w:szCs w:val="24"/>
        </w:rPr>
        <w:t xml:space="preserve"> </w:t>
      </w:r>
      <w:proofErr w:type="gramStart"/>
      <w:r w:rsidR="003C587F">
        <w:rPr>
          <w:rFonts w:cstheme="minorHAnsi"/>
          <w:sz w:val="24"/>
          <w:szCs w:val="24"/>
        </w:rPr>
        <w:t>In order to</w:t>
      </w:r>
      <w:proofErr w:type="gramEnd"/>
      <w:r w:rsidR="003C587F">
        <w:rPr>
          <w:rFonts w:cstheme="minorHAnsi"/>
          <w:sz w:val="24"/>
          <w:szCs w:val="24"/>
        </w:rPr>
        <w:t xml:space="preserve"> make use of his ideas</w:t>
      </w:r>
      <w:r w:rsidR="00F45C57">
        <w:rPr>
          <w:rFonts w:cstheme="minorHAnsi"/>
          <w:sz w:val="24"/>
          <w:szCs w:val="24"/>
        </w:rPr>
        <w:t xml:space="preserve"> without diminishing their own power</w:t>
      </w:r>
      <w:r w:rsidR="003C587F">
        <w:rPr>
          <w:rFonts w:cstheme="minorHAnsi"/>
          <w:sz w:val="24"/>
          <w:szCs w:val="24"/>
        </w:rPr>
        <w:t>, despots had to separate the two frameworks of utilitarianism and the social contract which, as Bernard Harcourt has argued, had been worked together to form a whole within Beccaria’s treatise.</w:t>
      </w:r>
      <w:r w:rsidR="003C587F">
        <w:rPr>
          <w:rStyle w:val="FootnoteReference"/>
          <w:rFonts w:cstheme="minorHAnsi"/>
          <w:sz w:val="24"/>
          <w:szCs w:val="24"/>
        </w:rPr>
        <w:footnoteReference w:id="26"/>
      </w:r>
      <w:r w:rsidR="003D3BA7">
        <w:rPr>
          <w:rFonts w:cstheme="minorHAnsi"/>
          <w:sz w:val="24"/>
          <w:szCs w:val="24"/>
        </w:rPr>
        <w:t xml:space="preserve"> </w:t>
      </w:r>
      <w:r w:rsidR="00F45C57">
        <w:rPr>
          <w:rFonts w:cstheme="minorHAnsi"/>
          <w:sz w:val="24"/>
          <w:szCs w:val="24"/>
        </w:rPr>
        <w:t xml:space="preserve">By removing or altering the notion of a social contract, </w:t>
      </w:r>
      <w:r w:rsidR="002E73F7">
        <w:rPr>
          <w:rFonts w:cstheme="minorHAnsi"/>
          <w:sz w:val="24"/>
          <w:szCs w:val="24"/>
        </w:rPr>
        <w:t xml:space="preserve">Beccaria’s argument is unravelled. Instead, this vision of justice in these states rested on the benevolence of the ruler. </w:t>
      </w:r>
      <w:r w:rsidR="003D3BA7">
        <w:rPr>
          <w:rFonts w:cstheme="minorHAnsi"/>
          <w:sz w:val="24"/>
          <w:szCs w:val="24"/>
        </w:rPr>
        <w:t>As such, while there was a great and swift influence on some of these states, its impact was lessened by Beccaria’s views on equality within societies.</w:t>
      </w:r>
    </w:p>
    <w:p w:rsidR="00766D9D" w:rsidRPr="00EF733E" w:rsidRDefault="00766D9D">
      <w:pPr>
        <w:rPr>
          <w:rFonts w:cstheme="minorHAnsi"/>
          <w:sz w:val="24"/>
          <w:szCs w:val="24"/>
        </w:rPr>
      </w:pPr>
      <w:r w:rsidRPr="00EF733E">
        <w:rPr>
          <w:rFonts w:cstheme="minorHAnsi"/>
          <w:sz w:val="24"/>
          <w:szCs w:val="24"/>
        </w:rPr>
        <w:br w:type="page"/>
      </w:r>
      <w:bookmarkStart w:id="0" w:name="_GoBack"/>
      <w:bookmarkEnd w:id="0"/>
    </w:p>
    <w:p w:rsidR="00766D9D" w:rsidRPr="00EF733E" w:rsidRDefault="00766D9D" w:rsidP="00766D9D">
      <w:pPr>
        <w:spacing w:line="360" w:lineRule="auto"/>
        <w:jc w:val="center"/>
        <w:rPr>
          <w:rFonts w:cstheme="minorHAnsi"/>
          <w:sz w:val="28"/>
          <w:szCs w:val="28"/>
        </w:rPr>
      </w:pPr>
      <w:r w:rsidRPr="00EF733E">
        <w:rPr>
          <w:rFonts w:cstheme="minorHAnsi"/>
          <w:b/>
          <w:sz w:val="28"/>
          <w:szCs w:val="28"/>
        </w:rPr>
        <w:lastRenderedPageBreak/>
        <w:t>Bibliography</w:t>
      </w:r>
    </w:p>
    <w:p w:rsidR="00766D9D" w:rsidRPr="00EF733E" w:rsidRDefault="00766D9D" w:rsidP="00766D9D">
      <w:pPr>
        <w:spacing w:line="360" w:lineRule="auto"/>
        <w:rPr>
          <w:rFonts w:cstheme="minorHAnsi"/>
          <w:sz w:val="24"/>
          <w:szCs w:val="24"/>
        </w:rPr>
      </w:pPr>
      <w:r w:rsidRPr="00EF733E">
        <w:rPr>
          <w:rFonts w:cstheme="minorHAnsi"/>
          <w:b/>
          <w:sz w:val="24"/>
          <w:szCs w:val="24"/>
        </w:rPr>
        <w:t>Primary Sources</w:t>
      </w:r>
    </w:p>
    <w:p w:rsidR="00766D9D" w:rsidRPr="00EF733E" w:rsidRDefault="00766D9D" w:rsidP="008C410E">
      <w:pPr>
        <w:spacing w:line="360" w:lineRule="auto"/>
        <w:ind w:left="426" w:hanging="426"/>
        <w:rPr>
          <w:rFonts w:cstheme="minorHAnsi"/>
          <w:sz w:val="24"/>
          <w:szCs w:val="24"/>
        </w:rPr>
      </w:pPr>
      <w:r w:rsidRPr="00EF733E">
        <w:rPr>
          <w:rFonts w:cstheme="minorHAnsi"/>
          <w:sz w:val="24"/>
          <w:szCs w:val="24"/>
        </w:rPr>
        <w:t>Beccaria</w:t>
      </w:r>
      <w:r w:rsidR="000E165D" w:rsidRPr="00EF733E">
        <w:rPr>
          <w:rFonts w:cstheme="minorHAnsi"/>
          <w:sz w:val="24"/>
          <w:szCs w:val="24"/>
        </w:rPr>
        <w:t>, C.</w:t>
      </w:r>
      <w:r w:rsidRPr="00EF733E">
        <w:rPr>
          <w:rFonts w:cstheme="minorHAnsi"/>
          <w:sz w:val="24"/>
          <w:szCs w:val="24"/>
        </w:rPr>
        <w:t xml:space="preserve">, </w:t>
      </w:r>
      <w:r w:rsidRPr="00EF733E">
        <w:rPr>
          <w:rFonts w:cstheme="minorHAnsi"/>
          <w:i/>
          <w:sz w:val="24"/>
          <w:szCs w:val="24"/>
        </w:rPr>
        <w:t xml:space="preserve">On Crimes and Punishments and Other Writings, </w:t>
      </w:r>
      <w:r w:rsidRPr="00EF733E">
        <w:rPr>
          <w:rFonts w:cstheme="minorHAnsi"/>
          <w:sz w:val="24"/>
          <w:szCs w:val="24"/>
        </w:rPr>
        <w:t xml:space="preserve">fourth </w:t>
      </w:r>
      <w:proofErr w:type="spellStart"/>
      <w:r w:rsidRPr="00EF733E">
        <w:rPr>
          <w:rFonts w:cstheme="minorHAnsi"/>
          <w:sz w:val="24"/>
          <w:szCs w:val="24"/>
        </w:rPr>
        <w:t>edn</w:t>
      </w:r>
      <w:proofErr w:type="spellEnd"/>
      <w:r w:rsidRPr="00EF733E">
        <w:rPr>
          <w:rFonts w:cstheme="minorHAnsi"/>
          <w:sz w:val="24"/>
          <w:szCs w:val="24"/>
        </w:rPr>
        <w:t xml:space="preserve">, </w:t>
      </w:r>
      <w:proofErr w:type="spellStart"/>
      <w:r w:rsidRPr="00EF733E">
        <w:rPr>
          <w:rFonts w:cstheme="minorHAnsi"/>
          <w:sz w:val="24"/>
          <w:szCs w:val="24"/>
        </w:rPr>
        <w:t>ed</w:t>
      </w:r>
      <w:proofErr w:type="spellEnd"/>
      <w:r w:rsidRPr="00EF733E">
        <w:rPr>
          <w:rFonts w:cstheme="minorHAnsi"/>
          <w:sz w:val="24"/>
          <w:szCs w:val="24"/>
        </w:rPr>
        <w:t xml:space="preserve"> by Bellamy</w:t>
      </w:r>
      <w:r w:rsidR="000E165D" w:rsidRPr="00EF733E">
        <w:rPr>
          <w:rFonts w:cstheme="minorHAnsi"/>
          <w:sz w:val="24"/>
          <w:szCs w:val="24"/>
        </w:rPr>
        <w:t>, R.</w:t>
      </w:r>
      <w:r w:rsidRPr="00EF733E">
        <w:rPr>
          <w:rFonts w:cstheme="minorHAnsi"/>
          <w:sz w:val="24"/>
          <w:szCs w:val="24"/>
        </w:rPr>
        <w:t xml:space="preserve"> (Cambridge: Cambridge University Press, 2003).</w:t>
      </w:r>
    </w:p>
    <w:p w:rsidR="000E165D" w:rsidRPr="00EF733E" w:rsidRDefault="000E165D" w:rsidP="00766D9D">
      <w:pPr>
        <w:spacing w:line="360" w:lineRule="auto"/>
        <w:rPr>
          <w:rFonts w:cstheme="minorHAnsi"/>
          <w:sz w:val="24"/>
          <w:szCs w:val="24"/>
        </w:rPr>
      </w:pPr>
    </w:p>
    <w:p w:rsidR="00766D9D" w:rsidRPr="00EF733E" w:rsidRDefault="00766D9D" w:rsidP="00766D9D">
      <w:pPr>
        <w:spacing w:line="360" w:lineRule="auto"/>
        <w:rPr>
          <w:rFonts w:cstheme="minorHAnsi"/>
          <w:sz w:val="24"/>
          <w:szCs w:val="24"/>
        </w:rPr>
      </w:pPr>
      <w:r w:rsidRPr="00EF733E">
        <w:rPr>
          <w:rFonts w:cstheme="minorHAnsi"/>
          <w:b/>
          <w:sz w:val="24"/>
          <w:szCs w:val="24"/>
        </w:rPr>
        <w:t>Secondary Sources</w:t>
      </w:r>
    </w:p>
    <w:p w:rsidR="008C410E" w:rsidRPr="00EF733E" w:rsidRDefault="008C410E" w:rsidP="008C410E">
      <w:pPr>
        <w:spacing w:line="360" w:lineRule="auto"/>
        <w:ind w:left="426" w:hanging="426"/>
        <w:rPr>
          <w:rFonts w:cstheme="minorHAnsi"/>
          <w:sz w:val="24"/>
          <w:szCs w:val="24"/>
        </w:rPr>
      </w:pPr>
      <w:r w:rsidRPr="00EF733E">
        <w:rPr>
          <w:rFonts w:cstheme="minorHAnsi"/>
          <w:sz w:val="24"/>
          <w:szCs w:val="24"/>
        </w:rPr>
        <w:t>Harcourt, B., E., ‘Beccaria's “On Crimes and Punishments”: A Mirror on the History of the Foundations of Modern Criminal Law’ (Coase-Sandor Institute for Law &amp; Economics Working Paper No. 648, 2013)</w:t>
      </w:r>
      <w:r w:rsidR="002913C4">
        <w:rPr>
          <w:rFonts w:cstheme="minorHAnsi"/>
          <w:sz w:val="24"/>
          <w:szCs w:val="24"/>
        </w:rPr>
        <w:t>, 1-28.</w:t>
      </w:r>
      <w:r w:rsidRPr="00EF733E">
        <w:rPr>
          <w:rFonts w:cstheme="minorHAnsi"/>
          <w:sz w:val="24"/>
          <w:szCs w:val="24"/>
        </w:rPr>
        <w:t xml:space="preserve"> [Online]. Available: </w:t>
      </w:r>
      <w:hyperlink r:id="rId7" w:history="1">
        <w:r w:rsidRPr="00EF733E">
          <w:rPr>
            <w:rStyle w:val="Hyperlink"/>
            <w:rFonts w:cstheme="minorHAnsi"/>
            <w:sz w:val="24"/>
            <w:szCs w:val="24"/>
          </w:rPr>
          <w:t>http://chicagounbound.uchicago.edu/cgi/viewcontent.cgi?article=1633&amp;context=law_and_economics/</w:t>
        </w:r>
      </w:hyperlink>
      <w:r w:rsidRPr="00EF733E">
        <w:rPr>
          <w:rFonts w:cstheme="minorHAnsi"/>
          <w:sz w:val="24"/>
          <w:szCs w:val="24"/>
        </w:rPr>
        <w:t xml:space="preserve"> [Accessed on 15 December 2017].</w:t>
      </w:r>
    </w:p>
    <w:p w:rsidR="003C587F" w:rsidRDefault="008C410E" w:rsidP="003C587F">
      <w:pPr>
        <w:spacing w:line="360" w:lineRule="auto"/>
        <w:ind w:left="426" w:hanging="426"/>
        <w:rPr>
          <w:rFonts w:cstheme="minorHAnsi"/>
          <w:sz w:val="24"/>
          <w:szCs w:val="24"/>
        </w:rPr>
      </w:pPr>
      <w:r w:rsidRPr="00EF733E">
        <w:rPr>
          <w:rFonts w:cstheme="minorHAnsi"/>
          <w:sz w:val="24"/>
          <w:szCs w:val="24"/>
        </w:rPr>
        <w:t xml:space="preserve">Hay, D., </w:t>
      </w:r>
      <w:r w:rsidR="009A1BEC" w:rsidRPr="00EF733E">
        <w:rPr>
          <w:rFonts w:cstheme="minorHAnsi"/>
          <w:sz w:val="24"/>
          <w:szCs w:val="24"/>
        </w:rPr>
        <w:t>et al,</w:t>
      </w:r>
      <w:r w:rsidRPr="00EF733E">
        <w:rPr>
          <w:rFonts w:cstheme="minorHAnsi"/>
          <w:sz w:val="24"/>
          <w:szCs w:val="24"/>
        </w:rPr>
        <w:t xml:space="preserve"> </w:t>
      </w:r>
      <w:r w:rsidRPr="00EF733E">
        <w:rPr>
          <w:rFonts w:cstheme="minorHAnsi"/>
          <w:i/>
          <w:sz w:val="24"/>
          <w:szCs w:val="24"/>
        </w:rPr>
        <w:t>Albion’s Fatal Tree: Crime and Society in Eighteenth-Century England</w:t>
      </w:r>
      <w:r w:rsidRPr="00EF733E">
        <w:rPr>
          <w:rFonts w:cstheme="minorHAnsi"/>
          <w:sz w:val="24"/>
          <w:szCs w:val="24"/>
        </w:rPr>
        <w:t xml:space="preserve"> (Harmondsworth: Penguin, 1977).</w:t>
      </w:r>
      <w:r w:rsidR="003C587F" w:rsidRPr="003C587F">
        <w:rPr>
          <w:rFonts w:cstheme="minorHAnsi"/>
          <w:sz w:val="24"/>
          <w:szCs w:val="24"/>
        </w:rPr>
        <w:t xml:space="preserve"> </w:t>
      </w:r>
    </w:p>
    <w:p w:rsidR="008C410E" w:rsidRPr="00EF733E" w:rsidRDefault="003C587F" w:rsidP="003C587F">
      <w:pPr>
        <w:spacing w:line="360" w:lineRule="auto"/>
        <w:ind w:left="426" w:hanging="426"/>
        <w:rPr>
          <w:rFonts w:cstheme="minorHAnsi"/>
          <w:sz w:val="24"/>
          <w:szCs w:val="24"/>
        </w:rPr>
      </w:pPr>
      <w:r w:rsidRPr="00EF733E">
        <w:rPr>
          <w:rFonts w:cstheme="minorHAnsi"/>
          <w:sz w:val="24"/>
          <w:szCs w:val="24"/>
        </w:rPr>
        <w:t xml:space="preserve">Oppenheim, W., </w:t>
      </w:r>
      <w:r w:rsidRPr="00EF733E">
        <w:rPr>
          <w:rFonts w:cstheme="minorHAnsi"/>
          <w:i/>
          <w:sz w:val="24"/>
          <w:szCs w:val="24"/>
        </w:rPr>
        <w:t>Europe and the Enlightened Despots</w:t>
      </w:r>
      <w:r w:rsidRPr="00EF733E">
        <w:rPr>
          <w:rFonts w:cstheme="minorHAnsi"/>
          <w:sz w:val="24"/>
          <w:szCs w:val="24"/>
        </w:rPr>
        <w:t xml:space="preserve"> (London: Hodder and Stoughton, 1990). </w:t>
      </w:r>
    </w:p>
    <w:p w:rsidR="000E165D" w:rsidRPr="00EF733E" w:rsidRDefault="000E165D" w:rsidP="008C410E">
      <w:pPr>
        <w:spacing w:line="360" w:lineRule="auto"/>
        <w:ind w:left="426" w:hanging="426"/>
        <w:rPr>
          <w:rFonts w:cstheme="minorHAnsi"/>
          <w:sz w:val="24"/>
          <w:szCs w:val="24"/>
        </w:rPr>
      </w:pPr>
      <w:r w:rsidRPr="00EF733E">
        <w:rPr>
          <w:rFonts w:cstheme="minorHAnsi"/>
          <w:sz w:val="24"/>
          <w:szCs w:val="24"/>
        </w:rPr>
        <w:t>Scott, H., M.,</w:t>
      </w:r>
      <w:r w:rsidR="00E37ACD">
        <w:rPr>
          <w:rFonts w:cstheme="minorHAnsi"/>
          <w:sz w:val="24"/>
          <w:szCs w:val="24"/>
        </w:rPr>
        <w:t xml:space="preserve"> (</w:t>
      </w:r>
      <w:proofErr w:type="spellStart"/>
      <w:r w:rsidR="00E37ACD">
        <w:rPr>
          <w:rFonts w:cstheme="minorHAnsi"/>
          <w:sz w:val="24"/>
          <w:szCs w:val="24"/>
        </w:rPr>
        <w:t>ed</w:t>
      </w:r>
      <w:proofErr w:type="spellEnd"/>
      <w:r w:rsidR="00E37ACD">
        <w:rPr>
          <w:rFonts w:cstheme="minorHAnsi"/>
          <w:sz w:val="24"/>
          <w:szCs w:val="24"/>
        </w:rPr>
        <w:t>),</w:t>
      </w:r>
      <w:r w:rsidRPr="00EF733E">
        <w:rPr>
          <w:rFonts w:cstheme="minorHAnsi"/>
          <w:sz w:val="24"/>
          <w:szCs w:val="24"/>
        </w:rPr>
        <w:t xml:space="preserve"> </w:t>
      </w:r>
      <w:r w:rsidRPr="00EF733E">
        <w:rPr>
          <w:rFonts w:cstheme="minorHAnsi"/>
          <w:i/>
          <w:sz w:val="24"/>
          <w:szCs w:val="24"/>
        </w:rPr>
        <w:t>Enlightened Absolutism: Reform and Reformers in Later Eighteenth-Century Europe</w:t>
      </w:r>
      <w:r w:rsidRPr="00EF733E">
        <w:rPr>
          <w:rFonts w:cstheme="minorHAnsi"/>
          <w:sz w:val="24"/>
          <w:szCs w:val="24"/>
        </w:rPr>
        <w:t xml:space="preserve"> (London: Macmillan, 1990).</w:t>
      </w:r>
    </w:p>
    <w:p w:rsidR="008C410E" w:rsidRPr="00EF733E" w:rsidRDefault="00204526" w:rsidP="00F8445E">
      <w:pPr>
        <w:spacing w:line="360" w:lineRule="auto"/>
        <w:ind w:left="426" w:hanging="426"/>
        <w:rPr>
          <w:rFonts w:cstheme="minorHAnsi"/>
          <w:sz w:val="24"/>
          <w:szCs w:val="24"/>
        </w:rPr>
      </w:pPr>
      <w:proofErr w:type="spellStart"/>
      <w:r w:rsidRPr="00EF733E">
        <w:rPr>
          <w:rFonts w:cstheme="minorHAnsi"/>
          <w:sz w:val="24"/>
          <w:szCs w:val="24"/>
        </w:rPr>
        <w:t>Venturi</w:t>
      </w:r>
      <w:proofErr w:type="spellEnd"/>
      <w:r w:rsidRPr="00EF733E">
        <w:rPr>
          <w:rFonts w:cstheme="minorHAnsi"/>
          <w:sz w:val="24"/>
          <w:szCs w:val="24"/>
        </w:rPr>
        <w:t xml:space="preserve">, F., </w:t>
      </w:r>
      <w:r w:rsidRPr="00EF733E">
        <w:rPr>
          <w:rFonts w:cstheme="minorHAnsi"/>
          <w:i/>
          <w:sz w:val="24"/>
          <w:szCs w:val="24"/>
        </w:rPr>
        <w:t>Utopia and Reform in the Enlightenment</w:t>
      </w:r>
      <w:r w:rsidRPr="00EF733E">
        <w:rPr>
          <w:rFonts w:cstheme="minorHAnsi"/>
          <w:sz w:val="24"/>
          <w:szCs w:val="24"/>
        </w:rPr>
        <w:t xml:space="preserve"> (Cambridge: Cambridge University Press, 1971).</w:t>
      </w:r>
    </w:p>
    <w:sectPr w:rsidR="008C410E" w:rsidRPr="00EF733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2A58" w:rsidRDefault="00AA2A58" w:rsidP="002F286B">
      <w:pPr>
        <w:spacing w:after="0" w:line="240" w:lineRule="auto"/>
      </w:pPr>
      <w:r>
        <w:separator/>
      </w:r>
    </w:p>
  </w:endnote>
  <w:endnote w:type="continuationSeparator" w:id="0">
    <w:p w:rsidR="00AA2A58" w:rsidRDefault="00AA2A58" w:rsidP="002F2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2A58" w:rsidRDefault="00AA2A58" w:rsidP="002F286B">
      <w:pPr>
        <w:spacing w:after="0" w:line="240" w:lineRule="auto"/>
      </w:pPr>
      <w:r>
        <w:separator/>
      </w:r>
    </w:p>
  </w:footnote>
  <w:footnote w:type="continuationSeparator" w:id="0">
    <w:p w:rsidR="00AA2A58" w:rsidRDefault="00AA2A58" w:rsidP="002F286B">
      <w:pPr>
        <w:spacing w:after="0" w:line="240" w:lineRule="auto"/>
      </w:pPr>
      <w:r>
        <w:continuationSeparator/>
      </w:r>
    </w:p>
  </w:footnote>
  <w:footnote w:id="1">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Pr>
          <w:sz w:val="20"/>
          <w:szCs w:val="20"/>
        </w:rPr>
        <w:t xml:space="preserve">C. </w:t>
      </w:r>
      <w:r w:rsidRPr="002913C4">
        <w:rPr>
          <w:sz w:val="20"/>
          <w:szCs w:val="20"/>
        </w:rPr>
        <w:t>Beccaria</w:t>
      </w:r>
      <w:r>
        <w:rPr>
          <w:sz w:val="20"/>
          <w:szCs w:val="20"/>
        </w:rPr>
        <w:t xml:space="preserve">, </w:t>
      </w:r>
      <w:r w:rsidRPr="002913C4">
        <w:rPr>
          <w:i/>
          <w:sz w:val="20"/>
          <w:szCs w:val="20"/>
        </w:rPr>
        <w:t xml:space="preserve">On Crimes and Punishments and Other Writings, </w:t>
      </w:r>
      <w:r w:rsidRPr="002913C4">
        <w:rPr>
          <w:sz w:val="20"/>
          <w:szCs w:val="20"/>
        </w:rPr>
        <w:t xml:space="preserve">fourth </w:t>
      </w:r>
      <w:proofErr w:type="spellStart"/>
      <w:r w:rsidRPr="002913C4">
        <w:rPr>
          <w:sz w:val="20"/>
          <w:szCs w:val="20"/>
        </w:rPr>
        <w:t>edn</w:t>
      </w:r>
      <w:proofErr w:type="spellEnd"/>
      <w:r w:rsidRPr="002913C4">
        <w:rPr>
          <w:sz w:val="20"/>
          <w:szCs w:val="20"/>
        </w:rPr>
        <w:t xml:space="preserve">, </w:t>
      </w:r>
      <w:proofErr w:type="spellStart"/>
      <w:r w:rsidRPr="002913C4">
        <w:rPr>
          <w:sz w:val="20"/>
          <w:szCs w:val="20"/>
        </w:rPr>
        <w:t>ed</w:t>
      </w:r>
      <w:proofErr w:type="spellEnd"/>
      <w:r w:rsidRPr="002913C4">
        <w:rPr>
          <w:sz w:val="20"/>
          <w:szCs w:val="20"/>
        </w:rPr>
        <w:t xml:space="preserve"> by Bellamy, R. (Cambridge: Cambridge University Press, 2003), 113</w:t>
      </w:r>
      <w:r>
        <w:rPr>
          <w:sz w:val="20"/>
          <w:szCs w:val="20"/>
        </w:rPr>
        <w:t>.</w:t>
      </w:r>
    </w:p>
  </w:footnote>
  <w:footnote w:id="2">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I. de </w:t>
      </w:r>
      <w:proofErr w:type="spellStart"/>
      <w:r w:rsidRPr="002913C4">
        <w:rPr>
          <w:sz w:val="20"/>
          <w:szCs w:val="20"/>
        </w:rPr>
        <w:t>Madariaga</w:t>
      </w:r>
      <w:proofErr w:type="spellEnd"/>
      <w:r w:rsidRPr="002913C4">
        <w:rPr>
          <w:sz w:val="20"/>
          <w:szCs w:val="20"/>
        </w:rPr>
        <w:t>, ‘Catherine the Great’, in H. M. Scott (</w:t>
      </w:r>
      <w:proofErr w:type="spellStart"/>
      <w:r w:rsidRPr="002913C4">
        <w:rPr>
          <w:sz w:val="20"/>
          <w:szCs w:val="20"/>
        </w:rPr>
        <w:t>ed</w:t>
      </w:r>
      <w:proofErr w:type="spellEnd"/>
      <w:r w:rsidRPr="002913C4">
        <w:rPr>
          <w:sz w:val="20"/>
          <w:szCs w:val="20"/>
        </w:rPr>
        <w:t xml:space="preserve">), </w:t>
      </w:r>
      <w:r w:rsidRPr="002913C4">
        <w:rPr>
          <w:i/>
          <w:sz w:val="20"/>
          <w:szCs w:val="20"/>
        </w:rPr>
        <w:t>Enlightened Absolutism: Reform and Reformers in Later Eighteenth-Century Europe</w:t>
      </w:r>
      <w:r w:rsidRPr="002913C4">
        <w:rPr>
          <w:sz w:val="20"/>
          <w:szCs w:val="20"/>
        </w:rPr>
        <w:t xml:space="preserve"> (London: Macmillan, 1990), 291; Oppenheim, W., </w:t>
      </w:r>
      <w:r w:rsidRPr="002913C4">
        <w:rPr>
          <w:i/>
          <w:sz w:val="20"/>
          <w:szCs w:val="20"/>
        </w:rPr>
        <w:t>Europe and the Enlightened Despots</w:t>
      </w:r>
      <w:r w:rsidRPr="002913C4">
        <w:rPr>
          <w:sz w:val="20"/>
          <w:szCs w:val="20"/>
        </w:rPr>
        <w:t xml:space="preserve"> (London: Hodder and Stoughton, 1990), 64.</w:t>
      </w:r>
    </w:p>
  </w:footnote>
  <w:footnote w:id="3">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sidR="00733D47">
        <w:rPr>
          <w:sz w:val="20"/>
          <w:szCs w:val="20"/>
        </w:rPr>
        <w:t>D</w:t>
      </w:r>
      <w:r w:rsidRPr="002913C4">
        <w:rPr>
          <w:sz w:val="20"/>
          <w:szCs w:val="20"/>
        </w:rPr>
        <w:t xml:space="preserve">e </w:t>
      </w:r>
      <w:proofErr w:type="spellStart"/>
      <w:r w:rsidRPr="002913C4">
        <w:rPr>
          <w:sz w:val="20"/>
          <w:szCs w:val="20"/>
        </w:rPr>
        <w:t>Madariaga</w:t>
      </w:r>
      <w:proofErr w:type="spellEnd"/>
      <w:r w:rsidRPr="002913C4">
        <w:rPr>
          <w:sz w:val="20"/>
          <w:szCs w:val="20"/>
        </w:rPr>
        <w:t xml:space="preserve">, ‘Catherine’, in Scott, </w:t>
      </w:r>
      <w:r w:rsidRPr="002913C4">
        <w:rPr>
          <w:i/>
          <w:sz w:val="20"/>
          <w:szCs w:val="20"/>
        </w:rPr>
        <w:t>Enlightened</w:t>
      </w:r>
      <w:r w:rsidRPr="002913C4">
        <w:rPr>
          <w:sz w:val="20"/>
          <w:szCs w:val="20"/>
        </w:rPr>
        <w:t xml:space="preserve">, 306; Oppenheim, </w:t>
      </w:r>
      <w:r w:rsidRPr="002913C4">
        <w:rPr>
          <w:i/>
          <w:sz w:val="20"/>
          <w:szCs w:val="20"/>
        </w:rPr>
        <w:t>Europe</w:t>
      </w:r>
      <w:r w:rsidRPr="002913C4">
        <w:rPr>
          <w:sz w:val="20"/>
          <w:szCs w:val="20"/>
        </w:rPr>
        <w:t>, 66.</w:t>
      </w:r>
    </w:p>
  </w:footnote>
  <w:footnote w:id="4">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Beccaria, </w:t>
      </w:r>
      <w:r w:rsidRPr="002913C4">
        <w:rPr>
          <w:i/>
          <w:sz w:val="20"/>
          <w:szCs w:val="20"/>
        </w:rPr>
        <w:t>On Crimes</w:t>
      </w:r>
      <w:r w:rsidRPr="002913C4">
        <w:rPr>
          <w:sz w:val="20"/>
          <w:szCs w:val="20"/>
        </w:rPr>
        <w:t>, 29-34, 73-75</w:t>
      </w:r>
      <w:r>
        <w:rPr>
          <w:sz w:val="20"/>
          <w:szCs w:val="20"/>
        </w:rPr>
        <w:t>.</w:t>
      </w:r>
    </w:p>
  </w:footnote>
  <w:footnote w:id="5">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Oppenheim, </w:t>
      </w:r>
      <w:r w:rsidRPr="002913C4">
        <w:rPr>
          <w:i/>
          <w:sz w:val="20"/>
          <w:szCs w:val="20"/>
        </w:rPr>
        <w:t>Europe</w:t>
      </w:r>
      <w:r w:rsidRPr="002913C4">
        <w:rPr>
          <w:sz w:val="20"/>
          <w:szCs w:val="20"/>
        </w:rPr>
        <w:t>, 66</w:t>
      </w:r>
      <w:r>
        <w:rPr>
          <w:sz w:val="20"/>
          <w:szCs w:val="20"/>
        </w:rPr>
        <w:t>.</w:t>
      </w:r>
    </w:p>
  </w:footnote>
  <w:footnote w:id="6">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Pr>
          <w:sz w:val="20"/>
          <w:szCs w:val="20"/>
        </w:rPr>
        <w:t>D</w:t>
      </w:r>
      <w:r w:rsidRPr="002913C4">
        <w:rPr>
          <w:sz w:val="20"/>
          <w:szCs w:val="20"/>
        </w:rPr>
        <w:t xml:space="preserve">e </w:t>
      </w:r>
      <w:proofErr w:type="spellStart"/>
      <w:r w:rsidRPr="002913C4">
        <w:rPr>
          <w:sz w:val="20"/>
          <w:szCs w:val="20"/>
        </w:rPr>
        <w:t>Madariaga</w:t>
      </w:r>
      <w:proofErr w:type="spellEnd"/>
      <w:r w:rsidRPr="002913C4">
        <w:rPr>
          <w:sz w:val="20"/>
          <w:szCs w:val="20"/>
        </w:rPr>
        <w:t xml:space="preserve">, ‘Catherine’, in Scott, </w:t>
      </w:r>
      <w:r w:rsidRPr="002913C4">
        <w:rPr>
          <w:i/>
          <w:sz w:val="20"/>
          <w:szCs w:val="20"/>
        </w:rPr>
        <w:t>Europe</w:t>
      </w:r>
      <w:r w:rsidRPr="002913C4">
        <w:rPr>
          <w:sz w:val="20"/>
          <w:szCs w:val="20"/>
        </w:rPr>
        <w:t>, 298-299</w:t>
      </w:r>
      <w:r>
        <w:rPr>
          <w:sz w:val="20"/>
          <w:szCs w:val="20"/>
        </w:rPr>
        <w:t>.</w:t>
      </w:r>
    </w:p>
  </w:footnote>
  <w:footnote w:id="7">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Beccaria, </w:t>
      </w:r>
      <w:r w:rsidRPr="002913C4">
        <w:rPr>
          <w:i/>
          <w:sz w:val="20"/>
          <w:szCs w:val="20"/>
        </w:rPr>
        <w:t>On Crimes</w:t>
      </w:r>
      <w:r w:rsidRPr="002913C4">
        <w:rPr>
          <w:sz w:val="20"/>
          <w:szCs w:val="20"/>
        </w:rPr>
        <w:t>, 24-26, 51-52</w:t>
      </w:r>
      <w:r>
        <w:rPr>
          <w:sz w:val="20"/>
          <w:szCs w:val="20"/>
        </w:rPr>
        <w:t>.</w:t>
      </w:r>
    </w:p>
  </w:footnote>
  <w:footnote w:id="8">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T. </w:t>
      </w:r>
      <w:proofErr w:type="spellStart"/>
      <w:r w:rsidRPr="002913C4">
        <w:rPr>
          <w:sz w:val="20"/>
          <w:szCs w:val="20"/>
        </w:rPr>
        <w:t>Blanning</w:t>
      </w:r>
      <w:proofErr w:type="spellEnd"/>
      <w:r w:rsidRPr="002913C4">
        <w:rPr>
          <w:sz w:val="20"/>
          <w:szCs w:val="20"/>
        </w:rPr>
        <w:t xml:space="preserve">, ‘Frederick the Great and Enlightened Absolutism’, in Scott, </w:t>
      </w:r>
      <w:r w:rsidRPr="002913C4">
        <w:rPr>
          <w:i/>
          <w:sz w:val="20"/>
          <w:szCs w:val="20"/>
        </w:rPr>
        <w:t>Europe</w:t>
      </w:r>
      <w:r w:rsidRPr="002913C4">
        <w:rPr>
          <w:sz w:val="20"/>
          <w:szCs w:val="20"/>
        </w:rPr>
        <w:t>, 283, 370.</w:t>
      </w:r>
    </w:p>
  </w:footnote>
  <w:footnote w:id="9">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sidRPr="002913C4">
        <w:rPr>
          <w:i/>
          <w:sz w:val="20"/>
          <w:szCs w:val="20"/>
        </w:rPr>
        <w:t>ibid</w:t>
      </w:r>
      <w:r w:rsidRPr="002913C4">
        <w:rPr>
          <w:sz w:val="20"/>
          <w:szCs w:val="20"/>
        </w:rPr>
        <w:t>, 283</w:t>
      </w:r>
      <w:r>
        <w:rPr>
          <w:sz w:val="20"/>
          <w:szCs w:val="20"/>
        </w:rPr>
        <w:t>.</w:t>
      </w:r>
    </w:p>
  </w:footnote>
  <w:footnote w:id="10">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Pr>
          <w:i/>
          <w:sz w:val="20"/>
          <w:szCs w:val="20"/>
        </w:rPr>
        <w:t>i</w:t>
      </w:r>
      <w:r w:rsidRPr="002913C4">
        <w:rPr>
          <w:i/>
          <w:sz w:val="20"/>
          <w:szCs w:val="20"/>
        </w:rPr>
        <w:t>bid</w:t>
      </w:r>
      <w:r>
        <w:rPr>
          <w:i/>
          <w:sz w:val="20"/>
          <w:szCs w:val="20"/>
        </w:rPr>
        <w:t>.</w:t>
      </w:r>
    </w:p>
  </w:footnote>
  <w:footnote w:id="11">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Beccaria, </w:t>
      </w:r>
      <w:r w:rsidRPr="002913C4">
        <w:rPr>
          <w:i/>
          <w:sz w:val="20"/>
          <w:szCs w:val="20"/>
        </w:rPr>
        <w:t>On Crimes</w:t>
      </w:r>
      <w:r w:rsidRPr="002913C4">
        <w:rPr>
          <w:sz w:val="20"/>
          <w:szCs w:val="20"/>
        </w:rPr>
        <w:t>, 66-72</w:t>
      </w:r>
      <w:r>
        <w:rPr>
          <w:sz w:val="20"/>
          <w:szCs w:val="20"/>
        </w:rPr>
        <w:t>.</w:t>
      </w:r>
    </w:p>
  </w:footnote>
  <w:footnote w:id="12">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proofErr w:type="spellStart"/>
      <w:r w:rsidRPr="002913C4">
        <w:rPr>
          <w:sz w:val="20"/>
          <w:szCs w:val="20"/>
        </w:rPr>
        <w:t>Blanning</w:t>
      </w:r>
      <w:proofErr w:type="spellEnd"/>
      <w:r w:rsidRPr="002913C4">
        <w:rPr>
          <w:sz w:val="20"/>
          <w:szCs w:val="20"/>
        </w:rPr>
        <w:t xml:space="preserve">, ‘Frederick’, in Scott, </w:t>
      </w:r>
      <w:r w:rsidRPr="002913C4">
        <w:rPr>
          <w:i/>
          <w:sz w:val="20"/>
          <w:szCs w:val="20"/>
        </w:rPr>
        <w:t>Europe</w:t>
      </w:r>
      <w:r w:rsidRPr="002913C4">
        <w:rPr>
          <w:sz w:val="20"/>
          <w:szCs w:val="20"/>
        </w:rPr>
        <w:t>, 283</w:t>
      </w:r>
      <w:r>
        <w:rPr>
          <w:sz w:val="20"/>
          <w:szCs w:val="20"/>
        </w:rPr>
        <w:t>.</w:t>
      </w:r>
    </w:p>
  </w:footnote>
  <w:footnote w:id="13">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sidRPr="002913C4">
        <w:rPr>
          <w:i/>
          <w:sz w:val="20"/>
          <w:szCs w:val="20"/>
        </w:rPr>
        <w:t>ibid</w:t>
      </w:r>
      <w:r w:rsidRPr="002913C4">
        <w:rPr>
          <w:sz w:val="20"/>
          <w:szCs w:val="20"/>
        </w:rPr>
        <w:t>, 284</w:t>
      </w:r>
      <w:r>
        <w:rPr>
          <w:sz w:val="20"/>
          <w:szCs w:val="20"/>
        </w:rPr>
        <w:t>.</w:t>
      </w:r>
    </w:p>
  </w:footnote>
  <w:footnote w:id="14">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sidRPr="002913C4">
        <w:rPr>
          <w:i/>
          <w:sz w:val="20"/>
          <w:szCs w:val="20"/>
        </w:rPr>
        <w:t>ibid</w:t>
      </w:r>
      <w:r w:rsidRPr="002913C4">
        <w:rPr>
          <w:sz w:val="20"/>
          <w:szCs w:val="20"/>
        </w:rPr>
        <w:t>, 266, 284</w:t>
      </w:r>
      <w:r>
        <w:rPr>
          <w:sz w:val="20"/>
          <w:szCs w:val="20"/>
        </w:rPr>
        <w:t>.</w:t>
      </w:r>
    </w:p>
  </w:footnote>
  <w:footnote w:id="15">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sidRPr="002913C4">
        <w:rPr>
          <w:i/>
          <w:sz w:val="20"/>
          <w:szCs w:val="20"/>
        </w:rPr>
        <w:t>ibid</w:t>
      </w:r>
      <w:r w:rsidRPr="002913C4">
        <w:rPr>
          <w:sz w:val="20"/>
          <w:szCs w:val="20"/>
        </w:rPr>
        <w:t>, 284</w:t>
      </w:r>
      <w:r>
        <w:rPr>
          <w:sz w:val="20"/>
          <w:szCs w:val="20"/>
        </w:rPr>
        <w:t>.</w:t>
      </w:r>
    </w:p>
  </w:footnote>
  <w:footnote w:id="16">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Beccaria, </w:t>
      </w:r>
      <w:r w:rsidRPr="002913C4">
        <w:rPr>
          <w:i/>
          <w:sz w:val="20"/>
          <w:szCs w:val="20"/>
        </w:rPr>
        <w:t>On Crimes</w:t>
      </w:r>
      <w:r w:rsidRPr="002913C4">
        <w:rPr>
          <w:sz w:val="20"/>
          <w:szCs w:val="20"/>
        </w:rPr>
        <w:t>, 12-13</w:t>
      </w:r>
      <w:r>
        <w:rPr>
          <w:sz w:val="20"/>
          <w:szCs w:val="20"/>
        </w:rPr>
        <w:t>.</w:t>
      </w:r>
    </w:p>
  </w:footnote>
  <w:footnote w:id="17">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sidRPr="002913C4">
        <w:rPr>
          <w:i/>
          <w:sz w:val="20"/>
          <w:szCs w:val="20"/>
        </w:rPr>
        <w:t>ibid</w:t>
      </w:r>
      <w:r w:rsidRPr="002913C4">
        <w:rPr>
          <w:sz w:val="20"/>
          <w:szCs w:val="20"/>
        </w:rPr>
        <w:t>, 14-16</w:t>
      </w:r>
      <w:r>
        <w:rPr>
          <w:sz w:val="20"/>
          <w:szCs w:val="20"/>
        </w:rPr>
        <w:t>.</w:t>
      </w:r>
    </w:p>
  </w:footnote>
  <w:footnote w:id="18">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r w:rsidRPr="002913C4">
        <w:rPr>
          <w:i/>
          <w:sz w:val="20"/>
          <w:szCs w:val="20"/>
        </w:rPr>
        <w:t>ibid</w:t>
      </w:r>
      <w:r w:rsidRPr="002913C4">
        <w:rPr>
          <w:sz w:val="20"/>
          <w:szCs w:val="20"/>
        </w:rPr>
        <w:t>, 64-65</w:t>
      </w:r>
      <w:r>
        <w:rPr>
          <w:sz w:val="20"/>
          <w:szCs w:val="20"/>
        </w:rPr>
        <w:t>.</w:t>
      </w:r>
    </w:p>
  </w:footnote>
  <w:footnote w:id="19">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De </w:t>
      </w:r>
      <w:proofErr w:type="spellStart"/>
      <w:r w:rsidRPr="002913C4">
        <w:rPr>
          <w:sz w:val="20"/>
          <w:szCs w:val="20"/>
        </w:rPr>
        <w:t>Madariaga</w:t>
      </w:r>
      <w:proofErr w:type="spellEnd"/>
      <w:r w:rsidRPr="002913C4">
        <w:rPr>
          <w:sz w:val="20"/>
          <w:szCs w:val="20"/>
        </w:rPr>
        <w:t xml:space="preserve">, ‘Catherine’, in Scott, </w:t>
      </w:r>
      <w:r w:rsidRPr="002913C4">
        <w:rPr>
          <w:i/>
          <w:sz w:val="20"/>
          <w:szCs w:val="20"/>
        </w:rPr>
        <w:t>Europe</w:t>
      </w:r>
      <w:r w:rsidRPr="002913C4">
        <w:rPr>
          <w:sz w:val="20"/>
          <w:szCs w:val="20"/>
        </w:rPr>
        <w:t xml:space="preserve">, 293. De </w:t>
      </w:r>
      <w:proofErr w:type="spellStart"/>
      <w:r w:rsidRPr="002913C4">
        <w:rPr>
          <w:sz w:val="20"/>
          <w:szCs w:val="20"/>
        </w:rPr>
        <w:t>Madariaga</w:t>
      </w:r>
      <w:proofErr w:type="spellEnd"/>
      <w:r w:rsidRPr="002913C4">
        <w:rPr>
          <w:sz w:val="20"/>
          <w:szCs w:val="20"/>
        </w:rPr>
        <w:t xml:space="preserve"> also sees humanitarianism in Beccaria’s work, though Douglas Hay and Franco </w:t>
      </w:r>
      <w:proofErr w:type="spellStart"/>
      <w:r w:rsidRPr="002913C4">
        <w:rPr>
          <w:sz w:val="20"/>
          <w:szCs w:val="20"/>
        </w:rPr>
        <w:t>Venturi</w:t>
      </w:r>
      <w:proofErr w:type="spellEnd"/>
      <w:r w:rsidRPr="002913C4">
        <w:rPr>
          <w:sz w:val="20"/>
          <w:szCs w:val="20"/>
        </w:rPr>
        <w:t xml:space="preserve"> have previously argued against such a notion in D. Hay et al, </w:t>
      </w:r>
      <w:r w:rsidRPr="002913C4">
        <w:rPr>
          <w:i/>
          <w:sz w:val="20"/>
          <w:szCs w:val="20"/>
        </w:rPr>
        <w:t>Albion’s Fatal Tree: Crime and Society in Eighteenth-Century England</w:t>
      </w:r>
      <w:r w:rsidRPr="002913C4">
        <w:rPr>
          <w:sz w:val="20"/>
          <w:szCs w:val="20"/>
        </w:rPr>
        <w:t xml:space="preserve"> (Harmondsworth: Penguin, 1977), 58; F. </w:t>
      </w:r>
      <w:proofErr w:type="spellStart"/>
      <w:r w:rsidRPr="002913C4">
        <w:rPr>
          <w:sz w:val="20"/>
          <w:szCs w:val="20"/>
        </w:rPr>
        <w:t>Venturi</w:t>
      </w:r>
      <w:proofErr w:type="spellEnd"/>
      <w:r w:rsidRPr="002913C4">
        <w:rPr>
          <w:sz w:val="20"/>
          <w:szCs w:val="20"/>
        </w:rPr>
        <w:t xml:space="preserve">, </w:t>
      </w:r>
      <w:r w:rsidRPr="002913C4">
        <w:rPr>
          <w:i/>
          <w:sz w:val="20"/>
          <w:szCs w:val="20"/>
        </w:rPr>
        <w:t>Utopia and Reform in the Enlightenment</w:t>
      </w:r>
      <w:r w:rsidRPr="002913C4">
        <w:rPr>
          <w:sz w:val="20"/>
          <w:szCs w:val="20"/>
        </w:rPr>
        <w:t xml:space="preserve"> (Cambridge: Cambridge University Press, 1971), 100-102.</w:t>
      </w:r>
    </w:p>
  </w:footnote>
  <w:footnote w:id="20">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proofErr w:type="spellStart"/>
      <w:r w:rsidRPr="002913C4">
        <w:rPr>
          <w:sz w:val="20"/>
          <w:szCs w:val="20"/>
        </w:rPr>
        <w:t>Blanning</w:t>
      </w:r>
      <w:proofErr w:type="spellEnd"/>
      <w:r w:rsidRPr="002913C4">
        <w:rPr>
          <w:sz w:val="20"/>
          <w:szCs w:val="20"/>
        </w:rPr>
        <w:t xml:space="preserve">, ‘Frederick’, in Scott, </w:t>
      </w:r>
      <w:r w:rsidRPr="002913C4">
        <w:rPr>
          <w:i/>
          <w:sz w:val="20"/>
          <w:szCs w:val="20"/>
        </w:rPr>
        <w:t>Europe</w:t>
      </w:r>
      <w:r w:rsidRPr="002913C4">
        <w:rPr>
          <w:sz w:val="20"/>
          <w:szCs w:val="20"/>
        </w:rPr>
        <w:t>, 277-278</w:t>
      </w:r>
      <w:r>
        <w:rPr>
          <w:sz w:val="20"/>
          <w:szCs w:val="20"/>
        </w:rPr>
        <w:t>.</w:t>
      </w:r>
    </w:p>
  </w:footnote>
  <w:footnote w:id="21">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Beccaria, </w:t>
      </w:r>
      <w:r w:rsidRPr="002913C4">
        <w:rPr>
          <w:i/>
          <w:sz w:val="20"/>
          <w:szCs w:val="20"/>
        </w:rPr>
        <w:t>On Crimes</w:t>
      </w:r>
      <w:r w:rsidRPr="002913C4">
        <w:rPr>
          <w:sz w:val="20"/>
          <w:szCs w:val="20"/>
        </w:rPr>
        <w:t>, 20</w:t>
      </w:r>
      <w:r>
        <w:rPr>
          <w:sz w:val="20"/>
          <w:szCs w:val="20"/>
        </w:rPr>
        <w:t>.</w:t>
      </w:r>
    </w:p>
  </w:footnote>
  <w:footnote w:id="22">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w:t>
      </w:r>
      <w:proofErr w:type="spellStart"/>
      <w:r w:rsidRPr="002913C4">
        <w:rPr>
          <w:sz w:val="20"/>
          <w:szCs w:val="20"/>
        </w:rPr>
        <w:t>Blanning</w:t>
      </w:r>
      <w:proofErr w:type="spellEnd"/>
      <w:r w:rsidRPr="002913C4">
        <w:rPr>
          <w:sz w:val="20"/>
          <w:szCs w:val="20"/>
        </w:rPr>
        <w:t xml:space="preserve">, ‘Frederick’, in Scott, </w:t>
      </w:r>
      <w:r w:rsidRPr="002913C4">
        <w:rPr>
          <w:i/>
          <w:sz w:val="20"/>
          <w:szCs w:val="20"/>
        </w:rPr>
        <w:t>Europe</w:t>
      </w:r>
      <w:r w:rsidRPr="002913C4">
        <w:rPr>
          <w:sz w:val="20"/>
          <w:szCs w:val="20"/>
        </w:rPr>
        <w:t>, 277-278</w:t>
      </w:r>
      <w:r>
        <w:rPr>
          <w:sz w:val="20"/>
          <w:szCs w:val="20"/>
        </w:rPr>
        <w:t>.</w:t>
      </w:r>
    </w:p>
  </w:footnote>
  <w:footnote w:id="23">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Hay et al, </w:t>
      </w:r>
      <w:r w:rsidRPr="002913C4">
        <w:rPr>
          <w:i/>
          <w:sz w:val="20"/>
          <w:szCs w:val="20"/>
        </w:rPr>
        <w:t>Albio</w:t>
      </w:r>
      <w:r w:rsidRPr="002913C4">
        <w:rPr>
          <w:sz w:val="20"/>
          <w:szCs w:val="20"/>
        </w:rPr>
        <w:t>n, 56-58</w:t>
      </w:r>
      <w:r>
        <w:rPr>
          <w:sz w:val="20"/>
          <w:szCs w:val="20"/>
        </w:rPr>
        <w:t>.</w:t>
      </w:r>
    </w:p>
  </w:footnote>
  <w:footnote w:id="24">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Oppenheim, </w:t>
      </w:r>
      <w:r w:rsidRPr="002913C4">
        <w:rPr>
          <w:i/>
          <w:sz w:val="20"/>
          <w:szCs w:val="20"/>
        </w:rPr>
        <w:t>Europe</w:t>
      </w:r>
      <w:r w:rsidRPr="002913C4">
        <w:rPr>
          <w:sz w:val="20"/>
          <w:szCs w:val="20"/>
        </w:rPr>
        <w:t>, 122</w:t>
      </w:r>
      <w:r>
        <w:rPr>
          <w:sz w:val="20"/>
          <w:szCs w:val="20"/>
        </w:rPr>
        <w:t>.</w:t>
      </w:r>
    </w:p>
  </w:footnote>
  <w:footnote w:id="25">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M. S. Anderson, ‘The Italian Reformers’, in Scott, </w:t>
      </w:r>
      <w:r w:rsidRPr="002913C4">
        <w:rPr>
          <w:i/>
          <w:sz w:val="20"/>
          <w:szCs w:val="20"/>
        </w:rPr>
        <w:t>Europe</w:t>
      </w:r>
      <w:r w:rsidRPr="002913C4">
        <w:rPr>
          <w:sz w:val="20"/>
          <w:szCs w:val="20"/>
        </w:rPr>
        <w:t>, 65</w:t>
      </w:r>
      <w:r>
        <w:rPr>
          <w:sz w:val="20"/>
          <w:szCs w:val="20"/>
        </w:rPr>
        <w:t>.</w:t>
      </w:r>
    </w:p>
  </w:footnote>
  <w:footnote w:id="26">
    <w:p w:rsidR="002913C4" w:rsidRPr="002913C4" w:rsidRDefault="002913C4" w:rsidP="00F14DC0">
      <w:pPr>
        <w:pStyle w:val="NoSpacing"/>
        <w:ind w:left="142" w:hanging="142"/>
        <w:rPr>
          <w:sz w:val="20"/>
          <w:szCs w:val="20"/>
        </w:rPr>
      </w:pPr>
      <w:r w:rsidRPr="002913C4">
        <w:rPr>
          <w:rStyle w:val="FootnoteReference"/>
          <w:sz w:val="20"/>
          <w:szCs w:val="20"/>
        </w:rPr>
        <w:footnoteRef/>
      </w:r>
      <w:r w:rsidRPr="002913C4">
        <w:rPr>
          <w:sz w:val="20"/>
          <w:szCs w:val="20"/>
        </w:rPr>
        <w:t xml:space="preserve"> B. Harcourt, ‘Beccaria's “On Crimes and Punishments”: A Mirror on the History of the Foundations of Modern Criminal Law’ (Coase-Sandor Institute for Law &amp; Economics Working Paper No. 648, 2013), 8. [Online]. Available: </w:t>
      </w:r>
      <w:hyperlink r:id="rId1" w:history="1">
        <w:r w:rsidRPr="002913C4">
          <w:rPr>
            <w:rStyle w:val="Hyperlink"/>
            <w:rFonts w:cstheme="minorHAnsi"/>
            <w:sz w:val="20"/>
            <w:szCs w:val="20"/>
          </w:rPr>
          <w:t>http://chicagounbound.uchicago.edu/cgi/viewcontent.cgi?article=1633&amp;context=law_and_economics/</w:t>
        </w:r>
      </w:hyperlink>
      <w:r w:rsidRPr="002913C4">
        <w:rPr>
          <w:sz w:val="20"/>
          <w:szCs w:val="20"/>
        </w:rPr>
        <w:t xml:space="preserve"> [Accessed on 15 December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68E" w:rsidRPr="00F6368E" w:rsidRDefault="00F6368E" w:rsidP="00F6368E">
    <w:pPr>
      <w:pStyle w:val="Header"/>
      <w:jc w:val="right"/>
      <w:rPr>
        <w:sz w:val="18"/>
        <w:szCs w:val="18"/>
      </w:rPr>
    </w:pPr>
    <w:r w:rsidRPr="00F6368E">
      <w:rPr>
        <w:sz w:val="18"/>
        <w:szCs w:val="18"/>
      </w:rPr>
      <w:t>Steven Goodwin</w:t>
    </w:r>
  </w:p>
  <w:p w:rsidR="00F6368E" w:rsidRDefault="00F636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9D"/>
    <w:rsid w:val="000101BB"/>
    <w:rsid w:val="0002556C"/>
    <w:rsid w:val="0004177B"/>
    <w:rsid w:val="000456E8"/>
    <w:rsid w:val="000A1F4E"/>
    <w:rsid w:val="000E165D"/>
    <w:rsid w:val="000F1A2F"/>
    <w:rsid w:val="001454FD"/>
    <w:rsid w:val="001A5F0E"/>
    <w:rsid w:val="001B7077"/>
    <w:rsid w:val="00204526"/>
    <w:rsid w:val="00247676"/>
    <w:rsid w:val="002913C4"/>
    <w:rsid w:val="002A5560"/>
    <w:rsid w:val="002A5690"/>
    <w:rsid w:val="002E73F7"/>
    <w:rsid w:val="002F286B"/>
    <w:rsid w:val="003C587F"/>
    <w:rsid w:val="003D3BA7"/>
    <w:rsid w:val="003D63EA"/>
    <w:rsid w:val="004404AF"/>
    <w:rsid w:val="004447E2"/>
    <w:rsid w:val="00460629"/>
    <w:rsid w:val="00482E5B"/>
    <w:rsid w:val="00503EF7"/>
    <w:rsid w:val="005D1213"/>
    <w:rsid w:val="005D6BF4"/>
    <w:rsid w:val="005F72EC"/>
    <w:rsid w:val="00683442"/>
    <w:rsid w:val="00691FF0"/>
    <w:rsid w:val="00733D47"/>
    <w:rsid w:val="00766D9D"/>
    <w:rsid w:val="007950CF"/>
    <w:rsid w:val="008328EC"/>
    <w:rsid w:val="00867536"/>
    <w:rsid w:val="0088145B"/>
    <w:rsid w:val="008A3378"/>
    <w:rsid w:val="008C410E"/>
    <w:rsid w:val="008C7E00"/>
    <w:rsid w:val="009825DD"/>
    <w:rsid w:val="009A1BEC"/>
    <w:rsid w:val="009B0DF2"/>
    <w:rsid w:val="009D3A10"/>
    <w:rsid w:val="009E3D40"/>
    <w:rsid w:val="009E7F9B"/>
    <w:rsid w:val="00A2150B"/>
    <w:rsid w:val="00A26563"/>
    <w:rsid w:val="00A558C8"/>
    <w:rsid w:val="00A83E5C"/>
    <w:rsid w:val="00AA2A58"/>
    <w:rsid w:val="00B11C5A"/>
    <w:rsid w:val="00B65663"/>
    <w:rsid w:val="00B91442"/>
    <w:rsid w:val="00BB3AE5"/>
    <w:rsid w:val="00CD6CFD"/>
    <w:rsid w:val="00D04B62"/>
    <w:rsid w:val="00D35177"/>
    <w:rsid w:val="00E37ACD"/>
    <w:rsid w:val="00EF733E"/>
    <w:rsid w:val="00F121E9"/>
    <w:rsid w:val="00F14DC0"/>
    <w:rsid w:val="00F22869"/>
    <w:rsid w:val="00F45C57"/>
    <w:rsid w:val="00F6368E"/>
    <w:rsid w:val="00F8445E"/>
    <w:rsid w:val="00F944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9D341"/>
  <w15:chartTrackingRefBased/>
  <w15:docId w15:val="{679E0A0E-FCEE-45DB-9A20-F0712C19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04AF"/>
    <w:rPr>
      <w:color w:val="0563C1" w:themeColor="hyperlink"/>
      <w:u w:val="single"/>
    </w:rPr>
  </w:style>
  <w:style w:type="character" w:styleId="UnresolvedMention">
    <w:name w:val="Unresolved Mention"/>
    <w:basedOn w:val="DefaultParagraphFont"/>
    <w:uiPriority w:val="99"/>
    <w:semiHidden/>
    <w:unhideWhenUsed/>
    <w:rsid w:val="004404AF"/>
    <w:rPr>
      <w:color w:val="808080"/>
      <w:shd w:val="clear" w:color="auto" w:fill="E6E6E6"/>
    </w:rPr>
  </w:style>
  <w:style w:type="paragraph" w:styleId="FootnoteText">
    <w:name w:val="footnote text"/>
    <w:basedOn w:val="Normal"/>
    <w:link w:val="FootnoteTextChar"/>
    <w:uiPriority w:val="99"/>
    <w:semiHidden/>
    <w:unhideWhenUsed/>
    <w:rsid w:val="002F28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286B"/>
    <w:rPr>
      <w:sz w:val="20"/>
      <w:szCs w:val="20"/>
    </w:rPr>
  </w:style>
  <w:style w:type="character" w:styleId="FootnoteReference">
    <w:name w:val="footnote reference"/>
    <w:basedOn w:val="DefaultParagraphFont"/>
    <w:uiPriority w:val="99"/>
    <w:semiHidden/>
    <w:unhideWhenUsed/>
    <w:rsid w:val="002F286B"/>
    <w:rPr>
      <w:vertAlign w:val="superscript"/>
    </w:rPr>
  </w:style>
  <w:style w:type="character" w:styleId="Emphasis">
    <w:name w:val="Emphasis"/>
    <w:basedOn w:val="DefaultParagraphFont"/>
    <w:uiPriority w:val="20"/>
    <w:qFormat/>
    <w:rsid w:val="00A558C8"/>
    <w:rPr>
      <w:i/>
      <w:iCs/>
    </w:rPr>
  </w:style>
  <w:style w:type="paragraph" w:styleId="NoSpacing">
    <w:name w:val="No Spacing"/>
    <w:uiPriority w:val="1"/>
    <w:qFormat/>
    <w:rsid w:val="00204526"/>
    <w:pPr>
      <w:spacing w:after="0" w:line="240" w:lineRule="auto"/>
    </w:pPr>
  </w:style>
  <w:style w:type="paragraph" w:styleId="Header">
    <w:name w:val="header"/>
    <w:basedOn w:val="Normal"/>
    <w:link w:val="HeaderChar"/>
    <w:uiPriority w:val="99"/>
    <w:unhideWhenUsed/>
    <w:rsid w:val="00F63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68E"/>
  </w:style>
  <w:style w:type="paragraph" w:styleId="Footer">
    <w:name w:val="footer"/>
    <w:basedOn w:val="Normal"/>
    <w:link w:val="FooterChar"/>
    <w:uiPriority w:val="99"/>
    <w:unhideWhenUsed/>
    <w:rsid w:val="00F63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hicagounbound.uchicago.edu/cgi/viewcontent.cgi?article=1633&amp;context=law_and_economic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chicagounbound.uchicago.edu/cgi/viewcontent.cgi?article=1633&amp;context=law_and_econo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FC929-7EF2-40E4-857D-1DF678EB5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1324</Words>
  <Characters>7352</Characters>
  <Application>Microsoft Office Word</Application>
  <DocSecurity>0</DocSecurity>
  <Lines>113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dc:creator>
  <cp:keywords/>
  <dc:description/>
  <cp:lastModifiedBy>Steven -</cp:lastModifiedBy>
  <cp:revision>3</cp:revision>
  <dcterms:created xsi:type="dcterms:W3CDTF">2017-12-15T22:02:00Z</dcterms:created>
  <dcterms:modified xsi:type="dcterms:W3CDTF">2017-12-15T22:03:00Z</dcterms:modified>
</cp:coreProperties>
</file>