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0F98D"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6C5284F7"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34C3E367"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59F7C101"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10B4345C"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6C495D99"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5598AEEA"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5D7B3C6B"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5BC9C6E9"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66E0C404"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57CCB275" w14:textId="77777777" w:rsidR="001D798D" w:rsidRDefault="001D798D">
      <w:pPr>
        <w:pBdr>
          <w:top w:val="nil"/>
          <w:left w:val="nil"/>
          <w:bottom w:val="nil"/>
          <w:right w:val="nil"/>
          <w:between w:val="nil"/>
        </w:pBdr>
        <w:jc w:val="center"/>
        <w:rPr>
          <w:rFonts w:ascii="Times New Roman" w:eastAsia="Times New Roman" w:hAnsi="Times New Roman" w:cs="Times New Roman"/>
          <w:b/>
          <w:color w:val="000000"/>
          <w:sz w:val="36"/>
          <w:szCs w:val="36"/>
        </w:rPr>
      </w:pPr>
    </w:p>
    <w:p w14:paraId="62E706A6" w14:textId="77777777" w:rsidR="001D798D" w:rsidRDefault="00E52170">
      <w:pPr>
        <w:pBdr>
          <w:top w:val="nil"/>
          <w:left w:val="nil"/>
          <w:bottom w:val="nil"/>
          <w:right w:val="nil"/>
          <w:between w:val="nil"/>
        </w:pBdr>
        <w:jc w:val="center"/>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 xml:space="preserve">PROBLEM-SOLVING AND DECISION MAKING </w:t>
      </w:r>
    </w:p>
    <w:p w14:paraId="53F6E778" w14:textId="77777777" w:rsidR="001D798D" w:rsidRDefault="00E52170">
      <w:pPr>
        <w:pBdr>
          <w:top w:val="nil"/>
          <w:left w:val="nil"/>
          <w:bottom w:val="nil"/>
          <w:right w:val="nil"/>
          <w:between w:val="nil"/>
        </w:pBdr>
        <w:jc w:val="center"/>
        <w:rPr>
          <w:color w:val="000000"/>
        </w:rPr>
      </w:pPr>
      <w:r>
        <w:br w:type="page"/>
      </w:r>
    </w:p>
    <w:p w14:paraId="421AC647" w14:textId="77777777" w:rsidR="001D798D" w:rsidRDefault="00E52170">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8"/>
          <w:szCs w:val="28"/>
        </w:rPr>
        <w:lastRenderedPageBreak/>
        <w:t>Table of Contents</w:t>
      </w:r>
    </w:p>
    <w:sdt>
      <w:sdtPr>
        <w:id w:val="1729463469"/>
        <w:docPartObj>
          <w:docPartGallery w:val="Table of Contents"/>
          <w:docPartUnique/>
        </w:docPartObj>
      </w:sdtPr>
      <w:sdtEndPr/>
      <w:sdtContent>
        <w:p w14:paraId="183569E9" w14:textId="77777777" w:rsidR="001D798D" w:rsidRDefault="001D798D">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rsidR="00E52170">
            <w:instrText xml:space="preserve"> TOC \h \u \z </w:instrText>
          </w:r>
          <w:r>
            <w:fldChar w:fldCharType="separate"/>
          </w:r>
          <w:hyperlink w:anchor="_heading=h.gjdgxs">
            <w:r w:rsidR="00E52170">
              <w:rPr>
                <w:rFonts w:ascii="Times New Roman" w:eastAsia="Times New Roman" w:hAnsi="Times New Roman" w:cs="Times New Roman"/>
                <w:color w:val="000000"/>
                <w:sz w:val="24"/>
                <w:szCs w:val="24"/>
              </w:rPr>
              <w:t>Task 2: Report</w:t>
            </w:r>
            <w:r w:rsidR="00E52170">
              <w:rPr>
                <w:rFonts w:ascii="Times New Roman" w:eastAsia="Times New Roman" w:hAnsi="Times New Roman" w:cs="Times New Roman"/>
                <w:color w:val="000000"/>
                <w:sz w:val="24"/>
                <w:szCs w:val="24"/>
              </w:rPr>
              <w:tab/>
              <w:t>4</w:t>
            </w:r>
          </w:hyperlink>
        </w:p>
        <w:p w14:paraId="542CDA7F"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0j0zll">
            <w:r w:rsidR="00E52170">
              <w:rPr>
                <w:rFonts w:ascii="Times New Roman" w:eastAsia="Times New Roman" w:hAnsi="Times New Roman" w:cs="Times New Roman"/>
                <w:color w:val="000000"/>
                <w:sz w:val="24"/>
                <w:szCs w:val="24"/>
              </w:rPr>
              <w:t>1. Introduction</w:t>
            </w:r>
            <w:r w:rsidR="00E52170">
              <w:rPr>
                <w:rFonts w:ascii="Times New Roman" w:eastAsia="Times New Roman" w:hAnsi="Times New Roman" w:cs="Times New Roman"/>
                <w:color w:val="000000"/>
                <w:sz w:val="24"/>
                <w:szCs w:val="24"/>
              </w:rPr>
              <w:tab/>
              <w:t>4</w:t>
            </w:r>
          </w:hyperlink>
        </w:p>
        <w:p w14:paraId="57C72595"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fob9te">
            <w:r w:rsidR="00E52170">
              <w:rPr>
                <w:rFonts w:ascii="Times New Roman" w:eastAsia="Times New Roman" w:hAnsi="Times New Roman" w:cs="Times New Roman"/>
                <w:color w:val="000000"/>
                <w:sz w:val="24"/>
                <w:szCs w:val="24"/>
              </w:rPr>
              <w:t>2. Identifying the discussions on natural and impacts of complex problems on employees and its organisation</w:t>
            </w:r>
            <w:r w:rsidR="00E52170">
              <w:rPr>
                <w:rFonts w:ascii="Times New Roman" w:eastAsia="Times New Roman" w:hAnsi="Times New Roman" w:cs="Times New Roman"/>
                <w:color w:val="000000"/>
                <w:sz w:val="24"/>
                <w:szCs w:val="24"/>
              </w:rPr>
              <w:tab/>
              <w:t>4</w:t>
            </w:r>
          </w:hyperlink>
        </w:p>
        <w:p w14:paraId="0DF9B11B"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r w:rsidR="00E52170">
              <w:rPr>
                <w:rFonts w:ascii="Times New Roman" w:eastAsia="Times New Roman" w:hAnsi="Times New Roman" w:cs="Times New Roman"/>
                <w:color w:val="000000"/>
                <w:sz w:val="24"/>
                <w:szCs w:val="24"/>
              </w:rPr>
              <w:t>3. PESTEL analysis of the macro-environment that is factors contributing to the complex problems</w:t>
            </w:r>
            <w:r w:rsidR="00E52170">
              <w:rPr>
                <w:rFonts w:ascii="Times New Roman" w:eastAsia="Times New Roman" w:hAnsi="Times New Roman" w:cs="Times New Roman"/>
                <w:color w:val="000000"/>
                <w:sz w:val="24"/>
                <w:szCs w:val="24"/>
              </w:rPr>
              <w:tab/>
              <w:t>4</w:t>
            </w:r>
          </w:hyperlink>
        </w:p>
        <w:p w14:paraId="3F0C0278"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r w:rsidR="00E52170">
              <w:rPr>
                <w:rFonts w:ascii="Times New Roman" w:eastAsia="Times New Roman" w:hAnsi="Times New Roman" w:cs="Times New Roman"/>
                <w:color w:val="000000"/>
                <w:sz w:val="24"/>
                <w:szCs w:val="24"/>
              </w:rPr>
              <w:t>4. Analysing the causes and effects of the complex problems</w:t>
            </w:r>
            <w:r w:rsidR="00E52170">
              <w:rPr>
                <w:rFonts w:ascii="Times New Roman" w:eastAsia="Times New Roman" w:hAnsi="Times New Roman" w:cs="Times New Roman"/>
                <w:color w:val="000000"/>
                <w:sz w:val="24"/>
                <w:szCs w:val="24"/>
              </w:rPr>
              <w:tab/>
              <w:t>7</w:t>
            </w:r>
          </w:hyperlink>
        </w:p>
        <w:p w14:paraId="4AC78F22"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tyjcwt">
            <w:r w:rsidR="00E52170">
              <w:rPr>
                <w:rFonts w:ascii="Times New Roman" w:eastAsia="Times New Roman" w:hAnsi="Times New Roman" w:cs="Times New Roman"/>
                <w:color w:val="000000"/>
                <w:sz w:val="24"/>
                <w:szCs w:val="24"/>
              </w:rPr>
              <w:t>5. Evaluating alternative solutions that on absenteeism with aim of choosing the most appropriate solutions among these alternatives</w:t>
            </w:r>
            <w:r w:rsidR="00E52170">
              <w:rPr>
                <w:rFonts w:ascii="Times New Roman" w:eastAsia="Times New Roman" w:hAnsi="Times New Roman" w:cs="Times New Roman"/>
                <w:color w:val="000000"/>
                <w:sz w:val="24"/>
                <w:szCs w:val="24"/>
              </w:rPr>
              <w:tab/>
              <w:t>8</w:t>
            </w:r>
          </w:hyperlink>
        </w:p>
        <w:p w14:paraId="64CAE783"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dy6vkm">
            <w:r w:rsidR="00E52170">
              <w:rPr>
                <w:rFonts w:ascii="Times New Roman" w:eastAsia="Times New Roman" w:hAnsi="Times New Roman" w:cs="Times New Roman"/>
                <w:color w:val="000000"/>
                <w:sz w:val="24"/>
                <w:szCs w:val="24"/>
              </w:rPr>
              <w:t>6. Identifying the plan implementation on the decisions that can easily be solving complex issues</w:t>
            </w:r>
            <w:r w:rsidR="00E52170">
              <w:rPr>
                <w:rFonts w:ascii="Times New Roman" w:eastAsia="Times New Roman" w:hAnsi="Times New Roman" w:cs="Times New Roman"/>
                <w:color w:val="000000"/>
                <w:sz w:val="24"/>
                <w:szCs w:val="24"/>
              </w:rPr>
              <w:tab/>
              <w:t>8</w:t>
            </w:r>
          </w:hyperlink>
        </w:p>
        <w:p w14:paraId="57207676"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r w:rsidR="00E52170">
              <w:rPr>
                <w:rFonts w:ascii="Times New Roman" w:eastAsia="Times New Roman" w:hAnsi="Times New Roman" w:cs="Times New Roman"/>
                <w:color w:val="000000"/>
                <w:sz w:val="24"/>
                <w:szCs w:val="24"/>
              </w:rPr>
              <w:t>7. Measuring the effectiveness of the decisions that are taken previously</w:t>
            </w:r>
            <w:r w:rsidR="00E52170">
              <w:rPr>
                <w:rFonts w:ascii="Times New Roman" w:eastAsia="Times New Roman" w:hAnsi="Times New Roman" w:cs="Times New Roman"/>
                <w:color w:val="000000"/>
                <w:sz w:val="24"/>
                <w:szCs w:val="24"/>
              </w:rPr>
              <w:tab/>
              <w:t>8</w:t>
            </w:r>
          </w:hyperlink>
        </w:p>
        <w:p w14:paraId="136D7FF6" w14:textId="77777777" w:rsidR="001D798D" w:rsidRDefault="00E54669">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4d34og8">
            <w:r w:rsidR="00E52170">
              <w:rPr>
                <w:rFonts w:ascii="Times New Roman" w:eastAsia="Times New Roman" w:hAnsi="Times New Roman" w:cs="Times New Roman"/>
                <w:color w:val="000000"/>
                <w:sz w:val="24"/>
                <w:szCs w:val="24"/>
              </w:rPr>
              <w:t>8. Conclusion</w:t>
            </w:r>
            <w:r w:rsidR="00E52170">
              <w:rPr>
                <w:rFonts w:ascii="Times New Roman" w:eastAsia="Times New Roman" w:hAnsi="Times New Roman" w:cs="Times New Roman"/>
                <w:color w:val="000000"/>
                <w:sz w:val="24"/>
                <w:szCs w:val="24"/>
              </w:rPr>
              <w:tab/>
              <w:t>9</w:t>
            </w:r>
          </w:hyperlink>
        </w:p>
        <w:p w14:paraId="6AD2B3D7" w14:textId="77777777" w:rsidR="001D798D" w:rsidRDefault="00E5466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s8eyo1">
            <w:r w:rsidR="00E52170">
              <w:rPr>
                <w:rFonts w:ascii="Times New Roman" w:eastAsia="Times New Roman" w:hAnsi="Times New Roman" w:cs="Times New Roman"/>
                <w:color w:val="000000"/>
                <w:sz w:val="24"/>
                <w:szCs w:val="24"/>
              </w:rPr>
              <w:t>Reference list</w:t>
            </w:r>
            <w:r w:rsidR="00E52170">
              <w:rPr>
                <w:rFonts w:ascii="Times New Roman" w:eastAsia="Times New Roman" w:hAnsi="Times New Roman" w:cs="Times New Roman"/>
                <w:color w:val="000000"/>
                <w:sz w:val="24"/>
                <w:szCs w:val="24"/>
              </w:rPr>
              <w:tab/>
              <w:t>10</w:t>
            </w:r>
          </w:hyperlink>
        </w:p>
        <w:p w14:paraId="304A3724" w14:textId="77777777" w:rsidR="001D798D" w:rsidRDefault="001D798D">
          <w:pPr>
            <w:spacing w:line="360" w:lineRule="auto"/>
            <w:jc w:val="both"/>
            <w:rPr>
              <w:rFonts w:ascii="Times New Roman" w:eastAsia="Times New Roman" w:hAnsi="Times New Roman" w:cs="Times New Roman"/>
              <w:sz w:val="24"/>
              <w:szCs w:val="24"/>
            </w:rPr>
          </w:pPr>
          <w:r>
            <w:fldChar w:fldCharType="end"/>
          </w:r>
        </w:p>
      </w:sdtContent>
    </w:sdt>
    <w:p w14:paraId="2A32399E" w14:textId="77777777" w:rsidR="001D798D" w:rsidRDefault="001D798D">
      <w:pPr>
        <w:keepNext/>
        <w:keepLines/>
        <w:pBdr>
          <w:top w:val="nil"/>
          <w:left w:val="nil"/>
          <w:bottom w:val="nil"/>
          <w:right w:val="nil"/>
          <w:between w:val="nil"/>
        </w:pBdr>
        <w:spacing w:before="480" w:line="360" w:lineRule="auto"/>
        <w:jc w:val="both"/>
        <w:rPr>
          <w:rFonts w:ascii="Calibri" w:eastAsia="Calibri" w:hAnsi="Calibri" w:cs="Calibri"/>
          <w:color w:val="366091"/>
          <w:sz w:val="28"/>
          <w:szCs w:val="28"/>
        </w:rPr>
      </w:pPr>
    </w:p>
    <w:p w14:paraId="63D93E8F" w14:textId="77777777" w:rsidR="001D798D" w:rsidRDefault="001D798D">
      <w:pPr>
        <w:widowControl w:val="0"/>
        <w:pBdr>
          <w:top w:val="nil"/>
          <w:left w:val="nil"/>
          <w:bottom w:val="nil"/>
          <w:right w:val="nil"/>
          <w:between w:val="nil"/>
        </w:pBdr>
        <w:spacing w:before="240" w:after="240"/>
        <w:jc w:val="both"/>
        <w:rPr>
          <w:rFonts w:ascii="Times New Roman" w:eastAsia="Times New Roman" w:hAnsi="Times New Roman" w:cs="Times New Roman"/>
          <w:color w:val="000000"/>
          <w:sz w:val="24"/>
          <w:szCs w:val="24"/>
        </w:rPr>
      </w:pPr>
    </w:p>
    <w:p w14:paraId="2041DDD3" w14:textId="77777777" w:rsidR="001D798D" w:rsidRDefault="00E52170">
      <w:pPr>
        <w:widowControl w:val="0"/>
        <w:pBdr>
          <w:top w:val="nil"/>
          <w:left w:val="nil"/>
          <w:bottom w:val="nil"/>
          <w:right w:val="nil"/>
          <w:between w:val="nil"/>
        </w:pBdr>
        <w:jc w:val="both"/>
        <w:rPr>
          <w:rFonts w:ascii="Times New Roman" w:eastAsia="Times New Roman" w:hAnsi="Times New Roman" w:cs="Times New Roman"/>
          <w:color w:val="000000"/>
          <w:sz w:val="24"/>
          <w:szCs w:val="24"/>
        </w:rPr>
      </w:pPr>
      <w:r>
        <w:br w:type="page"/>
      </w:r>
    </w:p>
    <w:p w14:paraId="19E7B462" w14:textId="77777777" w:rsidR="001D798D" w:rsidRDefault="00E52170">
      <w:pPr>
        <w:pStyle w:val="Titlu1"/>
      </w:pPr>
      <w:bookmarkStart w:id="0" w:name="_heading=h.gjdgxs" w:colFirst="0" w:colLast="0"/>
      <w:bookmarkEnd w:id="0"/>
      <w:r>
        <w:lastRenderedPageBreak/>
        <w:t>Task 2: Report</w:t>
      </w:r>
    </w:p>
    <w:p w14:paraId="68FFC713" w14:textId="77777777" w:rsidR="001D798D" w:rsidRDefault="00E52170">
      <w:pPr>
        <w:pStyle w:val="Titlu2"/>
      </w:pPr>
      <w:bookmarkStart w:id="1" w:name="_heading=h.30j0zll" w:colFirst="0" w:colLast="0"/>
      <w:bookmarkEnd w:id="1"/>
      <w:r>
        <w:t>1. Introduction</w:t>
      </w:r>
    </w:p>
    <w:p w14:paraId="37851BF0"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is mainly based on the employee’s long term absence process, which mainly reduces the growth level of the organisation. In this report, the Mid Cheshire hospitals company has </w:t>
      </w:r>
      <w:r>
        <w:rPr>
          <w:rFonts w:ascii="Times New Roman" w:eastAsia="Times New Roman" w:hAnsi="Times New Roman" w:cs="Times New Roman"/>
          <w:sz w:val="24"/>
          <w:szCs w:val="24"/>
        </w:rPr>
        <w:t>stated</w:t>
      </w:r>
      <w:r>
        <w:rPr>
          <w:rFonts w:ascii="Times New Roman" w:eastAsia="Times New Roman" w:hAnsi="Times New Roman" w:cs="Times New Roman"/>
          <w:color w:val="000000"/>
          <w:sz w:val="24"/>
          <w:szCs w:val="24"/>
        </w:rPr>
        <w:t xml:space="preserve"> that </w:t>
      </w:r>
      <w:r>
        <w:rPr>
          <w:rFonts w:ascii="Times New Roman" w:eastAsia="Times New Roman" w:hAnsi="Times New Roman" w:cs="Times New Roman"/>
          <w:sz w:val="24"/>
          <w:szCs w:val="24"/>
        </w:rPr>
        <w:t>related</w:t>
      </w:r>
      <w:r>
        <w:rPr>
          <w:rFonts w:ascii="Times New Roman" w:eastAsia="Times New Roman" w:hAnsi="Times New Roman" w:cs="Times New Roman"/>
          <w:color w:val="000000"/>
          <w:sz w:val="24"/>
          <w:szCs w:val="24"/>
        </w:rPr>
        <w:t xml:space="preserve"> data are gathered to influence this report quality adequately. Natural and impacts are needed to highlight factors that try to define the complex problems within the organisation. The organisation's employee absence resting HR activities is the main aim of this study that is highlighted through covering various ways.   </w:t>
      </w:r>
    </w:p>
    <w:p w14:paraId="088D9F95" w14:textId="77777777" w:rsidR="001D798D" w:rsidRDefault="00E52170">
      <w:pPr>
        <w:pStyle w:val="Titlu2"/>
      </w:pPr>
      <w:bookmarkStart w:id="2" w:name="_heading=h.1fob9te" w:colFirst="0" w:colLast="0"/>
      <w:bookmarkEnd w:id="2"/>
      <w:r>
        <w:t>2. Identifying the discussions on natural and impacts of complex problems on employees and its organisation</w:t>
      </w:r>
    </w:p>
    <w:p w14:paraId="3C2FBEFE"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Various complex issues are identified within the employees of the organisation that also reduces the organisation’s growth abilities adequately.  </w:t>
      </w:r>
      <w:r>
        <w:rPr>
          <w:rFonts w:ascii="Times New Roman" w:eastAsia="Times New Roman" w:hAnsi="Times New Roman" w:cs="Times New Roman"/>
          <w:b/>
          <w:i/>
          <w:color w:val="000000"/>
          <w:sz w:val="24"/>
          <w:szCs w:val="24"/>
        </w:rPr>
        <w:t>The Gross semiconducting process</w:t>
      </w:r>
      <w:r>
        <w:rPr>
          <w:rFonts w:ascii="Times New Roman" w:eastAsia="Times New Roman" w:hAnsi="Times New Roman" w:cs="Times New Roman"/>
          <w:color w:val="000000"/>
          <w:sz w:val="24"/>
          <w:szCs w:val="24"/>
        </w:rPr>
        <w:t xml:space="preserve"> is one of the effective and important impacts that are faced by the employees during the survival process of the organisation (</w:t>
      </w:r>
      <w:r>
        <w:rPr>
          <w:rFonts w:ascii="Times New Roman" w:eastAsia="Times New Roman" w:hAnsi="Times New Roman" w:cs="Times New Roman"/>
          <w:color w:val="222222"/>
          <w:sz w:val="24"/>
          <w:szCs w:val="24"/>
          <w:highlight w:val="white"/>
        </w:rPr>
        <w:t xml:space="preserve">Pollock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rPr>
        <w:t xml:space="preserve">). This process can easily reduce the employee's absence behaviour and reduce the growth process. On the other hand, </w:t>
      </w:r>
      <w:r>
        <w:rPr>
          <w:rFonts w:ascii="Times New Roman" w:eastAsia="Times New Roman" w:hAnsi="Times New Roman" w:cs="Times New Roman"/>
          <w:b/>
          <w:i/>
          <w:color w:val="000000"/>
          <w:sz w:val="24"/>
          <w:szCs w:val="24"/>
        </w:rPr>
        <w:t>Poor communication processes, conflict facing issues are</w:t>
      </w:r>
      <w:r>
        <w:rPr>
          <w:rFonts w:ascii="Times New Roman" w:eastAsia="Times New Roman" w:hAnsi="Times New Roman" w:cs="Times New Roman"/>
          <w:color w:val="000000"/>
          <w:sz w:val="24"/>
          <w:szCs w:val="24"/>
        </w:rPr>
        <w:t xml:space="preserve"> the most effective as well as complicated problems of Mid Cheshire hospitals organisation, which also reduce the growth abilities of the organisation (</w:t>
      </w:r>
      <w:r>
        <w:rPr>
          <w:rFonts w:ascii="Times New Roman" w:eastAsia="Times New Roman" w:hAnsi="Times New Roman" w:cs="Times New Roman"/>
          <w:color w:val="222222"/>
          <w:sz w:val="24"/>
          <w:szCs w:val="24"/>
          <w:highlight w:val="white"/>
        </w:rPr>
        <w:t xml:space="preserve">Currie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rPr>
        <w:t>). Poor communication can reduce attention levels in organisations and also reduce the interest level that creates a huge absence mentality within the organisation (</w:t>
      </w:r>
      <w:r>
        <w:rPr>
          <w:rFonts w:ascii="Times New Roman" w:eastAsia="Times New Roman" w:hAnsi="Times New Roman" w:cs="Times New Roman"/>
          <w:color w:val="222222"/>
          <w:sz w:val="24"/>
          <w:szCs w:val="24"/>
          <w:highlight w:val="white"/>
        </w:rPr>
        <w:t xml:space="preserve">Nisar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w:t>
      </w:r>
    </w:p>
    <w:p w14:paraId="0EBEE207" w14:textId="77777777" w:rsidR="001D798D" w:rsidRDefault="00E52170">
      <w:pPr>
        <w:pStyle w:val="Titlu2"/>
      </w:pPr>
      <w:bookmarkStart w:id="3" w:name="_heading=h.3znysh7" w:colFirst="0" w:colLast="0"/>
      <w:bookmarkEnd w:id="3"/>
      <w:r>
        <w:t>3. PESTEL analysis of the macro-environment that is factors contributing to the complex problems</w:t>
      </w:r>
    </w:p>
    <w:tbl>
      <w:tblPr>
        <w:tblStyle w:val="a0"/>
        <w:tblW w:w="9345" w:type="dxa"/>
        <w:tblBorders>
          <w:top w:val="nil"/>
          <w:left w:val="nil"/>
          <w:bottom w:val="nil"/>
          <w:right w:val="nil"/>
          <w:insideH w:val="nil"/>
          <w:insideV w:val="nil"/>
        </w:tblBorders>
        <w:tblLayout w:type="fixed"/>
        <w:tblLook w:val="0600" w:firstRow="0" w:lastRow="0" w:firstColumn="0" w:lastColumn="0" w:noHBand="1" w:noVBand="1"/>
      </w:tblPr>
      <w:tblGrid>
        <w:gridCol w:w="2310"/>
        <w:gridCol w:w="7035"/>
      </w:tblGrid>
      <w:tr w:rsidR="001D798D" w14:paraId="235AAE0C" w14:textId="77777777">
        <w:trPr>
          <w:cantSplit/>
          <w:trHeight w:val="495"/>
          <w:tblHeader/>
        </w:trPr>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1F285" w14:textId="77777777" w:rsidR="001D798D" w:rsidRDefault="00E52170">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Factors</w:t>
            </w:r>
          </w:p>
        </w:tc>
        <w:tc>
          <w:tcPr>
            <w:tcW w:w="70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BF1B934" w14:textId="77777777" w:rsidR="001D798D" w:rsidRDefault="00E52170">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Impacts</w:t>
            </w:r>
          </w:p>
        </w:tc>
      </w:tr>
      <w:tr w:rsidR="001D798D" w14:paraId="3763EE0A" w14:textId="77777777">
        <w:trPr>
          <w:cantSplit/>
          <w:trHeight w:val="7050"/>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D3D800"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Political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22126972"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Better stability process is present in political aspects and better tax policies that influence the UK governmental process (Accountingweb.co.uk, 2021). On other hand, High levels of economic policies the businesses approaches are available. Huge restrictions in business the trading process and huge requirements in the product labelling process in business are important factors (Trade.gov</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2021). Governments directly depend upon parliaments along with Easy to exchange foreign currencies (Eacea.ec.europa.eu, 2020).</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24"/>
                <w:szCs w:val="24"/>
              </w:rPr>
              <w:t>Huge level of import &amp; export activities availability and Poor corruption level and</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24"/>
                <w:szCs w:val="24"/>
              </w:rPr>
              <w:t xml:space="preserve">Create Political impact after Brexit are identified that also creating impacts on employees activities (Accountingweb.co.uk, 2021) Political aspects are perfectly measured that influence the employee stability process. </w:t>
            </w:r>
          </w:p>
        </w:tc>
      </w:tr>
      <w:tr w:rsidR="001D798D" w14:paraId="467FA175" w14:textId="77777777">
        <w:trPr>
          <w:cantSplit/>
          <w:trHeight w:val="4650"/>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AFD53F"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67947CAB"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Around 6.76% is the GDP ratings in the UK that are identified after the pandemic (Statista.com, 2021). Besides, the UK’s annual growth is 1.9%, which is better for all people (Pwc.co.uk, 2021). According to the evaluation it can be seen that Sixth-largest country in the world is identified (Worldpopulationreview.com, 2021). Around 20% tax rate are identified </w:t>
            </w:r>
            <w:r>
              <w:rPr>
                <w:color w:val="000000"/>
              </w:rPr>
              <w:t>for</w:t>
            </w:r>
            <w:r>
              <w:rPr>
                <w:rFonts w:ascii="Times New Roman" w:eastAsia="Times New Roman" w:hAnsi="Times New Roman" w:cs="Times New Roman"/>
                <w:color w:val="000000"/>
                <w:sz w:val="24"/>
                <w:szCs w:val="24"/>
              </w:rPr>
              <w:t xml:space="preserve"> business persons </w:t>
            </w:r>
            <w:r>
              <w:rPr>
                <w:color w:val="000000"/>
              </w:rPr>
              <w:t>in</w:t>
            </w:r>
            <w:r>
              <w:rPr>
                <w:rFonts w:ascii="Times New Roman" w:eastAsia="Times New Roman" w:hAnsi="Times New Roman" w:cs="Times New Roman"/>
                <w:color w:val="000000"/>
                <w:sz w:val="24"/>
                <w:szCs w:val="24"/>
              </w:rPr>
              <w:t xml:space="preserve"> the UK (Datatopics.worldbank.org, 2021). Developing international trading processes available in the UK. Around 4.6% is the rate of unemployment that is also help to understand that how much people are not getting job in UK (Ons.gov.uk, 2021). From this aspect, it can be stated that most of the employees are economically independent in the UK which also enhances absence activity. </w:t>
            </w:r>
          </w:p>
        </w:tc>
      </w:tr>
      <w:tr w:rsidR="001D798D" w14:paraId="037C03D3" w14:textId="77777777">
        <w:trPr>
          <w:cantSplit/>
          <w:trHeight w:val="4650"/>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61F094"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Social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2D5726E6"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Around, 67.5 million populations is identified in UK (Statista.com, 2021). Besides, huge level of buying habits and better lifestyles attitude are the prime factors of the UK that also understood the absence mentality of employees in organisation (Thecommonwealth.org, 2021). Normal securities available among people and huge number of wealth disparity are identifying that is better for UK people (greatbritishmag.co.uk, 2021). Carrier and cultural attitude relating effects are available that is better for the organisations.</w:t>
            </w:r>
          </w:p>
        </w:tc>
      </w:tr>
      <w:tr w:rsidR="001D798D" w14:paraId="3EAC75F5" w14:textId="77777777">
        <w:trPr>
          <w:cantSplit/>
          <w:trHeight w:val="6570"/>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AB66F4"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Technological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15998C6A"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000000"/>
                <w:sz w:val="24"/>
                <w:szCs w:val="24"/>
              </w:rPr>
              <w:t xml:space="preserve">Around 2nd highest position is taken the UK across the world (Statista.com, 2021). Besides, the Thriving tech sectors are identified that are highlighting the better UK perspectives (Accountingweb.co.uk, 2021). Huge innovation process and using a </w:t>
            </w:r>
            <w:r>
              <w:rPr>
                <w:rFonts w:ascii="Times New Roman" w:eastAsia="Times New Roman" w:hAnsi="Times New Roman" w:cs="Times New Roman"/>
                <w:color w:val="202124"/>
                <w:sz w:val="24"/>
                <w:szCs w:val="24"/>
                <w:highlight w:val="white"/>
              </w:rPr>
              <w:t>Artificial intelligence are help to know the better business and employee connecting activities (Information-age.com</w:t>
            </w:r>
            <w:r>
              <w:rPr>
                <w:rFonts w:ascii="Times New Roman" w:eastAsia="Times New Roman" w:hAnsi="Times New Roman" w:cs="Times New Roman"/>
                <w:i/>
                <w:color w:val="202124"/>
                <w:sz w:val="24"/>
                <w:szCs w:val="24"/>
                <w:highlight w:val="white"/>
              </w:rPr>
              <w:t xml:space="preserve">, </w:t>
            </w:r>
            <w:r>
              <w:rPr>
                <w:rFonts w:ascii="Times New Roman" w:eastAsia="Times New Roman" w:hAnsi="Times New Roman" w:cs="Times New Roman"/>
                <w:color w:val="202124"/>
                <w:sz w:val="24"/>
                <w:szCs w:val="24"/>
                <w:highlight w:val="white"/>
              </w:rPr>
              <w:t>2018). Robotics is used in maximum places in the UK. Besides, better and high connectivity &amp; transportation available (independent.co.uk, 2021). Apart from this, better cyber security availability to reduce risks, which is also better for the employees to manage (Pwc.co.uk, 2021)</w:t>
            </w:r>
          </w:p>
        </w:tc>
      </w:tr>
      <w:tr w:rsidR="001D798D" w14:paraId="3A18F06B" w14:textId="77777777">
        <w:trPr>
          <w:cantSplit/>
          <w:trHeight w:val="3330"/>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935FB5C"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Environmental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26F903F1"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Air pollution present and effects are present for changing climate (Moortrees.org, 2021). Besides, maximum time facing water shortage issues of UK people. However the UK people are trying to reducing the carbon emissions that understood usage that some environmental issues re happened that also creating impacts on employees absence behaviours (Sgi-network.org, 2017)</w:t>
            </w:r>
          </w:p>
        </w:tc>
      </w:tr>
      <w:tr w:rsidR="001D798D" w14:paraId="71175272" w14:textId="77777777">
        <w:trPr>
          <w:cantSplit/>
          <w:trHeight w:val="2655"/>
          <w:tblHeader/>
        </w:trPr>
        <w:tc>
          <w:tcPr>
            <w:tcW w:w="23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CC17BA"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w:t>
            </w:r>
          </w:p>
        </w:tc>
        <w:tc>
          <w:tcPr>
            <w:tcW w:w="7035" w:type="dxa"/>
            <w:tcBorders>
              <w:top w:val="nil"/>
              <w:left w:val="nil"/>
              <w:bottom w:val="single" w:sz="8" w:space="0" w:color="000000"/>
              <w:right w:val="single" w:sz="8" w:space="0" w:color="000000"/>
            </w:tcBorders>
            <w:tcMar>
              <w:top w:w="100" w:type="dxa"/>
              <w:left w:w="100" w:type="dxa"/>
              <w:bottom w:w="100" w:type="dxa"/>
              <w:right w:w="100" w:type="dxa"/>
            </w:tcMar>
          </w:tcPr>
          <w:p w14:paraId="55B73920" w14:textId="77777777" w:rsidR="001D798D" w:rsidRDefault="00E52170">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has availability of industries safety-related legislation and Better employment laws that are better for the organisation (UK.practicallaw.thomsonreuters.com, 2021). Antitrust law and</w:t>
            </w:r>
            <w:r>
              <w:rPr>
                <w:rFonts w:ascii="Times New Roman" w:eastAsia="Times New Roman" w:hAnsi="Times New Roman" w:cs="Times New Roman"/>
                <w:color w:val="000000"/>
                <w:sz w:val="14"/>
                <w:szCs w:val="14"/>
              </w:rPr>
              <w:t xml:space="preserve">      </w:t>
            </w:r>
            <w:r>
              <w:rPr>
                <w:rFonts w:ascii="Times New Roman" w:eastAsia="Times New Roman" w:hAnsi="Times New Roman" w:cs="Times New Roman"/>
                <w:color w:val="000000"/>
                <w:sz w:val="24"/>
                <w:szCs w:val="24"/>
              </w:rPr>
              <w:t xml:space="preserve">Common laws available that is also better for the organisation’s growth process. </w:t>
            </w:r>
          </w:p>
        </w:tc>
      </w:tr>
    </w:tbl>
    <w:p w14:paraId="26C2C6BE"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PESTEL analysis of UK for the selected organisation</w:t>
      </w:r>
    </w:p>
    <w:p w14:paraId="194F2D16"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author)</w:t>
      </w:r>
    </w:p>
    <w:p w14:paraId="0D81521A" w14:textId="77777777" w:rsidR="001D798D" w:rsidRDefault="00E52170">
      <w:pPr>
        <w:pStyle w:val="Titlu2"/>
      </w:pPr>
      <w:bookmarkStart w:id="4" w:name="_heading=h.2et92p0" w:colFirst="0" w:colLast="0"/>
      <w:bookmarkEnd w:id="4"/>
      <w:r>
        <w:t xml:space="preserve">4. Analysing the causes and effects of the complex problems </w:t>
      </w:r>
    </w:p>
    <w:p w14:paraId="35377042"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Complex problems are the most effective factor that has huge causes and effects on the organisation and employees too (</w:t>
      </w:r>
      <w:r>
        <w:rPr>
          <w:rFonts w:ascii="Times New Roman" w:eastAsia="Times New Roman" w:hAnsi="Times New Roman" w:cs="Times New Roman"/>
          <w:color w:val="222222"/>
          <w:sz w:val="24"/>
          <w:szCs w:val="24"/>
          <w:highlight w:val="white"/>
        </w:rPr>
        <w:t>Venkatesh, 2022</w:t>
      </w:r>
      <w:r>
        <w:rPr>
          <w:rFonts w:ascii="Times New Roman" w:eastAsia="Times New Roman" w:hAnsi="Times New Roman" w:cs="Times New Roman"/>
          <w:color w:val="000000"/>
          <w:sz w:val="24"/>
          <w:szCs w:val="24"/>
        </w:rPr>
        <w:t>). An organisation's climate-changing issues are faced as effects after developing the above-mentioned complex problem within the workplace of the organisation. Apart from this, financial crisis, employee revenue developing process as well as better competition level are reduced as effects for developing the complex problems within the workplace of the organisation. Various perspectives can be easily reduced within the organisation after facing the complex problems within the workplace of the organisation (</w:t>
      </w:r>
      <w:r>
        <w:rPr>
          <w:rFonts w:ascii="Times New Roman" w:eastAsia="Times New Roman" w:hAnsi="Times New Roman" w:cs="Times New Roman"/>
          <w:color w:val="222222"/>
          <w:sz w:val="24"/>
          <w:szCs w:val="24"/>
          <w:highlight w:val="white"/>
        </w:rPr>
        <w:t xml:space="preserve">Kretschmer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00000"/>
          <w:sz w:val="24"/>
          <w:szCs w:val="24"/>
        </w:rPr>
        <w:t xml:space="preserve">). The organisation and employees can reduce the dynamic reaction after enhancing the complex problems within the workplace of the organisation.  </w:t>
      </w:r>
    </w:p>
    <w:p w14:paraId="2ADA7263"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r>
        <w:rPr>
          <w:rFonts w:ascii="Times New Roman" w:eastAsia="Times New Roman" w:hAnsi="Times New Roman" w:cs="Times New Roman"/>
          <w:b/>
          <w:i/>
          <w:color w:val="FF0000"/>
          <w:sz w:val="24"/>
          <w:szCs w:val="24"/>
        </w:rPr>
        <w:t xml:space="preserve">Fishbone diagram to identifying the complex problems </w:t>
      </w:r>
    </w:p>
    <w:p w14:paraId="196314B6"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CA83AF7" wp14:editId="7CEAD99D">
            <wp:extent cx="5943600" cy="4368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368800"/>
                    </a:xfrm>
                    <a:prstGeom prst="rect">
                      <a:avLst/>
                    </a:prstGeom>
                    <a:ln/>
                  </pic:spPr>
                </pic:pic>
              </a:graphicData>
            </a:graphic>
          </wp:inline>
        </w:drawing>
      </w:r>
    </w:p>
    <w:p w14:paraId="091E4E4E"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Figure 1: Fishbone diagram with identifying cause and effects of organisations</w:t>
      </w:r>
    </w:p>
    <w:p w14:paraId="6AAEC50C"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(Source: created by author) </w:t>
      </w:r>
    </w:p>
    <w:p w14:paraId="4DCA5ED6"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 xml:space="preserve">From the above table it can be optimised that various causes and effects are highlighted that created major impacts within the organisation effectively. Employee survival issues,  climate change issues, poor communication issues, cultural quality related issues as well as uncontrolled employee behaviours are the causes that create impacts within the organisations effectively. Financial crisis, employee revenue related issues, gross semiconducting issues as well as growth issues are the effects that are creating major decision making issues within the organisation effectively. </w:t>
      </w:r>
      <w:r>
        <w:rPr>
          <w:rFonts w:ascii="Times New Roman" w:eastAsia="Times New Roman" w:hAnsi="Times New Roman" w:cs="Times New Roman"/>
          <w:sz w:val="24"/>
          <w:szCs w:val="24"/>
        </w:rPr>
        <w:t xml:space="preserve"> </w:t>
      </w:r>
    </w:p>
    <w:p w14:paraId="67A50CC9" w14:textId="77777777" w:rsidR="001D798D" w:rsidRDefault="00E52170">
      <w:pPr>
        <w:pStyle w:val="Titlu2"/>
      </w:pPr>
      <w:bookmarkStart w:id="5" w:name="_heading=h.tyjcwt" w:colFirst="0" w:colLast="0"/>
      <w:bookmarkEnd w:id="5"/>
      <w:r>
        <w:t>5. Evaluating alternative solutions on absenteeism with aim of choosing the most appropriate solutions among these alternatives</w:t>
      </w:r>
    </w:p>
    <w:p w14:paraId="41E85B14"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Issue identification is one of the effective alternative solutions that can be used to reduce absenteeism within the workplace of the organisation (</w:t>
      </w:r>
      <w:r>
        <w:rPr>
          <w:rFonts w:ascii="Times New Roman" w:eastAsia="Times New Roman" w:hAnsi="Times New Roman" w:cs="Times New Roman"/>
          <w:color w:val="222222"/>
          <w:sz w:val="24"/>
          <w:szCs w:val="24"/>
          <w:highlight w:val="white"/>
        </w:rPr>
        <w:t>Gabriel</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On the other hand, developing the flexible schedules of the organisation for the employees is another effective </w:t>
      </w:r>
      <w:r>
        <w:rPr>
          <w:rFonts w:ascii="Times New Roman" w:eastAsia="Times New Roman" w:hAnsi="Times New Roman" w:cs="Times New Roman"/>
          <w:color w:val="000000"/>
          <w:sz w:val="24"/>
          <w:szCs w:val="24"/>
        </w:rPr>
        <w:lastRenderedPageBreak/>
        <w:t xml:space="preserve">factor that needs to be accounted for in reducing the absenteeism effects within the workplace of the employees. Besides, </w:t>
      </w:r>
      <w:r>
        <w:rPr>
          <w:rFonts w:ascii="Times New Roman" w:eastAsia="Times New Roman" w:hAnsi="Times New Roman" w:cs="Times New Roman"/>
          <w:color w:val="202124"/>
          <w:sz w:val="24"/>
          <w:szCs w:val="24"/>
          <w:highlight w:val="white"/>
        </w:rPr>
        <w:t xml:space="preserve">return-to-work interviews, Recognition as well as management tools implementation are the other effective alternative solutions that also </w:t>
      </w:r>
      <w:r>
        <w:rPr>
          <w:rFonts w:ascii="Times New Roman" w:eastAsia="Times New Roman" w:hAnsi="Times New Roman" w:cs="Times New Roman"/>
          <w:color w:val="000000"/>
          <w:sz w:val="24"/>
          <w:szCs w:val="24"/>
        </w:rPr>
        <w:t>absenteeism with aim of choosing the most proper solutions with these alternatives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00000"/>
          <w:sz w:val="24"/>
          <w:szCs w:val="24"/>
        </w:rPr>
        <w:t xml:space="preserve">). </w:t>
      </w:r>
    </w:p>
    <w:p w14:paraId="09FAE2DD"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In the below portion the alternative solutions are highlighting the growth opportunities of the organisation through better decisions accordingly. </w:t>
      </w:r>
    </w:p>
    <w:p w14:paraId="78DDEE88" w14:textId="77777777" w:rsidR="001D798D" w:rsidRDefault="00E52170">
      <w:pPr>
        <w:widowControl w:val="0"/>
        <w:numPr>
          <w:ilvl w:val="0"/>
          <w:numId w:val="1"/>
        </w:numPr>
        <w:spacing w:line="360" w:lineRule="auto"/>
        <w:jc w:val="both"/>
        <w:rPr>
          <w:rFonts w:ascii="Times New Roman" w:eastAsia="Times New Roman" w:hAnsi="Times New Roman" w:cs="Times New Roman"/>
          <w:b/>
          <w:i/>
          <w:color w:val="FF0000"/>
          <w:sz w:val="24"/>
          <w:szCs w:val="24"/>
        </w:rPr>
      </w:pPr>
      <w:r>
        <w:rPr>
          <w:rFonts w:ascii="Times New Roman" w:eastAsia="Times New Roman" w:hAnsi="Times New Roman" w:cs="Times New Roman"/>
          <w:b/>
          <w:i/>
          <w:color w:val="FF0000"/>
          <w:sz w:val="24"/>
          <w:szCs w:val="24"/>
        </w:rPr>
        <w:t xml:space="preserve">Reducing absenteeism with applying policies and regulations </w:t>
      </w:r>
      <w:r>
        <w:rPr>
          <w:rFonts w:ascii="Times New Roman" w:eastAsia="Times New Roman" w:hAnsi="Times New Roman" w:cs="Times New Roman"/>
          <w:color w:val="FF0000"/>
          <w:sz w:val="24"/>
          <w:szCs w:val="24"/>
        </w:rPr>
        <w:t>is one of the major factors and also the part of alternative solutions of the workplaces that reduces the employment issues effectively.</w:t>
      </w:r>
    </w:p>
    <w:p w14:paraId="7514C4B9" w14:textId="77777777" w:rsidR="001D798D" w:rsidRDefault="00E52170">
      <w:pPr>
        <w:widowControl w:val="0"/>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color w:val="FF0000"/>
          <w:sz w:val="24"/>
          <w:szCs w:val="24"/>
        </w:rPr>
        <w:t>Flexible schedules development process</w:t>
      </w:r>
      <w:r>
        <w:rPr>
          <w:rFonts w:ascii="Times New Roman" w:eastAsia="Times New Roman" w:hAnsi="Times New Roman" w:cs="Times New Roman"/>
          <w:color w:val="FF0000"/>
          <w:sz w:val="24"/>
          <w:szCs w:val="24"/>
        </w:rPr>
        <w:t xml:space="preserve"> is another alternative solution, which also reduces the absenteeism factors of employees and makes better decision making approaches. </w:t>
      </w:r>
    </w:p>
    <w:p w14:paraId="38CBEE02" w14:textId="77777777" w:rsidR="001D798D" w:rsidRDefault="00E52170">
      <w:pPr>
        <w:widowControl w:val="0"/>
        <w:numPr>
          <w:ilvl w:val="0"/>
          <w:numId w:val="1"/>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color w:val="FF0000"/>
          <w:sz w:val="24"/>
          <w:szCs w:val="24"/>
        </w:rPr>
        <w:t>Better recognition approaches from the organisation for their employees</w:t>
      </w:r>
      <w:r>
        <w:rPr>
          <w:rFonts w:ascii="Times New Roman" w:eastAsia="Times New Roman" w:hAnsi="Times New Roman" w:cs="Times New Roman"/>
          <w:color w:val="FF0000"/>
          <w:sz w:val="24"/>
          <w:szCs w:val="24"/>
        </w:rPr>
        <w:t xml:space="preserve"> is one of the best alternative solution and decision making approaches that can reduce the absenteeism issues within the organisation effectively. </w:t>
      </w:r>
    </w:p>
    <w:p w14:paraId="0276A5DC" w14:textId="77777777" w:rsidR="001D798D" w:rsidRDefault="00E52170">
      <w:pPr>
        <w:pStyle w:val="Titlu2"/>
      </w:pPr>
      <w:bookmarkStart w:id="6" w:name="_heading=h.3dy6vkm" w:colFirst="0" w:colLast="0"/>
      <w:bookmarkEnd w:id="6"/>
      <w:r>
        <w:t>6. Identifying the plan implementation on the decisions that can easily be solving complex issues</w:t>
      </w:r>
    </w:p>
    <w:p w14:paraId="1CC5A850"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below the plan has been mentioned that influences the decision making approaches of the organisation to reducing the complex issues such as,</w:t>
      </w:r>
    </w:p>
    <w:p w14:paraId="65D6D22A" w14:textId="77777777" w:rsidR="001D798D" w:rsidRDefault="00E5217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Issuing identification of employees within the workplace</w:t>
      </w:r>
      <w:r>
        <w:rPr>
          <w:rFonts w:ascii="Times New Roman" w:eastAsia="Times New Roman" w:hAnsi="Times New Roman" w:cs="Times New Roman"/>
          <w:color w:val="000000"/>
          <w:sz w:val="24"/>
          <w:szCs w:val="24"/>
        </w:rPr>
        <w:t xml:space="preserve"> is the first step that needs to be accounted for perfectly solving the problems (</w:t>
      </w:r>
      <w:r>
        <w:rPr>
          <w:rFonts w:ascii="Times New Roman" w:eastAsia="Times New Roman" w:hAnsi="Times New Roman" w:cs="Times New Roman"/>
          <w:color w:val="222222"/>
          <w:sz w:val="24"/>
          <w:szCs w:val="24"/>
          <w:highlight w:val="white"/>
        </w:rPr>
        <w:t xml:space="preserve">Mittal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color w:val="000000"/>
          <w:sz w:val="24"/>
          <w:szCs w:val="24"/>
        </w:rPr>
        <w:t xml:space="preserve">). </w:t>
      </w:r>
    </w:p>
    <w:p w14:paraId="7D498293" w14:textId="77777777" w:rsidR="001D798D" w:rsidRDefault="00E5217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i/>
          <w:color w:val="000000"/>
          <w:sz w:val="24"/>
          <w:szCs w:val="24"/>
        </w:rPr>
        <w:t>employee's interest</w:t>
      </w:r>
      <w:r>
        <w:rPr>
          <w:rFonts w:ascii="Times New Roman" w:eastAsia="Times New Roman" w:hAnsi="Times New Roman" w:cs="Times New Roman"/>
          <w:color w:val="000000"/>
          <w:sz w:val="24"/>
          <w:szCs w:val="24"/>
        </w:rPr>
        <w:t xml:space="preserve"> is the second step that also needs to be taken to solve the complex problems within the workplace.</w:t>
      </w:r>
    </w:p>
    <w:p w14:paraId="08234222" w14:textId="77777777" w:rsidR="001D798D" w:rsidRDefault="00E5217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Option evaluation and possible solution creation are two major factors that also try to solve the complex issues from the employees and workplaces too. </w:t>
      </w:r>
    </w:p>
    <w:p w14:paraId="4BACC83A" w14:textId="77777777" w:rsidR="001D798D" w:rsidRPr="004867B3"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r>
        <w:rPr>
          <w:rFonts w:ascii="Times New Roman" w:eastAsia="Times New Roman" w:hAnsi="Times New Roman" w:cs="Times New Roman"/>
          <w:b/>
          <w:i/>
          <w:color w:val="FF0000"/>
          <w:sz w:val="24"/>
          <w:szCs w:val="24"/>
        </w:rPr>
        <w:t>Grid analysis</w:t>
      </w:r>
    </w:p>
    <w:tbl>
      <w:tblPr>
        <w:tblStyle w:val="a1"/>
        <w:tblW w:w="8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0"/>
        <w:gridCol w:w="3060"/>
        <w:gridCol w:w="1380"/>
        <w:gridCol w:w="1470"/>
        <w:gridCol w:w="2010"/>
      </w:tblGrid>
      <w:tr w:rsidR="001D798D" w14:paraId="45865C68" w14:textId="77777777">
        <w:trPr>
          <w:cantSplit/>
          <w:tblHeader/>
        </w:trPr>
        <w:tc>
          <w:tcPr>
            <w:tcW w:w="660" w:type="dxa"/>
            <w:shd w:val="clear" w:color="auto" w:fill="auto"/>
            <w:tcMar>
              <w:top w:w="100" w:type="dxa"/>
              <w:left w:w="100" w:type="dxa"/>
              <w:bottom w:w="100" w:type="dxa"/>
              <w:right w:w="100" w:type="dxa"/>
            </w:tcMar>
          </w:tcPr>
          <w:p w14:paraId="3E8A238D"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SL No.</w:t>
            </w:r>
          </w:p>
        </w:tc>
        <w:tc>
          <w:tcPr>
            <w:tcW w:w="3060" w:type="dxa"/>
            <w:shd w:val="clear" w:color="auto" w:fill="auto"/>
            <w:tcMar>
              <w:top w:w="100" w:type="dxa"/>
              <w:left w:w="100" w:type="dxa"/>
              <w:bottom w:w="100" w:type="dxa"/>
              <w:right w:w="100" w:type="dxa"/>
            </w:tcMar>
          </w:tcPr>
          <w:p w14:paraId="5482A0D4"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Solutions</w:t>
            </w:r>
          </w:p>
        </w:tc>
        <w:tc>
          <w:tcPr>
            <w:tcW w:w="1380" w:type="dxa"/>
            <w:shd w:val="clear" w:color="auto" w:fill="auto"/>
            <w:tcMar>
              <w:top w:w="100" w:type="dxa"/>
              <w:left w:w="100" w:type="dxa"/>
              <w:bottom w:w="100" w:type="dxa"/>
              <w:right w:w="100" w:type="dxa"/>
            </w:tcMar>
          </w:tcPr>
          <w:p w14:paraId="3260BF3B"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Impacts</w:t>
            </w:r>
          </w:p>
          <w:p w14:paraId="44950895" w14:textId="77777777" w:rsidR="001D798D" w:rsidRDefault="00E52170">
            <w:pPr>
              <w:widowControl w:val="0"/>
              <w:pBdr>
                <w:top w:val="nil"/>
                <w:left w:val="nil"/>
                <w:bottom w:val="nil"/>
                <w:right w:val="nil"/>
                <w:between w:val="nil"/>
              </w:pBdr>
              <w:spacing w:line="24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(1-5)</w:t>
            </w:r>
          </w:p>
        </w:tc>
        <w:tc>
          <w:tcPr>
            <w:tcW w:w="1470" w:type="dxa"/>
            <w:shd w:val="clear" w:color="auto" w:fill="auto"/>
            <w:tcMar>
              <w:top w:w="100" w:type="dxa"/>
              <w:left w:w="100" w:type="dxa"/>
              <w:bottom w:w="100" w:type="dxa"/>
              <w:right w:w="100" w:type="dxa"/>
            </w:tcMar>
          </w:tcPr>
          <w:p w14:paraId="2477274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Effort</w:t>
            </w:r>
          </w:p>
          <w:p w14:paraId="0A2A9EE5" w14:textId="77777777" w:rsidR="001D798D" w:rsidRDefault="00E52170">
            <w:pPr>
              <w:widowControl w:val="0"/>
              <w:pBdr>
                <w:top w:val="nil"/>
                <w:left w:val="nil"/>
                <w:bottom w:val="nil"/>
                <w:right w:val="nil"/>
                <w:between w:val="nil"/>
              </w:pBdr>
              <w:spacing w:line="24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(1-5)</w:t>
            </w:r>
          </w:p>
        </w:tc>
        <w:tc>
          <w:tcPr>
            <w:tcW w:w="2010" w:type="dxa"/>
            <w:shd w:val="clear" w:color="auto" w:fill="auto"/>
            <w:tcMar>
              <w:top w:w="100" w:type="dxa"/>
              <w:left w:w="100" w:type="dxa"/>
              <w:bottom w:w="100" w:type="dxa"/>
              <w:right w:w="100" w:type="dxa"/>
            </w:tcMar>
          </w:tcPr>
          <w:p w14:paraId="201E715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Profitability level</w:t>
            </w:r>
          </w:p>
          <w:p w14:paraId="4AEEC848" w14:textId="77777777" w:rsidR="001D798D" w:rsidRDefault="00E52170">
            <w:pPr>
              <w:widowControl w:val="0"/>
              <w:pBdr>
                <w:top w:val="nil"/>
                <w:left w:val="nil"/>
                <w:bottom w:val="nil"/>
                <w:right w:val="nil"/>
                <w:between w:val="nil"/>
              </w:pBdr>
              <w:spacing w:line="24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(1-5)</w:t>
            </w:r>
          </w:p>
        </w:tc>
      </w:tr>
      <w:tr w:rsidR="001D798D" w14:paraId="0DEB060D" w14:textId="77777777">
        <w:trPr>
          <w:cantSplit/>
          <w:tblHeader/>
        </w:trPr>
        <w:tc>
          <w:tcPr>
            <w:tcW w:w="660" w:type="dxa"/>
            <w:shd w:val="clear" w:color="auto" w:fill="auto"/>
            <w:tcMar>
              <w:top w:w="100" w:type="dxa"/>
              <w:left w:w="100" w:type="dxa"/>
              <w:bottom w:w="100" w:type="dxa"/>
              <w:right w:w="100" w:type="dxa"/>
            </w:tcMar>
          </w:tcPr>
          <w:p w14:paraId="4E93CAFC"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w:t>
            </w:r>
          </w:p>
        </w:tc>
        <w:tc>
          <w:tcPr>
            <w:tcW w:w="3060" w:type="dxa"/>
            <w:shd w:val="clear" w:color="auto" w:fill="auto"/>
            <w:tcMar>
              <w:top w:w="100" w:type="dxa"/>
              <w:left w:w="100" w:type="dxa"/>
              <w:bottom w:w="100" w:type="dxa"/>
              <w:right w:w="100" w:type="dxa"/>
            </w:tcMar>
          </w:tcPr>
          <w:p w14:paraId="16DF1126"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Employee relation issue identification in the workplace</w:t>
            </w:r>
          </w:p>
        </w:tc>
        <w:tc>
          <w:tcPr>
            <w:tcW w:w="1380" w:type="dxa"/>
            <w:shd w:val="clear" w:color="auto" w:fill="auto"/>
            <w:tcMar>
              <w:top w:w="100" w:type="dxa"/>
              <w:left w:w="100" w:type="dxa"/>
              <w:bottom w:w="100" w:type="dxa"/>
              <w:right w:w="100" w:type="dxa"/>
            </w:tcMar>
          </w:tcPr>
          <w:p w14:paraId="06A18BFE"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w:t>
            </w:r>
          </w:p>
        </w:tc>
        <w:tc>
          <w:tcPr>
            <w:tcW w:w="1470" w:type="dxa"/>
            <w:shd w:val="clear" w:color="auto" w:fill="auto"/>
            <w:tcMar>
              <w:top w:w="100" w:type="dxa"/>
              <w:left w:w="100" w:type="dxa"/>
              <w:bottom w:w="100" w:type="dxa"/>
              <w:right w:w="100" w:type="dxa"/>
            </w:tcMar>
          </w:tcPr>
          <w:p w14:paraId="7E8430B0"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010" w:type="dxa"/>
            <w:shd w:val="clear" w:color="auto" w:fill="auto"/>
            <w:tcMar>
              <w:top w:w="100" w:type="dxa"/>
              <w:left w:w="100" w:type="dxa"/>
              <w:bottom w:w="100" w:type="dxa"/>
              <w:right w:w="100" w:type="dxa"/>
            </w:tcMar>
          </w:tcPr>
          <w:p w14:paraId="304CD09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r>
      <w:tr w:rsidR="001D798D" w14:paraId="17EB2A0E" w14:textId="77777777">
        <w:trPr>
          <w:cantSplit/>
          <w:tblHeader/>
        </w:trPr>
        <w:tc>
          <w:tcPr>
            <w:tcW w:w="660" w:type="dxa"/>
            <w:shd w:val="clear" w:color="auto" w:fill="auto"/>
            <w:tcMar>
              <w:top w:w="100" w:type="dxa"/>
              <w:left w:w="100" w:type="dxa"/>
              <w:bottom w:w="100" w:type="dxa"/>
              <w:right w:w="100" w:type="dxa"/>
            </w:tcMar>
          </w:tcPr>
          <w:p w14:paraId="0C53E85C"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2</w:t>
            </w:r>
          </w:p>
        </w:tc>
        <w:tc>
          <w:tcPr>
            <w:tcW w:w="3060" w:type="dxa"/>
            <w:shd w:val="clear" w:color="auto" w:fill="auto"/>
            <w:tcMar>
              <w:top w:w="100" w:type="dxa"/>
              <w:left w:w="100" w:type="dxa"/>
              <w:bottom w:w="100" w:type="dxa"/>
              <w:right w:w="100" w:type="dxa"/>
            </w:tcMar>
          </w:tcPr>
          <w:p w14:paraId="0A05B76A"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Developing employee interests</w:t>
            </w:r>
          </w:p>
        </w:tc>
        <w:tc>
          <w:tcPr>
            <w:tcW w:w="1380" w:type="dxa"/>
            <w:shd w:val="clear" w:color="auto" w:fill="auto"/>
            <w:tcMar>
              <w:top w:w="100" w:type="dxa"/>
              <w:left w:w="100" w:type="dxa"/>
              <w:bottom w:w="100" w:type="dxa"/>
              <w:right w:w="100" w:type="dxa"/>
            </w:tcMar>
          </w:tcPr>
          <w:p w14:paraId="185A1482"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1470" w:type="dxa"/>
            <w:shd w:val="clear" w:color="auto" w:fill="auto"/>
            <w:tcMar>
              <w:top w:w="100" w:type="dxa"/>
              <w:left w:w="100" w:type="dxa"/>
              <w:bottom w:w="100" w:type="dxa"/>
              <w:right w:w="100" w:type="dxa"/>
            </w:tcMar>
          </w:tcPr>
          <w:p w14:paraId="52D17F24"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010" w:type="dxa"/>
            <w:shd w:val="clear" w:color="auto" w:fill="auto"/>
            <w:tcMar>
              <w:top w:w="100" w:type="dxa"/>
              <w:left w:w="100" w:type="dxa"/>
              <w:bottom w:w="100" w:type="dxa"/>
              <w:right w:w="100" w:type="dxa"/>
            </w:tcMar>
          </w:tcPr>
          <w:p w14:paraId="4A075F98"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r>
      <w:tr w:rsidR="001D798D" w14:paraId="355FA9F0" w14:textId="77777777">
        <w:trPr>
          <w:cantSplit/>
          <w:tblHeader/>
        </w:trPr>
        <w:tc>
          <w:tcPr>
            <w:tcW w:w="660" w:type="dxa"/>
            <w:shd w:val="clear" w:color="auto" w:fill="auto"/>
            <w:tcMar>
              <w:top w:w="100" w:type="dxa"/>
              <w:left w:w="100" w:type="dxa"/>
              <w:bottom w:w="100" w:type="dxa"/>
              <w:right w:w="100" w:type="dxa"/>
            </w:tcMar>
          </w:tcPr>
          <w:p w14:paraId="33B91AC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w:t>
            </w:r>
          </w:p>
        </w:tc>
        <w:tc>
          <w:tcPr>
            <w:tcW w:w="3060" w:type="dxa"/>
            <w:shd w:val="clear" w:color="auto" w:fill="auto"/>
            <w:tcMar>
              <w:top w:w="100" w:type="dxa"/>
              <w:left w:w="100" w:type="dxa"/>
              <w:bottom w:w="100" w:type="dxa"/>
              <w:right w:w="100" w:type="dxa"/>
            </w:tcMar>
          </w:tcPr>
          <w:p w14:paraId="5F4506E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Developing flexible schedules development process</w:t>
            </w:r>
          </w:p>
        </w:tc>
        <w:tc>
          <w:tcPr>
            <w:tcW w:w="1380" w:type="dxa"/>
            <w:shd w:val="clear" w:color="auto" w:fill="auto"/>
            <w:tcMar>
              <w:top w:w="100" w:type="dxa"/>
              <w:left w:w="100" w:type="dxa"/>
              <w:bottom w:w="100" w:type="dxa"/>
              <w:right w:w="100" w:type="dxa"/>
            </w:tcMar>
          </w:tcPr>
          <w:p w14:paraId="7626B81D"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w:t>
            </w:r>
          </w:p>
        </w:tc>
        <w:tc>
          <w:tcPr>
            <w:tcW w:w="1470" w:type="dxa"/>
            <w:shd w:val="clear" w:color="auto" w:fill="auto"/>
            <w:tcMar>
              <w:top w:w="100" w:type="dxa"/>
              <w:left w:w="100" w:type="dxa"/>
              <w:bottom w:w="100" w:type="dxa"/>
              <w:right w:w="100" w:type="dxa"/>
            </w:tcMar>
          </w:tcPr>
          <w:p w14:paraId="4672157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w:t>
            </w:r>
          </w:p>
        </w:tc>
        <w:tc>
          <w:tcPr>
            <w:tcW w:w="2010" w:type="dxa"/>
            <w:shd w:val="clear" w:color="auto" w:fill="auto"/>
            <w:tcMar>
              <w:top w:w="100" w:type="dxa"/>
              <w:left w:w="100" w:type="dxa"/>
              <w:bottom w:w="100" w:type="dxa"/>
              <w:right w:w="100" w:type="dxa"/>
            </w:tcMar>
          </w:tcPr>
          <w:p w14:paraId="21AE437C"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w:t>
            </w:r>
          </w:p>
        </w:tc>
      </w:tr>
      <w:tr w:rsidR="001D798D" w14:paraId="10A8D1CE" w14:textId="77777777">
        <w:trPr>
          <w:cantSplit/>
          <w:tblHeader/>
        </w:trPr>
        <w:tc>
          <w:tcPr>
            <w:tcW w:w="660" w:type="dxa"/>
            <w:shd w:val="clear" w:color="auto" w:fill="auto"/>
            <w:tcMar>
              <w:top w:w="100" w:type="dxa"/>
              <w:left w:w="100" w:type="dxa"/>
              <w:bottom w:w="100" w:type="dxa"/>
              <w:right w:w="100" w:type="dxa"/>
            </w:tcMar>
          </w:tcPr>
          <w:p w14:paraId="32073760"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w:t>
            </w:r>
          </w:p>
        </w:tc>
        <w:tc>
          <w:tcPr>
            <w:tcW w:w="3060" w:type="dxa"/>
            <w:shd w:val="clear" w:color="auto" w:fill="auto"/>
            <w:tcMar>
              <w:top w:w="100" w:type="dxa"/>
              <w:left w:w="100" w:type="dxa"/>
              <w:bottom w:w="100" w:type="dxa"/>
              <w:right w:w="100" w:type="dxa"/>
            </w:tcMar>
          </w:tcPr>
          <w:p w14:paraId="59E439E3"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Recognition approaches</w:t>
            </w:r>
          </w:p>
        </w:tc>
        <w:tc>
          <w:tcPr>
            <w:tcW w:w="1380" w:type="dxa"/>
            <w:shd w:val="clear" w:color="auto" w:fill="auto"/>
            <w:tcMar>
              <w:top w:w="100" w:type="dxa"/>
              <w:left w:w="100" w:type="dxa"/>
              <w:bottom w:w="100" w:type="dxa"/>
              <w:right w:w="100" w:type="dxa"/>
            </w:tcMar>
          </w:tcPr>
          <w:p w14:paraId="238D9567"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w:t>
            </w:r>
          </w:p>
        </w:tc>
        <w:tc>
          <w:tcPr>
            <w:tcW w:w="1470" w:type="dxa"/>
            <w:shd w:val="clear" w:color="auto" w:fill="auto"/>
            <w:tcMar>
              <w:top w:w="100" w:type="dxa"/>
              <w:left w:w="100" w:type="dxa"/>
              <w:bottom w:w="100" w:type="dxa"/>
              <w:right w:w="100" w:type="dxa"/>
            </w:tcMar>
          </w:tcPr>
          <w:p w14:paraId="09A96564"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w:t>
            </w:r>
          </w:p>
        </w:tc>
        <w:tc>
          <w:tcPr>
            <w:tcW w:w="2010" w:type="dxa"/>
            <w:shd w:val="clear" w:color="auto" w:fill="auto"/>
            <w:tcMar>
              <w:top w:w="100" w:type="dxa"/>
              <w:left w:w="100" w:type="dxa"/>
              <w:bottom w:w="100" w:type="dxa"/>
              <w:right w:w="100" w:type="dxa"/>
            </w:tcMar>
          </w:tcPr>
          <w:p w14:paraId="42A3600E" w14:textId="77777777" w:rsidR="001D798D" w:rsidRDefault="00E52170">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w:t>
            </w:r>
          </w:p>
        </w:tc>
      </w:tr>
    </w:tbl>
    <w:p w14:paraId="378581B6"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Table 2: Grid analysis for better decision making approaches</w:t>
      </w:r>
    </w:p>
    <w:p w14:paraId="17CDED99" w14:textId="77777777" w:rsidR="001D798D" w:rsidRDefault="00E52170">
      <w:pPr>
        <w:widowControl w:val="0"/>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author)</w:t>
      </w:r>
    </w:p>
    <w:p w14:paraId="5220CF30" w14:textId="77777777" w:rsidR="001D798D" w:rsidRDefault="00E52170">
      <w:pPr>
        <w:pStyle w:val="Titlu2"/>
      </w:pPr>
      <w:bookmarkStart w:id="7" w:name="_heading=h.1t3h5sf" w:colFirst="0" w:colLast="0"/>
      <w:bookmarkEnd w:id="7"/>
      <w:r>
        <w:t>7. Measuring the effectiveness of the decisions that are taken previously</w:t>
      </w:r>
    </w:p>
    <w:p w14:paraId="4FB93EA7"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Huge effects are present of this plan because this plan can influence the organisation's growth process and reduce the employee’s absenteeism activities effectively. The synchronism activities are perfectly enhanced through the effectiveness of decision making approaches within the workplace of the organisation (</w:t>
      </w:r>
      <w:r>
        <w:rPr>
          <w:rFonts w:ascii="Times New Roman" w:eastAsia="Times New Roman" w:hAnsi="Times New Roman" w:cs="Times New Roman"/>
          <w:color w:val="222222"/>
          <w:sz w:val="24"/>
          <w:szCs w:val="24"/>
          <w:highlight w:val="white"/>
        </w:rPr>
        <w:t xml:space="preserve">Suryanto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000000"/>
          <w:sz w:val="24"/>
          <w:szCs w:val="24"/>
        </w:rPr>
        <w:t>). The importance of decisions that are taken as alternative solutions is identified and it influences the organisation’s growth opportunities adequately. It should be implemented, which develops the organisation’s growth level constructively (</w:t>
      </w:r>
      <w:r>
        <w:rPr>
          <w:rFonts w:ascii="Times New Roman" w:eastAsia="Times New Roman" w:hAnsi="Times New Roman" w:cs="Times New Roman"/>
          <w:color w:val="222222"/>
          <w:sz w:val="24"/>
          <w:szCs w:val="24"/>
          <w:highlight w:val="white"/>
        </w:rPr>
        <w:t>Monstadt and Schmidt, 2019</w:t>
      </w:r>
      <w:r>
        <w:rPr>
          <w:rFonts w:ascii="Times New Roman" w:eastAsia="Times New Roman" w:hAnsi="Times New Roman" w:cs="Times New Roman"/>
          <w:color w:val="000000"/>
          <w:sz w:val="24"/>
          <w:szCs w:val="24"/>
        </w:rPr>
        <w:t xml:space="preserve">). Thus, from this aspect, it can be stated that the effectiveness of decisions that are taken previously is most important to reduce the employees' activities by HR. The situational analysis, proper evaluations along risk assessing practises are the effective points that need to consider to determine the effectiveness of decision making approaches within the workplace. The zero level of risks is identified in this decision making approach that can be easily measured. The previous mentioned alternative methods are needed to identify what influences the workplace growth opportunities with enhancing the employee's activities. </w:t>
      </w:r>
    </w:p>
    <w:p w14:paraId="10A55AD2" w14:textId="77777777" w:rsidR="001D798D" w:rsidRDefault="00E52170">
      <w:pPr>
        <w:pStyle w:val="Titlu2"/>
      </w:pPr>
      <w:bookmarkStart w:id="8" w:name="_heading=h.4d34og8" w:colFirst="0" w:colLast="0"/>
      <w:bookmarkEnd w:id="8"/>
      <w:r>
        <w:t xml:space="preserve">8. Conclusion  </w:t>
      </w:r>
    </w:p>
    <w:p w14:paraId="3299EF13" w14:textId="77777777" w:rsidR="001D798D" w:rsidRDefault="00E5217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analysing this study it can be concluded that HR is the most effective factor that influences the organisation’s growth abilities and also influences the business approaches with placing proper employee activities adequately. This study also helps to determine the alternative solutions that influence the employee mentality and their position in the workplace. The activity level of HR to perfectly manage the workplace and employees are understood through this study that gives the big perspective of the organisation adequately. Apart from this the selected </w:t>
      </w:r>
      <w:r>
        <w:rPr>
          <w:rFonts w:ascii="Times New Roman" w:eastAsia="Times New Roman" w:hAnsi="Times New Roman" w:cs="Times New Roman"/>
          <w:color w:val="000000"/>
          <w:sz w:val="24"/>
          <w:szCs w:val="24"/>
        </w:rPr>
        <w:lastRenderedPageBreak/>
        <w:t xml:space="preserve">organisation issues ho can be managed that also are disused through this study also influences the chances to determine the employee's managing process within the workplace effectively. The employee motivation practises are directly understood through determined this study. Thus from this aspect, it can be understood that HR is the most effective factor that should be implemented in all organisations and it influences the employees managing capacities adequately. </w:t>
      </w:r>
    </w:p>
    <w:p w14:paraId="56757C00" w14:textId="77777777" w:rsidR="001D798D" w:rsidRDefault="00E5217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7422EC81" w14:textId="77777777" w:rsidR="001D798D" w:rsidRDefault="00E52170">
      <w:pPr>
        <w:pStyle w:val="Titlu1"/>
      </w:pPr>
      <w:bookmarkStart w:id="9" w:name="_heading=h.2s8eyo1" w:colFirst="0" w:colLast="0"/>
      <w:bookmarkEnd w:id="9"/>
      <w:r>
        <w:lastRenderedPageBreak/>
        <w:t>Reference list</w:t>
      </w:r>
    </w:p>
    <w:p w14:paraId="7AD80F44"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Accountingweb.co.uk, (2021). .Available at:</w:t>
      </w:r>
      <w:hyperlink r:id="rId9">
        <w:r>
          <w:rPr>
            <w:rFonts w:ascii="Times New Roman" w:eastAsia="Times New Roman" w:hAnsi="Times New Roman" w:cs="Times New Roman"/>
            <w:color w:val="222222"/>
            <w:sz w:val="24"/>
            <w:szCs w:val="24"/>
            <w:highlight w:val="white"/>
          </w:rPr>
          <w:t xml:space="preserve"> </w:t>
        </w:r>
      </w:hyperlink>
      <w:hyperlink r:id="rId10">
        <w:r>
          <w:rPr>
            <w:rFonts w:ascii="Times New Roman" w:eastAsia="Times New Roman" w:hAnsi="Times New Roman" w:cs="Times New Roman"/>
            <w:color w:val="1155CC"/>
            <w:sz w:val="24"/>
            <w:szCs w:val="24"/>
            <w:highlight w:val="white"/>
            <w:u w:val="single"/>
          </w:rPr>
          <w:t>https://www.accountingweb.co.uk/community/industry-insights/pest-analysis-political-factors-in-the-uk</w:t>
        </w:r>
      </w:hyperlink>
      <w:r>
        <w:rPr>
          <w:rFonts w:ascii="Times New Roman" w:eastAsia="Times New Roman" w:hAnsi="Times New Roman" w:cs="Times New Roman"/>
          <w:color w:val="222222"/>
          <w:sz w:val="24"/>
          <w:szCs w:val="24"/>
          <w:highlight w:val="white"/>
        </w:rPr>
        <w:t xml:space="preserve"> [Accessed on: 27/11/2021]</w:t>
      </w:r>
    </w:p>
    <w:p w14:paraId="4DCE8E07"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Accountingweb.co.uk, (2021). </w:t>
      </w:r>
      <w:r>
        <w:rPr>
          <w:rFonts w:ascii="Times New Roman" w:eastAsia="Times New Roman" w:hAnsi="Times New Roman" w:cs="Times New Roman"/>
          <w:i/>
          <w:color w:val="222222"/>
          <w:sz w:val="24"/>
          <w:szCs w:val="24"/>
          <w:highlight w:val="white"/>
        </w:rPr>
        <w:t>UK PEST: Technological Factors</w:t>
      </w:r>
      <w:r>
        <w:rPr>
          <w:rFonts w:ascii="Times New Roman" w:eastAsia="Times New Roman" w:hAnsi="Times New Roman" w:cs="Times New Roman"/>
          <w:color w:val="222222"/>
          <w:sz w:val="24"/>
          <w:szCs w:val="24"/>
          <w:highlight w:val="white"/>
        </w:rPr>
        <w:t>. Available at:</w:t>
      </w:r>
      <w:hyperlink r:id="rId11">
        <w:r>
          <w:rPr>
            <w:rFonts w:ascii="Times New Roman" w:eastAsia="Times New Roman" w:hAnsi="Times New Roman" w:cs="Times New Roman"/>
            <w:color w:val="222222"/>
            <w:sz w:val="24"/>
            <w:szCs w:val="24"/>
            <w:highlight w:val="white"/>
          </w:rPr>
          <w:t xml:space="preserve"> </w:t>
        </w:r>
      </w:hyperlink>
      <w:hyperlink r:id="rId12">
        <w:r>
          <w:rPr>
            <w:rFonts w:ascii="Times New Roman" w:eastAsia="Times New Roman" w:hAnsi="Times New Roman" w:cs="Times New Roman"/>
            <w:color w:val="1155CC"/>
            <w:sz w:val="24"/>
            <w:szCs w:val="24"/>
            <w:highlight w:val="white"/>
            <w:u w:val="single"/>
          </w:rPr>
          <w:t>https://www.accountingweb.co.uk/community/industry-insights/uk-pest-technological-factors</w:t>
        </w:r>
      </w:hyperlink>
      <w:r>
        <w:rPr>
          <w:rFonts w:ascii="Times New Roman" w:eastAsia="Times New Roman" w:hAnsi="Times New Roman" w:cs="Times New Roman"/>
          <w:color w:val="222222"/>
          <w:sz w:val="24"/>
          <w:szCs w:val="24"/>
          <w:highlight w:val="white"/>
        </w:rPr>
        <w:t>[Accessed on: 27/11/2021]</w:t>
      </w:r>
    </w:p>
    <w:p w14:paraId="082B72CB"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Currie, C.S., Fowler, J.W., Kotiadis, K., Monks, T., Onggo, B.S., Robertson, D.A. and Tako, A.A., (2020). How simulation modelling can help reduce the impact of COVID-19. </w:t>
      </w:r>
      <w:r>
        <w:rPr>
          <w:rFonts w:ascii="Times New Roman" w:eastAsia="Times New Roman" w:hAnsi="Times New Roman" w:cs="Times New Roman"/>
          <w:i/>
          <w:color w:val="222222"/>
          <w:sz w:val="24"/>
          <w:szCs w:val="24"/>
          <w:highlight w:val="white"/>
        </w:rPr>
        <w:t>Journal of Simulation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pp.83-97.</w:t>
      </w:r>
    </w:p>
    <w:p w14:paraId="05DF9DD5"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Eacea.ec.europa.eu, (2020). </w:t>
      </w:r>
      <w:r>
        <w:rPr>
          <w:rFonts w:ascii="Times New Roman" w:eastAsia="Times New Roman" w:hAnsi="Times New Roman" w:cs="Times New Roman"/>
          <w:i/>
          <w:color w:val="222222"/>
          <w:sz w:val="24"/>
          <w:szCs w:val="24"/>
          <w:highlight w:val="white"/>
        </w:rPr>
        <w:t>Political, Social and Economic Background and Trends</w:t>
      </w:r>
      <w:r>
        <w:rPr>
          <w:rFonts w:ascii="Times New Roman" w:eastAsia="Times New Roman" w:hAnsi="Times New Roman" w:cs="Times New Roman"/>
          <w:color w:val="222222"/>
          <w:sz w:val="24"/>
          <w:szCs w:val="24"/>
          <w:highlight w:val="white"/>
        </w:rPr>
        <w:t>. Available at:</w:t>
      </w:r>
      <w:hyperlink r:id="rId13">
        <w:r>
          <w:rPr>
            <w:rFonts w:ascii="Times New Roman" w:eastAsia="Times New Roman" w:hAnsi="Times New Roman" w:cs="Times New Roman"/>
            <w:color w:val="222222"/>
            <w:sz w:val="24"/>
            <w:szCs w:val="24"/>
            <w:highlight w:val="white"/>
          </w:rPr>
          <w:t xml:space="preserve"> </w:t>
        </w:r>
      </w:hyperlink>
      <w:hyperlink r:id="rId14">
        <w:r>
          <w:rPr>
            <w:rFonts w:ascii="Times New Roman" w:eastAsia="Times New Roman" w:hAnsi="Times New Roman" w:cs="Times New Roman"/>
            <w:color w:val="1155CC"/>
            <w:sz w:val="24"/>
            <w:szCs w:val="24"/>
            <w:highlight w:val="white"/>
            <w:u w:val="single"/>
          </w:rPr>
          <w:t>https://eacea.ec.europa.eu/national-policies/eurydice/content/political-social-and-economic-background-and-trends-93_en</w:t>
        </w:r>
      </w:hyperlink>
      <w:r>
        <w:rPr>
          <w:rFonts w:ascii="Times New Roman" w:eastAsia="Times New Roman" w:hAnsi="Times New Roman" w:cs="Times New Roman"/>
          <w:color w:val="222222"/>
          <w:sz w:val="24"/>
          <w:szCs w:val="24"/>
          <w:highlight w:val="white"/>
        </w:rPr>
        <w:t>[Accessed on: 27/11/2021]</w:t>
      </w:r>
    </w:p>
    <w:p w14:paraId="6EB69DD0"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Gabriel, A.S., Podsakoff, N.P., Beal, D.J., Scott, B.A., Sonnentag, S., Trougakos, J.P. and Butts, M.M., (2019). Experience sampling methods: A discussion of critical trends and considerations for scholarly advancement. </w:t>
      </w:r>
      <w:r>
        <w:rPr>
          <w:rFonts w:ascii="Times New Roman" w:eastAsia="Times New Roman" w:hAnsi="Times New Roman" w:cs="Times New Roman"/>
          <w:i/>
          <w:color w:val="222222"/>
          <w:sz w:val="24"/>
          <w:szCs w:val="24"/>
          <w:highlight w:val="white"/>
        </w:rPr>
        <w:t>Organizational Research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(4), pp.969-1006.</w:t>
      </w:r>
    </w:p>
    <w:p w14:paraId="6ED11F8F"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independent.co.uk, (2021)</w:t>
      </w:r>
      <w:r>
        <w:rPr>
          <w:rFonts w:ascii="Times New Roman" w:eastAsia="Times New Roman" w:hAnsi="Times New Roman" w:cs="Times New Roman"/>
          <w:i/>
          <w:color w:val="222222"/>
          <w:sz w:val="24"/>
          <w:szCs w:val="24"/>
          <w:highlight w:val="white"/>
        </w:rPr>
        <w:t xml:space="preserve"> .Technological aspects of UK</w:t>
      </w:r>
      <w:r>
        <w:rPr>
          <w:rFonts w:ascii="Times New Roman" w:eastAsia="Times New Roman" w:hAnsi="Times New Roman" w:cs="Times New Roman"/>
          <w:color w:val="222222"/>
          <w:sz w:val="24"/>
          <w:szCs w:val="24"/>
          <w:highlight w:val="white"/>
        </w:rPr>
        <w:t xml:space="preserve"> . Available at:</w:t>
      </w:r>
      <w:hyperlink r:id="rId15">
        <w:r>
          <w:rPr>
            <w:rFonts w:ascii="Times New Roman" w:eastAsia="Times New Roman" w:hAnsi="Times New Roman" w:cs="Times New Roman"/>
            <w:color w:val="222222"/>
            <w:sz w:val="24"/>
            <w:szCs w:val="24"/>
            <w:highlight w:val="white"/>
          </w:rPr>
          <w:t xml:space="preserve"> </w:t>
        </w:r>
      </w:hyperlink>
      <w:hyperlink r:id="rId16">
        <w:r>
          <w:rPr>
            <w:rFonts w:ascii="Times New Roman" w:eastAsia="Times New Roman" w:hAnsi="Times New Roman" w:cs="Times New Roman"/>
            <w:color w:val="1155CC"/>
            <w:sz w:val="24"/>
            <w:szCs w:val="24"/>
            <w:highlight w:val="white"/>
            <w:u w:val="single"/>
          </w:rPr>
          <w:t>https://www.independent.co.uk/life-style/gadgets-and-tech/news/the-uk-is-the-fourth-most-technologically-advanced-country-in-the-world-a6757196.html</w:t>
        </w:r>
      </w:hyperlink>
      <w:r>
        <w:rPr>
          <w:rFonts w:ascii="Times New Roman" w:eastAsia="Times New Roman" w:hAnsi="Times New Roman" w:cs="Times New Roman"/>
          <w:color w:val="222222"/>
          <w:sz w:val="24"/>
          <w:szCs w:val="24"/>
          <w:highlight w:val="white"/>
        </w:rPr>
        <w:t>[Accessed on: 27/11/2021]</w:t>
      </w:r>
    </w:p>
    <w:p w14:paraId="67B49979"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Information-age.com</w:t>
      </w:r>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i/>
          <w:color w:val="222222"/>
          <w:sz w:val="24"/>
          <w:szCs w:val="24"/>
          <w:highlight w:val="white"/>
        </w:rPr>
        <w:t xml:space="preserve"> Tech nation 2018 report</w:t>
      </w:r>
      <w:r>
        <w:rPr>
          <w:rFonts w:ascii="Times New Roman" w:eastAsia="Times New Roman" w:hAnsi="Times New Roman" w:cs="Times New Roman"/>
          <w:color w:val="222222"/>
          <w:sz w:val="24"/>
          <w:szCs w:val="24"/>
          <w:highlight w:val="white"/>
        </w:rPr>
        <w:t>. Available at:</w:t>
      </w:r>
      <w:hyperlink r:id="rId17">
        <w:r>
          <w:rPr>
            <w:rFonts w:ascii="Times New Roman" w:eastAsia="Times New Roman" w:hAnsi="Times New Roman" w:cs="Times New Roman"/>
            <w:color w:val="222222"/>
            <w:sz w:val="24"/>
            <w:szCs w:val="24"/>
            <w:highlight w:val="white"/>
          </w:rPr>
          <w:t xml:space="preserve"> </w:t>
        </w:r>
      </w:hyperlink>
      <w:hyperlink r:id="rId18">
        <w:r>
          <w:rPr>
            <w:rFonts w:ascii="Times New Roman" w:eastAsia="Times New Roman" w:hAnsi="Times New Roman" w:cs="Times New Roman"/>
            <w:color w:val="1155CC"/>
            <w:sz w:val="24"/>
            <w:szCs w:val="24"/>
            <w:highlight w:val="white"/>
            <w:u w:val="single"/>
          </w:rPr>
          <w:t>https://www.information-age.com/tech-nation-2018-report-uk-tech-faster-economy-123471982/</w:t>
        </w:r>
      </w:hyperlink>
      <w:r>
        <w:rPr>
          <w:rFonts w:ascii="Times New Roman" w:eastAsia="Times New Roman" w:hAnsi="Times New Roman" w:cs="Times New Roman"/>
          <w:color w:val="222222"/>
          <w:sz w:val="24"/>
          <w:szCs w:val="24"/>
          <w:highlight w:val="white"/>
        </w:rPr>
        <w:t>[Accessed on: 27/11/2021]</w:t>
      </w:r>
    </w:p>
    <w:p w14:paraId="16709FC9"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Kretschmer, T., Leiponen, A., Schilling, M. and Vasudeva, G., (2022). Platform ecosystems as meta‐organizations: Implications for platform strategies. </w:t>
      </w:r>
      <w:r>
        <w:rPr>
          <w:rFonts w:ascii="Times New Roman" w:eastAsia="Times New Roman" w:hAnsi="Times New Roman" w:cs="Times New Roman"/>
          <w:i/>
          <w:color w:val="222222"/>
          <w:sz w:val="24"/>
          <w:szCs w:val="24"/>
          <w:highlight w:val="white"/>
        </w:rPr>
        <w:t>Strategic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(3), pp.405-424.</w:t>
      </w:r>
    </w:p>
    <w:p w14:paraId="79AE99EA"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Mittal, S., Khan, M.A., Romero, D. and Wuest, T., (2018). A critical review of smart manufacturing &amp; Industry 4.0 maturity models: Implications for small and medium-sized enterprises (SMEs). </w:t>
      </w:r>
      <w:r>
        <w:rPr>
          <w:rFonts w:ascii="Times New Roman" w:eastAsia="Times New Roman" w:hAnsi="Times New Roman" w:cs="Times New Roman"/>
          <w:i/>
          <w:color w:val="222222"/>
          <w:sz w:val="24"/>
          <w:szCs w:val="24"/>
          <w:highlight w:val="white"/>
        </w:rPr>
        <w:t>Journal of manufacturing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pp.194-214.</w:t>
      </w:r>
    </w:p>
    <w:p w14:paraId="3A53932E"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Monstadt, J. and Schmidt, M., (2019). Urban resilience in the making? The governance of critical infrastructures in German cities. </w:t>
      </w:r>
      <w:r>
        <w:rPr>
          <w:rFonts w:ascii="Times New Roman" w:eastAsia="Times New Roman" w:hAnsi="Times New Roman" w:cs="Times New Roman"/>
          <w:i/>
          <w:color w:val="222222"/>
          <w:sz w:val="24"/>
          <w:szCs w:val="24"/>
          <w:highlight w:val="white"/>
        </w:rPr>
        <w:t>Urban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(11), pp.2353-2371.</w:t>
      </w:r>
    </w:p>
    <w:p w14:paraId="33421837"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Moortrees.org, (2021). </w:t>
      </w:r>
      <w:r>
        <w:rPr>
          <w:rFonts w:ascii="Times New Roman" w:eastAsia="Times New Roman" w:hAnsi="Times New Roman" w:cs="Times New Roman"/>
          <w:i/>
          <w:color w:val="222222"/>
          <w:sz w:val="24"/>
          <w:szCs w:val="24"/>
          <w:highlight w:val="white"/>
        </w:rPr>
        <w:t>Environmental factor of UK</w:t>
      </w:r>
      <w:r>
        <w:rPr>
          <w:rFonts w:ascii="Times New Roman" w:eastAsia="Times New Roman" w:hAnsi="Times New Roman" w:cs="Times New Roman"/>
          <w:color w:val="222222"/>
          <w:sz w:val="24"/>
          <w:szCs w:val="24"/>
          <w:highlight w:val="white"/>
        </w:rPr>
        <w:t xml:space="preserve"> . Available at:</w:t>
      </w:r>
      <w:hyperlink r:id="rId19">
        <w:r>
          <w:rPr>
            <w:rFonts w:ascii="Times New Roman" w:eastAsia="Times New Roman" w:hAnsi="Times New Roman" w:cs="Times New Roman"/>
            <w:color w:val="222222"/>
            <w:sz w:val="24"/>
            <w:szCs w:val="24"/>
            <w:highlight w:val="white"/>
          </w:rPr>
          <w:t xml:space="preserve"> </w:t>
        </w:r>
      </w:hyperlink>
      <w:hyperlink r:id="rId20">
        <w:r>
          <w:rPr>
            <w:rFonts w:ascii="Times New Roman" w:eastAsia="Times New Roman" w:hAnsi="Times New Roman" w:cs="Times New Roman"/>
            <w:color w:val="1155CC"/>
            <w:sz w:val="24"/>
            <w:szCs w:val="24"/>
            <w:highlight w:val="white"/>
            <w:u w:val="single"/>
          </w:rPr>
          <w:t>https://moortrees.org/?gclid=Cj0KCQiA-qGNBhD3ARIsAO_o7ylT6LTYRuSZ2nBi-zwBKVCjO3x8KO-aP30u-v7v-bEWbiK368gUWQIaAg7-EALw_wcB</w:t>
        </w:r>
      </w:hyperlink>
      <w:r>
        <w:rPr>
          <w:rFonts w:ascii="Times New Roman" w:eastAsia="Times New Roman" w:hAnsi="Times New Roman" w:cs="Times New Roman"/>
          <w:color w:val="222222"/>
          <w:sz w:val="24"/>
          <w:szCs w:val="24"/>
          <w:highlight w:val="white"/>
        </w:rPr>
        <w:t xml:space="preserve"> [Accessed on: 27/11/2021]</w:t>
      </w:r>
    </w:p>
    <w:p w14:paraId="09A7BAEB"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Nisar, T.M., Prabhakar, G. and Strakova, L., (2019). Social media information benefits, knowledge management and smart organizations.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pp.264-272.</w:t>
      </w:r>
    </w:p>
    <w:p w14:paraId="02BA810C"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Ons.gov.uk, (2021).</w:t>
      </w:r>
      <w:r>
        <w:rPr>
          <w:rFonts w:ascii="Times New Roman" w:eastAsia="Times New Roman" w:hAnsi="Times New Roman" w:cs="Times New Roman"/>
          <w:i/>
          <w:color w:val="222222"/>
          <w:sz w:val="24"/>
          <w:szCs w:val="24"/>
          <w:highlight w:val="white"/>
        </w:rPr>
        <w:t xml:space="preserve"> Employment in the UK: September 2021</w:t>
      </w:r>
      <w:r>
        <w:rPr>
          <w:rFonts w:ascii="Times New Roman" w:eastAsia="Times New Roman" w:hAnsi="Times New Roman" w:cs="Times New Roman"/>
          <w:color w:val="222222"/>
          <w:sz w:val="24"/>
          <w:szCs w:val="24"/>
          <w:highlight w:val="white"/>
        </w:rPr>
        <w:t>. Available at:</w:t>
      </w:r>
      <w:hyperlink r:id="rId21">
        <w:r>
          <w:rPr>
            <w:rFonts w:ascii="Times New Roman" w:eastAsia="Times New Roman" w:hAnsi="Times New Roman" w:cs="Times New Roman"/>
            <w:color w:val="222222"/>
            <w:sz w:val="24"/>
            <w:szCs w:val="24"/>
            <w:highlight w:val="white"/>
          </w:rPr>
          <w:t xml:space="preserve"> </w:t>
        </w:r>
      </w:hyperlink>
      <w:hyperlink r:id="rId22">
        <w:r>
          <w:rPr>
            <w:rFonts w:ascii="Times New Roman" w:eastAsia="Times New Roman" w:hAnsi="Times New Roman" w:cs="Times New Roman"/>
            <w:color w:val="1155CC"/>
            <w:sz w:val="24"/>
            <w:szCs w:val="24"/>
            <w:highlight w:val="white"/>
            <w:u w:val="single"/>
          </w:rPr>
          <w:t>https://www.ons.gov.uk/employmentandlabourmarket/peopleinwork/employmentandemployeetypes/bulletins/employmentintheuk/september2021</w:t>
        </w:r>
      </w:hyperlink>
      <w:r>
        <w:rPr>
          <w:rFonts w:ascii="Times New Roman" w:eastAsia="Times New Roman" w:hAnsi="Times New Roman" w:cs="Times New Roman"/>
          <w:color w:val="222222"/>
          <w:sz w:val="24"/>
          <w:szCs w:val="24"/>
          <w:highlight w:val="white"/>
        </w:rPr>
        <w:t xml:space="preserve"> [Accessed on: 27/11/2021]</w:t>
      </w:r>
    </w:p>
    <w:p w14:paraId="47F55B43"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Pollock, A., Campbell, P., Cheyne, J., Cowie, J., Davis, B., McCallum, J., McGill, K., Elders, A., Hagen, S., McClurg, D. and Torrens, C., (2020). Interventions to support the resilience and mental health of frontline health and social care professionals during and after a disease outbreak, epidemic or pandemic: a mixed methods systematic review. </w:t>
      </w:r>
      <w:r>
        <w:rPr>
          <w:rFonts w:ascii="Times New Roman" w:eastAsia="Times New Roman" w:hAnsi="Times New Roman" w:cs="Times New Roman"/>
          <w:i/>
          <w:color w:val="222222"/>
          <w:sz w:val="24"/>
          <w:szCs w:val="24"/>
          <w:highlight w:val="white"/>
        </w:rPr>
        <w:t>Cochrane Database of Systematic Reviews</w:t>
      </w:r>
      <w:r>
        <w:rPr>
          <w:rFonts w:ascii="Times New Roman" w:eastAsia="Times New Roman" w:hAnsi="Times New Roman" w:cs="Times New Roman"/>
          <w:color w:val="222222"/>
          <w:sz w:val="24"/>
          <w:szCs w:val="24"/>
          <w:highlight w:val="white"/>
        </w:rPr>
        <w:t>, (11).</w:t>
      </w:r>
    </w:p>
    <w:p w14:paraId="2ABAF222"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Pwc.co.uk, (2021). </w:t>
      </w:r>
      <w:r>
        <w:rPr>
          <w:rFonts w:ascii="Times New Roman" w:eastAsia="Times New Roman" w:hAnsi="Times New Roman" w:cs="Times New Roman"/>
          <w:i/>
          <w:color w:val="222222"/>
          <w:sz w:val="24"/>
          <w:szCs w:val="24"/>
          <w:highlight w:val="white"/>
        </w:rPr>
        <w:t>Cyber security services</w:t>
      </w:r>
      <w:r>
        <w:rPr>
          <w:rFonts w:ascii="Times New Roman" w:eastAsia="Times New Roman" w:hAnsi="Times New Roman" w:cs="Times New Roman"/>
          <w:color w:val="222222"/>
          <w:sz w:val="24"/>
          <w:szCs w:val="24"/>
          <w:highlight w:val="white"/>
        </w:rPr>
        <w:t xml:space="preserve"> . Available at:</w:t>
      </w:r>
      <w:hyperlink r:id="rId23">
        <w:r>
          <w:rPr>
            <w:rFonts w:ascii="Times New Roman" w:eastAsia="Times New Roman" w:hAnsi="Times New Roman" w:cs="Times New Roman"/>
            <w:color w:val="222222"/>
            <w:sz w:val="24"/>
            <w:szCs w:val="24"/>
            <w:highlight w:val="white"/>
          </w:rPr>
          <w:t xml:space="preserve"> </w:t>
        </w:r>
      </w:hyperlink>
      <w:hyperlink r:id="rId24">
        <w:r>
          <w:rPr>
            <w:rFonts w:ascii="Times New Roman" w:eastAsia="Times New Roman" w:hAnsi="Times New Roman" w:cs="Times New Roman"/>
            <w:color w:val="1155CC"/>
            <w:sz w:val="24"/>
            <w:szCs w:val="24"/>
            <w:highlight w:val="white"/>
            <w:u w:val="single"/>
          </w:rPr>
          <w:t>https://www.pwc.co.uk/issues/cyber-security-services.html?WT.mc_id=CT3-PL300-DM1-TR3-LS4-ND30-TTA9-CN_CyberSecurity_CyberSecServ__Other_1&amp;gclid=Cj0KCQiA-qGNBhD3ARIsAO_o7ykFMP-yBHedTpMVBebZTbECwiWRL_TcqvyNGHgQCTyc3k7ISUzPmRcaAtCREALw_wcB</w:t>
        </w:r>
      </w:hyperlink>
      <w:r>
        <w:rPr>
          <w:rFonts w:ascii="Times New Roman" w:eastAsia="Times New Roman" w:hAnsi="Times New Roman" w:cs="Times New Roman"/>
          <w:color w:val="222222"/>
          <w:sz w:val="24"/>
          <w:szCs w:val="24"/>
          <w:highlight w:val="white"/>
        </w:rPr>
        <w:t>[Accessed on: 27/11/2021]</w:t>
      </w:r>
    </w:p>
    <w:p w14:paraId="60E7D632"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Sgi-network.org, (2017). Environmental Policies of UK. Available at: https://www.sgi-network.org/2017/United_Kingdom/Environmental_Policies [Accessed on: 27/11/2021]</w:t>
      </w:r>
    </w:p>
    <w:p w14:paraId="39111FD2"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Statista.com, (2021). </w:t>
      </w:r>
      <w:r>
        <w:rPr>
          <w:rFonts w:ascii="Times New Roman" w:eastAsia="Times New Roman" w:hAnsi="Times New Roman" w:cs="Times New Roman"/>
          <w:i/>
          <w:color w:val="222222"/>
          <w:sz w:val="24"/>
          <w:szCs w:val="24"/>
          <w:highlight w:val="white"/>
        </w:rPr>
        <w:t>United Kingdom 2021</w:t>
      </w:r>
      <w:r>
        <w:rPr>
          <w:rFonts w:ascii="Times New Roman" w:eastAsia="Times New Roman" w:hAnsi="Times New Roman" w:cs="Times New Roman"/>
          <w:color w:val="222222"/>
          <w:sz w:val="24"/>
          <w:szCs w:val="24"/>
          <w:highlight w:val="white"/>
        </w:rPr>
        <w:t xml:space="preserve"> . Available at:</w:t>
      </w:r>
      <w:hyperlink r:id="rId25">
        <w:r>
          <w:rPr>
            <w:rFonts w:ascii="Times New Roman" w:eastAsia="Times New Roman" w:hAnsi="Times New Roman" w:cs="Times New Roman"/>
            <w:i/>
            <w:color w:val="222222"/>
            <w:sz w:val="24"/>
            <w:szCs w:val="24"/>
            <w:highlight w:val="white"/>
          </w:rPr>
          <w:t xml:space="preserve"> </w:t>
        </w:r>
      </w:hyperlink>
      <w:hyperlink r:id="rId26">
        <w:r>
          <w:rPr>
            <w:rFonts w:ascii="Times New Roman" w:eastAsia="Times New Roman" w:hAnsi="Times New Roman" w:cs="Times New Roman"/>
            <w:color w:val="1155CC"/>
            <w:sz w:val="24"/>
            <w:szCs w:val="24"/>
            <w:highlight w:val="white"/>
            <w:u w:val="single"/>
          </w:rPr>
          <w:t>https://www.statista.com/study/48403/united-kingdom/</w:t>
        </w:r>
      </w:hyperlink>
      <w:r>
        <w:rPr>
          <w:rFonts w:ascii="Times New Roman" w:eastAsia="Times New Roman" w:hAnsi="Times New Roman" w:cs="Times New Roman"/>
          <w:color w:val="222222"/>
          <w:sz w:val="24"/>
          <w:szCs w:val="24"/>
          <w:highlight w:val="white"/>
        </w:rPr>
        <w:t xml:space="preserve"> [Accessed on: 27/11/2021]</w:t>
      </w:r>
    </w:p>
    <w:p w14:paraId="60FE8517"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Statista.com, (2021). </w:t>
      </w:r>
      <w:r>
        <w:rPr>
          <w:rFonts w:ascii="Times New Roman" w:eastAsia="Times New Roman" w:hAnsi="Times New Roman" w:cs="Times New Roman"/>
          <w:i/>
          <w:color w:val="222222"/>
          <w:sz w:val="24"/>
          <w:szCs w:val="24"/>
          <w:highlight w:val="white"/>
        </w:rPr>
        <w:t>United Kingdom: Real gross domestic product (GDP) growth rate from 2016 to 2026</w:t>
      </w:r>
      <w:r>
        <w:rPr>
          <w:rFonts w:ascii="Times New Roman" w:eastAsia="Times New Roman" w:hAnsi="Times New Roman" w:cs="Times New Roman"/>
          <w:color w:val="222222"/>
          <w:sz w:val="24"/>
          <w:szCs w:val="24"/>
          <w:highlight w:val="white"/>
        </w:rPr>
        <w:t xml:space="preserve"> . Available at:</w:t>
      </w:r>
      <w:hyperlink r:id="rId27">
        <w:r>
          <w:rPr>
            <w:rFonts w:ascii="Times New Roman" w:eastAsia="Times New Roman" w:hAnsi="Times New Roman" w:cs="Times New Roman"/>
            <w:color w:val="222222"/>
            <w:sz w:val="24"/>
            <w:szCs w:val="24"/>
            <w:highlight w:val="white"/>
          </w:rPr>
          <w:t xml:space="preserve"> </w:t>
        </w:r>
      </w:hyperlink>
      <w:hyperlink r:id="rId28">
        <w:r>
          <w:rPr>
            <w:rFonts w:ascii="Times New Roman" w:eastAsia="Times New Roman" w:hAnsi="Times New Roman" w:cs="Times New Roman"/>
            <w:color w:val="1155CC"/>
            <w:sz w:val="24"/>
            <w:szCs w:val="24"/>
            <w:highlight w:val="white"/>
            <w:u w:val="single"/>
          </w:rPr>
          <w:t>https://www.statista.com/statistics/263613/gross-domestic-product-gdp-growth-rate-in-the-united-kingdom/</w:t>
        </w:r>
      </w:hyperlink>
      <w:r>
        <w:rPr>
          <w:rFonts w:ascii="Times New Roman" w:eastAsia="Times New Roman" w:hAnsi="Times New Roman" w:cs="Times New Roman"/>
          <w:color w:val="222222"/>
          <w:sz w:val="24"/>
          <w:szCs w:val="24"/>
          <w:highlight w:val="white"/>
        </w:rPr>
        <w:t xml:space="preserve"> [Accessed on: 27/11/2021]</w:t>
      </w:r>
    </w:p>
    <w:p w14:paraId="1F44C057"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Suryanto, T., Haseeb, M. and Hartani, N.H., (2018). The correlates of developing green supply chain management practices: Firms level analysis in Malaysia. </w:t>
      </w:r>
      <w:r>
        <w:rPr>
          <w:rFonts w:ascii="Times New Roman" w:eastAsia="Times New Roman" w:hAnsi="Times New Roman" w:cs="Times New Roman"/>
          <w:i/>
          <w:color w:val="222222"/>
          <w:sz w:val="24"/>
          <w:szCs w:val="24"/>
          <w:highlight w:val="white"/>
        </w:rPr>
        <w:t>International Journal of Supply Chain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(5), p.316.</w:t>
      </w:r>
    </w:p>
    <w:p w14:paraId="2B937C2F"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Thecommonwealth.org, (2021). </w:t>
      </w:r>
      <w:r>
        <w:rPr>
          <w:rFonts w:ascii="Times New Roman" w:eastAsia="Times New Roman" w:hAnsi="Times New Roman" w:cs="Times New Roman"/>
          <w:i/>
          <w:color w:val="222222"/>
          <w:sz w:val="24"/>
          <w:szCs w:val="24"/>
          <w:highlight w:val="white"/>
        </w:rPr>
        <w:t>United Kingdom : Society</w:t>
      </w:r>
      <w:r>
        <w:rPr>
          <w:rFonts w:ascii="Times New Roman" w:eastAsia="Times New Roman" w:hAnsi="Times New Roman" w:cs="Times New Roman"/>
          <w:color w:val="222222"/>
          <w:sz w:val="24"/>
          <w:szCs w:val="24"/>
          <w:highlight w:val="white"/>
        </w:rPr>
        <w:t xml:space="preserve"> . Available at:</w:t>
      </w:r>
      <w:hyperlink r:id="rId29">
        <w:r>
          <w:rPr>
            <w:rFonts w:ascii="Times New Roman" w:eastAsia="Times New Roman" w:hAnsi="Times New Roman" w:cs="Times New Roman"/>
            <w:color w:val="222222"/>
            <w:sz w:val="24"/>
            <w:szCs w:val="24"/>
            <w:highlight w:val="white"/>
          </w:rPr>
          <w:t xml:space="preserve"> </w:t>
        </w:r>
      </w:hyperlink>
      <w:hyperlink r:id="rId30">
        <w:r>
          <w:rPr>
            <w:rFonts w:ascii="Times New Roman" w:eastAsia="Times New Roman" w:hAnsi="Times New Roman" w:cs="Times New Roman"/>
            <w:color w:val="1155CC"/>
            <w:sz w:val="24"/>
            <w:szCs w:val="24"/>
            <w:highlight w:val="white"/>
            <w:u w:val="single"/>
          </w:rPr>
          <w:t>https://thecommonwealth.org/our-member-countries/united-kingdom/society</w:t>
        </w:r>
      </w:hyperlink>
      <w:r>
        <w:rPr>
          <w:rFonts w:ascii="Times New Roman" w:eastAsia="Times New Roman" w:hAnsi="Times New Roman" w:cs="Times New Roman"/>
          <w:color w:val="222222"/>
          <w:sz w:val="24"/>
          <w:szCs w:val="24"/>
          <w:highlight w:val="white"/>
        </w:rPr>
        <w:t xml:space="preserve"> [Accessed on: </w:t>
      </w:r>
      <w:r>
        <w:rPr>
          <w:rFonts w:ascii="Times New Roman" w:eastAsia="Times New Roman" w:hAnsi="Times New Roman" w:cs="Times New Roman"/>
          <w:color w:val="222222"/>
          <w:sz w:val="24"/>
          <w:szCs w:val="24"/>
          <w:highlight w:val="white"/>
        </w:rPr>
        <w:lastRenderedPageBreak/>
        <w:t>27/11/2021]</w:t>
      </w:r>
    </w:p>
    <w:p w14:paraId="540FE1DA"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Trade.gov</w:t>
      </w:r>
      <w:r>
        <w:rPr>
          <w:rFonts w:ascii="Times New Roman" w:eastAsia="Times New Roman" w:hAnsi="Times New Roman" w:cs="Times New Roman"/>
          <w:i/>
          <w:color w:val="222222"/>
          <w:sz w:val="24"/>
          <w:szCs w:val="24"/>
          <w:highlight w:val="white"/>
        </w:rPr>
        <w:t>, (2021). Political Environment of UK.</w:t>
      </w:r>
      <w:r>
        <w:rPr>
          <w:rFonts w:ascii="Times New Roman" w:eastAsia="Times New Roman" w:hAnsi="Times New Roman" w:cs="Times New Roman"/>
          <w:color w:val="222222"/>
          <w:sz w:val="24"/>
          <w:szCs w:val="24"/>
          <w:highlight w:val="white"/>
        </w:rPr>
        <w:t xml:space="preserve"> Available at:</w:t>
      </w:r>
      <w:hyperlink r:id="rId31">
        <w:r>
          <w:rPr>
            <w:rFonts w:ascii="Times New Roman" w:eastAsia="Times New Roman" w:hAnsi="Times New Roman" w:cs="Times New Roman"/>
            <w:color w:val="222222"/>
            <w:sz w:val="24"/>
            <w:szCs w:val="24"/>
            <w:highlight w:val="white"/>
          </w:rPr>
          <w:t xml:space="preserve"> </w:t>
        </w:r>
      </w:hyperlink>
      <w:hyperlink r:id="rId32">
        <w:r>
          <w:rPr>
            <w:rFonts w:ascii="Times New Roman" w:eastAsia="Times New Roman" w:hAnsi="Times New Roman" w:cs="Times New Roman"/>
            <w:color w:val="1155CC"/>
            <w:sz w:val="24"/>
            <w:szCs w:val="24"/>
            <w:highlight w:val="white"/>
            <w:u w:val="single"/>
          </w:rPr>
          <w:t>https://www.trade.gov/country-commercial-guides/united-kingdom-political-environment</w:t>
        </w:r>
      </w:hyperlink>
      <w:r>
        <w:rPr>
          <w:rFonts w:ascii="Times New Roman" w:eastAsia="Times New Roman" w:hAnsi="Times New Roman" w:cs="Times New Roman"/>
          <w:color w:val="222222"/>
          <w:sz w:val="24"/>
          <w:szCs w:val="24"/>
          <w:highlight w:val="white"/>
        </w:rPr>
        <w:t>[Accessed on: 27/11/2021]</w:t>
      </w:r>
    </w:p>
    <w:p w14:paraId="00584CAE"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UK.practicallaw.thomsonreuters.com, (2021).</w:t>
      </w:r>
      <w:r>
        <w:rPr>
          <w:rFonts w:ascii="Times New Roman" w:eastAsia="Times New Roman" w:hAnsi="Times New Roman" w:cs="Times New Roman"/>
          <w:i/>
          <w:color w:val="222222"/>
          <w:sz w:val="24"/>
          <w:szCs w:val="24"/>
          <w:highlight w:val="white"/>
        </w:rPr>
        <w:t xml:space="preserve"> Legal systems in the UK</w:t>
      </w:r>
      <w:r>
        <w:rPr>
          <w:rFonts w:ascii="Times New Roman" w:eastAsia="Times New Roman" w:hAnsi="Times New Roman" w:cs="Times New Roman"/>
          <w:color w:val="222222"/>
          <w:sz w:val="24"/>
          <w:szCs w:val="24"/>
          <w:highlight w:val="white"/>
        </w:rPr>
        <w:t xml:space="preserve">  . Available at:</w:t>
      </w:r>
      <w:hyperlink r:id="rId33">
        <w:r>
          <w:rPr>
            <w:rFonts w:ascii="Times New Roman" w:eastAsia="Times New Roman" w:hAnsi="Times New Roman" w:cs="Times New Roman"/>
            <w:color w:val="222222"/>
            <w:sz w:val="24"/>
            <w:szCs w:val="24"/>
            <w:highlight w:val="white"/>
          </w:rPr>
          <w:t xml:space="preserve"> </w:t>
        </w:r>
      </w:hyperlink>
      <w:hyperlink r:id="rId34">
        <w:r>
          <w:rPr>
            <w:rFonts w:ascii="Times New Roman" w:eastAsia="Times New Roman" w:hAnsi="Times New Roman" w:cs="Times New Roman"/>
            <w:color w:val="1155CC"/>
            <w:sz w:val="24"/>
            <w:szCs w:val="24"/>
            <w:highlight w:val="white"/>
            <w:u w:val="single"/>
          </w:rPr>
          <w:t>https://uk.practicallaw.thomsonreuters.com/5-636-2498?transitionType=Default&amp;contextData=(sc.Default)</w:t>
        </w:r>
      </w:hyperlink>
      <w:r>
        <w:rPr>
          <w:rFonts w:ascii="Times New Roman" w:eastAsia="Times New Roman" w:hAnsi="Times New Roman" w:cs="Times New Roman"/>
          <w:color w:val="222222"/>
          <w:sz w:val="24"/>
          <w:szCs w:val="24"/>
          <w:highlight w:val="white"/>
        </w:rPr>
        <w:t xml:space="preserve"> [Accessed on: 27/11/2021]</w:t>
      </w:r>
    </w:p>
    <w:p w14:paraId="56825293"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Venkatesh, V., (2022). Adoption and use of AI tools: a research agenda grounded in UTAUT. </w:t>
      </w:r>
      <w:r>
        <w:rPr>
          <w:rFonts w:ascii="Times New Roman" w:eastAsia="Times New Roman" w:hAnsi="Times New Roman" w:cs="Times New Roman"/>
          <w:i/>
          <w:color w:val="222222"/>
          <w:sz w:val="24"/>
          <w:szCs w:val="24"/>
          <w:highlight w:val="white"/>
        </w:rPr>
        <w:t>Annals of Operations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308</w:t>
      </w:r>
      <w:r>
        <w:rPr>
          <w:rFonts w:ascii="Times New Roman" w:eastAsia="Times New Roman" w:hAnsi="Times New Roman" w:cs="Times New Roman"/>
          <w:color w:val="222222"/>
          <w:sz w:val="24"/>
          <w:szCs w:val="24"/>
          <w:highlight w:val="white"/>
        </w:rPr>
        <w:t>(1), pp.641-652.</w:t>
      </w:r>
    </w:p>
    <w:p w14:paraId="60A6C76A" w14:textId="77777777" w:rsidR="001D798D" w:rsidRDefault="00E52170">
      <w:pPr>
        <w:widowControl w:val="0"/>
        <w:pBdr>
          <w:top w:val="nil"/>
          <w:left w:val="nil"/>
          <w:bottom w:val="nil"/>
          <w:right w:val="nil"/>
          <w:between w:val="nil"/>
        </w:pBdr>
        <w:spacing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B., Liu, Y., Qian, J. and Parker, S.K., (2021). Achieving effective remote working during the COVID‐19 pandemic: A work design perspective. </w:t>
      </w:r>
      <w:r>
        <w:rPr>
          <w:rFonts w:ascii="Times New Roman" w:eastAsia="Times New Roman" w:hAnsi="Times New Roman" w:cs="Times New Roman"/>
          <w:i/>
          <w:color w:val="222222"/>
          <w:sz w:val="24"/>
          <w:szCs w:val="24"/>
          <w:highlight w:val="white"/>
        </w:rPr>
        <w:t>Applied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(1), pp.16-59.</w:t>
      </w:r>
    </w:p>
    <w:p w14:paraId="793D18F4" w14:textId="77777777" w:rsidR="001D798D" w:rsidRDefault="00E52170">
      <w:pPr>
        <w:widowControl w:val="0"/>
        <w:pBdr>
          <w:top w:val="nil"/>
          <w:left w:val="nil"/>
          <w:bottom w:val="nil"/>
          <w:right w:val="nil"/>
          <w:between w:val="nil"/>
        </w:pBdr>
        <w:spacing w:after="240"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Worldpopulationreview.com, (2021). World  Population Review through determining the Growth level of Country . Available at:</w:t>
      </w:r>
      <w:hyperlink r:id="rId35">
        <w:r>
          <w:rPr>
            <w:rFonts w:ascii="Times New Roman" w:eastAsia="Times New Roman" w:hAnsi="Times New Roman" w:cs="Times New Roman"/>
            <w:color w:val="222222"/>
            <w:sz w:val="24"/>
            <w:szCs w:val="24"/>
            <w:highlight w:val="white"/>
          </w:rPr>
          <w:t xml:space="preserve"> </w:t>
        </w:r>
      </w:hyperlink>
      <w:hyperlink r:id="rId36">
        <w:r>
          <w:rPr>
            <w:rFonts w:ascii="Times New Roman" w:eastAsia="Times New Roman" w:hAnsi="Times New Roman" w:cs="Times New Roman"/>
            <w:color w:val="1155CC"/>
            <w:sz w:val="24"/>
            <w:szCs w:val="24"/>
            <w:highlight w:val="white"/>
            <w:u w:val="single"/>
          </w:rPr>
          <w:t>https://worldpopulationreview.com/countries/countries-by-gdp</w:t>
        </w:r>
      </w:hyperlink>
      <w:r>
        <w:rPr>
          <w:rFonts w:ascii="Times New Roman" w:eastAsia="Times New Roman" w:hAnsi="Times New Roman" w:cs="Times New Roman"/>
          <w:color w:val="222222"/>
          <w:sz w:val="24"/>
          <w:szCs w:val="24"/>
          <w:highlight w:val="white"/>
        </w:rPr>
        <w:t xml:space="preserve"> [Accessed on: 27/11/2021]</w:t>
      </w:r>
    </w:p>
    <w:p w14:paraId="37F3349D" w14:textId="77777777" w:rsidR="001D798D" w:rsidRDefault="001D798D">
      <w:pPr>
        <w:widowControl w:val="0"/>
        <w:pBdr>
          <w:top w:val="nil"/>
          <w:left w:val="nil"/>
          <w:bottom w:val="nil"/>
          <w:right w:val="nil"/>
          <w:between w:val="nil"/>
        </w:pBdr>
        <w:jc w:val="both"/>
        <w:rPr>
          <w:rFonts w:ascii="Times New Roman" w:eastAsia="Times New Roman" w:hAnsi="Times New Roman" w:cs="Times New Roman"/>
          <w:color w:val="222222"/>
          <w:sz w:val="24"/>
          <w:szCs w:val="24"/>
          <w:highlight w:val="white"/>
        </w:rPr>
      </w:pPr>
    </w:p>
    <w:p w14:paraId="08363B23" w14:textId="77777777" w:rsidR="001D798D" w:rsidRDefault="00E52170">
      <w:pPr>
        <w:pBdr>
          <w:top w:val="nil"/>
          <w:left w:val="nil"/>
          <w:bottom w:val="nil"/>
          <w:right w:val="nil"/>
          <w:between w:val="nil"/>
        </w:pBdr>
        <w:jc w:val="both"/>
        <w:rPr>
          <w:color w:val="000000"/>
        </w:rPr>
      </w:pPr>
      <w:r>
        <w:br w:type="page"/>
      </w:r>
    </w:p>
    <w:p w14:paraId="238767DC" w14:textId="77777777" w:rsidR="001D798D" w:rsidRDefault="001D798D">
      <w:pPr>
        <w:pBdr>
          <w:top w:val="nil"/>
          <w:left w:val="nil"/>
          <w:bottom w:val="nil"/>
          <w:right w:val="nil"/>
          <w:between w:val="nil"/>
        </w:pBdr>
        <w:rPr>
          <w:color w:val="000000"/>
        </w:rPr>
      </w:pPr>
    </w:p>
    <w:sectPr w:rsidR="001D798D" w:rsidSect="001D798D">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5F79E" w14:textId="77777777" w:rsidR="00E52170" w:rsidRDefault="00E52170" w:rsidP="001D798D">
      <w:pPr>
        <w:spacing w:line="240" w:lineRule="auto"/>
      </w:pPr>
      <w:r>
        <w:separator/>
      </w:r>
    </w:p>
  </w:endnote>
  <w:endnote w:type="continuationSeparator" w:id="0">
    <w:p w14:paraId="48725CA3" w14:textId="77777777" w:rsidR="00E52170" w:rsidRDefault="00E52170" w:rsidP="001D79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F2AB7" w14:textId="77777777" w:rsidR="001D798D" w:rsidRDefault="001D798D">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4"/>
        <w:szCs w:val="24"/>
      </w:rPr>
      <w:fldChar w:fldCharType="begin"/>
    </w:r>
    <w:r w:rsidR="00E52170">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4867B3">
      <w:rPr>
        <w:rFonts w:ascii="Times New Roman" w:eastAsia="Times New Roman" w:hAnsi="Times New Roman" w:cs="Times New Roman"/>
        <w:noProof/>
        <w:color w:val="000000"/>
        <w:sz w:val="24"/>
        <w:szCs w:val="24"/>
      </w:rPr>
      <w:t>9</w:t>
    </w:r>
    <w:r>
      <w:rPr>
        <w:rFonts w:ascii="Times New Roman" w:eastAsia="Times New Roman" w:hAnsi="Times New Roman" w:cs="Times New Roman"/>
        <w:color w:val="000000"/>
        <w:sz w:val="24"/>
        <w:szCs w:val="24"/>
      </w:rPr>
      <w:fldChar w:fldCharType="end"/>
    </w:r>
  </w:p>
  <w:p w14:paraId="6806A3F7" w14:textId="77777777" w:rsidR="001D798D" w:rsidRDefault="001D798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03E9E" w14:textId="77777777" w:rsidR="00E52170" w:rsidRDefault="00E52170" w:rsidP="001D798D">
      <w:pPr>
        <w:spacing w:line="240" w:lineRule="auto"/>
      </w:pPr>
      <w:r>
        <w:separator/>
      </w:r>
    </w:p>
  </w:footnote>
  <w:footnote w:type="continuationSeparator" w:id="0">
    <w:p w14:paraId="65F58DAB" w14:textId="77777777" w:rsidR="00E52170" w:rsidRDefault="00E52170" w:rsidP="001D79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57FB5"/>
    <w:multiLevelType w:val="multilevel"/>
    <w:tmpl w:val="2EE6A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0B48F7"/>
    <w:multiLevelType w:val="multilevel"/>
    <w:tmpl w:val="DD8E1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8D"/>
    <w:rsid w:val="00124712"/>
    <w:rsid w:val="001D798D"/>
    <w:rsid w:val="004867B3"/>
    <w:rsid w:val="00BD0670"/>
    <w:rsid w:val="00CE6726"/>
    <w:rsid w:val="00E52170"/>
    <w:rsid w:val="00E546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906CE"/>
  <w15:docId w15:val="{AC4A9F70-B424-7743-B975-D1EE5D4EB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321"/>
  </w:style>
  <w:style w:type="paragraph" w:styleId="Titlu1">
    <w:name w:val="heading 1"/>
    <w:basedOn w:val="Normal2"/>
    <w:next w:val="Normal2"/>
    <w:rsid w:val="004B2598"/>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2"/>
    <w:next w:val="Normal2"/>
    <w:rsid w:val="004B2598"/>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2"/>
    <w:next w:val="Normal2"/>
    <w:rsid w:val="00D94049"/>
    <w:pPr>
      <w:keepNext/>
      <w:keepLines/>
      <w:spacing w:before="320" w:after="80"/>
      <w:outlineLvl w:val="2"/>
    </w:pPr>
    <w:rPr>
      <w:color w:val="434343"/>
      <w:sz w:val="28"/>
      <w:szCs w:val="28"/>
    </w:rPr>
  </w:style>
  <w:style w:type="paragraph" w:styleId="Titlu4">
    <w:name w:val="heading 4"/>
    <w:basedOn w:val="Normal2"/>
    <w:next w:val="Normal2"/>
    <w:rsid w:val="00D94049"/>
    <w:pPr>
      <w:keepNext/>
      <w:keepLines/>
      <w:spacing w:before="280" w:after="80"/>
      <w:outlineLvl w:val="3"/>
    </w:pPr>
    <w:rPr>
      <w:color w:val="666666"/>
      <w:sz w:val="24"/>
      <w:szCs w:val="24"/>
    </w:rPr>
  </w:style>
  <w:style w:type="paragraph" w:styleId="Titlu5">
    <w:name w:val="heading 5"/>
    <w:basedOn w:val="Normal2"/>
    <w:next w:val="Normal2"/>
    <w:rsid w:val="00D94049"/>
    <w:pPr>
      <w:keepNext/>
      <w:keepLines/>
      <w:spacing w:before="240" w:after="80"/>
      <w:outlineLvl w:val="4"/>
    </w:pPr>
    <w:rPr>
      <w:color w:val="666666"/>
    </w:rPr>
  </w:style>
  <w:style w:type="paragraph" w:styleId="Titlu6">
    <w:name w:val="heading 6"/>
    <w:basedOn w:val="Normal2"/>
    <w:next w:val="Normal2"/>
    <w:rsid w:val="00D94049"/>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1D798D"/>
  </w:style>
  <w:style w:type="paragraph" w:styleId="Titlu">
    <w:name w:val="Title"/>
    <w:basedOn w:val="Normal2"/>
    <w:next w:val="Normal2"/>
    <w:rsid w:val="00D94049"/>
    <w:pPr>
      <w:keepNext/>
      <w:keepLines/>
      <w:spacing w:after="60"/>
    </w:pPr>
    <w:rPr>
      <w:sz w:val="52"/>
      <w:szCs w:val="52"/>
    </w:rPr>
  </w:style>
  <w:style w:type="paragraph" w:customStyle="1" w:styleId="Normal2">
    <w:name w:val="Normal2"/>
    <w:rsid w:val="00D94049"/>
  </w:style>
  <w:style w:type="paragraph" w:styleId="Subtitlu">
    <w:name w:val="Subtitle"/>
    <w:basedOn w:val="Normal"/>
    <w:next w:val="Normal"/>
    <w:rsid w:val="001D798D"/>
    <w:pPr>
      <w:keepNext/>
      <w:keepLines/>
      <w:pBdr>
        <w:top w:val="nil"/>
        <w:left w:val="nil"/>
        <w:bottom w:val="nil"/>
        <w:right w:val="nil"/>
        <w:between w:val="nil"/>
      </w:pBdr>
      <w:spacing w:after="320"/>
    </w:pPr>
    <w:rPr>
      <w:color w:val="666666"/>
      <w:sz w:val="30"/>
      <w:szCs w:val="30"/>
    </w:rPr>
  </w:style>
  <w:style w:type="table" w:customStyle="1" w:styleId="a">
    <w:name w:val="a"/>
    <w:basedOn w:val="TabelNormal"/>
    <w:rsid w:val="00D94049"/>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semiHidden/>
    <w:unhideWhenUsed/>
    <w:rsid w:val="004B2598"/>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4B2598"/>
  </w:style>
  <w:style w:type="paragraph" w:styleId="Subsol">
    <w:name w:val="footer"/>
    <w:basedOn w:val="Normal"/>
    <w:link w:val="SubsolCaracter"/>
    <w:uiPriority w:val="99"/>
    <w:unhideWhenUsed/>
    <w:rsid w:val="004B259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4B2598"/>
  </w:style>
  <w:style w:type="paragraph" w:styleId="Titlucuprins">
    <w:name w:val="TOC Heading"/>
    <w:basedOn w:val="Titlu1"/>
    <w:next w:val="Normal"/>
    <w:uiPriority w:val="39"/>
    <w:unhideWhenUsed/>
    <w:qFormat/>
    <w:rsid w:val="004B2598"/>
    <w:pPr>
      <w:spacing w:before="480" w:after="0"/>
      <w:outlineLvl w:val="9"/>
    </w:pPr>
    <w:rPr>
      <w:rFonts w:asciiTheme="majorHAnsi" w:eastAsiaTheme="majorEastAsia" w:hAnsiTheme="majorHAnsi" w:cstheme="majorBidi"/>
      <w:b w:val="0"/>
      <w:bCs/>
      <w:color w:val="365F91" w:themeColor="accent1" w:themeShade="BF"/>
      <w:szCs w:val="28"/>
    </w:rPr>
  </w:style>
  <w:style w:type="paragraph" w:styleId="TextnBalon">
    <w:name w:val="Balloon Text"/>
    <w:basedOn w:val="Normal"/>
    <w:link w:val="TextnBalonCaracter"/>
    <w:uiPriority w:val="99"/>
    <w:semiHidden/>
    <w:unhideWhenUsed/>
    <w:rsid w:val="004B2598"/>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B2598"/>
    <w:rPr>
      <w:rFonts w:ascii="Tahoma" w:hAnsi="Tahoma" w:cs="Tahoma"/>
      <w:sz w:val="16"/>
      <w:szCs w:val="16"/>
    </w:rPr>
  </w:style>
  <w:style w:type="paragraph" w:styleId="Cuprins1">
    <w:name w:val="toc 1"/>
    <w:basedOn w:val="Normal"/>
    <w:next w:val="Normal"/>
    <w:autoRedefine/>
    <w:uiPriority w:val="39"/>
    <w:unhideWhenUsed/>
    <w:rsid w:val="00CE7D16"/>
    <w:pPr>
      <w:spacing w:after="100"/>
    </w:pPr>
  </w:style>
  <w:style w:type="paragraph" w:styleId="Cuprins2">
    <w:name w:val="toc 2"/>
    <w:basedOn w:val="Normal"/>
    <w:next w:val="Normal"/>
    <w:autoRedefine/>
    <w:uiPriority w:val="39"/>
    <w:unhideWhenUsed/>
    <w:rsid w:val="00CE7D16"/>
    <w:pPr>
      <w:spacing w:after="100"/>
      <w:ind w:left="220"/>
    </w:pPr>
  </w:style>
  <w:style w:type="character" w:styleId="Hyperlink">
    <w:name w:val="Hyperlink"/>
    <w:basedOn w:val="Fontdeparagrafimplicit"/>
    <w:uiPriority w:val="99"/>
    <w:unhideWhenUsed/>
    <w:rsid w:val="00CE7D16"/>
    <w:rPr>
      <w:color w:val="0000FF" w:themeColor="hyperlink"/>
      <w:u w:val="single"/>
    </w:rPr>
  </w:style>
  <w:style w:type="table" w:customStyle="1" w:styleId="a0">
    <w:basedOn w:val="TabelNormal"/>
    <w:rsid w:val="001D798D"/>
    <w:tblPr>
      <w:tblStyleRowBandSize w:val="1"/>
      <w:tblStyleColBandSize w:val="1"/>
      <w:tblCellMar>
        <w:top w:w="100" w:type="dxa"/>
        <w:left w:w="100" w:type="dxa"/>
        <w:bottom w:w="100" w:type="dxa"/>
        <w:right w:w="100" w:type="dxa"/>
      </w:tblCellMar>
    </w:tblPr>
  </w:style>
  <w:style w:type="table" w:customStyle="1" w:styleId="a1">
    <w:basedOn w:val="TabelNormal"/>
    <w:rsid w:val="001D798D"/>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eacea.ec.europa.eu/national-policies/eurydice/content/political-social-and-economic-background-and-trends-93_en" TargetMode="External" /><Relationship Id="rId18" Type="http://schemas.openxmlformats.org/officeDocument/2006/relationships/hyperlink" Target="https://www.information-age.com/tech-nation-2018-report-uk-tech-faster-economy-123471982/" TargetMode="External" /><Relationship Id="rId26" Type="http://schemas.openxmlformats.org/officeDocument/2006/relationships/hyperlink" Target="https://www.statista.com/study/48403/united-kingdom/" TargetMode="External" /><Relationship Id="rId39"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ons.gov.uk/employmentandlabourmarket/peopleinwork/employmentandemployeetypes/bulletins/employmentintheuk/september2021" TargetMode="External" /><Relationship Id="rId34" Type="http://schemas.openxmlformats.org/officeDocument/2006/relationships/hyperlink" Target="https://uk.practicallaw.thomsonreuters.com/5-636-2498?transitionType=Default&amp;contextData=(sc.Default)" TargetMode="External" /><Relationship Id="rId7" Type="http://schemas.openxmlformats.org/officeDocument/2006/relationships/endnotes" Target="endnotes.xml" /><Relationship Id="rId12" Type="http://schemas.openxmlformats.org/officeDocument/2006/relationships/hyperlink" Target="https://www.accountingweb.co.uk/community/industry-insights/uk-pest-technological-factors" TargetMode="External" /><Relationship Id="rId17" Type="http://schemas.openxmlformats.org/officeDocument/2006/relationships/hyperlink" Target="https://www.information-age.com/tech-nation-2018-report-uk-tech-faster-economy-123471982/" TargetMode="External" /><Relationship Id="rId25" Type="http://schemas.openxmlformats.org/officeDocument/2006/relationships/hyperlink" Target="https://www.statista.com/study/48403/united-kingdom/" TargetMode="External" /><Relationship Id="rId33" Type="http://schemas.openxmlformats.org/officeDocument/2006/relationships/hyperlink" Target="https://uk.practicallaw.thomsonreuters.com/5-636-2498?transitionType=Default&amp;contextData=(sc.Default)" TargetMode="External" /><Relationship Id="rId38"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independent.co.uk/life-style/gadgets-and-tech/news/the-uk-is-the-fourth-most-technologically-advanced-country-in-the-world-a6757196.html" TargetMode="External" /><Relationship Id="rId20" Type="http://schemas.openxmlformats.org/officeDocument/2006/relationships/hyperlink" Target="https://moortrees.org/?gclid=Cj0KCQiA-qGNBhD3ARIsAO_o7ylT6LTYRuSZ2nBi-zwBKVCjO3x8KO-aP30u-v7v-bEWbiK368gUWQIaAg7-EALw_wcB" TargetMode="External" /><Relationship Id="rId29" Type="http://schemas.openxmlformats.org/officeDocument/2006/relationships/hyperlink" Target="https://thecommonwealth.org/our-member-countries/united-kingdom/societ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ccountingweb.co.uk/community/industry-insights/uk-pest-technological-factors" TargetMode="External" /><Relationship Id="rId24" Type="http://schemas.openxmlformats.org/officeDocument/2006/relationships/hyperlink" Target="https://www.pwc.co.uk/issues/cyber-security-services.html?WT.mc_id=CT3-PL300-DM1-TR3-LS4-ND30-TTA9-CN_CyberSecurity_CyberSecServ__Other_1&amp;gclid=Cj0KCQiA-qGNBhD3ARIsAO_o7ykFMP-yBHedTpMVBebZTbECwiWRL_TcqvyNGHgQCTyc3k7ISUzPmRcaAtCREALw_wcB" TargetMode="External" /><Relationship Id="rId32" Type="http://schemas.openxmlformats.org/officeDocument/2006/relationships/hyperlink" Target="https://www.trade.gov/country-commercial-guides/united-kingdom-political-environment" TargetMode="External" /><Relationship Id="rId37"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independent.co.uk/life-style/gadgets-and-tech/news/the-uk-is-the-fourth-most-technologically-advanced-country-in-the-world-a6757196.html" TargetMode="External" /><Relationship Id="rId23" Type="http://schemas.openxmlformats.org/officeDocument/2006/relationships/hyperlink" Target="https://www.pwc.co.uk/issues/cyber-security-services.html?WT.mc_id=CT3-PL300-DM1-TR3-LS4-ND30-TTA9-CN_CyberSecurity_CyberSecServ__Other_1&amp;gclid=Cj0KCQiA-qGNBhD3ARIsAO_o7ykFMP-yBHedTpMVBebZTbECwiWRL_TcqvyNGHgQCTyc3k7ISUzPmRcaAtCREALw_wcB" TargetMode="External" /><Relationship Id="rId28" Type="http://schemas.openxmlformats.org/officeDocument/2006/relationships/hyperlink" Target="https://www.statista.com/statistics/263613/gross-domestic-product-gdp-growth-rate-in-the-united-kingdom/" TargetMode="External" /><Relationship Id="rId36" Type="http://schemas.openxmlformats.org/officeDocument/2006/relationships/hyperlink" Target="https://worldpopulationreview.com/countries/countries-by-gdp" TargetMode="External" /><Relationship Id="rId10" Type="http://schemas.openxmlformats.org/officeDocument/2006/relationships/hyperlink" Target="https://www.accountingweb.co.uk/community/industry-insights/pest-analysis-political-factors-in-the-uk" TargetMode="External" /><Relationship Id="rId19" Type="http://schemas.openxmlformats.org/officeDocument/2006/relationships/hyperlink" Target="https://moortrees.org/?gclid=Cj0KCQiA-qGNBhD3ARIsAO_o7ylT6LTYRuSZ2nBi-zwBKVCjO3x8KO-aP30u-v7v-bEWbiK368gUWQIaAg7-EALw_wcB" TargetMode="External" /><Relationship Id="rId31" Type="http://schemas.openxmlformats.org/officeDocument/2006/relationships/hyperlink" Target="https://www.trade.gov/country-commercial-guides/united-kingdom-political-environment" TargetMode="External" /><Relationship Id="rId4" Type="http://schemas.openxmlformats.org/officeDocument/2006/relationships/settings" Target="settings.xml" /><Relationship Id="rId9" Type="http://schemas.openxmlformats.org/officeDocument/2006/relationships/hyperlink" Target="https://www.accountingweb.co.uk/community/industry-insights/pest-analysis-political-factors-in-the-uk" TargetMode="External" /><Relationship Id="rId14" Type="http://schemas.openxmlformats.org/officeDocument/2006/relationships/hyperlink" Target="https://eacea.ec.europa.eu/national-policies/eurydice/content/political-social-and-economic-background-and-trends-93_en" TargetMode="External" /><Relationship Id="rId22" Type="http://schemas.openxmlformats.org/officeDocument/2006/relationships/hyperlink" Target="https://www.ons.gov.uk/employmentandlabourmarket/peopleinwork/employmentandemployeetypes/bulletins/employmentintheuk/september2021" TargetMode="External" /><Relationship Id="rId27" Type="http://schemas.openxmlformats.org/officeDocument/2006/relationships/hyperlink" Target="https://www.statista.com/statistics/263613/gross-domestic-product-gdp-growth-rate-in-the-united-kingdom/" TargetMode="External" /><Relationship Id="rId30" Type="http://schemas.openxmlformats.org/officeDocument/2006/relationships/hyperlink" Target="https://thecommonwealth.org/our-member-countries/united-kingdom/society" TargetMode="External" /><Relationship Id="rId35" Type="http://schemas.openxmlformats.org/officeDocument/2006/relationships/hyperlink" Target="https://worldpopulationreview.com/countries/countries-by-gd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64QrVZ5BEwptbue4chmyHiffQ==">AMUW2mVBwyCvGG3rheK2MuqwOTXNUIJaX0MfHAEiNC6i1Xpi3qqftjA+/wi/lEx9FdcHLn7U6w1pvvK+S1kRjK+/d1yVDxRdl3wQcfACV+Z+kejxjPqgDgZBtz/0zEjGQm/XTHWESluW8I4mmK5RizyYwqP5X+elyXIjv/jtgDCPv02EXgsfwLU7iM0tm8GR4Z/sdcW6+U6NAdAPj6JceXm7HYsVhhOlHsID6dEJSeFzNvw3OK2NqtzVUPConhhIFNQFdaAtzvO7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3211</Words>
  <Characters>18624</Characters>
  <Application>Microsoft Office Word</Application>
  <DocSecurity>0</DocSecurity>
  <Lines>155</Lines>
  <Paragraphs>43</Paragraphs>
  <ScaleCrop>false</ScaleCrop>
  <Company/>
  <LinksUpToDate>false</LinksUpToDate>
  <CharactersWithSpaces>21792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livia soare</cp:lastModifiedBy>
  <cp:revision>2</cp:revision>
  <dcterms:created xsi:type="dcterms:W3CDTF">2022-04-08T12:08:00Z</dcterms:created>
  <dcterms:modified xsi:type="dcterms:W3CDTF">2022-04-08T12:08:00Z</dcterms:modified>
</cp:coreProperties>
</file>