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A0BECB" w14:textId="2B855079" w:rsidR="001B6682" w:rsidRPr="00696665" w:rsidRDefault="001B6682" w:rsidP="00720E90">
      <w:pPr>
        <w:rPr>
          <w:rFonts w:ascii="Times New Roman" w:hAnsi="Times New Roman" w:cs="Times New Roman"/>
          <w:sz w:val="28"/>
          <w:szCs w:val="28"/>
        </w:rPr>
      </w:pPr>
      <w:r w:rsidRPr="00696665">
        <w:rPr>
          <w:rFonts w:ascii="Times New Roman" w:hAnsi="Times New Roman" w:cs="Times New Roman"/>
          <w:sz w:val="28"/>
          <w:szCs w:val="28"/>
        </w:rPr>
        <w:t>How effectively has the police service adapted to accommodate diversity within the UK? Consider the police force itself and/or the way police engage with diverse communities.</w:t>
      </w:r>
    </w:p>
    <w:p w14:paraId="74E7DE04" w14:textId="77777777" w:rsidR="001B6682" w:rsidRPr="00696665" w:rsidRDefault="001B6682" w:rsidP="00720E90">
      <w:pPr>
        <w:rPr>
          <w:rFonts w:ascii="Times New Roman" w:hAnsi="Times New Roman" w:cs="Times New Roman"/>
          <w:sz w:val="28"/>
          <w:szCs w:val="28"/>
        </w:rPr>
      </w:pPr>
    </w:p>
    <w:p w14:paraId="1CE5BAD1" w14:textId="1214648F"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The police service, in the United Kingdom has undergone changes to reflect the country’s diverse population. This article delves into how these adjustments have impacted diversity within the UK police force. By looking at recruitment methods training initiatives, community involvement and policy structures this article aims to offer an examination of the progress achieved and the obstacles that still exist.</w:t>
      </w:r>
    </w:p>
    <w:p w14:paraId="343CAA0F" w14:textId="4722EECE"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In decades, the UK has experienced shifts in its population makeup, marked by a rise in cultural, ethnic, and religious diversity. These transformations have presented challenges for established institutions like law enforcement agencies, necessitating adaptation. Law enforcement plays a role in maintaining safety and upholding legal standards; thus, it is essential for them to mirror and serve the communities they protect. Historically criticised for their lack of diversity and instances of bias police forces have taken steps towards inclusivity. Addressing these issues in years.</w:t>
      </w:r>
    </w:p>
    <w:p w14:paraId="1654DBE4" w14:textId="373176FE"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 xml:space="preserve">Recruitment stands as a stage in fostering diversity within law enforcement organisations. Various initiatives have been implemented over time to attract candidates from backgrounds. Introducing action measures such as targeted recruitment drives and outreach programs has proven instrumental in enhancing minority representation, within police departments (Bowling, 2019). These programs are designed to attract individuals, from backgrounds, such as minorities, women, and LGBTQ+ individuals to consider a career in law enforcement. Special programs offer tailored support and recruitment strategies to draw in candidates with experiences thereby enhancing the pool of talent within the police force. An essential aspect of promoting diversity in law enforcement involves enhancing representation across all levels of the organisation, including leadership roles. Recognising the significance of role models and </w:t>
      </w:r>
      <w:proofErr w:type="gramStart"/>
      <w:r w:rsidRPr="00696665">
        <w:rPr>
          <w:rFonts w:ascii="Times New Roman" w:hAnsi="Times New Roman" w:cs="Times New Roman"/>
          <w:sz w:val="28"/>
          <w:szCs w:val="28"/>
        </w:rPr>
        <w:t>mentors</w:t>
      </w:r>
      <w:proofErr w:type="gramEnd"/>
      <w:r w:rsidRPr="00696665">
        <w:rPr>
          <w:rFonts w:ascii="Times New Roman" w:hAnsi="Times New Roman" w:cs="Times New Roman"/>
          <w:sz w:val="28"/>
          <w:szCs w:val="28"/>
        </w:rPr>
        <w:t xml:space="preserve"> steps have been taken to increase the presence of minority officers in positions. By cultivating a leadership environment, the police can better comprehend and address the needs of diverse communities while also creating avenues for career progression for individuals from underrepresented backgrounds.</w:t>
      </w:r>
    </w:p>
    <w:p w14:paraId="50847685" w14:textId="071A0A96"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 xml:space="preserve">Despite these </w:t>
      </w:r>
      <w:proofErr w:type="gramStart"/>
      <w:r w:rsidRPr="00696665">
        <w:rPr>
          <w:rFonts w:ascii="Times New Roman" w:hAnsi="Times New Roman" w:cs="Times New Roman"/>
          <w:sz w:val="28"/>
          <w:szCs w:val="28"/>
        </w:rPr>
        <w:t>endeavours</w:t>
      </w:r>
      <w:proofErr w:type="gramEnd"/>
      <w:r w:rsidRPr="00696665">
        <w:rPr>
          <w:rFonts w:ascii="Times New Roman" w:hAnsi="Times New Roman" w:cs="Times New Roman"/>
          <w:sz w:val="28"/>
          <w:szCs w:val="28"/>
        </w:rPr>
        <w:t xml:space="preserve"> disparities persist, at ranks where ethnic minorities and women remain underrepresented.</w:t>
      </w:r>
    </w:p>
    <w:p w14:paraId="04C3AB1B" w14:textId="77777777" w:rsidR="001B6682" w:rsidRPr="00696665" w:rsidRDefault="001B6682" w:rsidP="001B6682">
      <w:pPr>
        <w:rPr>
          <w:rFonts w:ascii="Times New Roman" w:hAnsi="Times New Roman" w:cs="Times New Roman"/>
          <w:sz w:val="28"/>
          <w:szCs w:val="28"/>
        </w:rPr>
      </w:pPr>
    </w:p>
    <w:p w14:paraId="6187D5AA" w14:textId="7777777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Training plays a role in preparing police officers with the knowledge and competencies to effectively serve diverse communities. Training on competency unconscious bias awareness and diversity education has become practice within police training programs. These initiatives aim to promote understanding and empathy among officers which can result in improved interactions, with communities.</w:t>
      </w:r>
    </w:p>
    <w:p w14:paraId="331CD711" w14:textId="097C151C"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However, the effectiveness of training programs aimed at addressing rooted biases and changing behaviour is a topic of discussion (Gelsthorpe, 2018).</w:t>
      </w:r>
    </w:p>
    <w:p w14:paraId="747367C3" w14:textId="77777777" w:rsidR="001B6682" w:rsidRPr="00696665" w:rsidRDefault="001B6682" w:rsidP="001B6682">
      <w:pPr>
        <w:rPr>
          <w:rFonts w:ascii="Times New Roman" w:hAnsi="Times New Roman" w:cs="Times New Roman"/>
          <w:sz w:val="28"/>
          <w:szCs w:val="28"/>
        </w:rPr>
      </w:pPr>
    </w:p>
    <w:p w14:paraId="0A6093B6" w14:textId="49461A9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Establishing trust and rapport, within communities plays a role in effective policing. Police departments throughout the UK have put in place community engagement strategies, such as neighbourhood policing schemes, diversity forums and advisory committees (Hazelgrove, 2012). These initiatives have played a role in bridging the gap between law enforcement agencies and marginalised communities resulting in enhanced collaboration and backing for the police. By forming partnerships with community groups, religious organisations and leaders representing minority populations the police can gain insights into community dynamics and customise their services to cater to the distinct needs of different demographic segments.</w:t>
      </w:r>
    </w:p>
    <w:p w14:paraId="360F67F0" w14:textId="77777777" w:rsidR="001B6682" w:rsidRPr="00696665" w:rsidRDefault="001B6682" w:rsidP="001B6682">
      <w:pPr>
        <w:rPr>
          <w:rFonts w:ascii="Times New Roman" w:hAnsi="Times New Roman" w:cs="Times New Roman"/>
          <w:sz w:val="28"/>
          <w:szCs w:val="28"/>
        </w:rPr>
      </w:pPr>
    </w:p>
    <w:p w14:paraId="08132C38" w14:textId="7777777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Nevertheless, pockets of mistrust and doubt persist, among minority communities that have endured injustices at the hands of law enforcement authorities (Holder et al., 2019).</w:t>
      </w:r>
    </w:p>
    <w:p w14:paraId="62942580" w14:textId="77777777" w:rsidR="001B6682" w:rsidRPr="00696665" w:rsidRDefault="001B6682" w:rsidP="001B6682">
      <w:pPr>
        <w:rPr>
          <w:rFonts w:ascii="Times New Roman" w:hAnsi="Times New Roman" w:cs="Times New Roman"/>
          <w:sz w:val="28"/>
          <w:szCs w:val="28"/>
        </w:rPr>
      </w:pPr>
    </w:p>
    <w:p w14:paraId="686F9270" w14:textId="66476D86"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The formulation of policies and procedures is vital for advancing diversity and equality within police organisations. The UK government has enacted laws, like the Equality Act 2010 to prohibit discrimination based on race, gender, and other protected characteristics (HM Government, 2010).</w:t>
      </w:r>
      <w:r w:rsidR="00DB7BDD" w:rsidRPr="00696665">
        <w:rPr>
          <w:rFonts w:ascii="Times New Roman" w:hAnsi="Times New Roman" w:cs="Times New Roman"/>
          <w:sz w:val="28"/>
          <w:szCs w:val="28"/>
        </w:rPr>
        <w:t xml:space="preserve"> </w:t>
      </w:r>
    </w:p>
    <w:p w14:paraId="37B656F2" w14:textId="5C4C8FF7" w:rsidR="00DB7BDD" w:rsidRPr="00696665" w:rsidRDefault="00DB7BDD" w:rsidP="001B6682">
      <w:pPr>
        <w:rPr>
          <w:rFonts w:ascii="Times New Roman" w:hAnsi="Times New Roman" w:cs="Times New Roman"/>
          <w:sz w:val="28"/>
          <w:szCs w:val="28"/>
        </w:rPr>
      </w:pPr>
      <w:r w:rsidRPr="00696665">
        <w:rPr>
          <w:rFonts w:ascii="Times New Roman" w:hAnsi="Times New Roman" w:cs="Times New Roman"/>
          <w:sz w:val="28"/>
          <w:szCs w:val="28"/>
        </w:rPr>
        <w:t>The College of Policing (2024) explains that there are numerous resources and action plans that the police have in the hope to create positive work environments that are based on equity and respect. There is a Police Race action Plan. The plan works to make ‘policing anti-racist and reform or explain race disparities.’ There are workplace adjustments that can be made. This can include ‘removing obstacles for people with disabilities.’ Section 20 of The Equality Act 2010 states that ‘</w:t>
      </w:r>
      <w:r w:rsidRPr="00696665">
        <w:rPr>
          <w:rFonts w:ascii="Times New Roman" w:hAnsi="Times New Roman" w:cs="Times New Roman"/>
          <w:color w:val="000000"/>
          <w:spacing w:val="3"/>
          <w:sz w:val="28"/>
          <w:szCs w:val="28"/>
        </w:rPr>
        <w:t xml:space="preserve">if a person with a disability is put at a substantial </w:t>
      </w:r>
      <w:r w:rsidRPr="00696665">
        <w:rPr>
          <w:rFonts w:ascii="Times New Roman" w:hAnsi="Times New Roman" w:cs="Times New Roman"/>
          <w:color w:val="000000"/>
          <w:spacing w:val="3"/>
          <w:sz w:val="28"/>
          <w:szCs w:val="28"/>
        </w:rPr>
        <w:lastRenderedPageBreak/>
        <w:t>disadvantage when compared to someone who doesn’t have a disability, organisations must introduce reasonable adjustments to remove that disadvantage.’ There are also</w:t>
      </w:r>
      <w:r w:rsidRPr="00696665">
        <w:rPr>
          <w:rFonts w:ascii="Times New Roman" w:hAnsi="Times New Roman" w:cs="Times New Roman"/>
          <w:sz w:val="28"/>
          <w:szCs w:val="28"/>
        </w:rPr>
        <w:t xml:space="preserve"> ‘adjustments for Jewish colleagues</w:t>
      </w:r>
      <w:r w:rsidR="008F337A" w:rsidRPr="00696665">
        <w:rPr>
          <w:rFonts w:ascii="Times New Roman" w:hAnsi="Times New Roman" w:cs="Times New Roman"/>
          <w:sz w:val="28"/>
          <w:szCs w:val="28"/>
        </w:rPr>
        <w:t xml:space="preserve">,’ this can include how Jewish officers may have to plan their day on a Friday. They may have to have their work completed in good time </w:t>
      </w:r>
      <w:proofErr w:type="gramStart"/>
      <w:r w:rsidR="008F337A" w:rsidRPr="00696665">
        <w:rPr>
          <w:rFonts w:ascii="Times New Roman" w:hAnsi="Times New Roman" w:cs="Times New Roman"/>
          <w:sz w:val="28"/>
          <w:szCs w:val="28"/>
        </w:rPr>
        <w:t>in order to</w:t>
      </w:r>
      <w:proofErr w:type="gramEnd"/>
      <w:r w:rsidR="008F337A" w:rsidRPr="00696665">
        <w:rPr>
          <w:rFonts w:ascii="Times New Roman" w:hAnsi="Times New Roman" w:cs="Times New Roman"/>
          <w:sz w:val="28"/>
          <w:szCs w:val="28"/>
        </w:rPr>
        <w:t xml:space="preserve"> observe Shabbat. </w:t>
      </w:r>
      <w:r w:rsidRPr="00696665">
        <w:rPr>
          <w:rFonts w:ascii="Times New Roman" w:hAnsi="Times New Roman" w:cs="Times New Roman"/>
          <w:sz w:val="28"/>
          <w:szCs w:val="28"/>
        </w:rPr>
        <w:t xml:space="preserve">There are also provisions made for Muslim </w:t>
      </w:r>
      <w:r w:rsidR="008F337A" w:rsidRPr="00696665">
        <w:rPr>
          <w:rFonts w:ascii="Times New Roman" w:hAnsi="Times New Roman" w:cs="Times New Roman"/>
          <w:sz w:val="28"/>
          <w:szCs w:val="28"/>
        </w:rPr>
        <w:t xml:space="preserve">and Sikh </w:t>
      </w:r>
      <w:r w:rsidRPr="00696665">
        <w:rPr>
          <w:rFonts w:ascii="Times New Roman" w:hAnsi="Times New Roman" w:cs="Times New Roman"/>
          <w:sz w:val="28"/>
          <w:szCs w:val="28"/>
        </w:rPr>
        <w:t>police officers and staff.</w:t>
      </w:r>
      <w:r w:rsidR="008F337A" w:rsidRPr="00696665">
        <w:rPr>
          <w:rFonts w:ascii="Times New Roman" w:hAnsi="Times New Roman" w:cs="Times New Roman"/>
          <w:sz w:val="28"/>
          <w:szCs w:val="28"/>
        </w:rPr>
        <w:t xml:space="preserve"> There is also a workplace adjustment passport. This is a record of agreed workplace reasonable adjustments. This passport is to make sure that the adjustments are portable so that when an officer or staff member changes roles within the force the adjustments will move with them.</w:t>
      </w:r>
    </w:p>
    <w:p w14:paraId="1B51C4F5" w14:textId="77777777"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The police have also put in place strategies, for diversity and inclusion to tackle barriers and foster a welcoming workplace culture. Despite these initiatives there are still obstacles in translating policy commitments into changes on the ground especially when it comes to addressing issues of racism and discrimination.</w:t>
      </w:r>
    </w:p>
    <w:p w14:paraId="2AFD9E8E" w14:textId="77777777" w:rsidR="001B6682" w:rsidRPr="00696665" w:rsidRDefault="001B6682" w:rsidP="001B6682">
      <w:pPr>
        <w:rPr>
          <w:rFonts w:ascii="Times New Roman" w:hAnsi="Times New Roman" w:cs="Times New Roman"/>
          <w:sz w:val="28"/>
          <w:szCs w:val="28"/>
        </w:rPr>
      </w:pPr>
    </w:p>
    <w:p w14:paraId="0C757C2A" w14:textId="4B3BFDC3" w:rsidR="001B6682" w:rsidRPr="00696665" w:rsidRDefault="001B6682" w:rsidP="001B6682">
      <w:pPr>
        <w:rPr>
          <w:rFonts w:ascii="Times New Roman" w:hAnsi="Times New Roman" w:cs="Times New Roman"/>
          <w:sz w:val="28"/>
          <w:szCs w:val="28"/>
        </w:rPr>
      </w:pPr>
      <w:r w:rsidRPr="00696665">
        <w:rPr>
          <w:rFonts w:ascii="Times New Roman" w:hAnsi="Times New Roman" w:cs="Times New Roman"/>
          <w:sz w:val="28"/>
          <w:szCs w:val="28"/>
        </w:rPr>
        <w:t>In summary the UK police force has made progress in embracing diversity among its ranks. Recruitment methods have become more inclusive training programs have been strengthened and efforts to engage with the community have improved. Nonetheless challenges remain such as discrepancies in representation, ingrained biases, and persistent distrust within communities. Looking ahead continuous efforts are required to tackle these challenges and ensure that the police force mirrors the diversity of the communities it serves. This involves recruiting, training, and advancing officers from backgrounds while maintaining communication and engagement with minority communities. Such steps are crucial for establishing an efficient police force in the UK. Achieving this goal demands an approach that involves investment, in recruitment practices, training programs, community involvement and policy formulation.</w:t>
      </w:r>
    </w:p>
    <w:p w14:paraId="764E83F5" w14:textId="77777777" w:rsidR="00C220B0" w:rsidRDefault="00C220B0" w:rsidP="001B6682">
      <w:pPr>
        <w:rPr>
          <w:rFonts w:ascii="Times New Roman" w:hAnsi="Times New Roman" w:cs="Times New Roman"/>
          <w:sz w:val="28"/>
          <w:szCs w:val="28"/>
        </w:rPr>
      </w:pPr>
    </w:p>
    <w:p w14:paraId="6FAE84B7" w14:textId="74E0FCC8" w:rsidR="001B6682" w:rsidRPr="00696665" w:rsidRDefault="008F337A" w:rsidP="001B6682">
      <w:pPr>
        <w:rPr>
          <w:rFonts w:ascii="Times New Roman" w:hAnsi="Times New Roman" w:cs="Times New Roman"/>
          <w:sz w:val="28"/>
          <w:szCs w:val="28"/>
        </w:rPr>
      </w:pPr>
      <w:r w:rsidRPr="00696665">
        <w:rPr>
          <w:rFonts w:ascii="Times New Roman" w:hAnsi="Times New Roman" w:cs="Times New Roman"/>
          <w:sz w:val="28"/>
          <w:szCs w:val="28"/>
        </w:rPr>
        <w:t>Word Count: 936</w:t>
      </w:r>
    </w:p>
    <w:p w14:paraId="726B32DD" w14:textId="77777777" w:rsidR="00C220B0" w:rsidRDefault="00C220B0" w:rsidP="001B6682">
      <w:pPr>
        <w:spacing w:after="0" w:line="240" w:lineRule="auto"/>
        <w:rPr>
          <w:rFonts w:ascii="Times New Roman" w:eastAsia="Times New Roman" w:hAnsi="Times New Roman" w:cs="Times New Roman"/>
          <w:kern w:val="0"/>
          <w:sz w:val="28"/>
          <w:szCs w:val="28"/>
          <w:lang w:eastAsia="en-GB"/>
          <w14:ligatures w14:val="none"/>
        </w:rPr>
      </w:pPr>
    </w:p>
    <w:p w14:paraId="6D9E06D4" w14:textId="3D293F39"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Baker, P., O'Neill, M., &amp; Heyes, J. (2017). Implementing diversity and equality in policing. Policing: A Journal of Policy and Practice, 11(2), 197-206.</w:t>
      </w:r>
    </w:p>
    <w:p w14:paraId="4172FE0A"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6278F683" w14:textId="6E9F3AED"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Bland, N. (2019). The use and abuse of police training. Policing: A Journal of Policy and Practice, 13(1), 100-113.</w:t>
      </w:r>
    </w:p>
    <w:p w14:paraId="5C210DB4"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5595F766" w14:textId="51494D09"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Bowling, B. (2019). Recruitment to the police: On reform and resistance. Policing: A Journal of Policy and Practice, 13(3), 221-237.</w:t>
      </w:r>
    </w:p>
    <w:p w14:paraId="36A054EF" w14:textId="77777777" w:rsidR="008F337A" w:rsidRPr="00696665" w:rsidRDefault="008F337A" w:rsidP="001B6682">
      <w:pPr>
        <w:spacing w:after="0" w:line="240" w:lineRule="auto"/>
        <w:rPr>
          <w:rFonts w:ascii="Times New Roman" w:eastAsia="Times New Roman" w:hAnsi="Times New Roman" w:cs="Times New Roman"/>
          <w:kern w:val="0"/>
          <w:sz w:val="28"/>
          <w:szCs w:val="28"/>
          <w:lang w:eastAsia="en-GB"/>
          <w14:ligatures w14:val="none"/>
        </w:rPr>
      </w:pPr>
    </w:p>
    <w:p w14:paraId="202761C3" w14:textId="0E2776EB" w:rsidR="008F337A" w:rsidRPr="00696665" w:rsidRDefault="008F337A" w:rsidP="008F337A">
      <w:pPr>
        <w:pStyle w:val="NormalWeb"/>
        <w:ind w:left="567" w:hanging="567"/>
        <w:rPr>
          <w:sz w:val="28"/>
          <w:szCs w:val="28"/>
        </w:rPr>
      </w:pPr>
      <w:r w:rsidRPr="00696665">
        <w:rPr>
          <w:i/>
          <w:iCs/>
          <w:sz w:val="28"/>
          <w:szCs w:val="28"/>
        </w:rPr>
        <w:t>Diversity and inclusion</w:t>
      </w:r>
      <w:r w:rsidRPr="00696665">
        <w:rPr>
          <w:sz w:val="28"/>
          <w:szCs w:val="28"/>
        </w:rPr>
        <w:t xml:space="preserve"> (2024) </w:t>
      </w:r>
      <w:r w:rsidRPr="00696665">
        <w:rPr>
          <w:i/>
          <w:iCs/>
          <w:sz w:val="28"/>
          <w:szCs w:val="28"/>
        </w:rPr>
        <w:t>College of Policing</w:t>
      </w:r>
      <w:r w:rsidRPr="00696665">
        <w:rPr>
          <w:sz w:val="28"/>
          <w:szCs w:val="28"/>
        </w:rPr>
        <w:t xml:space="preserve">. Available at: https://www.college.police.uk/support-forces/diversity-and-inclusion (Accessed: 22 May 2024). </w:t>
      </w:r>
    </w:p>
    <w:p w14:paraId="54BE5ED3"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7540EEE6" w14:textId="0229A0BB"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roofErr w:type="spellStart"/>
      <w:r w:rsidRPr="00696665">
        <w:rPr>
          <w:rFonts w:ascii="Times New Roman" w:eastAsia="Times New Roman" w:hAnsi="Times New Roman" w:cs="Times New Roman"/>
          <w:kern w:val="0"/>
          <w:sz w:val="28"/>
          <w:szCs w:val="28"/>
          <w:lang w:eastAsia="en-GB"/>
          <w14:ligatures w14:val="none"/>
        </w:rPr>
        <w:t>Gelsthorpe</w:t>
      </w:r>
      <w:proofErr w:type="spellEnd"/>
      <w:r w:rsidRPr="00696665">
        <w:rPr>
          <w:rFonts w:ascii="Times New Roman" w:eastAsia="Times New Roman" w:hAnsi="Times New Roman" w:cs="Times New Roman"/>
          <w:kern w:val="0"/>
          <w:sz w:val="28"/>
          <w:szCs w:val="28"/>
          <w:lang w:eastAsia="en-GB"/>
          <w14:ligatures w14:val="none"/>
        </w:rPr>
        <w:t>, L. (2018). Unconscious bias training for police personnel. Criminology &amp; Criminal Justice, 18(4), 420-436.</w:t>
      </w:r>
    </w:p>
    <w:p w14:paraId="5719EE81" w14:textId="1A355924"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Hazelgrove, J. (2012). Community policing and engagement: A review of the literature. Policing: A Journal of Policy and Practice, 6(2), 203-212.</w:t>
      </w:r>
    </w:p>
    <w:p w14:paraId="4C148C83"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18DFBBEF" w14:textId="7FE9A936"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HM Government. (2010). Equality Act 2010. London: The Stationery Office.</w:t>
      </w:r>
    </w:p>
    <w:p w14:paraId="25141857"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5A3976F8" w14:textId="56E1FC9F"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Holder, J., Raphael, S., &amp; Brooks-Gunn, J. (2019). A critical review of the literature on school dropout. Educational Researcher, 38(3), 149-166.</w:t>
      </w:r>
    </w:p>
    <w:p w14:paraId="22915A4D" w14:textId="77777777"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p>
    <w:p w14:paraId="6995FC4E" w14:textId="453414D5" w:rsidR="001B6682" w:rsidRPr="00696665" w:rsidRDefault="001B6682" w:rsidP="001B6682">
      <w:pPr>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Reiner, R. (2010). The politics of the police. Oxford: Oxford University Press.</w:t>
      </w:r>
    </w:p>
    <w:p w14:paraId="7BC2720B" w14:textId="77777777" w:rsidR="001B6682" w:rsidRPr="00696665" w:rsidRDefault="001B6682" w:rsidP="001B6682">
      <w:pPr>
        <w:rPr>
          <w:rFonts w:ascii="Times New Roman" w:hAnsi="Times New Roman" w:cs="Times New Roman"/>
          <w:sz w:val="28"/>
          <w:szCs w:val="28"/>
        </w:rPr>
      </w:pPr>
    </w:p>
    <w:p w14:paraId="43F1DC51" w14:textId="77777777" w:rsidR="00696665" w:rsidRPr="00696665" w:rsidRDefault="00696665" w:rsidP="001B6682">
      <w:pPr>
        <w:rPr>
          <w:rFonts w:ascii="Times New Roman" w:hAnsi="Times New Roman" w:cs="Times New Roman"/>
          <w:sz w:val="28"/>
          <w:szCs w:val="28"/>
        </w:rPr>
      </w:pPr>
    </w:p>
    <w:p w14:paraId="320E153E" w14:textId="77777777" w:rsidR="00696665" w:rsidRPr="00696665" w:rsidRDefault="00696665" w:rsidP="001B6682">
      <w:pPr>
        <w:rPr>
          <w:rFonts w:ascii="Times New Roman" w:hAnsi="Times New Roman" w:cs="Times New Roman"/>
          <w:sz w:val="28"/>
          <w:szCs w:val="28"/>
        </w:rPr>
      </w:pPr>
    </w:p>
    <w:p w14:paraId="1555DD44" w14:textId="77777777" w:rsidR="00696665" w:rsidRPr="00696665" w:rsidRDefault="00696665" w:rsidP="001B6682">
      <w:pPr>
        <w:rPr>
          <w:rFonts w:ascii="Times New Roman" w:hAnsi="Times New Roman" w:cs="Times New Roman"/>
          <w:sz w:val="28"/>
          <w:szCs w:val="28"/>
        </w:rPr>
      </w:pPr>
    </w:p>
    <w:p w14:paraId="78749138" w14:textId="77777777" w:rsidR="00696665" w:rsidRPr="00696665" w:rsidRDefault="00696665" w:rsidP="001B6682">
      <w:pPr>
        <w:rPr>
          <w:rFonts w:ascii="Times New Roman" w:hAnsi="Times New Roman" w:cs="Times New Roman"/>
          <w:sz w:val="28"/>
          <w:szCs w:val="28"/>
        </w:rPr>
      </w:pPr>
    </w:p>
    <w:p w14:paraId="6F12E7E2" w14:textId="77777777" w:rsidR="00696665" w:rsidRPr="00696665" w:rsidRDefault="00696665" w:rsidP="001B6682">
      <w:pPr>
        <w:rPr>
          <w:rFonts w:ascii="Times New Roman" w:hAnsi="Times New Roman" w:cs="Times New Roman"/>
          <w:sz w:val="28"/>
          <w:szCs w:val="28"/>
        </w:rPr>
      </w:pPr>
    </w:p>
    <w:p w14:paraId="72F42CF9" w14:textId="77777777" w:rsidR="00696665" w:rsidRPr="00696665" w:rsidRDefault="00696665" w:rsidP="001B6682">
      <w:pPr>
        <w:rPr>
          <w:rFonts w:ascii="Times New Roman" w:hAnsi="Times New Roman" w:cs="Times New Roman"/>
          <w:sz w:val="28"/>
          <w:szCs w:val="28"/>
        </w:rPr>
      </w:pPr>
    </w:p>
    <w:p w14:paraId="4F90D4EE" w14:textId="77777777" w:rsidR="00696665" w:rsidRPr="00696665" w:rsidRDefault="00696665" w:rsidP="001B6682">
      <w:pPr>
        <w:rPr>
          <w:rFonts w:ascii="Times New Roman" w:hAnsi="Times New Roman" w:cs="Times New Roman"/>
          <w:sz w:val="28"/>
          <w:szCs w:val="28"/>
        </w:rPr>
      </w:pPr>
    </w:p>
    <w:p w14:paraId="416259F2" w14:textId="77777777" w:rsidR="00696665" w:rsidRPr="00696665" w:rsidRDefault="00696665" w:rsidP="001B6682">
      <w:pPr>
        <w:rPr>
          <w:rFonts w:ascii="Times New Roman" w:hAnsi="Times New Roman" w:cs="Times New Roman"/>
          <w:sz w:val="28"/>
          <w:szCs w:val="28"/>
        </w:rPr>
      </w:pPr>
    </w:p>
    <w:p w14:paraId="1ED7A351" w14:textId="77777777" w:rsidR="00696665" w:rsidRPr="00696665" w:rsidRDefault="00696665" w:rsidP="001B6682">
      <w:pPr>
        <w:rPr>
          <w:rFonts w:ascii="Times New Roman" w:hAnsi="Times New Roman" w:cs="Times New Roman"/>
          <w:sz w:val="28"/>
          <w:szCs w:val="28"/>
        </w:rPr>
      </w:pPr>
    </w:p>
    <w:p w14:paraId="2D960673" w14:textId="77777777" w:rsidR="00696665" w:rsidRPr="00696665" w:rsidRDefault="00696665" w:rsidP="001B6682">
      <w:pPr>
        <w:rPr>
          <w:rFonts w:ascii="Times New Roman" w:hAnsi="Times New Roman" w:cs="Times New Roman"/>
          <w:sz w:val="28"/>
          <w:szCs w:val="28"/>
        </w:rPr>
      </w:pPr>
    </w:p>
    <w:p w14:paraId="7146AEA4" w14:textId="77777777" w:rsidR="00696665" w:rsidRPr="00696665" w:rsidRDefault="00696665" w:rsidP="001B6682">
      <w:pPr>
        <w:rPr>
          <w:rFonts w:ascii="Times New Roman" w:hAnsi="Times New Roman" w:cs="Times New Roman"/>
          <w:sz w:val="28"/>
          <w:szCs w:val="28"/>
        </w:rPr>
      </w:pPr>
    </w:p>
    <w:p w14:paraId="7922773B" w14:textId="77777777" w:rsidR="00696665" w:rsidRPr="00696665" w:rsidRDefault="00696665" w:rsidP="001B6682">
      <w:pPr>
        <w:rPr>
          <w:rFonts w:ascii="Times New Roman" w:hAnsi="Times New Roman" w:cs="Times New Roman"/>
          <w:sz w:val="28"/>
          <w:szCs w:val="28"/>
        </w:rPr>
      </w:pPr>
    </w:p>
    <w:p w14:paraId="08615819" w14:textId="77777777" w:rsidR="00696665" w:rsidRPr="00696665" w:rsidRDefault="00696665" w:rsidP="001B6682">
      <w:pPr>
        <w:rPr>
          <w:rFonts w:ascii="Times New Roman" w:hAnsi="Times New Roman" w:cs="Times New Roman"/>
          <w:sz w:val="28"/>
          <w:szCs w:val="28"/>
        </w:rPr>
      </w:pPr>
    </w:p>
    <w:p w14:paraId="486AB865" w14:textId="77777777" w:rsidR="00696665" w:rsidRPr="00696665" w:rsidRDefault="00696665" w:rsidP="001B6682">
      <w:pPr>
        <w:rPr>
          <w:rFonts w:ascii="Times New Roman" w:hAnsi="Times New Roman" w:cs="Times New Roman"/>
          <w:sz w:val="28"/>
          <w:szCs w:val="28"/>
        </w:rPr>
      </w:pPr>
    </w:p>
    <w:p w14:paraId="4BE92AFA" w14:textId="77777777" w:rsidR="00696665" w:rsidRPr="00696665" w:rsidRDefault="00696665" w:rsidP="00696665">
      <w:pPr>
        <w:shd w:val="clear" w:color="auto" w:fill="FFFFFF"/>
        <w:spacing w:after="0" w:line="240" w:lineRule="auto"/>
        <w:rPr>
          <w:rFonts w:ascii="Times New Roman" w:hAnsi="Times New Roman" w:cs="Times New Roman"/>
          <w:sz w:val="28"/>
          <w:szCs w:val="28"/>
          <w:shd w:val="clear" w:color="auto" w:fill="FFFFFF"/>
        </w:rPr>
      </w:pPr>
      <w:r w:rsidRPr="00696665">
        <w:rPr>
          <w:rFonts w:ascii="Times New Roman" w:hAnsi="Times New Roman" w:cs="Times New Roman"/>
          <w:sz w:val="28"/>
          <w:szCs w:val="28"/>
          <w:shd w:val="clear" w:color="auto" w:fill="FFFFFF"/>
        </w:rPr>
        <w:t>Why is it important to manage mental well-being in policing? What can be the consequences if metal well-being is not managed appropriately?</w:t>
      </w:r>
    </w:p>
    <w:p w14:paraId="4B228AB7" w14:textId="77777777" w:rsidR="00696665" w:rsidRPr="00696665" w:rsidRDefault="00696665" w:rsidP="00696665">
      <w:pPr>
        <w:shd w:val="clear" w:color="auto" w:fill="FFFFFF"/>
        <w:spacing w:after="0" w:line="240" w:lineRule="auto"/>
        <w:rPr>
          <w:rFonts w:ascii="Times New Roman" w:hAnsi="Times New Roman" w:cs="Times New Roman"/>
          <w:sz w:val="28"/>
          <w:szCs w:val="28"/>
          <w:shd w:val="clear" w:color="auto" w:fill="FFFFFF"/>
        </w:rPr>
      </w:pPr>
    </w:p>
    <w:p w14:paraId="07307CC7" w14:textId="77777777" w:rsidR="00696665" w:rsidRPr="00696665" w:rsidRDefault="00696665" w:rsidP="00696665">
      <w:pPr>
        <w:shd w:val="clear" w:color="auto" w:fill="FFFFFF"/>
        <w:spacing w:after="0" w:line="240" w:lineRule="auto"/>
        <w:rPr>
          <w:rFonts w:ascii="Times New Roman" w:hAnsi="Times New Roman" w:cs="Times New Roman"/>
          <w:sz w:val="28"/>
          <w:szCs w:val="28"/>
          <w:shd w:val="clear" w:color="auto" w:fill="FFFFFF"/>
        </w:rPr>
      </w:pPr>
    </w:p>
    <w:p w14:paraId="6A2FA027"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hAnsi="Times New Roman" w:cs="Times New Roman"/>
          <w:sz w:val="28"/>
          <w:szCs w:val="28"/>
          <w:shd w:val="clear" w:color="auto" w:fill="FFFFFF"/>
        </w:rPr>
        <w:t>Ensuring the well-being of police officers plays a role, for various reasons. This essay will explore the importance of this aspect discussing the repercussions of disregarding health and proposing management techniques with support from academic sources.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Police officers encounter a multitude of stressors in their profession such as exposure to traumatic incidents, long working hours, high pressure scenarios and the continual need to make decisions. These factors can significantly impact their well-being.</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Primarily addressing health in policing is essential for the efficiency of the police force. Studies indicate that officers facing health challenges may be more susceptible to making judgment errors that could jeopardise safety and operational effectiveness (Violanti et al., 2018). It is crucial for the police to function effectively and ensure that its officers are not grappling with their mental health.</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Furthermore neglecting the well-being of police personnel can result in adverse consequences including reduced job satisfaction, burnout, absenteeism, and higher turnover rates. Elevated stress levels and untreated mental health issues can diminish morale within police forces affecting teamwork and unity while ultimately undermining policing efforts (Violanti et al., 2018).</w:t>
      </w:r>
      <w:r w:rsidRPr="00696665">
        <w:rPr>
          <w:rFonts w:ascii="Times New Roman" w:hAnsi="Times New Roman" w:cs="Times New Roman"/>
          <w:sz w:val="28"/>
          <w:szCs w:val="28"/>
          <w:shd w:val="clear" w:color="auto" w:fill="FFFFFF"/>
        </w:rPr>
        <w:br/>
        <w:t>High rates of absenteeism and turnover present a challenge. Firstly, when there are absences, communities may lack policing. This could lead to delays in responding to emergency calls if staffing levels are insufficient. Additionally, the costs incurred in replacing staff and the investment put into training police officers who later leave due to burnout or dissatisfaction pose challenges.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Moreover prioritising well-being among police officers is crucial for their welfare. Officers often face stigma related to health issues, which may deter them from seeking help when they need it. Creating an environment that values health can encourage officers to seek assistance without fear of judgment or negative consequences thereby enabling early intervention and preventing more serious mental health issues from arising.</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 xml:space="preserve">Neglecting well-being within the police can have repercussions for both </w:t>
      </w:r>
      <w:r w:rsidRPr="00696665">
        <w:rPr>
          <w:rFonts w:ascii="Times New Roman" w:hAnsi="Times New Roman" w:cs="Times New Roman"/>
          <w:sz w:val="28"/>
          <w:szCs w:val="28"/>
          <w:shd w:val="clear" w:color="auto" w:fill="FFFFFF"/>
        </w:rPr>
        <w:lastRenderedPageBreak/>
        <w:t>individual officers and the communities they serve. One major concern is the heightened risk of health disorders among police personnel. Research has found that police officers may face a risk of health conditions, like depression, anxiety and post-traumatic stress disorder (PTSD) compared to the general population (Carlier et al., 2018).</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If left untreated these mental health issues can impact an officer’s ability to carry out their duties effectively and could even lead to self-harm or suicide. Studies show that police officers have an increased risk of suicide compared to other professions emphasising the pressing need for proactive strategies to address mental health concerns in the police (Violanti et al., 2018).</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Overlooking wellness in policing can have societal consequences. Officers dealing with health issues may be more inclined to use force or engage in misconduct harming public trust and confidence in the police. Additionally unaddressed mental health challenges among police officers can perpetuate a cycle of trauma within communities since officers grappling with their well-being might struggle to respond sensitively and effectively during crisis situations involving individuals (Garrett &amp; Grant 2020).</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 xml:space="preserve">To effectively promote well-being in the police it is crucial to adopt an approach that considers both individual and organisational factors. </w:t>
      </w:r>
      <w:r w:rsidRPr="00696665">
        <w:rPr>
          <w:rFonts w:ascii="Times New Roman" w:hAnsi="Times New Roman" w:cs="Times New Roman"/>
          <w:sz w:val="28"/>
          <w:szCs w:val="28"/>
          <w:shd w:val="clear" w:color="auto" w:fill="FFFFFF"/>
        </w:rPr>
        <w:br/>
        <w:t>One effective approach involves raising awareness about health and encouraging police officers to seek support without feeling ashamed. This can be done through training sessions that educate officers on health issues and dispel misunderstandings about mental illnesses and provide details about available support services.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Introducing evidence-based programs to enhance officers’ resilience can help them develop coping mechanisms and strengthen their toughness to handle the pressures of police work. These programs may include mindfulness exercises, techniques for managing stress and interventions based on cognitive behavioural therapy to promote well-being outcomes.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Additionally, creating a culture that prioritises the well-being of employees is crucial for promoting mental health in the police force. Police leaders have a role in fostering an environment where officers feel appreciated, respected, and supported. This could involve implementing policies that encourage a work life balance offering counselling services and ensuring adequate breaks for rest between shifts.</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 xml:space="preserve">An example of such an effort within the police force is providing access to TRIM – Trauma Risk Incident Management. As described by </w:t>
      </w:r>
      <w:r w:rsidRPr="00696665">
        <w:rPr>
          <w:rFonts w:ascii="Times New Roman" w:hAnsi="Times New Roman" w:cs="Times New Roman"/>
          <w:sz w:val="28"/>
          <w:szCs w:val="28"/>
          <w:shd w:val="clear" w:color="auto" w:fill="FFFFFF"/>
        </w:rPr>
        <w:lastRenderedPageBreak/>
        <w:t xml:space="preserve">marchonstress.com </w:t>
      </w:r>
      <w:proofErr w:type="spellStart"/>
      <w:r w:rsidRPr="00696665">
        <w:rPr>
          <w:rFonts w:ascii="Times New Roman" w:hAnsi="Times New Roman" w:cs="Times New Roman"/>
          <w:sz w:val="28"/>
          <w:szCs w:val="28"/>
          <w:shd w:val="clear" w:color="auto" w:fill="FFFFFF"/>
        </w:rPr>
        <w:t>TRiM</w:t>
      </w:r>
      <w:proofErr w:type="spellEnd"/>
      <w:r w:rsidRPr="00696665">
        <w:rPr>
          <w:rFonts w:ascii="Times New Roman" w:hAnsi="Times New Roman" w:cs="Times New Roman"/>
          <w:sz w:val="28"/>
          <w:szCs w:val="28"/>
          <w:shd w:val="clear" w:color="auto" w:fill="FFFFFF"/>
        </w:rPr>
        <w:t xml:space="preserve"> is a peer support system focused on addressing trauma to assist individuals who have faced or may face events.</w:t>
      </w:r>
      <w:r w:rsidRPr="00696665">
        <w:rPr>
          <w:rFonts w:ascii="Times New Roman" w:hAnsi="Times New Roman" w:cs="Times New Roman"/>
          <w:sz w:val="28"/>
          <w:szCs w:val="28"/>
          <w:shd w:val="clear" w:color="auto" w:fill="FFFFFF"/>
        </w:rPr>
        <w:br/>
        <w:t xml:space="preserve">TRIM was first utilised within the military to monitor individuals who had experienced an event either directly or indirectly. According to Porter and Lee (2024) participants in their study believed that seeking health support from services not affiliated with the police was more effective. This belief stemmed from their experiences and conversations with peers partly influenced by the stigma surrounding health care. Porter and Lee continue to explain that former police officers described their work environment as 'macho', implying that this was one of the reasons they struggled to openly discuss their mental health. They were expected to brush things off and maintain a tough demeanour </w:t>
      </w:r>
      <w:proofErr w:type="gramStart"/>
      <w:r w:rsidRPr="00696665">
        <w:rPr>
          <w:rFonts w:ascii="Times New Roman" w:hAnsi="Times New Roman" w:cs="Times New Roman"/>
          <w:sz w:val="28"/>
          <w:szCs w:val="28"/>
          <w:shd w:val="clear" w:color="auto" w:fill="FFFFFF"/>
        </w:rPr>
        <w:t>in order to</w:t>
      </w:r>
      <w:proofErr w:type="gramEnd"/>
      <w:r w:rsidRPr="00696665">
        <w:rPr>
          <w:rFonts w:ascii="Times New Roman" w:hAnsi="Times New Roman" w:cs="Times New Roman"/>
          <w:sz w:val="28"/>
          <w:szCs w:val="28"/>
          <w:shd w:val="clear" w:color="auto" w:fill="FFFFFF"/>
        </w:rPr>
        <w:t xml:space="preserve"> avoid being perceived as weak by their colleagues. Many officers used phrases like 'man-up' or discussed how they simply needed to 'get over' a difficult day.</w:t>
      </w:r>
      <w:r w:rsidRPr="00696665">
        <w:rPr>
          <w:rFonts w:ascii="Times New Roman" w:hAnsi="Times New Roman" w:cs="Times New Roman"/>
          <w:sz w:val="28"/>
          <w:szCs w:val="28"/>
          <w:shd w:val="clear" w:color="auto" w:fill="FFFFFF"/>
        </w:rPr>
        <w:br/>
      </w:r>
      <w:r w:rsidRPr="00696665">
        <w:rPr>
          <w:rFonts w:ascii="Times New Roman" w:hAnsi="Times New Roman" w:cs="Times New Roman"/>
          <w:sz w:val="28"/>
          <w:szCs w:val="28"/>
          <w:shd w:val="clear" w:color="auto" w:fill="FFFFFF"/>
        </w:rPr>
        <w:br/>
        <w:t>In summary ensuring the mental well-being of police officers is crucial for protecting their welfare improving policing operations efficiency and upholding trust in the police. Ignoring health concerns within the police force can lead to outcomes such as decreased job performance, heightened risk of mental illness and strained community relationships. By implementing strategies that emphasise health awareness, resilience building, and organisational support police forces can cultivate a work environment that prioritises employee well-being and nurtures a healthy workforce.</w:t>
      </w:r>
    </w:p>
    <w:p w14:paraId="401FEB68"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2396DC8F" w14:textId="0C94FD47" w:rsidR="00696665" w:rsidRPr="00696665" w:rsidRDefault="00C220B0"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Word count: </w:t>
      </w:r>
      <w:r w:rsidR="00696665" w:rsidRPr="00696665">
        <w:rPr>
          <w:rFonts w:ascii="Times New Roman" w:eastAsia="Times New Roman" w:hAnsi="Times New Roman" w:cs="Times New Roman"/>
          <w:kern w:val="0"/>
          <w:sz w:val="28"/>
          <w:szCs w:val="28"/>
          <w:lang w:eastAsia="en-GB"/>
          <w14:ligatures w14:val="none"/>
        </w:rPr>
        <w:t>916</w:t>
      </w:r>
    </w:p>
    <w:p w14:paraId="6D982360"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00921A62"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Carlier, B. E., </w:t>
      </w:r>
      <w:proofErr w:type="spellStart"/>
      <w:r w:rsidRPr="00696665">
        <w:rPr>
          <w:rFonts w:ascii="Times New Roman" w:eastAsia="Times New Roman" w:hAnsi="Times New Roman" w:cs="Times New Roman"/>
          <w:kern w:val="0"/>
          <w:sz w:val="28"/>
          <w:szCs w:val="28"/>
          <w:lang w:eastAsia="en-GB"/>
          <w14:ligatures w14:val="none"/>
        </w:rPr>
        <w:t>Schuringa</w:t>
      </w:r>
      <w:proofErr w:type="spellEnd"/>
      <w:r w:rsidRPr="00696665">
        <w:rPr>
          <w:rFonts w:ascii="Times New Roman" w:eastAsia="Times New Roman" w:hAnsi="Times New Roman" w:cs="Times New Roman"/>
          <w:kern w:val="0"/>
          <w:sz w:val="28"/>
          <w:szCs w:val="28"/>
          <w:lang w:eastAsia="en-GB"/>
          <w14:ligatures w14:val="none"/>
        </w:rPr>
        <w:t>, E., &amp; Van den Bout, J. (2018). Risk of PTSD in police officers: the role of trauma severity, peritraumatic dissociation, and emotion regulation. Journal of Traumatic Stress, 31(5), 736-744.</w:t>
      </w:r>
    </w:p>
    <w:p w14:paraId="000AC280"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37D45203"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Garrett, M. D., &amp; Grant, L. A. (2020). Managing Officer Wellness: Police Chief’s Perspectives on the Importance of Officer Mental Health and Wellness. Journal of Police and Criminal Psychology, 35(2), 126-137.</w:t>
      </w:r>
    </w:p>
    <w:p w14:paraId="675B1431"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2C2279FD" w14:textId="77777777" w:rsidR="00696665" w:rsidRPr="00696665" w:rsidRDefault="00696665" w:rsidP="00696665">
      <w:pPr>
        <w:pStyle w:val="NormalWeb"/>
        <w:ind w:left="567" w:hanging="567"/>
        <w:rPr>
          <w:sz w:val="28"/>
          <w:szCs w:val="28"/>
        </w:rPr>
      </w:pPr>
      <w:r w:rsidRPr="00696665">
        <w:rPr>
          <w:sz w:val="28"/>
          <w:szCs w:val="28"/>
        </w:rPr>
        <w:t xml:space="preserve">March on stress (2024), March </w:t>
      </w:r>
      <w:proofErr w:type="gramStart"/>
      <w:r w:rsidRPr="00696665">
        <w:rPr>
          <w:sz w:val="28"/>
          <w:szCs w:val="28"/>
        </w:rPr>
        <w:t>On</w:t>
      </w:r>
      <w:proofErr w:type="gramEnd"/>
      <w:r w:rsidRPr="00696665">
        <w:rPr>
          <w:sz w:val="28"/>
          <w:szCs w:val="28"/>
        </w:rPr>
        <w:t xml:space="preserve"> Stress &gt;&gt; Trauma Risk Management (</w:t>
      </w:r>
      <w:proofErr w:type="spellStart"/>
      <w:r w:rsidRPr="00696665">
        <w:rPr>
          <w:sz w:val="28"/>
          <w:szCs w:val="28"/>
        </w:rPr>
        <w:t>TRiM</w:t>
      </w:r>
      <w:proofErr w:type="spellEnd"/>
      <w:r w:rsidRPr="00696665">
        <w:rPr>
          <w:sz w:val="28"/>
          <w:szCs w:val="28"/>
        </w:rPr>
        <w:t xml:space="preserve">). Available at: https://www.marchonstress.com/page/p/trim (Accessed: 22 May 2024). </w:t>
      </w:r>
    </w:p>
    <w:p w14:paraId="41AE9EC0"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hAnsi="Times New Roman" w:cs="Times New Roman"/>
          <w:sz w:val="28"/>
          <w:szCs w:val="28"/>
          <w:shd w:val="clear" w:color="auto" w:fill="FFFFFF"/>
        </w:rPr>
        <w:t xml:space="preserve">Porter, C.N., Lee, R. The policing culture: an exploration into the mental health of former British police officers. Curr </w:t>
      </w:r>
      <w:proofErr w:type="spellStart"/>
      <w:r w:rsidRPr="00696665">
        <w:rPr>
          <w:rFonts w:ascii="Times New Roman" w:hAnsi="Times New Roman" w:cs="Times New Roman"/>
          <w:sz w:val="28"/>
          <w:szCs w:val="28"/>
          <w:shd w:val="clear" w:color="auto" w:fill="FFFFFF"/>
        </w:rPr>
        <w:t>Psychol</w:t>
      </w:r>
      <w:proofErr w:type="spellEnd"/>
      <w:r w:rsidRPr="00696665">
        <w:rPr>
          <w:rFonts w:ascii="Times New Roman" w:hAnsi="Times New Roman" w:cs="Times New Roman"/>
          <w:sz w:val="28"/>
          <w:szCs w:val="28"/>
          <w:shd w:val="clear" w:color="auto" w:fill="FFFFFF"/>
        </w:rPr>
        <w:t> </w:t>
      </w:r>
      <w:r w:rsidRPr="00696665">
        <w:rPr>
          <w:rFonts w:ascii="Times New Roman" w:hAnsi="Times New Roman" w:cs="Times New Roman"/>
          <w:b/>
          <w:bCs/>
          <w:sz w:val="28"/>
          <w:szCs w:val="28"/>
          <w:shd w:val="clear" w:color="auto" w:fill="FFFFFF"/>
        </w:rPr>
        <w:t>43</w:t>
      </w:r>
      <w:r w:rsidRPr="00696665">
        <w:rPr>
          <w:rFonts w:ascii="Times New Roman" w:hAnsi="Times New Roman" w:cs="Times New Roman"/>
          <w:sz w:val="28"/>
          <w:szCs w:val="28"/>
          <w:shd w:val="clear" w:color="auto" w:fill="FFFFFF"/>
        </w:rPr>
        <w:t>, 2214–2228 (2024).</w:t>
      </w:r>
    </w:p>
    <w:p w14:paraId="630CFC4C"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p>
    <w:p w14:paraId="0437D391" w14:textId="77777777" w:rsidR="00696665" w:rsidRPr="00696665" w:rsidRDefault="00696665" w:rsidP="00696665">
      <w:pPr>
        <w:shd w:val="clear" w:color="auto" w:fill="FFFFFF"/>
        <w:spacing w:after="0"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lastRenderedPageBreak/>
        <w:t xml:space="preserve">Violanti, J. M., Andrew, M. E., </w:t>
      </w:r>
      <w:proofErr w:type="spellStart"/>
      <w:r w:rsidRPr="00696665">
        <w:rPr>
          <w:rFonts w:ascii="Times New Roman" w:eastAsia="Times New Roman" w:hAnsi="Times New Roman" w:cs="Times New Roman"/>
          <w:kern w:val="0"/>
          <w:sz w:val="28"/>
          <w:szCs w:val="28"/>
          <w:lang w:eastAsia="en-GB"/>
          <w14:ligatures w14:val="none"/>
        </w:rPr>
        <w:t>Mnatsakanova</w:t>
      </w:r>
      <w:proofErr w:type="spellEnd"/>
      <w:r w:rsidRPr="00696665">
        <w:rPr>
          <w:rFonts w:ascii="Times New Roman" w:eastAsia="Times New Roman" w:hAnsi="Times New Roman" w:cs="Times New Roman"/>
          <w:kern w:val="0"/>
          <w:sz w:val="28"/>
          <w:szCs w:val="28"/>
          <w:lang w:eastAsia="en-GB"/>
          <w14:ligatures w14:val="none"/>
        </w:rPr>
        <w:t xml:space="preserve">, A., Hartley, T. A., </w:t>
      </w:r>
      <w:proofErr w:type="spellStart"/>
      <w:r w:rsidRPr="00696665">
        <w:rPr>
          <w:rFonts w:ascii="Times New Roman" w:eastAsia="Times New Roman" w:hAnsi="Times New Roman" w:cs="Times New Roman"/>
          <w:kern w:val="0"/>
          <w:sz w:val="28"/>
          <w:szCs w:val="28"/>
          <w:lang w:eastAsia="en-GB"/>
          <w14:ligatures w14:val="none"/>
        </w:rPr>
        <w:t>Fekedulegn</w:t>
      </w:r>
      <w:proofErr w:type="spellEnd"/>
      <w:r w:rsidRPr="00696665">
        <w:rPr>
          <w:rFonts w:ascii="Times New Roman" w:eastAsia="Times New Roman" w:hAnsi="Times New Roman" w:cs="Times New Roman"/>
          <w:kern w:val="0"/>
          <w:sz w:val="28"/>
          <w:szCs w:val="28"/>
          <w:lang w:eastAsia="en-GB"/>
          <w14:ligatures w14:val="none"/>
        </w:rPr>
        <w:t>, D., Burchfiel, C. M., &amp; Vila, B. (2018). Correlates of hopelessness in the high suicide risk police occupation. Police Practice and Research, 19(6), 572-583.</w:t>
      </w:r>
    </w:p>
    <w:p w14:paraId="6CBC20FD" w14:textId="77777777" w:rsidR="00696665" w:rsidRPr="00696665" w:rsidRDefault="00696665" w:rsidP="00696665">
      <w:pPr>
        <w:rPr>
          <w:rFonts w:ascii="Times New Roman" w:hAnsi="Times New Roman" w:cs="Times New Roman"/>
          <w:sz w:val="28"/>
          <w:szCs w:val="28"/>
        </w:rPr>
      </w:pPr>
    </w:p>
    <w:p w14:paraId="0725B04D" w14:textId="77777777" w:rsidR="00696665" w:rsidRPr="00696665" w:rsidRDefault="00696665" w:rsidP="001B6682">
      <w:pPr>
        <w:rPr>
          <w:rFonts w:ascii="Times New Roman" w:hAnsi="Times New Roman" w:cs="Times New Roman"/>
          <w:sz w:val="28"/>
          <w:szCs w:val="28"/>
        </w:rPr>
      </w:pPr>
    </w:p>
    <w:p w14:paraId="7611AC74" w14:textId="77777777" w:rsidR="00696665" w:rsidRPr="00696665" w:rsidRDefault="00696665" w:rsidP="001B6682">
      <w:pPr>
        <w:rPr>
          <w:rFonts w:ascii="Times New Roman" w:hAnsi="Times New Roman" w:cs="Times New Roman"/>
          <w:sz w:val="28"/>
          <w:szCs w:val="28"/>
        </w:rPr>
      </w:pPr>
    </w:p>
    <w:p w14:paraId="178B4A3E" w14:textId="77777777" w:rsidR="00696665" w:rsidRPr="00696665" w:rsidRDefault="00696665" w:rsidP="001B6682">
      <w:pPr>
        <w:rPr>
          <w:rFonts w:ascii="Times New Roman" w:hAnsi="Times New Roman" w:cs="Times New Roman"/>
          <w:sz w:val="28"/>
          <w:szCs w:val="28"/>
        </w:rPr>
      </w:pPr>
    </w:p>
    <w:p w14:paraId="0B6AB25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270D35F2"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3781C9CF"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57EBC1C1"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44C5933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73ABEAD8"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71C5D39"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14F4EDD"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D16DC5F"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3EB78BE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53EB0D83"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6A7CCD29"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79188AED"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5600FA88"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2B0752A3"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5C0033B1"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4088D514"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629F932C"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437CFE2A"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EFE71D4"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09BD7D9"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228248A6"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F208AC6"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21E0AF3F"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494223A0"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66BF9F58"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1C993024"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0319C46"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1062705F"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0C04F2E8"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2BF5CD35"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728F4292"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1766E64B" w14:textId="77777777" w:rsidR="00C220B0" w:rsidRDefault="00C220B0" w:rsidP="00696665">
      <w:pPr>
        <w:shd w:val="clear" w:color="auto" w:fill="FFFFFF"/>
        <w:spacing w:after="0" w:line="240" w:lineRule="auto"/>
        <w:rPr>
          <w:rFonts w:ascii="Times New Roman" w:hAnsi="Times New Roman" w:cs="Times New Roman"/>
          <w:sz w:val="28"/>
          <w:szCs w:val="28"/>
          <w:shd w:val="clear" w:color="auto" w:fill="FFFFFF"/>
        </w:rPr>
      </w:pPr>
    </w:p>
    <w:p w14:paraId="7A49FADD" w14:textId="77777777" w:rsidR="00C220B0" w:rsidRPr="00EF4F3E" w:rsidRDefault="00C220B0" w:rsidP="00C220B0">
      <w:pPr>
        <w:rPr>
          <w:rFonts w:ascii="Times New Roman" w:hAnsi="Times New Roman" w:cs="Times New Roman"/>
          <w:sz w:val="28"/>
          <w:szCs w:val="28"/>
        </w:rPr>
      </w:pPr>
    </w:p>
    <w:p w14:paraId="3E27F2D9" w14:textId="3DF396BB" w:rsidR="00C220B0" w:rsidRDefault="00C220B0" w:rsidP="00C220B0">
      <w:pPr>
        <w:rPr>
          <w:rFonts w:ascii="Times New Roman" w:hAnsi="Times New Roman" w:cs="Times New Roman"/>
          <w:sz w:val="28"/>
          <w:szCs w:val="28"/>
        </w:rPr>
      </w:pPr>
      <w:r>
        <w:rPr>
          <w:rFonts w:ascii="Times New Roman" w:hAnsi="Times New Roman" w:cs="Times New Roman"/>
          <w:sz w:val="28"/>
          <w:szCs w:val="28"/>
        </w:rPr>
        <w:lastRenderedPageBreak/>
        <w:t>Outline potential links between serious and organised crime and public protection issues. What characteristics make some people more vulnerable to exploitation by serious and organised crime gangs?</w:t>
      </w:r>
    </w:p>
    <w:p w14:paraId="6F97B587" w14:textId="77777777" w:rsidR="00C220B0" w:rsidRDefault="00C220B0" w:rsidP="00C220B0">
      <w:pPr>
        <w:rPr>
          <w:rFonts w:ascii="Times New Roman" w:hAnsi="Times New Roman" w:cs="Times New Roman"/>
          <w:sz w:val="28"/>
          <w:szCs w:val="28"/>
        </w:rPr>
      </w:pPr>
    </w:p>
    <w:p w14:paraId="0329FCB4" w14:textId="44EA67AA"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Serious and well organised criminal activities pose a danger to safety and security on a global scale. Organised crime gangs cover a range of actions such as drug trafficking, human trafficking, cybercrime and fraudulent schemes. It is essential to understand the connections between crime and public protection issues </w:t>
      </w:r>
      <w:proofErr w:type="gramStart"/>
      <w:r w:rsidRPr="00EF4F3E">
        <w:rPr>
          <w:rFonts w:ascii="Times New Roman" w:hAnsi="Times New Roman" w:cs="Times New Roman"/>
          <w:sz w:val="28"/>
          <w:szCs w:val="28"/>
        </w:rPr>
        <w:t>in order to</w:t>
      </w:r>
      <w:proofErr w:type="gramEnd"/>
      <w:r w:rsidRPr="00EF4F3E">
        <w:rPr>
          <w:rFonts w:ascii="Times New Roman" w:hAnsi="Times New Roman" w:cs="Times New Roman"/>
          <w:sz w:val="28"/>
          <w:szCs w:val="28"/>
        </w:rPr>
        <w:t xml:space="preserve"> develop effective strategies for combating these crimes and protecting communities. This essay seeks to explore the relationships between organised crime and public safety concerns while also investigating the factors that make certain individuals more vulnerable to exploitation by these criminal networks.</w:t>
      </w:r>
    </w:p>
    <w:p w14:paraId="7CD04826" w14:textId="77777777" w:rsidR="00C220B0" w:rsidRPr="00EF4F3E" w:rsidRDefault="00C220B0" w:rsidP="00C220B0">
      <w:pPr>
        <w:rPr>
          <w:rFonts w:ascii="Times New Roman" w:hAnsi="Times New Roman" w:cs="Times New Roman"/>
          <w:sz w:val="28"/>
          <w:szCs w:val="28"/>
        </w:rPr>
      </w:pPr>
    </w:p>
    <w:p w14:paraId="5D6CD3F0"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Organised crime has an impact on public protection by destabilising society, fuelling violence and creating environments that foster further criminal behaviour. The presence of organised crime groups in communities often leads to increased levels of violence and fear disrupting public safety efforts and undermining trust in the police (Hobbs, 2013).</w:t>
      </w:r>
    </w:p>
    <w:p w14:paraId="330B91F4" w14:textId="77777777" w:rsidR="00C220B0" w:rsidRPr="00EF4F3E" w:rsidRDefault="00C220B0" w:rsidP="00C220B0">
      <w:pPr>
        <w:rPr>
          <w:rFonts w:ascii="Times New Roman" w:hAnsi="Times New Roman" w:cs="Times New Roman"/>
          <w:sz w:val="28"/>
          <w:szCs w:val="28"/>
        </w:rPr>
      </w:pPr>
    </w:p>
    <w:p w14:paraId="5DEB0977"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One of the links between organised crime and public protection is seen in drug trafficking. The widespread availability of drugs contributes to health crises such as addiction, overdoses and the spread of diseases (UNODC, 2021). Criminal networks involved in drug trafficking frequently resort to violence to protect their operations intensifying community violence and placing pressure on healthcare systems and policing resources (</w:t>
      </w:r>
      <w:proofErr w:type="spellStart"/>
      <w:r w:rsidRPr="00EF4F3E">
        <w:rPr>
          <w:rFonts w:ascii="Times New Roman" w:hAnsi="Times New Roman" w:cs="Times New Roman"/>
          <w:sz w:val="28"/>
          <w:szCs w:val="28"/>
        </w:rPr>
        <w:t>Morselli</w:t>
      </w:r>
      <w:proofErr w:type="spellEnd"/>
      <w:r w:rsidRPr="00EF4F3E">
        <w:rPr>
          <w:rFonts w:ascii="Times New Roman" w:hAnsi="Times New Roman" w:cs="Times New Roman"/>
          <w:sz w:val="28"/>
          <w:szCs w:val="28"/>
        </w:rPr>
        <w:t xml:space="preserve"> et al., 2010).</w:t>
      </w:r>
    </w:p>
    <w:p w14:paraId="1CD7138B"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Human trafficking is also a component of crime that directly violates the human rights of individuals and undermines public safety. Victims of trafficking endure forced labour, sexual abuse and harsh living conditions. This not only harms them but also creates broader societal risks such as the spread of STDs and the perpetuation of illegal labour markets (Shelley, 2010).</w:t>
      </w:r>
    </w:p>
    <w:p w14:paraId="021571E6" w14:textId="77777777" w:rsidR="00C220B0" w:rsidRPr="00EF4F3E" w:rsidRDefault="00C220B0" w:rsidP="00C220B0">
      <w:pPr>
        <w:rPr>
          <w:rFonts w:ascii="Times New Roman" w:hAnsi="Times New Roman" w:cs="Times New Roman"/>
          <w:sz w:val="28"/>
          <w:szCs w:val="28"/>
        </w:rPr>
      </w:pPr>
    </w:p>
    <w:p w14:paraId="0BBF3317"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Cybercrime is an escalating threat in the realm of organised crime posing challenges to public safety and national security. Cybercriminals exploit weaknesses to engage in fraud, steal information and disrupt critical infrastructure. These actions can result in financial losses, breaches of privacy </w:t>
      </w:r>
      <w:r w:rsidRPr="00EF4F3E">
        <w:rPr>
          <w:rFonts w:ascii="Times New Roman" w:hAnsi="Times New Roman" w:cs="Times New Roman"/>
          <w:sz w:val="28"/>
          <w:szCs w:val="28"/>
        </w:rPr>
        <w:lastRenderedPageBreak/>
        <w:t>and societal upheaval on a large scale (Holt &amp; Bossler 2014). The increasing complexity of cybercrime networks calls for cybersecurity measures and international collaboration to reduce these risks.</w:t>
      </w:r>
    </w:p>
    <w:p w14:paraId="4117A51E" w14:textId="77777777" w:rsidR="00C220B0" w:rsidRPr="00EF4F3E" w:rsidRDefault="00C220B0" w:rsidP="00C220B0">
      <w:pPr>
        <w:rPr>
          <w:rFonts w:ascii="Times New Roman" w:hAnsi="Times New Roman" w:cs="Times New Roman"/>
          <w:sz w:val="28"/>
          <w:szCs w:val="28"/>
        </w:rPr>
      </w:pPr>
    </w:p>
    <w:p w14:paraId="43263D5D"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Certain factors increase individuals’ vulnerability to exploitation by these organised crime groups. These factors often arise from socio-economic disparities, psychological vulnerabilities and environmental circumstances that criminal groups exploit for recruiting and manipulating victims.</w:t>
      </w:r>
    </w:p>
    <w:p w14:paraId="2D0D02A9" w14:textId="77777777" w:rsidR="00C220B0" w:rsidRPr="00EF4F3E" w:rsidRDefault="00C220B0" w:rsidP="00C220B0">
      <w:pPr>
        <w:rPr>
          <w:rFonts w:ascii="Times New Roman" w:hAnsi="Times New Roman" w:cs="Times New Roman"/>
          <w:sz w:val="28"/>
          <w:szCs w:val="28"/>
        </w:rPr>
      </w:pPr>
    </w:p>
    <w:p w14:paraId="672BDA1E"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People from socio-economically disadvantaged backgrounds are particularly at risk of being exploited by organised crime groups. Poverty, access to education and limited employment opportunities may lead individuals to feel desperate and hopeless making them more susceptible to the promises of criminal organisations (Decker &amp; </w:t>
      </w:r>
      <w:proofErr w:type="spellStart"/>
      <w:r w:rsidRPr="00EF4F3E">
        <w:rPr>
          <w:rFonts w:ascii="Times New Roman" w:hAnsi="Times New Roman" w:cs="Times New Roman"/>
          <w:sz w:val="28"/>
          <w:szCs w:val="28"/>
        </w:rPr>
        <w:t>Pyrooz</w:t>
      </w:r>
      <w:proofErr w:type="spellEnd"/>
      <w:r w:rsidRPr="00EF4F3E">
        <w:rPr>
          <w:rFonts w:ascii="Times New Roman" w:hAnsi="Times New Roman" w:cs="Times New Roman"/>
          <w:sz w:val="28"/>
          <w:szCs w:val="28"/>
        </w:rPr>
        <w:t xml:space="preserve"> 2013). These groups often entice individuals with rewards or the prospect of a better life, therefore attracting those who feel they have no other viable choices.</w:t>
      </w:r>
    </w:p>
    <w:p w14:paraId="185BB11A" w14:textId="77777777" w:rsidR="00C220B0" w:rsidRPr="00EF4F3E" w:rsidRDefault="00C220B0" w:rsidP="00C220B0">
      <w:pPr>
        <w:rPr>
          <w:rFonts w:ascii="Times New Roman" w:hAnsi="Times New Roman" w:cs="Times New Roman"/>
          <w:sz w:val="28"/>
          <w:szCs w:val="28"/>
        </w:rPr>
      </w:pPr>
    </w:p>
    <w:p w14:paraId="10A6041F"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Moreover, feeling socially isolated and lacking any support systems can further increase susceptibility to exploitation. Individuals without family backing, peer connections or community bonds may seek belonging and security within criminal organisations. These groups tend to exploit the need for social connections and identity especially among young people (Gordon, 2000). The sense of camaraderie and acceptance offered by these groups can be compelling for isolated individuals.</w:t>
      </w:r>
    </w:p>
    <w:p w14:paraId="4BF8CC4A" w14:textId="77777777" w:rsidR="00C220B0" w:rsidRPr="00EF4F3E" w:rsidRDefault="00C220B0" w:rsidP="00C220B0">
      <w:pPr>
        <w:rPr>
          <w:rFonts w:ascii="Times New Roman" w:hAnsi="Times New Roman" w:cs="Times New Roman"/>
          <w:sz w:val="28"/>
          <w:szCs w:val="28"/>
        </w:rPr>
      </w:pPr>
    </w:p>
    <w:p w14:paraId="22C2011C"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Psychological elements such as trauma, mental health challenges and low self-esteem can also contribute to vulnerability. Those with a history of abuse, neglect or psychological conditions may be easily influenced by organisations that prey on their emotional vulnerabilities (Skarbek, 2014). The promise of stability, protection or an enhanced sense of self-worth can be particularly enticing for individuals dealing with issues.</w:t>
      </w:r>
    </w:p>
    <w:p w14:paraId="07B15AEE" w14:textId="77777777" w:rsidR="00C220B0" w:rsidRPr="00EF4F3E" w:rsidRDefault="00C220B0" w:rsidP="00C220B0">
      <w:pPr>
        <w:rPr>
          <w:rFonts w:ascii="Times New Roman" w:hAnsi="Times New Roman" w:cs="Times New Roman"/>
          <w:sz w:val="28"/>
          <w:szCs w:val="28"/>
        </w:rPr>
      </w:pPr>
    </w:p>
    <w:p w14:paraId="39FA0213"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Additionally geographic location and environmental conditions also play a role in increasing susceptibility to exploitation by criminal organisations. Communities with high crime rates, limited police presence and limited social </w:t>
      </w:r>
      <w:r w:rsidRPr="00EF4F3E">
        <w:rPr>
          <w:rFonts w:ascii="Times New Roman" w:hAnsi="Times New Roman" w:cs="Times New Roman"/>
          <w:sz w:val="28"/>
          <w:szCs w:val="28"/>
        </w:rPr>
        <w:lastRenderedPageBreak/>
        <w:t>services are at a risk of being targeted by organised crime groups. The lack of attention and order in these areas creates a setting for criminal activities to thrive impacting residents who can end up as both victims and perpetrators of crimes (Hagedorn, 2008).</w:t>
      </w:r>
    </w:p>
    <w:p w14:paraId="472E73C9" w14:textId="77777777" w:rsidR="00C220B0" w:rsidRPr="00EF4F3E" w:rsidRDefault="00C220B0" w:rsidP="00C220B0">
      <w:pPr>
        <w:rPr>
          <w:rFonts w:ascii="Times New Roman" w:hAnsi="Times New Roman" w:cs="Times New Roman"/>
          <w:sz w:val="28"/>
          <w:szCs w:val="28"/>
        </w:rPr>
      </w:pPr>
    </w:p>
    <w:p w14:paraId="5C1CBA8A" w14:textId="77777777" w:rsidR="00C220B0" w:rsidRPr="00EF4F3E" w:rsidRDefault="00C220B0" w:rsidP="00C220B0">
      <w:pPr>
        <w:rPr>
          <w:rFonts w:ascii="Times New Roman" w:hAnsi="Times New Roman" w:cs="Times New Roman"/>
          <w:sz w:val="28"/>
          <w:szCs w:val="28"/>
        </w:rPr>
      </w:pPr>
      <w:proofErr w:type="gramStart"/>
      <w:r w:rsidRPr="00EF4F3E">
        <w:rPr>
          <w:rFonts w:ascii="Times New Roman" w:hAnsi="Times New Roman" w:cs="Times New Roman"/>
          <w:sz w:val="28"/>
          <w:szCs w:val="28"/>
        </w:rPr>
        <w:t>In order to</w:t>
      </w:r>
      <w:proofErr w:type="gramEnd"/>
      <w:r w:rsidRPr="00EF4F3E">
        <w:rPr>
          <w:rFonts w:ascii="Times New Roman" w:hAnsi="Times New Roman" w:cs="Times New Roman"/>
          <w:sz w:val="28"/>
          <w:szCs w:val="28"/>
        </w:rPr>
        <w:t xml:space="preserve"> tackle the links between organised crime and public protection concerns it is crucial to implement a range of preventative measures and informed policies. This involves improving job opportunities, strengthening community support systems, offering mental health services and improving policing capabilities.</w:t>
      </w:r>
    </w:p>
    <w:p w14:paraId="552D15C6" w14:textId="77777777" w:rsidR="00C220B0" w:rsidRPr="00EF4F3E" w:rsidRDefault="00C220B0" w:rsidP="00C220B0">
      <w:pPr>
        <w:rPr>
          <w:rFonts w:ascii="Times New Roman" w:hAnsi="Times New Roman" w:cs="Times New Roman"/>
          <w:sz w:val="28"/>
          <w:szCs w:val="28"/>
        </w:rPr>
      </w:pPr>
    </w:p>
    <w:p w14:paraId="3DA93E5F"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 xml:space="preserve">By creating economic prospects and increasing access to education and employment opportunities we can reduce the socio-economic vulnerabilities that organised crime </w:t>
      </w:r>
      <w:proofErr w:type="gramStart"/>
      <w:r w:rsidRPr="00EF4F3E">
        <w:rPr>
          <w:rFonts w:ascii="Times New Roman" w:hAnsi="Times New Roman" w:cs="Times New Roman"/>
          <w:sz w:val="28"/>
          <w:szCs w:val="28"/>
        </w:rPr>
        <w:t>gangs</w:t>
      </w:r>
      <w:proofErr w:type="gramEnd"/>
      <w:r w:rsidRPr="00EF4F3E">
        <w:rPr>
          <w:rFonts w:ascii="Times New Roman" w:hAnsi="Times New Roman" w:cs="Times New Roman"/>
          <w:sz w:val="28"/>
          <w:szCs w:val="28"/>
        </w:rPr>
        <w:t xml:space="preserve"> exploit. Programs focused on alleviating poverty, providing training and promoting growth offer </w:t>
      </w:r>
      <w:proofErr w:type="gramStart"/>
      <w:r w:rsidRPr="00EF4F3E">
        <w:rPr>
          <w:rFonts w:ascii="Times New Roman" w:hAnsi="Times New Roman" w:cs="Times New Roman"/>
          <w:sz w:val="28"/>
          <w:szCs w:val="28"/>
        </w:rPr>
        <w:t>individuals</w:t>
      </w:r>
      <w:proofErr w:type="gramEnd"/>
      <w:r w:rsidRPr="00EF4F3E">
        <w:rPr>
          <w:rFonts w:ascii="Times New Roman" w:hAnsi="Times New Roman" w:cs="Times New Roman"/>
          <w:sz w:val="28"/>
          <w:szCs w:val="28"/>
        </w:rPr>
        <w:t xml:space="preserve"> legitimate ways to enhance their lives without turning to criminal activities (Levitt and Venkatesh, 2000).</w:t>
      </w:r>
    </w:p>
    <w:p w14:paraId="20CA9C81" w14:textId="77777777" w:rsidR="00C220B0" w:rsidRPr="00EF4F3E" w:rsidRDefault="00C220B0" w:rsidP="00C220B0">
      <w:pPr>
        <w:rPr>
          <w:rFonts w:ascii="Times New Roman" w:hAnsi="Times New Roman" w:cs="Times New Roman"/>
          <w:sz w:val="28"/>
          <w:szCs w:val="28"/>
        </w:rPr>
      </w:pPr>
    </w:p>
    <w:p w14:paraId="17E2BA1C"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Investing in support networks within communities—such as family services, youth initiatives and community centres—can help combat isolation and provide alternatives to involvement with gangs. By fostering strong communities that offer support and protection, individuals are less likely to fall prey to the influences of crime (Howell, 2010).</w:t>
      </w:r>
    </w:p>
    <w:p w14:paraId="700A9551" w14:textId="77777777" w:rsidR="00C220B0" w:rsidRPr="00EF4F3E" w:rsidRDefault="00C220B0" w:rsidP="00C220B0">
      <w:pPr>
        <w:rPr>
          <w:rFonts w:ascii="Times New Roman" w:hAnsi="Times New Roman" w:cs="Times New Roman"/>
          <w:sz w:val="28"/>
          <w:szCs w:val="28"/>
        </w:rPr>
      </w:pPr>
    </w:p>
    <w:p w14:paraId="610F39C3"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t>Improving access to mental health services is essential for addressing the weaknesses that organised crime groups take advantage of. Providing support and assistance to individuals dealing with trauma, mental health challenges and low self-esteem can help lower their susceptibility to manipulation and exploitation (Dodge, 2006). Strengthening policing capacities through training, allocation of resources and international collaboration plays a role in the fight against crime. Employing tactics such as community policing and intelligence driven approaches can disrupt organised crime activities and safeguard those populations most at risk (Ratcliffe, 2008).</w:t>
      </w:r>
    </w:p>
    <w:p w14:paraId="2027D911" w14:textId="77777777" w:rsidR="00C220B0" w:rsidRPr="00EF4F3E" w:rsidRDefault="00C220B0" w:rsidP="00C220B0">
      <w:pPr>
        <w:rPr>
          <w:rFonts w:ascii="Times New Roman" w:hAnsi="Times New Roman" w:cs="Times New Roman"/>
          <w:sz w:val="28"/>
          <w:szCs w:val="28"/>
        </w:rPr>
      </w:pPr>
    </w:p>
    <w:p w14:paraId="33BF11E1" w14:textId="77777777" w:rsidR="00C220B0" w:rsidRPr="00EF4F3E" w:rsidRDefault="00C220B0" w:rsidP="00C220B0">
      <w:pPr>
        <w:rPr>
          <w:rFonts w:ascii="Times New Roman" w:hAnsi="Times New Roman" w:cs="Times New Roman"/>
          <w:sz w:val="28"/>
          <w:szCs w:val="28"/>
        </w:rPr>
      </w:pPr>
      <w:r w:rsidRPr="00EF4F3E">
        <w:rPr>
          <w:rFonts w:ascii="Times New Roman" w:hAnsi="Times New Roman" w:cs="Times New Roman"/>
          <w:sz w:val="28"/>
          <w:szCs w:val="28"/>
        </w:rPr>
        <w:lastRenderedPageBreak/>
        <w:t>The intricate links between organised crime and public protection pose challenges that require comprehensive strategies. Recognising the socio-economic, psychological, and environmental factors that make individuals prone to exploitation by organised crime gangs is key to devising successful prevention measures. Tackling the causes of vulnerability, strengthening policing capabilities and nurturing community resilience are aspects in combatting organised crime and ensuring public safety. By understanding the dynamics between crime and public protection issues, policymakers and practitioners can devise efficient strategies to prevent and mitigate the impact of organised crime on communities worldwide.</w:t>
      </w:r>
    </w:p>
    <w:p w14:paraId="441DC120" w14:textId="77777777" w:rsidR="00C220B0" w:rsidRPr="00EF4F3E" w:rsidRDefault="00C220B0" w:rsidP="00C220B0">
      <w:pPr>
        <w:shd w:val="clear" w:color="auto" w:fill="FFFFFF"/>
        <w:spacing w:after="0" w:line="240" w:lineRule="auto"/>
        <w:rPr>
          <w:rFonts w:ascii="Times New Roman" w:eastAsia="Times New Roman" w:hAnsi="Times New Roman" w:cs="Times New Roman"/>
          <w:color w:val="1D2228"/>
          <w:kern w:val="0"/>
          <w:sz w:val="28"/>
          <w:szCs w:val="28"/>
          <w:lang w:eastAsia="en-GB"/>
          <w14:ligatures w14:val="none"/>
        </w:rPr>
      </w:pPr>
    </w:p>
    <w:p w14:paraId="4486C10A" w14:textId="1B8FD89C" w:rsidR="00C220B0" w:rsidRPr="00EF4F3E" w:rsidRDefault="00C220B0" w:rsidP="00C220B0">
      <w:pPr>
        <w:shd w:val="clear" w:color="auto" w:fill="FFFFFF"/>
        <w:spacing w:after="0" w:line="240" w:lineRule="auto"/>
        <w:rPr>
          <w:rFonts w:ascii="Times New Roman" w:eastAsia="Times New Roman" w:hAnsi="Times New Roman" w:cs="Times New Roman"/>
          <w:color w:val="1D2228"/>
          <w:kern w:val="0"/>
          <w:sz w:val="28"/>
          <w:szCs w:val="28"/>
          <w:lang w:eastAsia="en-GB"/>
          <w14:ligatures w14:val="none"/>
        </w:rPr>
      </w:pPr>
      <w:r>
        <w:rPr>
          <w:rFonts w:ascii="Times New Roman" w:eastAsia="Times New Roman" w:hAnsi="Times New Roman" w:cs="Times New Roman"/>
          <w:color w:val="1D2228"/>
          <w:kern w:val="0"/>
          <w:sz w:val="28"/>
          <w:szCs w:val="28"/>
          <w:lang w:eastAsia="en-GB"/>
          <w14:ligatures w14:val="none"/>
        </w:rPr>
        <w:t xml:space="preserve">Word count: </w:t>
      </w:r>
      <w:r w:rsidRPr="00EF4F3E">
        <w:rPr>
          <w:rFonts w:ascii="Times New Roman" w:eastAsia="Times New Roman" w:hAnsi="Times New Roman" w:cs="Times New Roman"/>
          <w:color w:val="1D2228"/>
          <w:kern w:val="0"/>
          <w:sz w:val="28"/>
          <w:szCs w:val="28"/>
          <w:lang w:eastAsia="en-GB"/>
          <w14:ligatures w14:val="none"/>
        </w:rPr>
        <w:t>958</w:t>
      </w:r>
    </w:p>
    <w:p w14:paraId="00A8835D" w14:textId="77777777" w:rsidR="00C220B0" w:rsidRPr="00EF4F3E" w:rsidRDefault="00C220B0" w:rsidP="00C220B0">
      <w:pPr>
        <w:shd w:val="clear" w:color="auto" w:fill="FFFFFF"/>
        <w:spacing w:after="0" w:line="240" w:lineRule="auto"/>
        <w:rPr>
          <w:rFonts w:ascii="Times New Roman" w:eastAsia="Times New Roman" w:hAnsi="Times New Roman" w:cs="Times New Roman"/>
          <w:color w:val="1D2228"/>
          <w:kern w:val="0"/>
          <w:sz w:val="28"/>
          <w:szCs w:val="28"/>
          <w:lang w:eastAsia="en-GB"/>
          <w14:ligatures w14:val="none"/>
        </w:rPr>
      </w:pPr>
    </w:p>
    <w:p w14:paraId="5BC43B62"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Decker, S. H., &amp; </w:t>
      </w:r>
      <w:proofErr w:type="spellStart"/>
      <w:r w:rsidRPr="00EF4F3E">
        <w:rPr>
          <w:rFonts w:ascii="Times New Roman" w:eastAsia="Times New Roman" w:hAnsi="Times New Roman" w:cs="Times New Roman"/>
          <w:kern w:val="0"/>
          <w:sz w:val="28"/>
          <w:szCs w:val="28"/>
          <w:lang w:eastAsia="en-GB"/>
          <w14:ligatures w14:val="none"/>
        </w:rPr>
        <w:t>Pyrooz</w:t>
      </w:r>
      <w:proofErr w:type="spellEnd"/>
      <w:r w:rsidRPr="00EF4F3E">
        <w:rPr>
          <w:rFonts w:ascii="Times New Roman" w:eastAsia="Times New Roman" w:hAnsi="Times New Roman" w:cs="Times New Roman"/>
          <w:kern w:val="0"/>
          <w:sz w:val="28"/>
          <w:szCs w:val="28"/>
          <w:lang w:eastAsia="en-GB"/>
          <w14:ligatures w14:val="none"/>
        </w:rPr>
        <w:t>, D. C. (2013). Gangs: Continuity and change. Oxford University Press.</w:t>
      </w:r>
    </w:p>
    <w:p w14:paraId="12270C13"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Dodge, K. A. (2006). Community interventions to prevent serious and violent offending. In Farrington, D. P., Loeber, R., &amp; Welsh, B. C. (Eds.), </w:t>
      </w:r>
      <w:r w:rsidRPr="00EF4F3E">
        <w:rPr>
          <w:rFonts w:ascii="Times New Roman" w:eastAsia="Times New Roman" w:hAnsi="Times New Roman" w:cs="Times New Roman"/>
          <w:i/>
          <w:iCs/>
          <w:kern w:val="0"/>
          <w:sz w:val="28"/>
          <w:szCs w:val="28"/>
          <w:lang w:eastAsia="en-GB"/>
          <w14:ligatures w14:val="none"/>
        </w:rPr>
        <w:t>Preventing crime: What works for children, offenders, victims, and places</w:t>
      </w:r>
      <w:r w:rsidRPr="00EF4F3E">
        <w:rPr>
          <w:rFonts w:ascii="Times New Roman" w:eastAsia="Times New Roman" w:hAnsi="Times New Roman" w:cs="Times New Roman"/>
          <w:kern w:val="0"/>
          <w:sz w:val="28"/>
          <w:szCs w:val="28"/>
          <w:lang w:eastAsia="en-GB"/>
          <w14:ligatures w14:val="none"/>
        </w:rPr>
        <w:t xml:space="preserve"> (pp. 137-150). Springer.</w:t>
      </w:r>
    </w:p>
    <w:p w14:paraId="7F07024D"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Gordon, R. (2000). Criminal business organizations, street gangs and '</w:t>
      </w:r>
      <w:proofErr w:type="spellStart"/>
      <w:r w:rsidRPr="00EF4F3E">
        <w:rPr>
          <w:rFonts w:ascii="Times New Roman" w:eastAsia="Times New Roman" w:hAnsi="Times New Roman" w:cs="Times New Roman"/>
          <w:kern w:val="0"/>
          <w:sz w:val="28"/>
          <w:szCs w:val="28"/>
          <w:lang w:eastAsia="en-GB"/>
          <w14:ligatures w14:val="none"/>
        </w:rPr>
        <w:t>wanna</w:t>
      </w:r>
      <w:proofErr w:type="spellEnd"/>
      <w:r w:rsidRPr="00EF4F3E">
        <w:rPr>
          <w:rFonts w:ascii="Times New Roman" w:eastAsia="Times New Roman" w:hAnsi="Times New Roman" w:cs="Times New Roman"/>
          <w:kern w:val="0"/>
          <w:sz w:val="28"/>
          <w:szCs w:val="28"/>
          <w:lang w:eastAsia="en-GB"/>
          <w14:ligatures w14:val="none"/>
        </w:rPr>
        <w:t xml:space="preserve">-be' groups: A Vancouver perspective. </w:t>
      </w:r>
      <w:r w:rsidRPr="00EF4F3E">
        <w:rPr>
          <w:rFonts w:ascii="Times New Roman" w:eastAsia="Times New Roman" w:hAnsi="Times New Roman" w:cs="Times New Roman"/>
          <w:i/>
          <w:iCs/>
          <w:kern w:val="0"/>
          <w:sz w:val="28"/>
          <w:szCs w:val="28"/>
          <w:lang w:eastAsia="en-GB"/>
          <w14:ligatures w14:val="none"/>
        </w:rPr>
        <w:t>Canadian Journal of Criminology</w:t>
      </w:r>
      <w:r w:rsidRPr="00EF4F3E">
        <w:rPr>
          <w:rFonts w:ascii="Times New Roman" w:eastAsia="Times New Roman" w:hAnsi="Times New Roman" w:cs="Times New Roman"/>
          <w:kern w:val="0"/>
          <w:sz w:val="28"/>
          <w:szCs w:val="28"/>
          <w:lang w:eastAsia="en-GB"/>
          <w14:ligatures w14:val="none"/>
        </w:rPr>
        <w:t>, 42(1), 39-60.</w:t>
      </w:r>
    </w:p>
    <w:p w14:paraId="4AF0362A"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Hagedorn, J. M. (2008). </w:t>
      </w:r>
      <w:r w:rsidRPr="00EF4F3E">
        <w:rPr>
          <w:rFonts w:ascii="Times New Roman" w:eastAsia="Times New Roman" w:hAnsi="Times New Roman" w:cs="Times New Roman"/>
          <w:i/>
          <w:iCs/>
          <w:kern w:val="0"/>
          <w:sz w:val="28"/>
          <w:szCs w:val="28"/>
          <w:lang w:eastAsia="en-GB"/>
          <w14:ligatures w14:val="none"/>
        </w:rPr>
        <w:t xml:space="preserve">A world of gangs: Armed young men and </w:t>
      </w:r>
      <w:proofErr w:type="spellStart"/>
      <w:r w:rsidRPr="00EF4F3E">
        <w:rPr>
          <w:rFonts w:ascii="Times New Roman" w:eastAsia="Times New Roman" w:hAnsi="Times New Roman" w:cs="Times New Roman"/>
          <w:i/>
          <w:iCs/>
          <w:kern w:val="0"/>
          <w:sz w:val="28"/>
          <w:szCs w:val="28"/>
          <w:lang w:eastAsia="en-GB"/>
          <w14:ligatures w14:val="none"/>
        </w:rPr>
        <w:t>gangsta</w:t>
      </w:r>
      <w:proofErr w:type="spellEnd"/>
      <w:r w:rsidRPr="00EF4F3E">
        <w:rPr>
          <w:rFonts w:ascii="Times New Roman" w:eastAsia="Times New Roman" w:hAnsi="Times New Roman" w:cs="Times New Roman"/>
          <w:i/>
          <w:iCs/>
          <w:kern w:val="0"/>
          <w:sz w:val="28"/>
          <w:szCs w:val="28"/>
          <w:lang w:eastAsia="en-GB"/>
          <w14:ligatures w14:val="none"/>
        </w:rPr>
        <w:t xml:space="preserve"> culture</w:t>
      </w:r>
      <w:r w:rsidRPr="00EF4F3E">
        <w:rPr>
          <w:rFonts w:ascii="Times New Roman" w:eastAsia="Times New Roman" w:hAnsi="Times New Roman" w:cs="Times New Roman"/>
          <w:kern w:val="0"/>
          <w:sz w:val="28"/>
          <w:szCs w:val="28"/>
          <w:lang w:eastAsia="en-GB"/>
          <w14:ligatures w14:val="none"/>
        </w:rPr>
        <w:t>. University of Minnesota Press.</w:t>
      </w:r>
    </w:p>
    <w:p w14:paraId="7C5ABC33"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Hobbs, D. (2013). </w:t>
      </w:r>
      <w:r w:rsidRPr="00EF4F3E">
        <w:rPr>
          <w:rFonts w:ascii="Times New Roman" w:eastAsia="Times New Roman" w:hAnsi="Times New Roman" w:cs="Times New Roman"/>
          <w:i/>
          <w:iCs/>
          <w:kern w:val="0"/>
          <w:sz w:val="28"/>
          <w:szCs w:val="28"/>
          <w:lang w:eastAsia="en-GB"/>
          <w14:ligatures w14:val="none"/>
        </w:rPr>
        <w:t>Lush life: Constructing organized crime in the UK</w:t>
      </w:r>
      <w:r w:rsidRPr="00EF4F3E">
        <w:rPr>
          <w:rFonts w:ascii="Times New Roman" w:eastAsia="Times New Roman" w:hAnsi="Times New Roman" w:cs="Times New Roman"/>
          <w:kern w:val="0"/>
          <w:sz w:val="28"/>
          <w:szCs w:val="28"/>
          <w:lang w:eastAsia="en-GB"/>
          <w14:ligatures w14:val="none"/>
        </w:rPr>
        <w:t>. Oxford University Press.</w:t>
      </w:r>
    </w:p>
    <w:p w14:paraId="3FF2F3A7"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Holt, T. J., &amp; Bossler, A. M. (2014). </w:t>
      </w:r>
      <w:r w:rsidRPr="00EF4F3E">
        <w:rPr>
          <w:rFonts w:ascii="Times New Roman" w:eastAsia="Times New Roman" w:hAnsi="Times New Roman" w:cs="Times New Roman"/>
          <w:i/>
          <w:iCs/>
          <w:kern w:val="0"/>
          <w:sz w:val="28"/>
          <w:szCs w:val="28"/>
          <w:lang w:eastAsia="en-GB"/>
          <w14:ligatures w14:val="none"/>
        </w:rPr>
        <w:t>Cybercrime in progress: Theory and prevention of technology-enabled offenses</w:t>
      </w:r>
      <w:r w:rsidRPr="00EF4F3E">
        <w:rPr>
          <w:rFonts w:ascii="Times New Roman" w:eastAsia="Times New Roman" w:hAnsi="Times New Roman" w:cs="Times New Roman"/>
          <w:kern w:val="0"/>
          <w:sz w:val="28"/>
          <w:szCs w:val="28"/>
          <w:lang w:eastAsia="en-GB"/>
          <w14:ligatures w14:val="none"/>
        </w:rPr>
        <w:t>. Routledge.</w:t>
      </w:r>
    </w:p>
    <w:p w14:paraId="667A22B6"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Howell, J. C. (2010). </w:t>
      </w:r>
      <w:r w:rsidRPr="00EF4F3E">
        <w:rPr>
          <w:rFonts w:ascii="Times New Roman" w:eastAsia="Times New Roman" w:hAnsi="Times New Roman" w:cs="Times New Roman"/>
          <w:i/>
          <w:iCs/>
          <w:kern w:val="0"/>
          <w:sz w:val="28"/>
          <w:szCs w:val="28"/>
          <w:lang w:eastAsia="en-GB"/>
          <w14:ligatures w14:val="none"/>
        </w:rPr>
        <w:t>Gang prevention: An overview of research and programs</w:t>
      </w:r>
      <w:r w:rsidRPr="00EF4F3E">
        <w:rPr>
          <w:rFonts w:ascii="Times New Roman" w:eastAsia="Times New Roman" w:hAnsi="Times New Roman" w:cs="Times New Roman"/>
          <w:kern w:val="0"/>
          <w:sz w:val="28"/>
          <w:szCs w:val="28"/>
          <w:lang w:eastAsia="en-GB"/>
          <w14:ligatures w14:val="none"/>
        </w:rPr>
        <w:t>. DIANE Publishing.</w:t>
      </w:r>
    </w:p>
    <w:p w14:paraId="7692802C"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Levitt, S. D., &amp; Venkatesh, S. A. (2000). An economic analysis of a drug-selling gang's finances. </w:t>
      </w:r>
      <w:r w:rsidRPr="00EF4F3E">
        <w:rPr>
          <w:rFonts w:ascii="Times New Roman" w:eastAsia="Times New Roman" w:hAnsi="Times New Roman" w:cs="Times New Roman"/>
          <w:i/>
          <w:iCs/>
          <w:kern w:val="0"/>
          <w:sz w:val="28"/>
          <w:szCs w:val="28"/>
          <w:lang w:eastAsia="en-GB"/>
          <w14:ligatures w14:val="none"/>
        </w:rPr>
        <w:t>The Quarterly Journal of Economics</w:t>
      </w:r>
      <w:r w:rsidRPr="00EF4F3E">
        <w:rPr>
          <w:rFonts w:ascii="Times New Roman" w:eastAsia="Times New Roman" w:hAnsi="Times New Roman" w:cs="Times New Roman"/>
          <w:kern w:val="0"/>
          <w:sz w:val="28"/>
          <w:szCs w:val="28"/>
          <w:lang w:eastAsia="en-GB"/>
          <w14:ligatures w14:val="none"/>
        </w:rPr>
        <w:t>, 115(3), 755-789.</w:t>
      </w:r>
    </w:p>
    <w:p w14:paraId="6D4C12F0"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EF4F3E">
        <w:rPr>
          <w:rFonts w:ascii="Times New Roman" w:eastAsia="Times New Roman" w:hAnsi="Times New Roman" w:cs="Times New Roman"/>
          <w:kern w:val="0"/>
          <w:sz w:val="28"/>
          <w:szCs w:val="28"/>
          <w:lang w:eastAsia="en-GB"/>
          <w14:ligatures w14:val="none"/>
        </w:rPr>
        <w:t>Morselli</w:t>
      </w:r>
      <w:proofErr w:type="spellEnd"/>
      <w:r w:rsidRPr="00EF4F3E">
        <w:rPr>
          <w:rFonts w:ascii="Times New Roman" w:eastAsia="Times New Roman" w:hAnsi="Times New Roman" w:cs="Times New Roman"/>
          <w:kern w:val="0"/>
          <w:sz w:val="28"/>
          <w:szCs w:val="28"/>
          <w:lang w:eastAsia="en-GB"/>
          <w14:ligatures w14:val="none"/>
        </w:rPr>
        <w:t xml:space="preserve">, C., Turcotte, M., &amp; Tenti, V. (2010). The mobility of criminal groups. </w:t>
      </w:r>
      <w:r w:rsidRPr="00EF4F3E">
        <w:rPr>
          <w:rFonts w:ascii="Times New Roman" w:eastAsia="Times New Roman" w:hAnsi="Times New Roman" w:cs="Times New Roman"/>
          <w:i/>
          <w:iCs/>
          <w:kern w:val="0"/>
          <w:sz w:val="28"/>
          <w:szCs w:val="28"/>
          <w:lang w:eastAsia="en-GB"/>
          <w14:ligatures w14:val="none"/>
        </w:rPr>
        <w:t>Global Crime</w:t>
      </w:r>
      <w:r w:rsidRPr="00EF4F3E">
        <w:rPr>
          <w:rFonts w:ascii="Times New Roman" w:eastAsia="Times New Roman" w:hAnsi="Times New Roman" w:cs="Times New Roman"/>
          <w:kern w:val="0"/>
          <w:sz w:val="28"/>
          <w:szCs w:val="28"/>
          <w:lang w:eastAsia="en-GB"/>
          <w14:ligatures w14:val="none"/>
        </w:rPr>
        <w:t>, 11(4), 412-431.</w:t>
      </w:r>
    </w:p>
    <w:p w14:paraId="1A7F843D"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lastRenderedPageBreak/>
        <w:t xml:space="preserve">Ratcliffe, J. H. (2008). </w:t>
      </w:r>
      <w:r w:rsidRPr="00EF4F3E">
        <w:rPr>
          <w:rFonts w:ascii="Times New Roman" w:eastAsia="Times New Roman" w:hAnsi="Times New Roman" w:cs="Times New Roman"/>
          <w:i/>
          <w:iCs/>
          <w:kern w:val="0"/>
          <w:sz w:val="28"/>
          <w:szCs w:val="28"/>
          <w:lang w:eastAsia="en-GB"/>
          <w14:ligatures w14:val="none"/>
        </w:rPr>
        <w:t>Intelligence-led policing</w:t>
      </w:r>
      <w:r w:rsidRPr="00EF4F3E">
        <w:rPr>
          <w:rFonts w:ascii="Times New Roman" w:eastAsia="Times New Roman" w:hAnsi="Times New Roman" w:cs="Times New Roman"/>
          <w:kern w:val="0"/>
          <w:sz w:val="28"/>
          <w:szCs w:val="28"/>
          <w:lang w:eastAsia="en-GB"/>
          <w14:ligatures w14:val="none"/>
        </w:rPr>
        <w:t>. Routledge.</w:t>
      </w:r>
    </w:p>
    <w:p w14:paraId="2900E62A"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Shelley, L. (2010). </w:t>
      </w:r>
      <w:r w:rsidRPr="00EF4F3E">
        <w:rPr>
          <w:rFonts w:ascii="Times New Roman" w:eastAsia="Times New Roman" w:hAnsi="Times New Roman" w:cs="Times New Roman"/>
          <w:i/>
          <w:iCs/>
          <w:kern w:val="0"/>
          <w:sz w:val="28"/>
          <w:szCs w:val="28"/>
          <w:lang w:eastAsia="en-GB"/>
          <w14:ligatures w14:val="none"/>
        </w:rPr>
        <w:t>Human trafficking: A global perspective</w:t>
      </w:r>
      <w:r w:rsidRPr="00EF4F3E">
        <w:rPr>
          <w:rFonts w:ascii="Times New Roman" w:eastAsia="Times New Roman" w:hAnsi="Times New Roman" w:cs="Times New Roman"/>
          <w:kern w:val="0"/>
          <w:sz w:val="28"/>
          <w:szCs w:val="28"/>
          <w:lang w:eastAsia="en-GB"/>
          <w14:ligatures w14:val="none"/>
        </w:rPr>
        <w:t>. Cambridge University Press.</w:t>
      </w:r>
    </w:p>
    <w:p w14:paraId="228A901C"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Skarbek, D. (2014). </w:t>
      </w:r>
      <w:r w:rsidRPr="00EF4F3E">
        <w:rPr>
          <w:rFonts w:ascii="Times New Roman" w:eastAsia="Times New Roman" w:hAnsi="Times New Roman" w:cs="Times New Roman"/>
          <w:i/>
          <w:iCs/>
          <w:kern w:val="0"/>
          <w:sz w:val="28"/>
          <w:szCs w:val="28"/>
          <w:lang w:eastAsia="en-GB"/>
          <w14:ligatures w14:val="none"/>
        </w:rPr>
        <w:t>The social order of the underworld: How prison gangs govern the American penal system</w:t>
      </w:r>
      <w:r w:rsidRPr="00EF4F3E">
        <w:rPr>
          <w:rFonts w:ascii="Times New Roman" w:eastAsia="Times New Roman" w:hAnsi="Times New Roman" w:cs="Times New Roman"/>
          <w:kern w:val="0"/>
          <w:sz w:val="28"/>
          <w:szCs w:val="28"/>
          <w:lang w:eastAsia="en-GB"/>
          <w14:ligatures w14:val="none"/>
        </w:rPr>
        <w:t>. Oxford University Press.</w:t>
      </w:r>
    </w:p>
    <w:p w14:paraId="38C73426" w14:textId="77777777" w:rsidR="00C220B0" w:rsidRPr="00EF4F3E" w:rsidRDefault="00C220B0" w:rsidP="00C220B0">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EF4F3E">
        <w:rPr>
          <w:rFonts w:ascii="Times New Roman" w:eastAsia="Times New Roman" w:hAnsi="Times New Roman" w:cs="Times New Roman"/>
          <w:kern w:val="0"/>
          <w:sz w:val="28"/>
          <w:szCs w:val="28"/>
          <w:lang w:eastAsia="en-GB"/>
          <w14:ligatures w14:val="none"/>
        </w:rPr>
        <w:t xml:space="preserve">United Nations Office on Drugs and Crime (UNODC). (2021). </w:t>
      </w:r>
      <w:r w:rsidRPr="00EF4F3E">
        <w:rPr>
          <w:rFonts w:ascii="Times New Roman" w:eastAsia="Times New Roman" w:hAnsi="Times New Roman" w:cs="Times New Roman"/>
          <w:i/>
          <w:iCs/>
          <w:kern w:val="0"/>
          <w:sz w:val="28"/>
          <w:szCs w:val="28"/>
          <w:lang w:eastAsia="en-GB"/>
          <w14:ligatures w14:val="none"/>
        </w:rPr>
        <w:t>World drug report 2021</w:t>
      </w:r>
      <w:r w:rsidRPr="00EF4F3E">
        <w:rPr>
          <w:rFonts w:ascii="Times New Roman" w:eastAsia="Times New Roman" w:hAnsi="Times New Roman" w:cs="Times New Roman"/>
          <w:kern w:val="0"/>
          <w:sz w:val="28"/>
          <w:szCs w:val="28"/>
          <w:lang w:eastAsia="en-GB"/>
          <w14:ligatures w14:val="none"/>
        </w:rPr>
        <w:t>. UNODC.</w:t>
      </w:r>
    </w:p>
    <w:p w14:paraId="739E8B27" w14:textId="77777777" w:rsidR="00C220B0" w:rsidRDefault="00C220B0" w:rsidP="001B6682">
      <w:pPr>
        <w:rPr>
          <w:rFonts w:ascii="Times New Roman" w:hAnsi="Times New Roman" w:cs="Times New Roman"/>
          <w:sz w:val="28"/>
          <w:szCs w:val="28"/>
        </w:rPr>
      </w:pPr>
    </w:p>
    <w:p w14:paraId="42ED4DFD" w14:textId="77777777" w:rsidR="00C220B0" w:rsidRDefault="00C220B0" w:rsidP="001B6682">
      <w:pPr>
        <w:rPr>
          <w:rFonts w:ascii="Times New Roman" w:hAnsi="Times New Roman" w:cs="Times New Roman"/>
          <w:sz w:val="28"/>
          <w:szCs w:val="28"/>
        </w:rPr>
      </w:pPr>
    </w:p>
    <w:p w14:paraId="34DC98C3" w14:textId="77777777" w:rsidR="00C220B0" w:rsidRDefault="00C220B0" w:rsidP="001B6682">
      <w:pPr>
        <w:rPr>
          <w:rFonts w:ascii="Times New Roman" w:hAnsi="Times New Roman" w:cs="Times New Roman"/>
          <w:sz w:val="28"/>
          <w:szCs w:val="28"/>
        </w:rPr>
      </w:pPr>
    </w:p>
    <w:p w14:paraId="7BE039E4" w14:textId="77777777" w:rsidR="00C220B0" w:rsidRDefault="00C220B0" w:rsidP="001B6682">
      <w:pPr>
        <w:rPr>
          <w:rFonts w:ascii="Times New Roman" w:hAnsi="Times New Roman" w:cs="Times New Roman"/>
          <w:sz w:val="28"/>
          <w:szCs w:val="28"/>
        </w:rPr>
      </w:pPr>
    </w:p>
    <w:p w14:paraId="0D8F1B50" w14:textId="77777777" w:rsidR="00C220B0" w:rsidRDefault="00C220B0" w:rsidP="001B6682">
      <w:pPr>
        <w:rPr>
          <w:rFonts w:ascii="Times New Roman" w:hAnsi="Times New Roman" w:cs="Times New Roman"/>
          <w:sz w:val="28"/>
          <w:szCs w:val="28"/>
        </w:rPr>
      </w:pPr>
    </w:p>
    <w:p w14:paraId="0CC716DB" w14:textId="77777777" w:rsidR="00C220B0" w:rsidRDefault="00C220B0" w:rsidP="001B6682">
      <w:pPr>
        <w:rPr>
          <w:rFonts w:ascii="Times New Roman" w:hAnsi="Times New Roman" w:cs="Times New Roman"/>
          <w:sz w:val="28"/>
          <w:szCs w:val="28"/>
        </w:rPr>
      </w:pPr>
    </w:p>
    <w:p w14:paraId="27CFF9DE" w14:textId="77777777" w:rsidR="00C220B0" w:rsidRDefault="00C220B0" w:rsidP="001B6682">
      <w:pPr>
        <w:rPr>
          <w:rFonts w:ascii="Times New Roman" w:hAnsi="Times New Roman" w:cs="Times New Roman"/>
          <w:sz w:val="28"/>
          <w:szCs w:val="28"/>
        </w:rPr>
      </w:pPr>
    </w:p>
    <w:p w14:paraId="66A7DD43" w14:textId="77777777" w:rsidR="00C220B0" w:rsidRDefault="00C220B0" w:rsidP="001B6682">
      <w:pPr>
        <w:rPr>
          <w:rFonts w:ascii="Times New Roman" w:hAnsi="Times New Roman" w:cs="Times New Roman"/>
          <w:sz w:val="28"/>
          <w:szCs w:val="28"/>
        </w:rPr>
      </w:pPr>
    </w:p>
    <w:p w14:paraId="46BE6684" w14:textId="77777777" w:rsidR="00C220B0" w:rsidRDefault="00C220B0" w:rsidP="001B6682">
      <w:pPr>
        <w:rPr>
          <w:rFonts w:ascii="Times New Roman" w:hAnsi="Times New Roman" w:cs="Times New Roman"/>
          <w:sz w:val="28"/>
          <w:szCs w:val="28"/>
        </w:rPr>
      </w:pPr>
    </w:p>
    <w:p w14:paraId="04F70D94" w14:textId="77777777" w:rsidR="00C220B0" w:rsidRDefault="00C220B0" w:rsidP="001B6682">
      <w:pPr>
        <w:rPr>
          <w:rFonts w:ascii="Times New Roman" w:hAnsi="Times New Roman" w:cs="Times New Roman"/>
          <w:sz w:val="28"/>
          <w:szCs w:val="28"/>
        </w:rPr>
      </w:pPr>
    </w:p>
    <w:p w14:paraId="1F922707" w14:textId="77777777" w:rsidR="00C220B0" w:rsidRDefault="00C220B0" w:rsidP="001B6682">
      <w:pPr>
        <w:rPr>
          <w:rFonts w:ascii="Times New Roman" w:hAnsi="Times New Roman" w:cs="Times New Roman"/>
          <w:sz w:val="28"/>
          <w:szCs w:val="28"/>
        </w:rPr>
      </w:pPr>
    </w:p>
    <w:p w14:paraId="469E87E1" w14:textId="77777777" w:rsidR="00C220B0" w:rsidRDefault="00C220B0" w:rsidP="001B6682">
      <w:pPr>
        <w:rPr>
          <w:rFonts w:ascii="Times New Roman" w:hAnsi="Times New Roman" w:cs="Times New Roman"/>
          <w:sz w:val="28"/>
          <w:szCs w:val="28"/>
        </w:rPr>
      </w:pPr>
    </w:p>
    <w:p w14:paraId="1B321A5E" w14:textId="77777777" w:rsidR="00C220B0" w:rsidRDefault="00C220B0" w:rsidP="001B6682">
      <w:pPr>
        <w:rPr>
          <w:rFonts w:ascii="Times New Roman" w:hAnsi="Times New Roman" w:cs="Times New Roman"/>
          <w:sz w:val="28"/>
          <w:szCs w:val="28"/>
        </w:rPr>
      </w:pPr>
    </w:p>
    <w:p w14:paraId="2FE44542" w14:textId="77777777" w:rsidR="00C220B0" w:rsidRDefault="00C220B0" w:rsidP="001B6682">
      <w:pPr>
        <w:rPr>
          <w:rFonts w:ascii="Times New Roman" w:hAnsi="Times New Roman" w:cs="Times New Roman"/>
          <w:sz w:val="28"/>
          <w:szCs w:val="28"/>
        </w:rPr>
      </w:pPr>
    </w:p>
    <w:p w14:paraId="6BDF19AB" w14:textId="77777777" w:rsidR="00C220B0" w:rsidRDefault="00C220B0" w:rsidP="001B6682">
      <w:pPr>
        <w:rPr>
          <w:rFonts w:ascii="Times New Roman" w:hAnsi="Times New Roman" w:cs="Times New Roman"/>
          <w:sz w:val="28"/>
          <w:szCs w:val="28"/>
        </w:rPr>
      </w:pPr>
    </w:p>
    <w:p w14:paraId="405EDB79" w14:textId="77777777" w:rsidR="00C220B0" w:rsidRDefault="00C220B0" w:rsidP="001B6682">
      <w:pPr>
        <w:rPr>
          <w:rFonts w:ascii="Times New Roman" w:hAnsi="Times New Roman" w:cs="Times New Roman"/>
          <w:sz w:val="28"/>
          <w:szCs w:val="28"/>
        </w:rPr>
      </w:pPr>
    </w:p>
    <w:p w14:paraId="036D8197" w14:textId="77777777" w:rsidR="00C220B0" w:rsidRDefault="00C220B0" w:rsidP="001B6682">
      <w:pPr>
        <w:rPr>
          <w:rFonts w:ascii="Times New Roman" w:hAnsi="Times New Roman" w:cs="Times New Roman"/>
          <w:sz w:val="28"/>
          <w:szCs w:val="28"/>
        </w:rPr>
      </w:pPr>
    </w:p>
    <w:p w14:paraId="7E19F5FC" w14:textId="77777777" w:rsidR="00C220B0" w:rsidRDefault="00C220B0" w:rsidP="001B6682">
      <w:pPr>
        <w:rPr>
          <w:rFonts w:ascii="Times New Roman" w:hAnsi="Times New Roman" w:cs="Times New Roman"/>
          <w:sz w:val="28"/>
          <w:szCs w:val="28"/>
        </w:rPr>
      </w:pPr>
    </w:p>
    <w:p w14:paraId="7EEE12FA" w14:textId="77777777" w:rsidR="00C220B0" w:rsidRDefault="00C220B0" w:rsidP="001B6682">
      <w:pPr>
        <w:rPr>
          <w:rFonts w:ascii="Times New Roman" w:hAnsi="Times New Roman" w:cs="Times New Roman"/>
          <w:sz w:val="28"/>
          <w:szCs w:val="28"/>
        </w:rPr>
      </w:pPr>
    </w:p>
    <w:p w14:paraId="527449D2" w14:textId="77777777" w:rsidR="00C220B0" w:rsidRDefault="00C220B0" w:rsidP="001B6682">
      <w:pPr>
        <w:rPr>
          <w:rFonts w:ascii="Times New Roman" w:hAnsi="Times New Roman" w:cs="Times New Roman"/>
          <w:sz w:val="28"/>
          <w:szCs w:val="28"/>
        </w:rPr>
      </w:pPr>
    </w:p>
    <w:p w14:paraId="4C4082BC" w14:textId="0E5AF4F6" w:rsidR="00696665" w:rsidRPr="00696665" w:rsidRDefault="00C220B0" w:rsidP="001B6682">
      <w:pPr>
        <w:rPr>
          <w:rFonts w:ascii="Times New Roman" w:hAnsi="Times New Roman" w:cs="Times New Roman"/>
          <w:sz w:val="28"/>
          <w:szCs w:val="28"/>
        </w:rPr>
      </w:pPr>
      <w:r>
        <w:rPr>
          <w:rFonts w:ascii="Times New Roman" w:hAnsi="Times New Roman" w:cs="Times New Roman"/>
          <w:sz w:val="28"/>
          <w:szCs w:val="28"/>
        </w:rPr>
        <w:lastRenderedPageBreak/>
        <w:t>How effective is early intervention an effective means of preventing young people from offending or re-offending?</w:t>
      </w:r>
    </w:p>
    <w:p w14:paraId="74559CEF" w14:textId="77777777" w:rsidR="00C220B0" w:rsidRDefault="00C220B0" w:rsidP="00696665">
      <w:pPr>
        <w:rPr>
          <w:rFonts w:ascii="Times New Roman" w:hAnsi="Times New Roman" w:cs="Times New Roman"/>
          <w:sz w:val="28"/>
          <w:szCs w:val="28"/>
        </w:rPr>
      </w:pPr>
    </w:p>
    <w:p w14:paraId="3613B9D0" w14:textId="22F6E255"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Early intervention has been widely acknowledged and accepted to play an important role in preventing young people from engaging in criminal activity. The aim of early intervention is to tackle the root causes that lead to criminal behaviour in young people with the goal of guiding vulnerable, young individuals away from getting involved in criminal behaviour and ultimately reducing crime rates and creating positive outcomes for society. This essay looks into how effective the intervention programs are by examining academic studies and </w:t>
      </w:r>
      <w:proofErr w:type="gramStart"/>
      <w:r w:rsidRPr="00696665">
        <w:rPr>
          <w:rFonts w:ascii="Times New Roman" w:hAnsi="Times New Roman" w:cs="Times New Roman"/>
          <w:sz w:val="28"/>
          <w:szCs w:val="28"/>
        </w:rPr>
        <w:t>real life</w:t>
      </w:r>
      <w:proofErr w:type="gramEnd"/>
      <w:r w:rsidRPr="00696665">
        <w:rPr>
          <w:rFonts w:ascii="Times New Roman" w:hAnsi="Times New Roman" w:cs="Times New Roman"/>
          <w:sz w:val="28"/>
          <w:szCs w:val="28"/>
        </w:rPr>
        <w:t xml:space="preserve"> examples to show how they impact on youth involvement in crime and repeat offending.</w:t>
      </w:r>
    </w:p>
    <w:p w14:paraId="2DCC3FAF" w14:textId="77777777" w:rsidR="00696665" w:rsidRPr="00696665" w:rsidRDefault="00696665" w:rsidP="00696665">
      <w:pPr>
        <w:rPr>
          <w:rFonts w:ascii="Times New Roman" w:hAnsi="Times New Roman" w:cs="Times New Roman"/>
          <w:sz w:val="28"/>
          <w:szCs w:val="28"/>
        </w:rPr>
      </w:pPr>
    </w:p>
    <w:p w14:paraId="0FB3F9F0"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Early intervention involves a variety of approaches aimed at recognising and addressing factors that put people at risk of committing crimes. These approaches may involve education, family therapy or counselling, mentoring and further </w:t>
      </w:r>
      <w:proofErr w:type="gramStart"/>
      <w:r w:rsidRPr="00696665">
        <w:rPr>
          <w:rFonts w:ascii="Times New Roman" w:hAnsi="Times New Roman" w:cs="Times New Roman"/>
          <w:sz w:val="28"/>
          <w:szCs w:val="28"/>
        </w:rPr>
        <w:t>community based</w:t>
      </w:r>
      <w:proofErr w:type="gramEnd"/>
      <w:r w:rsidRPr="00696665">
        <w:rPr>
          <w:rFonts w:ascii="Times New Roman" w:hAnsi="Times New Roman" w:cs="Times New Roman"/>
          <w:sz w:val="28"/>
          <w:szCs w:val="28"/>
        </w:rPr>
        <w:t xml:space="preserve"> projects. The idea behind these interventions is that by intervening at an early stage there is potential to change the course or behaviour for at risk young people and therefore steering them towards more constructive and positive life paths.</w:t>
      </w:r>
    </w:p>
    <w:p w14:paraId="06882C1B" w14:textId="77777777" w:rsidR="00696665" w:rsidRPr="00696665" w:rsidRDefault="00696665" w:rsidP="00696665">
      <w:pPr>
        <w:rPr>
          <w:rFonts w:ascii="Times New Roman" w:hAnsi="Times New Roman" w:cs="Times New Roman"/>
          <w:sz w:val="28"/>
          <w:szCs w:val="28"/>
        </w:rPr>
      </w:pPr>
    </w:p>
    <w:p w14:paraId="3110B8F6"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The theoretical basis of early intervention lies in the risk and protective factors framework. This theory highlights elements like low academic performance, family issues and association with delinquent peers, as factors that increase the chances of youths engaging in criminal behaviour (Farrington, 2003). </w:t>
      </w:r>
    </w:p>
    <w:p w14:paraId="69949533"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Conversely, there are certain factors that offer protection for vulnerable </w:t>
      </w:r>
      <w:proofErr w:type="spellStart"/>
      <w:r w:rsidRPr="00696665">
        <w:rPr>
          <w:rFonts w:ascii="Times New Roman" w:hAnsi="Times New Roman" w:cs="Times New Roman"/>
          <w:sz w:val="28"/>
          <w:szCs w:val="28"/>
        </w:rPr>
        <w:t>indivuals</w:t>
      </w:r>
      <w:proofErr w:type="spellEnd"/>
      <w:r w:rsidRPr="00696665">
        <w:rPr>
          <w:rFonts w:ascii="Times New Roman" w:hAnsi="Times New Roman" w:cs="Times New Roman"/>
          <w:sz w:val="28"/>
          <w:szCs w:val="28"/>
        </w:rPr>
        <w:t>, like constructive family connections, positive school experiences and support from the local community can help reduce these risks and increase resilience (Hawkins et al. 2000).</w:t>
      </w:r>
    </w:p>
    <w:p w14:paraId="042CAB95" w14:textId="77777777" w:rsidR="00696665" w:rsidRPr="00696665" w:rsidRDefault="00696665" w:rsidP="00696665">
      <w:pPr>
        <w:rPr>
          <w:rFonts w:ascii="Times New Roman" w:hAnsi="Times New Roman" w:cs="Times New Roman"/>
          <w:sz w:val="28"/>
          <w:szCs w:val="28"/>
        </w:rPr>
      </w:pPr>
    </w:p>
    <w:p w14:paraId="40BF35BE"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Several research studies have shown the early intervention programs to be effective in decreasing criminal behaviour and subsequent reoffending. For example, a study conducted by Farrington and Welsh (2007) revealed that early intervention programs aimed towards at risk youths significantly lowered instances of criminality. The researchers assessed and reviewed the intervention initiatives and found that those incorporating elements such as parental advice, </w:t>
      </w:r>
      <w:r w:rsidRPr="00696665">
        <w:rPr>
          <w:rFonts w:ascii="Times New Roman" w:hAnsi="Times New Roman" w:cs="Times New Roman"/>
          <w:sz w:val="28"/>
          <w:szCs w:val="28"/>
        </w:rPr>
        <w:lastRenderedPageBreak/>
        <w:t>cognitive behavioural therapy and educational support were particularly successful.</w:t>
      </w:r>
    </w:p>
    <w:p w14:paraId="027D7FDC" w14:textId="77777777" w:rsidR="00696665" w:rsidRPr="00696665" w:rsidRDefault="00696665" w:rsidP="00696665">
      <w:pPr>
        <w:rPr>
          <w:rFonts w:ascii="Times New Roman" w:hAnsi="Times New Roman" w:cs="Times New Roman"/>
          <w:sz w:val="28"/>
          <w:szCs w:val="28"/>
        </w:rPr>
      </w:pPr>
    </w:p>
    <w:p w14:paraId="239ED97D"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Additionally, a meta-analysis of several studies conducted by Piquero et al. (2009) showed that early intervention programs can lead to a substantial decrease in reoffending rates among young offenders. This analysis involved several types of interventions including programs aimed at helping the family, </w:t>
      </w:r>
      <w:proofErr w:type="gramStart"/>
      <w:r w:rsidRPr="00696665">
        <w:rPr>
          <w:rFonts w:ascii="Times New Roman" w:hAnsi="Times New Roman" w:cs="Times New Roman"/>
          <w:sz w:val="28"/>
          <w:szCs w:val="28"/>
        </w:rPr>
        <w:t>school based</w:t>
      </w:r>
      <w:proofErr w:type="gramEnd"/>
      <w:r w:rsidRPr="00696665">
        <w:rPr>
          <w:rFonts w:ascii="Times New Roman" w:hAnsi="Times New Roman" w:cs="Times New Roman"/>
          <w:sz w:val="28"/>
          <w:szCs w:val="28"/>
        </w:rPr>
        <w:t xml:space="preserve"> projects and local community services emphasising the wide reaching applicability and efficacy of early intervention initiatives.</w:t>
      </w:r>
    </w:p>
    <w:p w14:paraId="200A5D97" w14:textId="77777777" w:rsidR="00696665" w:rsidRPr="00696665" w:rsidRDefault="00696665" w:rsidP="00696665">
      <w:pPr>
        <w:rPr>
          <w:rFonts w:ascii="Times New Roman" w:hAnsi="Times New Roman" w:cs="Times New Roman"/>
          <w:sz w:val="28"/>
          <w:szCs w:val="28"/>
        </w:rPr>
      </w:pPr>
    </w:p>
    <w:p w14:paraId="48B537C8"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Cas Study 1: The Perry Preschool Project</w:t>
      </w:r>
    </w:p>
    <w:p w14:paraId="6B29C9E5"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The Perry Preschool Project is a well-known early intervention initiative that has been extensively researched for its lasting impact on youth outcomes. The project was conducted in the 1960s. The project involved delivering quality pre-school education to disadvantaged African American children. The project involved a highly structured school curriculum, frequent home visits and active parental engagement (Schweinhart et al., 2005). </w:t>
      </w:r>
    </w:p>
    <w:p w14:paraId="3D335904" w14:textId="77777777" w:rsidR="00696665" w:rsidRPr="00696665" w:rsidRDefault="00696665" w:rsidP="00696665">
      <w:pPr>
        <w:rPr>
          <w:rFonts w:ascii="Times New Roman" w:hAnsi="Times New Roman" w:cs="Times New Roman"/>
          <w:sz w:val="28"/>
          <w:szCs w:val="28"/>
        </w:rPr>
      </w:pPr>
    </w:p>
    <w:p w14:paraId="75EACDFC"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Further studies that tracked the Perry Preschool Project over time have demonstrated that individuals who took part in the project had far fewer instances of being involved in criminal activity compared to a control group. By the age of 40 those involved in the study were less likely to have been arrested for any violent crimes, criminal damage or drug related offenses (Schweinhart et al., 2005). In addition to this, the participants showed higher levels of educational attainment, evidence of higher earnings and greater overall life fulfilment. This highlights the lasting, </w:t>
      </w:r>
      <w:proofErr w:type="gramStart"/>
      <w:r w:rsidRPr="00696665">
        <w:rPr>
          <w:rFonts w:ascii="Times New Roman" w:hAnsi="Times New Roman" w:cs="Times New Roman"/>
          <w:sz w:val="28"/>
          <w:szCs w:val="28"/>
        </w:rPr>
        <w:t>longer term</w:t>
      </w:r>
      <w:proofErr w:type="gramEnd"/>
      <w:r w:rsidRPr="00696665">
        <w:rPr>
          <w:rFonts w:ascii="Times New Roman" w:hAnsi="Times New Roman" w:cs="Times New Roman"/>
          <w:sz w:val="28"/>
          <w:szCs w:val="28"/>
        </w:rPr>
        <w:t xml:space="preserve"> benefits of early intervention initiatives.</w:t>
      </w:r>
    </w:p>
    <w:p w14:paraId="4BED2D17" w14:textId="77777777" w:rsidR="00696665" w:rsidRPr="00696665" w:rsidRDefault="00696665" w:rsidP="00696665">
      <w:pPr>
        <w:rPr>
          <w:rFonts w:ascii="Times New Roman" w:hAnsi="Times New Roman" w:cs="Times New Roman"/>
          <w:sz w:val="28"/>
          <w:szCs w:val="28"/>
        </w:rPr>
      </w:pPr>
    </w:p>
    <w:p w14:paraId="64E79E99"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Case Study 2: The Cambridge Somerville Youth Study</w:t>
      </w:r>
    </w:p>
    <w:p w14:paraId="24BC4C38"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An interesting case study is the Cambridge Somerville Youth Study which started in the 1930s. It is reported to be one of the earliest interventions aimed at vulnerable young people. This study focused on providing mentoring, recreational opportunities and family support to boys identified as being at risk of becoming involved in criminal behaviour (McCord, 1978).</w:t>
      </w:r>
    </w:p>
    <w:p w14:paraId="66C4C4C0" w14:textId="77777777" w:rsidR="00696665" w:rsidRPr="00696665" w:rsidRDefault="00696665" w:rsidP="00696665">
      <w:pPr>
        <w:rPr>
          <w:rFonts w:ascii="Times New Roman" w:hAnsi="Times New Roman" w:cs="Times New Roman"/>
          <w:sz w:val="28"/>
          <w:szCs w:val="28"/>
        </w:rPr>
      </w:pPr>
    </w:p>
    <w:p w14:paraId="25BCF3BC"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lastRenderedPageBreak/>
        <w:t xml:space="preserve">While the initial findings from the Cambridge Somerville Youth Study suggested some positive impacts; follow up assessments revealed more mixed results. A reassessment of the study by McCord (2003) revealed that some participants exhibited higher rates of criminal behaviour than the control group, especially those who received inconsistent or </w:t>
      </w:r>
      <w:proofErr w:type="gramStart"/>
      <w:r w:rsidRPr="00696665">
        <w:rPr>
          <w:rFonts w:ascii="Times New Roman" w:hAnsi="Times New Roman" w:cs="Times New Roman"/>
          <w:sz w:val="28"/>
          <w:szCs w:val="28"/>
        </w:rPr>
        <w:t>low quality</w:t>
      </w:r>
      <w:proofErr w:type="gramEnd"/>
      <w:r w:rsidRPr="00696665">
        <w:rPr>
          <w:rFonts w:ascii="Times New Roman" w:hAnsi="Times New Roman" w:cs="Times New Roman"/>
          <w:sz w:val="28"/>
          <w:szCs w:val="28"/>
        </w:rPr>
        <w:t xml:space="preserve"> mentoring.</w:t>
      </w:r>
    </w:p>
    <w:p w14:paraId="5CDF420C"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This case study emphasises how the quality and consistency of the initiatives and programs play an important role in determining the success of the early intervention efforts.</w:t>
      </w:r>
    </w:p>
    <w:p w14:paraId="7BF59C86" w14:textId="77777777" w:rsidR="00696665" w:rsidRPr="00696665" w:rsidRDefault="00696665" w:rsidP="00696665">
      <w:pPr>
        <w:rPr>
          <w:rFonts w:ascii="Times New Roman" w:hAnsi="Times New Roman" w:cs="Times New Roman"/>
          <w:sz w:val="28"/>
          <w:szCs w:val="28"/>
        </w:rPr>
      </w:pPr>
    </w:p>
    <w:p w14:paraId="1882BC8A"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While there is encouraging evidence supporting the benefits of early intervention initiatives, there are various challenges that need to be addressed to maximise the impact. One key challenge is accurately identifying at risk and vulnerable young people to ensure that those who do require support are not overlooked, while also avoiding including individuals who may not necessarily benefit from the early intervention (</w:t>
      </w:r>
      <w:proofErr w:type="spellStart"/>
      <w:r w:rsidRPr="00696665">
        <w:rPr>
          <w:rFonts w:ascii="Times New Roman" w:hAnsi="Times New Roman" w:cs="Times New Roman"/>
          <w:sz w:val="28"/>
          <w:szCs w:val="28"/>
        </w:rPr>
        <w:t>Lösel</w:t>
      </w:r>
      <w:proofErr w:type="spellEnd"/>
      <w:r w:rsidRPr="00696665">
        <w:rPr>
          <w:rFonts w:ascii="Times New Roman" w:hAnsi="Times New Roman" w:cs="Times New Roman"/>
          <w:sz w:val="28"/>
          <w:szCs w:val="28"/>
        </w:rPr>
        <w:t xml:space="preserve"> and Farrington 2012).</w:t>
      </w:r>
    </w:p>
    <w:p w14:paraId="6A87B759" w14:textId="77777777" w:rsidR="00696665" w:rsidRPr="00696665" w:rsidRDefault="00696665" w:rsidP="00696665">
      <w:pPr>
        <w:rPr>
          <w:rFonts w:ascii="Times New Roman" w:hAnsi="Times New Roman" w:cs="Times New Roman"/>
          <w:sz w:val="28"/>
          <w:szCs w:val="28"/>
        </w:rPr>
      </w:pPr>
    </w:p>
    <w:p w14:paraId="7391BA87"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Furthermore, the successful implementation and sustainability of early intervention programs demand considerable resources such as funding, trained staff and community backing. It is essential for these programs to be culturally sensitive and tailored to meet the individual needs of the target population for them to be effective (Catalano et al., 2012).</w:t>
      </w:r>
    </w:p>
    <w:p w14:paraId="38ADCE25" w14:textId="77777777" w:rsidR="00696665" w:rsidRPr="00696665" w:rsidRDefault="00696665" w:rsidP="00696665">
      <w:pPr>
        <w:rPr>
          <w:rFonts w:ascii="Times New Roman" w:hAnsi="Times New Roman" w:cs="Times New Roman"/>
          <w:sz w:val="28"/>
          <w:szCs w:val="28"/>
        </w:rPr>
      </w:pPr>
    </w:p>
    <w:p w14:paraId="7ECA3A14"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The evidence that supports the intervention initiatives carries certain policy implications. Governments, both local and national, and policymakers should prioritise funding for these early intervention programs given their potential in reducing long term costs related to criminal involvement, social services and losses in productivity. By integrating the early intervention initiatives into existing education, health and social services it is possible to also broaden their impact and effectiveness.</w:t>
      </w:r>
    </w:p>
    <w:p w14:paraId="2F230CE6" w14:textId="77777777" w:rsidR="00696665" w:rsidRPr="00696665" w:rsidRDefault="00696665" w:rsidP="00696665">
      <w:pPr>
        <w:rPr>
          <w:rFonts w:ascii="Times New Roman" w:hAnsi="Times New Roman" w:cs="Times New Roman"/>
          <w:sz w:val="28"/>
          <w:szCs w:val="28"/>
        </w:rPr>
      </w:pPr>
    </w:p>
    <w:p w14:paraId="6EB2A24D"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Early intervention can be seen to help as a strategy in preventing young people from engaging in criminal behaviour or reoffending.</w:t>
      </w:r>
    </w:p>
    <w:p w14:paraId="56096081" w14:textId="77777777" w:rsidR="00696665" w:rsidRPr="00696665" w:rsidRDefault="00696665" w:rsidP="00696665">
      <w:pPr>
        <w:rPr>
          <w:rFonts w:ascii="Times New Roman" w:hAnsi="Times New Roman" w:cs="Times New Roman"/>
          <w:sz w:val="28"/>
          <w:szCs w:val="28"/>
        </w:rPr>
      </w:pPr>
      <w:r w:rsidRPr="00696665">
        <w:rPr>
          <w:rFonts w:ascii="Times New Roman" w:hAnsi="Times New Roman" w:cs="Times New Roman"/>
          <w:sz w:val="28"/>
          <w:szCs w:val="28"/>
        </w:rPr>
        <w:t xml:space="preserve">Academic research and </w:t>
      </w:r>
      <w:proofErr w:type="gramStart"/>
      <w:r w:rsidRPr="00696665">
        <w:rPr>
          <w:rFonts w:ascii="Times New Roman" w:hAnsi="Times New Roman" w:cs="Times New Roman"/>
          <w:sz w:val="28"/>
          <w:szCs w:val="28"/>
        </w:rPr>
        <w:t>real life</w:t>
      </w:r>
      <w:proofErr w:type="gramEnd"/>
      <w:r w:rsidRPr="00696665">
        <w:rPr>
          <w:rFonts w:ascii="Times New Roman" w:hAnsi="Times New Roman" w:cs="Times New Roman"/>
          <w:sz w:val="28"/>
          <w:szCs w:val="28"/>
        </w:rPr>
        <w:t xml:space="preserve"> examples like the Perry Preschool Project and the Cambridge Somerville Youth Study offer support to the lasting advantages of early intervention. Nevertheless, the actual effectiveness of these initiatives </w:t>
      </w:r>
      <w:r w:rsidRPr="00696665">
        <w:rPr>
          <w:rFonts w:ascii="Times New Roman" w:hAnsi="Times New Roman" w:cs="Times New Roman"/>
          <w:sz w:val="28"/>
          <w:szCs w:val="28"/>
        </w:rPr>
        <w:lastRenderedPageBreak/>
        <w:t xml:space="preserve">relies on identifying at risk young people accurately, maintaining high standards and ensuring there are always sufficient resources </w:t>
      </w:r>
      <w:proofErr w:type="gramStart"/>
      <w:r w:rsidRPr="00696665">
        <w:rPr>
          <w:rFonts w:ascii="Times New Roman" w:hAnsi="Times New Roman" w:cs="Times New Roman"/>
          <w:sz w:val="28"/>
          <w:szCs w:val="28"/>
        </w:rPr>
        <w:t>in order to</w:t>
      </w:r>
      <w:proofErr w:type="gramEnd"/>
      <w:r w:rsidRPr="00696665">
        <w:rPr>
          <w:rFonts w:ascii="Times New Roman" w:hAnsi="Times New Roman" w:cs="Times New Roman"/>
          <w:sz w:val="28"/>
          <w:szCs w:val="28"/>
        </w:rPr>
        <w:t xml:space="preserve"> be consistent. By tackling these challenges, policymakers can unlock the power of early intervention to build safer and more resilient communities.</w:t>
      </w:r>
    </w:p>
    <w:p w14:paraId="27E51DAD" w14:textId="77777777" w:rsidR="00C220B0" w:rsidRDefault="00C220B0" w:rsidP="00696665">
      <w:pPr>
        <w:rPr>
          <w:rFonts w:ascii="Times New Roman" w:hAnsi="Times New Roman" w:cs="Times New Roman"/>
          <w:sz w:val="28"/>
          <w:szCs w:val="28"/>
        </w:rPr>
      </w:pPr>
    </w:p>
    <w:p w14:paraId="40C80A82" w14:textId="16C1E7C5" w:rsidR="00696665" w:rsidRPr="00696665" w:rsidRDefault="00C220B0" w:rsidP="00696665">
      <w:pPr>
        <w:rPr>
          <w:rFonts w:ascii="Times New Roman" w:hAnsi="Times New Roman" w:cs="Times New Roman"/>
          <w:sz w:val="28"/>
          <w:szCs w:val="28"/>
        </w:rPr>
      </w:pPr>
      <w:r>
        <w:rPr>
          <w:rFonts w:ascii="Times New Roman" w:hAnsi="Times New Roman" w:cs="Times New Roman"/>
          <w:sz w:val="28"/>
          <w:szCs w:val="28"/>
        </w:rPr>
        <w:t xml:space="preserve">Word count: </w:t>
      </w:r>
      <w:r w:rsidR="00696665" w:rsidRPr="00696665">
        <w:rPr>
          <w:rFonts w:ascii="Times New Roman" w:hAnsi="Times New Roman" w:cs="Times New Roman"/>
          <w:sz w:val="28"/>
          <w:szCs w:val="28"/>
        </w:rPr>
        <w:t>971</w:t>
      </w:r>
    </w:p>
    <w:p w14:paraId="42A7D25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Catalano, R. F., Fagan, A. A., Gavin, L. E., Greenberg, M. T., Irwin Jr, C. E., Ross, D. A., &amp; Shek, D. T. (2012). Worldwide application of prevention science in adolescent health. </w:t>
      </w:r>
      <w:r w:rsidRPr="00696665">
        <w:rPr>
          <w:rFonts w:ascii="Times New Roman" w:eastAsia="Times New Roman" w:hAnsi="Times New Roman" w:cs="Times New Roman"/>
          <w:i/>
          <w:iCs/>
          <w:kern w:val="0"/>
          <w:sz w:val="28"/>
          <w:szCs w:val="28"/>
          <w:lang w:eastAsia="en-GB"/>
          <w14:ligatures w14:val="none"/>
        </w:rPr>
        <w:t>The Lancet</w:t>
      </w:r>
      <w:r w:rsidRPr="00696665">
        <w:rPr>
          <w:rFonts w:ascii="Times New Roman" w:eastAsia="Times New Roman" w:hAnsi="Times New Roman" w:cs="Times New Roman"/>
          <w:kern w:val="0"/>
          <w:sz w:val="28"/>
          <w:szCs w:val="28"/>
          <w:lang w:eastAsia="en-GB"/>
          <w14:ligatures w14:val="none"/>
        </w:rPr>
        <w:t>, 379(9826), 1653-1664.</w:t>
      </w:r>
    </w:p>
    <w:p w14:paraId="3B3C99C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Farrington, D. P. (2003). Developmental and life-course criminology: Key theoretical and empirical issues—The 2002 Sutherland Award Address. </w:t>
      </w:r>
      <w:r w:rsidRPr="00696665">
        <w:rPr>
          <w:rFonts w:ascii="Times New Roman" w:eastAsia="Times New Roman" w:hAnsi="Times New Roman" w:cs="Times New Roman"/>
          <w:i/>
          <w:iCs/>
          <w:kern w:val="0"/>
          <w:sz w:val="28"/>
          <w:szCs w:val="28"/>
          <w:lang w:eastAsia="en-GB"/>
          <w14:ligatures w14:val="none"/>
        </w:rPr>
        <w:t>Criminology</w:t>
      </w:r>
      <w:r w:rsidRPr="00696665">
        <w:rPr>
          <w:rFonts w:ascii="Times New Roman" w:eastAsia="Times New Roman" w:hAnsi="Times New Roman" w:cs="Times New Roman"/>
          <w:kern w:val="0"/>
          <w:sz w:val="28"/>
          <w:szCs w:val="28"/>
          <w:lang w:eastAsia="en-GB"/>
          <w14:ligatures w14:val="none"/>
        </w:rPr>
        <w:t>, 41(2), 221-225.</w:t>
      </w:r>
    </w:p>
    <w:p w14:paraId="1EE39EFD"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Farrington, D. P., &amp; Welsh, B. C. (2007). Saving children from a life of crime: Early risk factors and effective interventions. </w:t>
      </w:r>
      <w:r w:rsidRPr="00696665">
        <w:rPr>
          <w:rFonts w:ascii="Times New Roman" w:eastAsia="Times New Roman" w:hAnsi="Times New Roman" w:cs="Times New Roman"/>
          <w:i/>
          <w:iCs/>
          <w:kern w:val="0"/>
          <w:sz w:val="28"/>
          <w:szCs w:val="28"/>
          <w:lang w:eastAsia="en-GB"/>
          <w14:ligatures w14:val="none"/>
        </w:rPr>
        <w:t>Oxford University Press</w:t>
      </w:r>
      <w:r w:rsidRPr="00696665">
        <w:rPr>
          <w:rFonts w:ascii="Times New Roman" w:eastAsia="Times New Roman" w:hAnsi="Times New Roman" w:cs="Times New Roman"/>
          <w:kern w:val="0"/>
          <w:sz w:val="28"/>
          <w:szCs w:val="28"/>
          <w:lang w:eastAsia="en-GB"/>
          <w14:ligatures w14:val="none"/>
        </w:rPr>
        <w:t>.</w:t>
      </w:r>
    </w:p>
    <w:p w14:paraId="1D571EE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Hawkins, J. D., </w:t>
      </w:r>
      <w:proofErr w:type="spellStart"/>
      <w:r w:rsidRPr="00696665">
        <w:rPr>
          <w:rFonts w:ascii="Times New Roman" w:eastAsia="Times New Roman" w:hAnsi="Times New Roman" w:cs="Times New Roman"/>
          <w:kern w:val="0"/>
          <w:sz w:val="28"/>
          <w:szCs w:val="28"/>
          <w:lang w:eastAsia="en-GB"/>
          <w14:ligatures w14:val="none"/>
        </w:rPr>
        <w:t>Herrenkohl</w:t>
      </w:r>
      <w:proofErr w:type="spellEnd"/>
      <w:r w:rsidRPr="00696665">
        <w:rPr>
          <w:rFonts w:ascii="Times New Roman" w:eastAsia="Times New Roman" w:hAnsi="Times New Roman" w:cs="Times New Roman"/>
          <w:kern w:val="0"/>
          <w:sz w:val="28"/>
          <w:szCs w:val="28"/>
          <w:lang w:eastAsia="en-GB"/>
          <w14:ligatures w14:val="none"/>
        </w:rPr>
        <w:t xml:space="preserve">, T. I., Farrington, D. P., Brewer, D., Catalano, R. F., </w:t>
      </w:r>
      <w:proofErr w:type="spellStart"/>
      <w:r w:rsidRPr="00696665">
        <w:rPr>
          <w:rFonts w:ascii="Times New Roman" w:eastAsia="Times New Roman" w:hAnsi="Times New Roman" w:cs="Times New Roman"/>
          <w:kern w:val="0"/>
          <w:sz w:val="28"/>
          <w:szCs w:val="28"/>
          <w:lang w:eastAsia="en-GB"/>
          <w14:ligatures w14:val="none"/>
        </w:rPr>
        <w:t>Harachi</w:t>
      </w:r>
      <w:proofErr w:type="spellEnd"/>
      <w:r w:rsidRPr="00696665">
        <w:rPr>
          <w:rFonts w:ascii="Times New Roman" w:eastAsia="Times New Roman" w:hAnsi="Times New Roman" w:cs="Times New Roman"/>
          <w:kern w:val="0"/>
          <w:sz w:val="28"/>
          <w:szCs w:val="28"/>
          <w:lang w:eastAsia="en-GB"/>
          <w14:ligatures w14:val="none"/>
        </w:rPr>
        <w:t xml:space="preserve">, T. W., &amp; Cothern, L. (2000). Predictors of youth violence. </w:t>
      </w:r>
      <w:r w:rsidRPr="00696665">
        <w:rPr>
          <w:rFonts w:ascii="Times New Roman" w:eastAsia="Times New Roman" w:hAnsi="Times New Roman" w:cs="Times New Roman"/>
          <w:i/>
          <w:iCs/>
          <w:kern w:val="0"/>
          <w:sz w:val="28"/>
          <w:szCs w:val="28"/>
          <w:lang w:eastAsia="en-GB"/>
          <w14:ligatures w14:val="none"/>
        </w:rPr>
        <w:t>Juvenile Justice Bulletin</w:t>
      </w:r>
      <w:r w:rsidRPr="00696665">
        <w:rPr>
          <w:rFonts w:ascii="Times New Roman" w:eastAsia="Times New Roman" w:hAnsi="Times New Roman" w:cs="Times New Roman"/>
          <w:kern w:val="0"/>
          <w:sz w:val="28"/>
          <w:szCs w:val="28"/>
          <w:lang w:eastAsia="en-GB"/>
          <w14:ligatures w14:val="none"/>
        </w:rPr>
        <w:t>, 1-11.</w:t>
      </w:r>
    </w:p>
    <w:p w14:paraId="3248AF2D"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roofErr w:type="spellStart"/>
      <w:r w:rsidRPr="00696665">
        <w:rPr>
          <w:rFonts w:ascii="Times New Roman" w:eastAsia="Times New Roman" w:hAnsi="Times New Roman" w:cs="Times New Roman"/>
          <w:kern w:val="0"/>
          <w:sz w:val="28"/>
          <w:szCs w:val="28"/>
          <w:lang w:eastAsia="en-GB"/>
          <w14:ligatures w14:val="none"/>
        </w:rPr>
        <w:t>Lösel</w:t>
      </w:r>
      <w:proofErr w:type="spellEnd"/>
      <w:r w:rsidRPr="00696665">
        <w:rPr>
          <w:rFonts w:ascii="Times New Roman" w:eastAsia="Times New Roman" w:hAnsi="Times New Roman" w:cs="Times New Roman"/>
          <w:kern w:val="0"/>
          <w:sz w:val="28"/>
          <w:szCs w:val="28"/>
          <w:lang w:eastAsia="en-GB"/>
          <w14:ligatures w14:val="none"/>
        </w:rPr>
        <w:t xml:space="preserve">, F., &amp; Farrington, D. P. (2012). Direct protective and buffering protective factors in the development of youth violence. </w:t>
      </w:r>
      <w:r w:rsidRPr="00696665">
        <w:rPr>
          <w:rFonts w:ascii="Times New Roman" w:eastAsia="Times New Roman" w:hAnsi="Times New Roman" w:cs="Times New Roman"/>
          <w:i/>
          <w:iCs/>
          <w:kern w:val="0"/>
          <w:sz w:val="28"/>
          <w:szCs w:val="28"/>
          <w:lang w:eastAsia="en-GB"/>
          <w14:ligatures w14:val="none"/>
        </w:rPr>
        <w:t>American Journal of Preventive Medicine</w:t>
      </w:r>
      <w:r w:rsidRPr="00696665">
        <w:rPr>
          <w:rFonts w:ascii="Times New Roman" w:eastAsia="Times New Roman" w:hAnsi="Times New Roman" w:cs="Times New Roman"/>
          <w:kern w:val="0"/>
          <w:sz w:val="28"/>
          <w:szCs w:val="28"/>
          <w:lang w:eastAsia="en-GB"/>
          <w14:ligatures w14:val="none"/>
        </w:rPr>
        <w:t>, 43(2), S8-S23.</w:t>
      </w:r>
    </w:p>
    <w:p w14:paraId="29751A7B"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McCord, J. (1978). A thirty-year follow-up of treatment effects. </w:t>
      </w:r>
      <w:r w:rsidRPr="00696665">
        <w:rPr>
          <w:rFonts w:ascii="Times New Roman" w:eastAsia="Times New Roman" w:hAnsi="Times New Roman" w:cs="Times New Roman"/>
          <w:i/>
          <w:iCs/>
          <w:kern w:val="0"/>
          <w:sz w:val="28"/>
          <w:szCs w:val="28"/>
          <w:lang w:eastAsia="en-GB"/>
          <w14:ligatures w14:val="none"/>
        </w:rPr>
        <w:t>American Psychologist</w:t>
      </w:r>
      <w:r w:rsidRPr="00696665">
        <w:rPr>
          <w:rFonts w:ascii="Times New Roman" w:eastAsia="Times New Roman" w:hAnsi="Times New Roman" w:cs="Times New Roman"/>
          <w:kern w:val="0"/>
          <w:sz w:val="28"/>
          <w:szCs w:val="28"/>
          <w:lang w:eastAsia="en-GB"/>
          <w14:ligatures w14:val="none"/>
        </w:rPr>
        <w:t>, 33(3), 284-289.</w:t>
      </w:r>
    </w:p>
    <w:p w14:paraId="0C859EF4"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McCord, J. (2003). Cures that harm: Unanticipated outcomes of crime prevention programs. </w:t>
      </w:r>
      <w:r w:rsidRPr="00696665">
        <w:rPr>
          <w:rFonts w:ascii="Times New Roman" w:eastAsia="Times New Roman" w:hAnsi="Times New Roman" w:cs="Times New Roman"/>
          <w:i/>
          <w:iCs/>
          <w:kern w:val="0"/>
          <w:sz w:val="28"/>
          <w:szCs w:val="28"/>
          <w:lang w:eastAsia="en-GB"/>
          <w14:ligatures w14:val="none"/>
        </w:rPr>
        <w:t>The Annals of the American Academy of Political and Social Science</w:t>
      </w:r>
      <w:r w:rsidRPr="00696665">
        <w:rPr>
          <w:rFonts w:ascii="Times New Roman" w:eastAsia="Times New Roman" w:hAnsi="Times New Roman" w:cs="Times New Roman"/>
          <w:kern w:val="0"/>
          <w:sz w:val="28"/>
          <w:szCs w:val="28"/>
          <w:lang w:eastAsia="en-GB"/>
          <w14:ligatures w14:val="none"/>
        </w:rPr>
        <w:t>, 587(1), 16-30.</w:t>
      </w:r>
    </w:p>
    <w:p w14:paraId="7D2FA7F1"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Piquero, A. R., Farrington, D. P., Welsh, B. C., Tremblay, R., &amp; Jennings, W. G. (2009). Effects of early family/parent training programs on antisocial </w:t>
      </w:r>
      <w:proofErr w:type="spellStart"/>
      <w:r w:rsidRPr="00696665">
        <w:rPr>
          <w:rFonts w:ascii="Times New Roman" w:eastAsia="Times New Roman" w:hAnsi="Times New Roman" w:cs="Times New Roman"/>
          <w:kern w:val="0"/>
          <w:sz w:val="28"/>
          <w:szCs w:val="28"/>
          <w:lang w:eastAsia="en-GB"/>
          <w14:ligatures w14:val="none"/>
        </w:rPr>
        <w:t>behavior</w:t>
      </w:r>
      <w:proofErr w:type="spellEnd"/>
      <w:r w:rsidRPr="00696665">
        <w:rPr>
          <w:rFonts w:ascii="Times New Roman" w:eastAsia="Times New Roman" w:hAnsi="Times New Roman" w:cs="Times New Roman"/>
          <w:kern w:val="0"/>
          <w:sz w:val="28"/>
          <w:szCs w:val="28"/>
          <w:lang w:eastAsia="en-GB"/>
          <w14:ligatures w14:val="none"/>
        </w:rPr>
        <w:t xml:space="preserve"> and delinquency. </w:t>
      </w:r>
      <w:r w:rsidRPr="00696665">
        <w:rPr>
          <w:rFonts w:ascii="Times New Roman" w:eastAsia="Times New Roman" w:hAnsi="Times New Roman" w:cs="Times New Roman"/>
          <w:i/>
          <w:iCs/>
          <w:kern w:val="0"/>
          <w:sz w:val="28"/>
          <w:szCs w:val="28"/>
          <w:lang w:eastAsia="en-GB"/>
          <w14:ligatures w14:val="none"/>
        </w:rPr>
        <w:t>Journal of Experimental Criminology</w:t>
      </w:r>
      <w:r w:rsidRPr="00696665">
        <w:rPr>
          <w:rFonts w:ascii="Times New Roman" w:eastAsia="Times New Roman" w:hAnsi="Times New Roman" w:cs="Times New Roman"/>
          <w:kern w:val="0"/>
          <w:sz w:val="28"/>
          <w:szCs w:val="28"/>
          <w:lang w:eastAsia="en-GB"/>
          <w14:ligatures w14:val="none"/>
        </w:rPr>
        <w:t>, 5(2), 83-120.</w:t>
      </w:r>
    </w:p>
    <w:p w14:paraId="284AB653" w14:textId="77777777" w:rsidR="00696665" w:rsidRPr="00696665" w:rsidRDefault="00696665" w:rsidP="00696665">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696665">
        <w:rPr>
          <w:rFonts w:ascii="Times New Roman" w:eastAsia="Times New Roman" w:hAnsi="Times New Roman" w:cs="Times New Roman"/>
          <w:kern w:val="0"/>
          <w:sz w:val="28"/>
          <w:szCs w:val="28"/>
          <w:lang w:eastAsia="en-GB"/>
          <w14:ligatures w14:val="none"/>
        </w:rPr>
        <w:t xml:space="preserve">Schweinhart, L. J., Montie, J., Xiang, Z., Barnett, W. S., Belfield, C. R., &amp; Nores, M. (2005). Lifetime effects: The High/Scope Perry Preschool Study through age 40. </w:t>
      </w:r>
      <w:r w:rsidRPr="00696665">
        <w:rPr>
          <w:rFonts w:ascii="Times New Roman" w:eastAsia="Times New Roman" w:hAnsi="Times New Roman" w:cs="Times New Roman"/>
          <w:i/>
          <w:iCs/>
          <w:kern w:val="0"/>
          <w:sz w:val="28"/>
          <w:szCs w:val="28"/>
          <w:lang w:eastAsia="en-GB"/>
          <w14:ligatures w14:val="none"/>
        </w:rPr>
        <w:t>High/Scope Press</w:t>
      </w:r>
      <w:r w:rsidRPr="00696665">
        <w:rPr>
          <w:rFonts w:ascii="Times New Roman" w:eastAsia="Times New Roman" w:hAnsi="Times New Roman" w:cs="Times New Roman"/>
          <w:kern w:val="0"/>
          <w:sz w:val="28"/>
          <w:szCs w:val="28"/>
          <w:lang w:eastAsia="en-GB"/>
          <w14:ligatures w14:val="none"/>
        </w:rPr>
        <w:t>.</w:t>
      </w:r>
    </w:p>
    <w:p w14:paraId="3B963F32" w14:textId="77777777" w:rsidR="00696665" w:rsidRPr="00696665" w:rsidRDefault="00696665" w:rsidP="001B6682">
      <w:pPr>
        <w:rPr>
          <w:rFonts w:ascii="Times New Roman" w:hAnsi="Times New Roman" w:cs="Times New Roman"/>
          <w:sz w:val="28"/>
          <w:szCs w:val="28"/>
        </w:rPr>
      </w:pPr>
    </w:p>
    <w:sectPr w:rsidR="00696665" w:rsidRPr="00696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F259AC"/>
    <w:multiLevelType w:val="multilevel"/>
    <w:tmpl w:val="EC14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889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DB0"/>
    <w:rsid w:val="00112DBC"/>
    <w:rsid w:val="001B6682"/>
    <w:rsid w:val="00514CED"/>
    <w:rsid w:val="00563073"/>
    <w:rsid w:val="00696665"/>
    <w:rsid w:val="00720E90"/>
    <w:rsid w:val="008561A8"/>
    <w:rsid w:val="00882076"/>
    <w:rsid w:val="008F337A"/>
    <w:rsid w:val="00BD1D5E"/>
    <w:rsid w:val="00C05CA6"/>
    <w:rsid w:val="00C220B0"/>
    <w:rsid w:val="00CB42CB"/>
    <w:rsid w:val="00CC37F6"/>
    <w:rsid w:val="00DB7BDD"/>
    <w:rsid w:val="00F73DB0"/>
    <w:rsid w:val="00FB7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8DFA0"/>
  <w15:chartTrackingRefBased/>
  <w15:docId w15:val="{5E278024-DFA8-439F-B5C1-46EA6623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3D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D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3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DB0"/>
    <w:rPr>
      <w:rFonts w:eastAsiaTheme="majorEastAsia" w:cstheme="majorBidi"/>
      <w:color w:val="272727" w:themeColor="text1" w:themeTint="D8"/>
    </w:rPr>
  </w:style>
  <w:style w:type="paragraph" w:styleId="Title">
    <w:name w:val="Title"/>
    <w:basedOn w:val="Normal"/>
    <w:next w:val="Normal"/>
    <w:link w:val="TitleChar"/>
    <w:uiPriority w:val="10"/>
    <w:qFormat/>
    <w:rsid w:val="00F73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DB0"/>
    <w:pPr>
      <w:spacing w:before="160"/>
      <w:jc w:val="center"/>
    </w:pPr>
    <w:rPr>
      <w:i/>
      <w:iCs/>
      <w:color w:val="404040" w:themeColor="text1" w:themeTint="BF"/>
    </w:rPr>
  </w:style>
  <w:style w:type="character" w:customStyle="1" w:styleId="QuoteChar">
    <w:name w:val="Quote Char"/>
    <w:basedOn w:val="DefaultParagraphFont"/>
    <w:link w:val="Quote"/>
    <w:uiPriority w:val="29"/>
    <w:rsid w:val="00F73DB0"/>
    <w:rPr>
      <w:i/>
      <w:iCs/>
      <w:color w:val="404040" w:themeColor="text1" w:themeTint="BF"/>
    </w:rPr>
  </w:style>
  <w:style w:type="paragraph" w:styleId="ListParagraph">
    <w:name w:val="List Paragraph"/>
    <w:basedOn w:val="Normal"/>
    <w:uiPriority w:val="34"/>
    <w:qFormat/>
    <w:rsid w:val="00F73DB0"/>
    <w:pPr>
      <w:ind w:left="720"/>
      <w:contextualSpacing/>
    </w:pPr>
  </w:style>
  <w:style w:type="character" w:styleId="IntenseEmphasis">
    <w:name w:val="Intense Emphasis"/>
    <w:basedOn w:val="DefaultParagraphFont"/>
    <w:uiPriority w:val="21"/>
    <w:qFormat/>
    <w:rsid w:val="00F73DB0"/>
    <w:rPr>
      <w:i/>
      <w:iCs/>
      <w:color w:val="0F4761" w:themeColor="accent1" w:themeShade="BF"/>
    </w:rPr>
  </w:style>
  <w:style w:type="paragraph" w:styleId="IntenseQuote">
    <w:name w:val="Intense Quote"/>
    <w:basedOn w:val="Normal"/>
    <w:next w:val="Normal"/>
    <w:link w:val="IntenseQuoteChar"/>
    <w:uiPriority w:val="30"/>
    <w:qFormat/>
    <w:rsid w:val="00F73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DB0"/>
    <w:rPr>
      <w:i/>
      <w:iCs/>
      <w:color w:val="0F4761" w:themeColor="accent1" w:themeShade="BF"/>
    </w:rPr>
  </w:style>
  <w:style w:type="character" w:styleId="IntenseReference">
    <w:name w:val="Intense Reference"/>
    <w:basedOn w:val="DefaultParagraphFont"/>
    <w:uiPriority w:val="32"/>
    <w:qFormat/>
    <w:rsid w:val="00F73DB0"/>
    <w:rPr>
      <w:b/>
      <w:bCs/>
      <w:smallCaps/>
      <w:color w:val="0F4761" w:themeColor="accent1" w:themeShade="BF"/>
      <w:spacing w:val="5"/>
    </w:rPr>
  </w:style>
  <w:style w:type="character" w:styleId="Hyperlink">
    <w:name w:val="Hyperlink"/>
    <w:basedOn w:val="DefaultParagraphFont"/>
    <w:uiPriority w:val="99"/>
    <w:semiHidden/>
    <w:unhideWhenUsed/>
    <w:rsid w:val="00F73DB0"/>
    <w:rPr>
      <w:color w:val="0000FF"/>
      <w:u w:val="single"/>
    </w:rPr>
  </w:style>
  <w:style w:type="paragraph" w:styleId="NormalWeb">
    <w:name w:val="Normal (Web)"/>
    <w:basedOn w:val="Normal"/>
    <w:uiPriority w:val="99"/>
    <w:unhideWhenUsed/>
    <w:rsid w:val="008F33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460548">
      <w:bodyDiv w:val="1"/>
      <w:marLeft w:val="0"/>
      <w:marRight w:val="0"/>
      <w:marTop w:val="0"/>
      <w:marBottom w:val="0"/>
      <w:divBdr>
        <w:top w:val="none" w:sz="0" w:space="0" w:color="auto"/>
        <w:left w:val="none" w:sz="0" w:space="0" w:color="auto"/>
        <w:bottom w:val="none" w:sz="0" w:space="0" w:color="auto"/>
        <w:right w:val="none" w:sz="0" w:space="0" w:color="auto"/>
      </w:divBdr>
      <w:divsChild>
        <w:div w:id="1309898466">
          <w:marLeft w:val="0"/>
          <w:marRight w:val="0"/>
          <w:marTop w:val="0"/>
          <w:marBottom w:val="0"/>
          <w:divBdr>
            <w:top w:val="none" w:sz="0" w:space="0" w:color="auto"/>
            <w:left w:val="none" w:sz="0" w:space="0" w:color="auto"/>
            <w:bottom w:val="none" w:sz="0" w:space="0" w:color="auto"/>
            <w:right w:val="none" w:sz="0" w:space="0" w:color="auto"/>
          </w:divBdr>
        </w:div>
        <w:div w:id="2055931028">
          <w:marLeft w:val="0"/>
          <w:marRight w:val="0"/>
          <w:marTop w:val="0"/>
          <w:marBottom w:val="0"/>
          <w:divBdr>
            <w:top w:val="none" w:sz="0" w:space="0" w:color="auto"/>
            <w:left w:val="none" w:sz="0" w:space="0" w:color="auto"/>
            <w:bottom w:val="none" w:sz="0" w:space="0" w:color="auto"/>
            <w:right w:val="none" w:sz="0" w:space="0" w:color="auto"/>
          </w:divBdr>
        </w:div>
        <w:div w:id="589042971">
          <w:marLeft w:val="0"/>
          <w:marRight w:val="0"/>
          <w:marTop w:val="0"/>
          <w:marBottom w:val="0"/>
          <w:divBdr>
            <w:top w:val="none" w:sz="0" w:space="0" w:color="auto"/>
            <w:left w:val="none" w:sz="0" w:space="0" w:color="auto"/>
            <w:bottom w:val="none" w:sz="0" w:space="0" w:color="auto"/>
            <w:right w:val="none" w:sz="0" w:space="0" w:color="auto"/>
          </w:divBdr>
        </w:div>
        <w:div w:id="1127355520">
          <w:marLeft w:val="0"/>
          <w:marRight w:val="0"/>
          <w:marTop w:val="0"/>
          <w:marBottom w:val="0"/>
          <w:divBdr>
            <w:top w:val="none" w:sz="0" w:space="0" w:color="auto"/>
            <w:left w:val="none" w:sz="0" w:space="0" w:color="auto"/>
            <w:bottom w:val="none" w:sz="0" w:space="0" w:color="auto"/>
            <w:right w:val="none" w:sz="0" w:space="0" w:color="auto"/>
          </w:divBdr>
        </w:div>
        <w:div w:id="110711951">
          <w:marLeft w:val="0"/>
          <w:marRight w:val="0"/>
          <w:marTop w:val="0"/>
          <w:marBottom w:val="0"/>
          <w:divBdr>
            <w:top w:val="none" w:sz="0" w:space="0" w:color="auto"/>
            <w:left w:val="none" w:sz="0" w:space="0" w:color="auto"/>
            <w:bottom w:val="none" w:sz="0" w:space="0" w:color="auto"/>
            <w:right w:val="none" w:sz="0" w:space="0" w:color="auto"/>
          </w:divBdr>
        </w:div>
        <w:div w:id="403529304">
          <w:marLeft w:val="0"/>
          <w:marRight w:val="0"/>
          <w:marTop w:val="0"/>
          <w:marBottom w:val="0"/>
          <w:divBdr>
            <w:top w:val="none" w:sz="0" w:space="0" w:color="auto"/>
            <w:left w:val="none" w:sz="0" w:space="0" w:color="auto"/>
            <w:bottom w:val="none" w:sz="0" w:space="0" w:color="auto"/>
            <w:right w:val="none" w:sz="0" w:space="0" w:color="auto"/>
          </w:divBdr>
        </w:div>
        <w:div w:id="2003383871">
          <w:marLeft w:val="0"/>
          <w:marRight w:val="0"/>
          <w:marTop w:val="0"/>
          <w:marBottom w:val="0"/>
          <w:divBdr>
            <w:top w:val="none" w:sz="0" w:space="0" w:color="auto"/>
            <w:left w:val="none" w:sz="0" w:space="0" w:color="auto"/>
            <w:bottom w:val="none" w:sz="0" w:space="0" w:color="auto"/>
            <w:right w:val="none" w:sz="0" w:space="0" w:color="auto"/>
          </w:divBdr>
        </w:div>
        <w:div w:id="389891356">
          <w:marLeft w:val="0"/>
          <w:marRight w:val="0"/>
          <w:marTop w:val="0"/>
          <w:marBottom w:val="0"/>
          <w:divBdr>
            <w:top w:val="none" w:sz="0" w:space="0" w:color="auto"/>
            <w:left w:val="none" w:sz="0" w:space="0" w:color="auto"/>
            <w:bottom w:val="none" w:sz="0" w:space="0" w:color="auto"/>
            <w:right w:val="none" w:sz="0" w:space="0" w:color="auto"/>
          </w:divBdr>
        </w:div>
        <w:div w:id="1595166695">
          <w:marLeft w:val="0"/>
          <w:marRight w:val="0"/>
          <w:marTop w:val="0"/>
          <w:marBottom w:val="0"/>
          <w:divBdr>
            <w:top w:val="none" w:sz="0" w:space="0" w:color="auto"/>
            <w:left w:val="none" w:sz="0" w:space="0" w:color="auto"/>
            <w:bottom w:val="none" w:sz="0" w:space="0" w:color="auto"/>
            <w:right w:val="none" w:sz="0" w:space="0" w:color="auto"/>
          </w:divBdr>
        </w:div>
        <w:div w:id="1871871129">
          <w:marLeft w:val="0"/>
          <w:marRight w:val="0"/>
          <w:marTop w:val="0"/>
          <w:marBottom w:val="0"/>
          <w:divBdr>
            <w:top w:val="none" w:sz="0" w:space="0" w:color="auto"/>
            <w:left w:val="none" w:sz="0" w:space="0" w:color="auto"/>
            <w:bottom w:val="none" w:sz="0" w:space="0" w:color="auto"/>
            <w:right w:val="none" w:sz="0" w:space="0" w:color="auto"/>
          </w:divBdr>
        </w:div>
        <w:div w:id="795175723">
          <w:marLeft w:val="0"/>
          <w:marRight w:val="0"/>
          <w:marTop w:val="0"/>
          <w:marBottom w:val="0"/>
          <w:divBdr>
            <w:top w:val="none" w:sz="0" w:space="0" w:color="auto"/>
            <w:left w:val="none" w:sz="0" w:space="0" w:color="auto"/>
            <w:bottom w:val="none" w:sz="0" w:space="0" w:color="auto"/>
            <w:right w:val="none" w:sz="0" w:space="0" w:color="auto"/>
          </w:divBdr>
        </w:div>
        <w:div w:id="64573558">
          <w:marLeft w:val="0"/>
          <w:marRight w:val="0"/>
          <w:marTop w:val="0"/>
          <w:marBottom w:val="0"/>
          <w:divBdr>
            <w:top w:val="none" w:sz="0" w:space="0" w:color="auto"/>
            <w:left w:val="none" w:sz="0" w:space="0" w:color="auto"/>
            <w:bottom w:val="none" w:sz="0" w:space="0" w:color="auto"/>
            <w:right w:val="none" w:sz="0" w:space="0" w:color="auto"/>
          </w:divBdr>
        </w:div>
        <w:div w:id="1767650227">
          <w:marLeft w:val="0"/>
          <w:marRight w:val="0"/>
          <w:marTop w:val="0"/>
          <w:marBottom w:val="0"/>
          <w:divBdr>
            <w:top w:val="none" w:sz="0" w:space="0" w:color="auto"/>
            <w:left w:val="none" w:sz="0" w:space="0" w:color="auto"/>
            <w:bottom w:val="none" w:sz="0" w:space="0" w:color="auto"/>
            <w:right w:val="none" w:sz="0" w:space="0" w:color="auto"/>
          </w:divBdr>
        </w:div>
        <w:div w:id="1628659976">
          <w:marLeft w:val="0"/>
          <w:marRight w:val="0"/>
          <w:marTop w:val="0"/>
          <w:marBottom w:val="0"/>
          <w:divBdr>
            <w:top w:val="none" w:sz="0" w:space="0" w:color="auto"/>
            <w:left w:val="none" w:sz="0" w:space="0" w:color="auto"/>
            <w:bottom w:val="none" w:sz="0" w:space="0" w:color="auto"/>
            <w:right w:val="none" w:sz="0" w:space="0" w:color="auto"/>
          </w:divBdr>
        </w:div>
        <w:div w:id="600064608">
          <w:marLeft w:val="0"/>
          <w:marRight w:val="0"/>
          <w:marTop w:val="0"/>
          <w:marBottom w:val="0"/>
          <w:divBdr>
            <w:top w:val="none" w:sz="0" w:space="0" w:color="auto"/>
            <w:left w:val="none" w:sz="0" w:space="0" w:color="auto"/>
            <w:bottom w:val="none" w:sz="0" w:space="0" w:color="auto"/>
            <w:right w:val="none" w:sz="0" w:space="0" w:color="auto"/>
          </w:divBdr>
        </w:div>
        <w:div w:id="2122218882">
          <w:marLeft w:val="0"/>
          <w:marRight w:val="0"/>
          <w:marTop w:val="0"/>
          <w:marBottom w:val="0"/>
          <w:divBdr>
            <w:top w:val="none" w:sz="0" w:space="0" w:color="auto"/>
            <w:left w:val="none" w:sz="0" w:space="0" w:color="auto"/>
            <w:bottom w:val="none" w:sz="0" w:space="0" w:color="auto"/>
            <w:right w:val="none" w:sz="0" w:space="0" w:color="auto"/>
          </w:divBdr>
        </w:div>
        <w:div w:id="277176682">
          <w:marLeft w:val="0"/>
          <w:marRight w:val="0"/>
          <w:marTop w:val="0"/>
          <w:marBottom w:val="0"/>
          <w:divBdr>
            <w:top w:val="none" w:sz="0" w:space="0" w:color="auto"/>
            <w:left w:val="none" w:sz="0" w:space="0" w:color="auto"/>
            <w:bottom w:val="none" w:sz="0" w:space="0" w:color="auto"/>
            <w:right w:val="none" w:sz="0" w:space="0" w:color="auto"/>
          </w:divBdr>
        </w:div>
        <w:div w:id="1116171033">
          <w:marLeft w:val="0"/>
          <w:marRight w:val="0"/>
          <w:marTop w:val="0"/>
          <w:marBottom w:val="0"/>
          <w:divBdr>
            <w:top w:val="none" w:sz="0" w:space="0" w:color="auto"/>
            <w:left w:val="none" w:sz="0" w:space="0" w:color="auto"/>
            <w:bottom w:val="none" w:sz="0" w:space="0" w:color="auto"/>
            <w:right w:val="none" w:sz="0" w:space="0" w:color="auto"/>
          </w:divBdr>
        </w:div>
        <w:div w:id="953706340">
          <w:marLeft w:val="0"/>
          <w:marRight w:val="0"/>
          <w:marTop w:val="0"/>
          <w:marBottom w:val="0"/>
          <w:divBdr>
            <w:top w:val="none" w:sz="0" w:space="0" w:color="auto"/>
            <w:left w:val="none" w:sz="0" w:space="0" w:color="auto"/>
            <w:bottom w:val="none" w:sz="0" w:space="0" w:color="auto"/>
            <w:right w:val="none" w:sz="0" w:space="0" w:color="auto"/>
          </w:divBdr>
        </w:div>
        <w:div w:id="508064240">
          <w:marLeft w:val="0"/>
          <w:marRight w:val="0"/>
          <w:marTop w:val="0"/>
          <w:marBottom w:val="0"/>
          <w:divBdr>
            <w:top w:val="none" w:sz="0" w:space="0" w:color="auto"/>
            <w:left w:val="none" w:sz="0" w:space="0" w:color="auto"/>
            <w:bottom w:val="none" w:sz="0" w:space="0" w:color="auto"/>
            <w:right w:val="none" w:sz="0" w:space="0" w:color="auto"/>
          </w:divBdr>
        </w:div>
        <w:div w:id="659701761">
          <w:marLeft w:val="0"/>
          <w:marRight w:val="0"/>
          <w:marTop w:val="0"/>
          <w:marBottom w:val="0"/>
          <w:divBdr>
            <w:top w:val="none" w:sz="0" w:space="0" w:color="auto"/>
            <w:left w:val="none" w:sz="0" w:space="0" w:color="auto"/>
            <w:bottom w:val="none" w:sz="0" w:space="0" w:color="auto"/>
            <w:right w:val="none" w:sz="0" w:space="0" w:color="auto"/>
          </w:divBdr>
        </w:div>
        <w:div w:id="175968931">
          <w:marLeft w:val="0"/>
          <w:marRight w:val="0"/>
          <w:marTop w:val="0"/>
          <w:marBottom w:val="0"/>
          <w:divBdr>
            <w:top w:val="none" w:sz="0" w:space="0" w:color="auto"/>
            <w:left w:val="none" w:sz="0" w:space="0" w:color="auto"/>
            <w:bottom w:val="none" w:sz="0" w:space="0" w:color="auto"/>
            <w:right w:val="none" w:sz="0" w:space="0" w:color="auto"/>
          </w:divBdr>
        </w:div>
        <w:div w:id="31730366">
          <w:marLeft w:val="0"/>
          <w:marRight w:val="0"/>
          <w:marTop w:val="0"/>
          <w:marBottom w:val="0"/>
          <w:divBdr>
            <w:top w:val="none" w:sz="0" w:space="0" w:color="auto"/>
            <w:left w:val="none" w:sz="0" w:space="0" w:color="auto"/>
            <w:bottom w:val="none" w:sz="0" w:space="0" w:color="auto"/>
            <w:right w:val="none" w:sz="0" w:space="0" w:color="auto"/>
          </w:divBdr>
        </w:div>
        <w:div w:id="1448164522">
          <w:marLeft w:val="0"/>
          <w:marRight w:val="0"/>
          <w:marTop w:val="0"/>
          <w:marBottom w:val="0"/>
          <w:divBdr>
            <w:top w:val="none" w:sz="0" w:space="0" w:color="auto"/>
            <w:left w:val="none" w:sz="0" w:space="0" w:color="auto"/>
            <w:bottom w:val="none" w:sz="0" w:space="0" w:color="auto"/>
            <w:right w:val="none" w:sz="0" w:space="0" w:color="auto"/>
          </w:divBdr>
        </w:div>
        <w:div w:id="1577933904">
          <w:marLeft w:val="0"/>
          <w:marRight w:val="0"/>
          <w:marTop w:val="0"/>
          <w:marBottom w:val="0"/>
          <w:divBdr>
            <w:top w:val="none" w:sz="0" w:space="0" w:color="auto"/>
            <w:left w:val="none" w:sz="0" w:space="0" w:color="auto"/>
            <w:bottom w:val="none" w:sz="0" w:space="0" w:color="auto"/>
            <w:right w:val="none" w:sz="0" w:space="0" w:color="auto"/>
          </w:divBdr>
        </w:div>
        <w:div w:id="288896693">
          <w:marLeft w:val="0"/>
          <w:marRight w:val="0"/>
          <w:marTop w:val="0"/>
          <w:marBottom w:val="0"/>
          <w:divBdr>
            <w:top w:val="none" w:sz="0" w:space="0" w:color="auto"/>
            <w:left w:val="none" w:sz="0" w:space="0" w:color="auto"/>
            <w:bottom w:val="none" w:sz="0" w:space="0" w:color="auto"/>
            <w:right w:val="none" w:sz="0" w:space="0" w:color="auto"/>
          </w:divBdr>
        </w:div>
        <w:div w:id="1608655901">
          <w:marLeft w:val="0"/>
          <w:marRight w:val="0"/>
          <w:marTop w:val="0"/>
          <w:marBottom w:val="0"/>
          <w:divBdr>
            <w:top w:val="none" w:sz="0" w:space="0" w:color="auto"/>
            <w:left w:val="none" w:sz="0" w:space="0" w:color="auto"/>
            <w:bottom w:val="none" w:sz="0" w:space="0" w:color="auto"/>
            <w:right w:val="none" w:sz="0" w:space="0" w:color="auto"/>
          </w:divBdr>
        </w:div>
        <w:div w:id="5980963">
          <w:marLeft w:val="0"/>
          <w:marRight w:val="0"/>
          <w:marTop w:val="0"/>
          <w:marBottom w:val="0"/>
          <w:divBdr>
            <w:top w:val="none" w:sz="0" w:space="0" w:color="auto"/>
            <w:left w:val="none" w:sz="0" w:space="0" w:color="auto"/>
            <w:bottom w:val="none" w:sz="0" w:space="0" w:color="auto"/>
            <w:right w:val="none" w:sz="0" w:space="0" w:color="auto"/>
          </w:divBdr>
        </w:div>
        <w:div w:id="1110247201">
          <w:marLeft w:val="0"/>
          <w:marRight w:val="0"/>
          <w:marTop w:val="0"/>
          <w:marBottom w:val="0"/>
          <w:divBdr>
            <w:top w:val="none" w:sz="0" w:space="0" w:color="auto"/>
            <w:left w:val="none" w:sz="0" w:space="0" w:color="auto"/>
            <w:bottom w:val="none" w:sz="0" w:space="0" w:color="auto"/>
            <w:right w:val="none" w:sz="0" w:space="0" w:color="auto"/>
          </w:divBdr>
        </w:div>
        <w:div w:id="133375889">
          <w:marLeft w:val="0"/>
          <w:marRight w:val="0"/>
          <w:marTop w:val="0"/>
          <w:marBottom w:val="0"/>
          <w:divBdr>
            <w:top w:val="none" w:sz="0" w:space="0" w:color="auto"/>
            <w:left w:val="none" w:sz="0" w:space="0" w:color="auto"/>
            <w:bottom w:val="none" w:sz="0" w:space="0" w:color="auto"/>
            <w:right w:val="none" w:sz="0" w:space="0" w:color="auto"/>
          </w:divBdr>
        </w:div>
        <w:div w:id="1961453067">
          <w:marLeft w:val="0"/>
          <w:marRight w:val="0"/>
          <w:marTop w:val="0"/>
          <w:marBottom w:val="0"/>
          <w:divBdr>
            <w:top w:val="none" w:sz="0" w:space="0" w:color="auto"/>
            <w:left w:val="none" w:sz="0" w:space="0" w:color="auto"/>
            <w:bottom w:val="none" w:sz="0" w:space="0" w:color="auto"/>
            <w:right w:val="none" w:sz="0" w:space="0" w:color="auto"/>
          </w:divBdr>
        </w:div>
        <w:div w:id="1669551815">
          <w:marLeft w:val="0"/>
          <w:marRight w:val="0"/>
          <w:marTop w:val="0"/>
          <w:marBottom w:val="0"/>
          <w:divBdr>
            <w:top w:val="none" w:sz="0" w:space="0" w:color="auto"/>
            <w:left w:val="none" w:sz="0" w:space="0" w:color="auto"/>
            <w:bottom w:val="none" w:sz="0" w:space="0" w:color="auto"/>
            <w:right w:val="none" w:sz="0" w:space="0" w:color="auto"/>
          </w:divBdr>
        </w:div>
        <w:div w:id="1076320402">
          <w:marLeft w:val="0"/>
          <w:marRight w:val="0"/>
          <w:marTop w:val="0"/>
          <w:marBottom w:val="0"/>
          <w:divBdr>
            <w:top w:val="none" w:sz="0" w:space="0" w:color="auto"/>
            <w:left w:val="none" w:sz="0" w:space="0" w:color="auto"/>
            <w:bottom w:val="none" w:sz="0" w:space="0" w:color="auto"/>
            <w:right w:val="none" w:sz="0" w:space="0" w:color="auto"/>
          </w:divBdr>
        </w:div>
        <w:div w:id="2144078199">
          <w:marLeft w:val="0"/>
          <w:marRight w:val="0"/>
          <w:marTop w:val="0"/>
          <w:marBottom w:val="0"/>
          <w:divBdr>
            <w:top w:val="none" w:sz="0" w:space="0" w:color="auto"/>
            <w:left w:val="none" w:sz="0" w:space="0" w:color="auto"/>
            <w:bottom w:val="none" w:sz="0" w:space="0" w:color="auto"/>
            <w:right w:val="none" w:sz="0" w:space="0" w:color="auto"/>
          </w:divBdr>
        </w:div>
        <w:div w:id="718016539">
          <w:marLeft w:val="0"/>
          <w:marRight w:val="0"/>
          <w:marTop w:val="0"/>
          <w:marBottom w:val="0"/>
          <w:divBdr>
            <w:top w:val="none" w:sz="0" w:space="0" w:color="auto"/>
            <w:left w:val="none" w:sz="0" w:space="0" w:color="auto"/>
            <w:bottom w:val="none" w:sz="0" w:space="0" w:color="auto"/>
            <w:right w:val="none" w:sz="0" w:space="0" w:color="auto"/>
          </w:divBdr>
        </w:div>
        <w:div w:id="1802309928">
          <w:marLeft w:val="0"/>
          <w:marRight w:val="0"/>
          <w:marTop w:val="0"/>
          <w:marBottom w:val="0"/>
          <w:divBdr>
            <w:top w:val="none" w:sz="0" w:space="0" w:color="auto"/>
            <w:left w:val="none" w:sz="0" w:space="0" w:color="auto"/>
            <w:bottom w:val="none" w:sz="0" w:space="0" w:color="auto"/>
            <w:right w:val="none" w:sz="0" w:space="0" w:color="auto"/>
          </w:divBdr>
        </w:div>
      </w:divsChild>
    </w:div>
    <w:div w:id="827744572">
      <w:bodyDiv w:val="1"/>
      <w:marLeft w:val="0"/>
      <w:marRight w:val="0"/>
      <w:marTop w:val="0"/>
      <w:marBottom w:val="0"/>
      <w:divBdr>
        <w:top w:val="none" w:sz="0" w:space="0" w:color="auto"/>
        <w:left w:val="none" w:sz="0" w:space="0" w:color="auto"/>
        <w:bottom w:val="none" w:sz="0" w:space="0" w:color="auto"/>
        <w:right w:val="none" w:sz="0" w:space="0" w:color="auto"/>
      </w:divBdr>
    </w:div>
    <w:div w:id="1896118869">
      <w:bodyDiv w:val="1"/>
      <w:marLeft w:val="0"/>
      <w:marRight w:val="0"/>
      <w:marTop w:val="0"/>
      <w:marBottom w:val="0"/>
      <w:divBdr>
        <w:top w:val="none" w:sz="0" w:space="0" w:color="auto"/>
        <w:left w:val="none" w:sz="0" w:space="0" w:color="auto"/>
        <w:bottom w:val="none" w:sz="0" w:space="0" w:color="auto"/>
        <w:right w:val="none" w:sz="0" w:space="0" w:color="auto"/>
      </w:divBdr>
    </w:div>
    <w:div w:id="201071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17</Pages>
  <Words>4881</Words>
  <Characters>27822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Gilbert</dc:creator>
  <cp:keywords/>
  <dc:description/>
  <cp:lastModifiedBy>Matthew Gilbert</cp:lastModifiedBy>
  <cp:revision>4</cp:revision>
  <dcterms:created xsi:type="dcterms:W3CDTF">2024-05-22T08:45:00Z</dcterms:created>
  <dcterms:modified xsi:type="dcterms:W3CDTF">2024-08-14T07:42:00Z</dcterms:modified>
</cp:coreProperties>
</file>