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6265E8" w14:textId="4C01F376" w:rsidR="00E23A78" w:rsidRPr="00463CB4" w:rsidRDefault="00E23A78" w:rsidP="001B5D85">
      <w:pPr>
        <w:spacing w:line="480" w:lineRule="auto"/>
        <w:rPr>
          <w:rFonts w:ascii="Arial" w:hAnsi="Arial" w:cs="Arial"/>
          <w:b/>
          <w:bCs/>
          <w:sz w:val="28"/>
          <w:szCs w:val="28"/>
        </w:rPr>
      </w:pPr>
      <w:r w:rsidRPr="00463CB4">
        <w:rPr>
          <w:rFonts w:ascii="Arial" w:hAnsi="Arial" w:cs="Arial"/>
          <w:b/>
          <w:bCs/>
          <w:sz w:val="28"/>
          <w:szCs w:val="28"/>
        </w:rPr>
        <w:t>Exercise</w:t>
      </w:r>
      <w:r w:rsidR="0053388B" w:rsidRPr="00463CB4">
        <w:rPr>
          <w:rFonts w:ascii="Arial" w:hAnsi="Arial" w:cs="Arial"/>
          <w:b/>
          <w:bCs/>
          <w:sz w:val="28"/>
          <w:szCs w:val="28"/>
        </w:rPr>
        <w:t xml:space="preserve"> </w:t>
      </w:r>
      <w:r w:rsidRPr="00463CB4">
        <w:rPr>
          <w:rFonts w:ascii="Arial" w:hAnsi="Arial" w:cs="Arial"/>
          <w:b/>
          <w:bCs/>
          <w:sz w:val="28"/>
          <w:szCs w:val="28"/>
        </w:rPr>
        <w:t>on Encyclopaedias and Subject Dictionaries</w:t>
      </w:r>
    </w:p>
    <w:p w14:paraId="1BBED38D" w14:textId="35DD0D86" w:rsidR="00E23A78" w:rsidRDefault="00E23A78" w:rsidP="001B5D85">
      <w:pPr>
        <w:spacing w:line="480" w:lineRule="auto"/>
        <w:rPr>
          <w:rFonts w:ascii="Arial" w:hAnsi="Arial" w:cs="Arial"/>
          <w:b/>
          <w:bCs/>
          <w:sz w:val="24"/>
          <w:szCs w:val="24"/>
        </w:rPr>
      </w:pPr>
      <w:r w:rsidRPr="00C15D37">
        <w:rPr>
          <w:rFonts w:ascii="Arial" w:hAnsi="Arial" w:cs="Arial"/>
          <w:b/>
          <w:bCs/>
          <w:sz w:val="24"/>
          <w:szCs w:val="24"/>
        </w:rPr>
        <w:t>Pierre</w:t>
      </w:r>
      <w:r w:rsidR="00FA2C64" w:rsidRPr="00C15D37">
        <w:rPr>
          <w:rFonts w:ascii="Arial" w:hAnsi="Arial" w:cs="Arial"/>
          <w:b/>
          <w:bCs/>
          <w:sz w:val="24"/>
          <w:szCs w:val="24"/>
        </w:rPr>
        <w:t xml:space="preserve"> Bayle</w:t>
      </w:r>
      <w:r w:rsidRPr="00C15D37">
        <w:rPr>
          <w:rFonts w:ascii="Arial" w:hAnsi="Arial" w:cs="Arial"/>
          <w:b/>
          <w:bCs/>
          <w:sz w:val="24"/>
          <w:szCs w:val="24"/>
        </w:rPr>
        <w:t xml:space="preserve">, </w:t>
      </w:r>
      <w:r w:rsidRPr="00C15D37">
        <w:rPr>
          <w:rFonts w:ascii="Arial" w:hAnsi="Arial" w:cs="Arial"/>
          <w:b/>
          <w:bCs/>
          <w:i/>
          <w:iCs/>
          <w:sz w:val="24"/>
          <w:szCs w:val="24"/>
        </w:rPr>
        <w:t>The Dictionary Historical and Critical of Mr. Peter Bayle</w:t>
      </w:r>
      <w:r w:rsidRPr="00C15D37">
        <w:rPr>
          <w:rFonts w:ascii="Arial" w:hAnsi="Arial" w:cs="Arial"/>
          <w:b/>
          <w:bCs/>
          <w:sz w:val="24"/>
          <w:szCs w:val="24"/>
        </w:rPr>
        <w:t>, 2</w:t>
      </w:r>
      <w:r w:rsidRPr="00C15D37">
        <w:rPr>
          <w:rFonts w:ascii="Arial" w:hAnsi="Arial" w:cs="Arial"/>
          <w:b/>
          <w:bCs/>
          <w:sz w:val="24"/>
          <w:szCs w:val="24"/>
          <w:vertAlign w:val="superscript"/>
        </w:rPr>
        <w:t>nd</w:t>
      </w:r>
      <w:r w:rsidRPr="00C15D37">
        <w:rPr>
          <w:rFonts w:ascii="Arial" w:hAnsi="Arial" w:cs="Arial"/>
          <w:b/>
          <w:bCs/>
          <w:sz w:val="24"/>
          <w:szCs w:val="24"/>
        </w:rPr>
        <w:t xml:space="preserve"> edn (London: Printed for J.J. and P. Knapton; D. midwinter; J. Brotherton; A. Bettesworth and C. Hitch; et al., 1734-38)</w:t>
      </w:r>
    </w:p>
    <w:p w14:paraId="6AE3850E" w14:textId="73CE725B" w:rsidR="001B5D85" w:rsidRDefault="0085175F" w:rsidP="001B5D85">
      <w:pPr>
        <w:spacing w:line="480" w:lineRule="auto"/>
        <w:rPr>
          <w:rFonts w:ascii="Arial" w:hAnsi="Arial" w:cs="Arial"/>
          <w:sz w:val="24"/>
          <w:szCs w:val="24"/>
        </w:rPr>
      </w:pPr>
      <w:bookmarkStart w:id="0" w:name="_GoBack"/>
      <w:bookmarkEnd w:id="0"/>
      <w:r>
        <w:rPr>
          <w:rFonts w:ascii="Arial" w:hAnsi="Arial" w:cs="Arial"/>
          <w:i/>
          <w:iCs/>
          <w:sz w:val="24"/>
          <w:szCs w:val="24"/>
        </w:rPr>
        <w:t>The Dictionary Historical and Critical of Mr. Peter Bayle</w:t>
      </w:r>
      <w:r w:rsidR="004B4644">
        <w:rPr>
          <w:rFonts w:ascii="Arial" w:hAnsi="Arial" w:cs="Arial"/>
          <w:sz w:val="24"/>
          <w:szCs w:val="24"/>
        </w:rPr>
        <w:t xml:space="preserve"> </w:t>
      </w:r>
      <w:r w:rsidR="00715C7E">
        <w:rPr>
          <w:rFonts w:ascii="Arial" w:hAnsi="Arial" w:cs="Arial"/>
          <w:sz w:val="24"/>
          <w:szCs w:val="24"/>
        </w:rPr>
        <w:t>appears</w:t>
      </w:r>
      <w:r>
        <w:rPr>
          <w:rFonts w:ascii="Arial" w:hAnsi="Arial" w:cs="Arial"/>
          <w:sz w:val="24"/>
          <w:szCs w:val="24"/>
        </w:rPr>
        <w:t xml:space="preserve"> predominately </w:t>
      </w:r>
      <w:r w:rsidR="00715C7E">
        <w:rPr>
          <w:rFonts w:ascii="Arial" w:hAnsi="Arial" w:cs="Arial"/>
          <w:sz w:val="24"/>
          <w:szCs w:val="24"/>
        </w:rPr>
        <w:t xml:space="preserve">to be </w:t>
      </w:r>
      <w:r>
        <w:rPr>
          <w:rFonts w:ascii="Arial" w:hAnsi="Arial" w:cs="Arial"/>
          <w:sz w:val="24"/>
          <w:szCs w:val="24"/>
        </w:rPr>
        <w:t>a repository for the large amount of historical information that Bayle had accumulated during a lifetime of study</w:t>
      </w:r>
      <w:r w:rsidR="004F676A">
        <w:rPr>
          <w:rFonts w:ascii="Arial" w:hAnsi="Arial" w:cs="Arial"/>
          <w:sz w:val="24"/>
          <w:szCs w:val="24"/>
        </w:rPr>
        <w:t>. It is</w:t>
      </w:r>
      <w:r>
        <w:rPr>
          <w:rFonts w:ascii="Arial" w:hAnsi="Arial" w:cs="Arial"/>
          <w:sz w:val="24"/>
          <w:szCs w:val="24"/>
        </w:rPr>
        <w:t xml:space="preserve"> </w:t>
      </w:r>
      <w:r w:rsidR="004B4644">
        <w:rPr>
          <w:rFonts w:ascii="Arial" w:hAnsi="Arial" w:cs="Arial"/>
          <w:sz w:val="24"/>
          <w:szCs w:val="24"/>
        </w:rPr>
        <w:t>organised alphabetically over five volumes</w:t>
      </w:r>
      <w:r w:rsidR="00715C7E">
        <w:rPr>
          <w:rFonts w:ascii="Arial" w:hAnsi="Arial" w:cs="Arial"/>
          <w:sz w:val="24"/>
          <w:szCs w:val="24"/>
        </w:rPr>
        <w:t xml:space="preserve"> (split A-</w:t>
      </w:r>
      <w:proofErr w:type="spellStart"/>
      <w:r w:rsidR="00715C7E">
        <w:rPr>
          <w:rFonts w:ascii="Arial" w:hAnsi="Arial" w:cs="Arial"/>
          <w:sz w:val="24"/>
          <w:szCs w:val="24"/>
        </w:rPr>
        <w:t>Bi</w:t>
      </w:r>
      <w:proofErr w:type="spellEnd"/>
      <w:r w:rsidR="00715C7E">
        <w:rPr>
          <w:rFonts w:ascii="Arial" w:hAnsi="Arial" w:cs="Arial"/>
          <w:sz w:val="24"/>
          <w:szCs w:val="24"/>
        </w:rPr>
        <w:t xml:space="preserve">, Bi-E, F-L, M-P and S-Z – </w:t>
      </w:r>
      <w:r w:rsidR="00EC3221">
        <w:rPr>
          <w:rFonts w:ascii="Arial" w:hAnsi="Arial" w:cs="Arial"/>
          <w:sz w:val="24"/>
          <w:szCs w:val="24"/>
        </w:rPr>
        <w:t>no</w:t>
      </w:r>
      <w:r w:rsidR="00715C7E">
        <w:rPr>
          <w:rFonts w:ascii="Arial" w:hAnsi="Arial" w:cs="Arial"/>
          <w:sz w:val="24"/>
          <w:szCs w:val="24"/>
        </w:rPr>
        <w:t xml:space="preserve"> Q or R)</w:t>
      </w:r>
      <w:r w:rsidR="004B4644">
        <w:rPr>
          <w:rFonts w:ascii="Arial" w:hAnsi="Arial" w:cs="Arial"/>
          <w:sz w:val="24"/>
          <w:szCs w:val="24"/>
        </w:rPr>
        <w:t xml:space="preserve">. </w:t>
      </w:r>
      <w:r w:rsidR="00715C7E">
        <w:rPr>
          <w:rFonts w:ascii="Arial" w:hAnsi="Arial" w:cs="Arial"/>
          <w:sz w:val="24"/>
          <w:szCs w:val="24"/>
        </w:rPr>
        <w:t xml:space="preserve">The entries mix ancient, biblical and ‘modern’ individuals and places, so that the work moves from the biblical Aaron to Aarsens </w:t>
      </w:r>
      <w:r w:rsidR="00EC3221">
        <w:rPr>
          <w:rFonts w:ascii="Arial" w:hAnsi="Arial" w:cs="Arial"/>
          <w:sz w:val="24"/>
          <w:szCs w:val="24"/>
        </w:rPr>
        <w:t>‘</w:t>
      </w:r>
      <w:r w:rsidR="00715C7E">
        <w:rPr>
          <w:rFonts w:ascii="Arial" w:hAnsi="Arial" w:cs="Arial"/>
          <w:sz w:val="24"/>
          <w:szCs w:val="24"/>
        </w:rPr>
        <w:t>Lord of Somelsdyck</w:t>
      </w:r>
      <w:r w:rsidR="00EC3221">
        <w:rPr>
          <w:rFonts w:ascii="Arial" w:hAnsi="Arial" w:cs="Arial"/>
          <w:sz w:val="24"/>
          <w:szCs w:val="24"/>
        </w:rPr>
        <w:t>’</w:t>
      </w:r>
      <w:r w:rsidR="00715C7E">
        <w:rPr>
          <w:rFonts w:ascii="Arial" w:hAnsi="Arial" w:cs="Arial"/>
          <w:sz w:val="24"/>
          <w:szCs w:val="24"/>
        </w:rPr>
        <w:t xml:space="preserve">, through </w:t>
      </w:r>
      <w:proofErr w:type="spellStart"/>
      <w:r w:rsidR="00715C7E">
        <w:rPr>
          <w:rFonts w:ascii="Arial" w:hAnsi="Arial" w:cs="Arial"/>
          <w:sz w:val="24"/>
          <w:szCs w:val="24"/>
        </w:rPr>
        <w:t>Abari</w:t>
      </w:r>
      <w:r w:rsidR="000F7880">
        <w:rPr>
          <w:rFonts w:ascii="Arial" w:hAnsi="Arial" w:cs="Arial"/>
          <w:sz w:val="24"/>
          <w:szCs w:val="24"/>
        </w:rPr>
        <w:t>s</w:t>
      </w:r>
      <w:proofErr w:type="spellEnd"/>
      <w:r w:rsidR="004F676A">
        <w:rPr>
          <w:rFonts w:ascii="Arial" w:hAnsi="Arial" w:cs="Arial"/>
          <w:sz w:val="24"/>
          <w:szCs w:val="24"/>
        </w:rPr>
        <w:t xml:space="preserve"> (a </w:t>
      </w:r>
      <w:r w:rsidR="00715C7E">
        <w:rPr>
          <w:rFonts w:ascii="Arial" w:hAnsi="Arial" w:cs="Arial"/>
          <w:sz w:val="24"/>
          <w:szCs w:val="24"/>
        </w:rPr>
        <w:t>person and place</w:t>
      </w:r>
      <w:r w:rsidR="004F676A">
        <w:rPr>
          <w:rFonts w:ascii="Arial" w:hAnsi="Arial" w:cs="Arial"/>
          <w:sz w:val="24"/>
          <w:szCs w:val="24"/>
        </w:rPr>
        <w:t>)</w:t>
      </w:r>
      <w:r w:rsidR="00715C7E">
        <w:rPr>
          <w:rFonts w:ascii="Arial" w:hAnsi="Arial" w:cs="Arial"/>
          <w:sz w:val="24"/>
          <w:szCs w:val="24"/>
        </w:rPr>
        <w:t xml:space="preserve"> to</w:t>
      </w:r>
      <w:r w:rsidR="00EC3221">
        <w:rPr>
          <w:rFonts w:ascii="Arial" w:hAnsi="Arial" w:cs="Arial"/>
          <w:sz w:val="24"/>
          <w:szCs w:val="24"/>
        </w:rPr>
        <w:t xml:space="preserve"> Abbeville, the ‘capital city of the Dutchy of Picardy’ etc.</w:t>
      </w:r>
      <w:r w:rsidR="00FA2C64">
        <w:rPr>
          <w:rStyle w:val="FootnoteReference"/>
          <w:rFonts w:ascii="Arial" w:hAnsi="Arial" w:cs="Arial"/>
          <w:sz w:val="24"/>
          <w:szCs w:val="24"/>
        </w:rPr>
        <w:footnoteReference w:id="1"/>
      </w:r>
      <w:r w:rsidR="00EC3221">
        <w:rPr>
          <w:rFonts w:ascii="Arial" w:hAnsi="Arial" w:cs="Arial"/>
          <w:sz w:val="24"/>
          <w:szCs w:val="24"/>
        </w:rPr>
        <w:t xml:space="preserve"> </w:t>
      </w:r>
      <w:r w:rsidR="00FA2C64">
        <w:rPr>
          <w:rFonts w:ascii="Arial" w:hAnsi="Arial" w:cs="Arial"/>
          <w:sz w:val="24"/>
          <w:szCs w:val="24"/>
        </w:rPr>
        <w:t xml:space="preserve">However, </w:t>
      </w:r>
      <w:r w:rsidR="00AA114D">
        <w:rPr>
          <w:rFonts w:ascii="Arial" w:hAnsi="Arial" w:cs="Arial"/>
          <w:sz w:val="24"/>
          <w:szCs w:val="24"/>
        </w:rPr>
        <w:t>what is</w:t>
      </w:r>
      <w:r w:rsidR="00FA2C64">
        <w:rPr>
          <w:rFonts w:ascii="Arial" w:hAnsi="Arial" w:cs="Arial"/>
          <w:sz w:val="24"/>
          <w:szCs w:val="24"/>
        </w:rPr>
        <w:t xml:space="preserve"> most striking about the entries is that they tend to occupy considerably less space than their footnotes. </w:t>
      </w:r>
      <w:r w:rsidR="00D17DB2">
        <w:rPr>
          <w:rFonts w:ascii="Arial" w:hAnsi="Arial" w:cs="Arial"/>
          <w:sz w:val="24"/>
          <w:szCs w:val="24"/>
        </w:rPr>
        <w:t xml:space="preserve">The footnotes, along with various essays/dissertations that close volume five, constitute the ‘critical’ of the title. At least two of the end essays stand as extended entries: </w:t>
      </w:r>
      <w:r w:rsidR="004C21EB" w:rsidRPr="004C21EB">
        <w:rPr>
          <w:rFonts w:ascii="Arial" w:hAnsi="Arial" w:cs="Arial"/>
          <w:i/>
          <w:iCs/>
          <w:sz w:val="24"/>
          <w:szCs w:val="24"/>
        </w:rPr>
        <w:t>An</w:t>
      </w:r>
      <w:r w:rsidR="00D17DB2" w:rsidRPr="004C21EB">
        <w:rPr>
          <w:rFonts w:ascii="Arial" w:hAnsi="Arial" w:cs="Arial"/>
          <w:i/>
          <w:iCs/>
          <w:sz w:val="24"/>
          <w:szCs w:val="24"/>
        </w:rPr>
        <w:t xml:space="preserve"> Historical Discourse on </w:t>
      </w:r>
      <w:r w:rsidR="004C21EB" w:rsidRPr="004C21EB">
        <w:rPr>
          <w:rFonts w:ascii="Arial" w:hAnsi="Arial" w:cs="Arial"/>
          <w:i/>
          <w:iCs/>
          <w:sz w:val="24"/>
          <w:szCs w:val="24"/>
        </w:rPr>
        <w:t xml:space="preserve">the Life of </w:t>
      </w:r>
      <w:r w:rsidR="00D17DB2" w:rsidRPr="004C21EB">
        <w:rPr>
          <w:rFonts w:ascii="Arial" w:hAnsi="Arial" w:cs="Arial"/>
          <w:i/>
          <w:iCs/>
          <w:sz w:val="24"/>
          <w:szCs w:val="24"/>
        </w:rPr>
        <w:t>Gustavus Adolphus</w:t>
      </w:r>
      <w:r w:rsidR="004C21EB" w:rsidRPr="004C21EB">
        <w:rPr>
          <w:rFonts w:ascii="Arial" w:hAnsi="Arial" w:cs="Arial"/>
          <w:i/>
          <w:iCs/>
          <w:sz w:val="24"/>
          <w:szCs w:val="24"/>
        </w:rPr>
        <w:t>, King of Sweden</w:t>
      </w:r>
      <w:r w:rsidR="00D17DB2" w:rsidRPr="004C21EB">
        <w:rPr>
          <w:rFonts w:ascii="Arial" w:hAnsi="Arial" w:cs="Arial"/>
          <w:i/>
          <w:iCs/>
          <w:sz w:val="24"/>
          <w:szCs w:val="24"/>
        </w:rPr>
        <w:t xml:space="preserve"> </w:t>
      </w:r>
      <w:r w:rsidR="00D17DB2" w:rsidRPr="004C21EB">
        <w:rPr>
          <w:rFonts w:ascii="Arial" w:hAnsi="Arial" w:cs="Arial"/>
          <w:sz w:val="24"/>
          <w:szCs w:val="24"/>
        </w:rPr>
        <w:t>and</w:t>
      </w:r>
      <w:r w:rsidR="004C21EB" w:rsidRPr="004C21EB">
        <w:rPr>
          <w:rFonts w:ascii="Arial" w:hAnsi="Arial" w:cs="Arial"/>
          <w:sz w:val="24"/>
          <w:szCs w:val="24"/>
        </w:rPr>
        <w:t xml:space="preserve"> </w:t>
      </w:r>
      <w:r w:rsidR="004C21EB" w:rsidRPr="004C21EB">
        <w:rPr>
          <w:rFonts w:ascii="Arial" w:hAnsi="Arial" w:cs="Arial"/>
          <w:i/>
          <w:iCs/>
          <w:sz w:val="24"/>
          <w:szCs w:val="24"/>
        </w:rPr>
        <w:t>A</w:t>
      </w:r>
      <w:r w:rsidR="004C21EB" w:rsidRPr="004C21EB">
        <w:rPr>
          <w:rFonts w:ascii="Arial" w:hAnsi="Arial" w:cs="Arial"/>
          <w:sz w:val="24"/>
          <w:szCs w:val="24"/>
        </w:rPr>
        <w:t xml:space="preserve"> </w:t>
      </w:r>
      <w:r w:rsidR="00D17DB2" w:rsidRPr="004C21EB">
        <w:rPr>
          <w:rFonts w:ascii="Arial" w:hAnsi="Arial" w:cs="Arial"/>
          <w:i/>
          <w:iCs/>
          <w:sz w:val="24"/>
          <w:szCs w:val="24"/>
        </w:rPr>
        <w:t xml:space="preserve">Dissertation </w:t>
      </w:r>
      <w:r w:rsidR="004C21EB" w:rsidRPr="004C21EB">
        <w:rPr>
          <w:rFonts w:ascii="Arial" w:hAnsi="Arial" w:cs="Arial"/>
          <w:i/>
          <w:iCs/>
          <w:sz w:val="24"/>
          <w:szCs w:val="24"/>
        </w:rPr>
        <w:t>concerning the</w:t>
      </w:r>
      <w:r w:rsidR="00D17DB2" w:rsidRPr="004C21EB">
        <w:rPr>
          <w:rFonts w:ascii="Arial" w:hAnsi="Arial" w:cs="Arial"/>
          <w:i/>
          <w:iCs/>
          <w:sz w:val="24"/>
          <w:szCs w:val="24"/>
        </w:rPr>
        <w:t xml:space="preserve"> </w:t>
      </w:r>
      <w:proofErr w:type="spellStart"/>
      <w:r w:rsidR="00D17DB2" w:rsidRPr="004C21EB">
        <w:rPr>
          <w:rFonts w:ascii="Arial" w:hAnsi="Arial" w:cs="Arial"/>
          <w:i/>
          <w:iCs/>
          <w:sz w:val="24"/>
          <w:szCs w:val="24"/>
        </w:rPr>
        <w:t>Hippomanes</w:t>
      </w:r>
      <w:proofErr w:type="spellEnd"/>
      <w:r w:rsidR="00D17DB2">
        <w:rPr>
          <w:rFonts w:ascii="Arial" w:hAnsi="Arial" w:cs="Arial"/>
          <w:sz w:val="24"/>
          <w:szCs w:val="24"/>
        </w:rPr>
        <w:t xml:space="preserve">. There is an entry in the main body of the dictionary for </w:t>
      </w:r>
      <w:proofErr w:type="spellStart"/>
      <w:r w:rsidR="00D17DB2">
        <w:rPr>
          <w:rFonts w:ascii="Arial" w:hAnsi="Arial" w:cs="Arial"/>
          <w:sz w:val="24"/>
          <w:szCs w:val="24"/>
        </w:rPr>
        <w:t>Hippomanes</w:t>
      </w:r>
      <w:proofErr w:type="spellEnd"/>
      <w:r w:rsidR="00D17DB2">
        <w:rPr>
          <w:rFonts w:ascii="Arial" w:hAnsi="Arial" w:cs="Arial"/>
          <w:sz w:val="24"/>
          <w:szCs w:val="24"/>
        </w:rPr>
        <w:t xml:space="preserve"> in its expected place (amongst the Hs in volume three) that merely directs to the essay, whilst there is no entry </w:t>
      </w:r>
      <w:r w:rsidR="0085108E">
        <w:rPr>
          <w:rFonts w:ascii="Arial" w:hAnsi="Arial" w:cs="Arial"/>
          <w:sz w:val="24"/>
          <w:szCs w:val="24"/>
        </w:rPr>
        <w:t xml:space="preserve">at all </w:t>
      </w:r>
      <w:r w:rsidR="00D17DB2">
        <w:rPr>
          <w:rFonts w:ascii="Arial" w:hAnsi="Arial" w:cs="Arial"/>
          <w:sz w:val="24"/>
          <w:szCs w:val="24"/>
        </w:rPr>
        <w:t xml:space="preserve">amongst A in volume one </w:t>
      </w:r>
      <w:r w:rsidR="0085108E">
        <w:rPr>
          <w:rFonts w:ascii="Arial" w:hAnsi="Arial" w:cs="Arial"/>
          <w:sz w:val="24"/>
          <w:szCs w:val="24"/>
        </w:rPr>
        <w:t xml:space="preserve">concerning Adolphus. </w:t>
      </w:r>
    </w:p>
    <w:p w14:paraId="1BEF4BF0" w14:textId="2416DB1F" w:rsidR="00E23A78" w:rsidRDefault="001B5D85" w:rsidP="001B5D85">
      <w:pPr>
        <w:spacing w:line="480" w:lineRule="auto"/>
        <w:rPr>
          <w:rFonts w:ascii="Arial" w:hAnsi="Arial" w:cs="Arial"/>
          <w:sz w:val="24"/>
          <w:szCs w:val="24"/>
        </w:rPr>
      </w:pPr>
      <w:r>
        <w:rPr>
          <w:rFonts w:ascii="Arial" w:hAnsi="Arial" w:cs="Arial"/>
          <w:sz w:val="24"/>
          <w:szCs w:val="24"/>
        </w:rPr>
        <w:t>T</w:t>
      </w:r>
      <w:r w:rsidR="0085108E">
        <w:rPr>
          <w:rFonts w:ascii="Arial" w:hAnsi="Arial" w:cs="Arial"/>
          <w:sz w:val="24"/>
          <w:szCs w:val="24"/>
        </w:rPr>
        <w:t xml:space="preserve">hough the effect of the critical seems to outweigh the referential, that </w:t>
      </w:r>
      <w:r>
        <w:rPr>
          <w:rFonts w:ascii="Arial" w:hAnsi="Arial" w:cs="Arial"/>
          <w:sz w:val="24"/>
          <w:szCs w:val="24"/>
        </w:rPr>
        <w:t>does</w:t>
      </w:r>
      <w:r w:rsidR="0085108E">
        <w:rPr>
          <w:rFonts w:ascii="Arial" w:hAnsi="Arial" w:cs="Arial"/>
          <w:sz w:val="24"/>
          <w:szCs w:val="24"/>
        </w:rPr>
        <w:t xml:space="preserve"> not diminish the importance of the </w:t>
      </w:r>
      <w:r w:rsidR="00E44103">
        <w:rPr>
          <w:rFonts w:ascii="Arial" w:hAnsi="Arial" w:cs="Arial"/>
          <w:sz w:val="24"/>
          <w:szCs w:val="24"/>
        </w:rPr>
        <w:t>referential aspect</w:t>
      </w:r>
      <w:r>
        <w:rPr>
          <w:rFonts w:ascii="Arial" w:hAnsi="Arial" w:cs="Arial"/>
          <w:sz w:val="24"/>
          <w:szCs w:val="24"/>
        </w:rPr>
        <w:t>;</w:t>
      </w:r>
      <w:r w:rsidR="00E44103">
        <w:rPr>
          <w:rFonts w:ascii="Arial" w:hAnsi="Arial" w:cs="Arial"/>
          <w:sz w:val="24"/>
          <w:szCs w:val="24"/>
        </w:rPr>
        <w:t xml:space="preserve"> t</w:t>
      </w:r>
      <w:r w:rsidR="0085108E">
        <w:rPr>
          <w:rFonts w:ascii="Arial" w:hAnsi="Arial" w:cs="Arial"/>
          <w:sz w:val="24"/>
          <w:szCs w:val="24"/>
        </w:rPr>
        <w:t xml:space="preserve">wo </w:t>
      </w:r>
      <w:r w:rsidR="00E44103">
        <w:rPr>
          <w:rFonts w:ascii="Arial" w:hAnsi="Arial" w:cs="Arial"/>
          <w:sz w:val="24"/>
          <w:szCs w:val="24"/>
        </w:rPr>
        <w:t xml:space="preserve">of Bayle’s </w:t>
      </w:r>
      <w:r w:rsidR="00AA114D">
        <w:rPr>
          <w:rFonts w:ascii="Arial" w:hAnsi="Arial" w:cs="Arial"/>
          <w:sz w:val="24"/>
          <w:szCs w:val="24"/>
        </w:rPr>
        <w:t>essay</w:t>
      </w:r>
      <w:r w:rsidR="0085108E">
        <w:rPr>
          <w:rFonts w:ascii="Arial" w:hAnsi="Arial" w:cs="Arial"/>
          <w:sz w:val="24"/>
          <w:szCs w:val="24"/>
        </w:rPr>
        <w:t xml:space="preserve">s </w:t>
      </w:r>
      <w:r w:rsidR="00E44103">
        <w:rPr>
          <w:rFonts w:ascii="Arial" w:hAnsi="Arial" w:cs="Arial"/>
          <w:sz w:val="24"/>
          <w:szCs w:val="24"/>
        </w:rPr>
        <w:t xml:space="preserve">finishing </w:t>
      </w:r>
      <w:r w:rsidR="00AA114D">
        <w:rPr>
          <w:rFonts w:ascii="Arial" w:hAnsi="Arial" w:cs="Arial"/>
          <w:sz w:val="24"/>
          <w:szCs w:val="24"/>
        </w:rPr>
        <w:t>volume five of the work</w:t>
      </w:r>
      <w:r w:rsidR="00E44103">
        <w:rPr>
          <w:rFonts w:ascii="Arial" w:hAnsi="Arial" w:cs="Arial"/>
          <w:sz w:val="24"/>
          <w:szCs w:val="24"/>
        </w:rPr>
        <w:t xml:space="preserve"> are </w:t>
      </w:r>
      <w:r w:rsidR="0085108E">
        <w:rPr>
          <w:rFonts w:ascii="Arial" w:hAnsi="Arial" w:cs="Arial"/>
          <w:sz w:val="24"/>
          <w:szCs w:val="24"/>
        </w:rPr>
        <w:t>critical remark</w:t>
      </w:r>
      <w:r w:rsidR="00E44103">
        <w:rPr>
          <w:rFonts w:ascii="Arial" w:hAnsi="Arial" w:cs="Arial"/>
          <w:sz w:val="24"/>
          <w:szCs w:val="24"/>
        </w:rPr>
        <w:t>s</w:t>
      </w:r>
      <w:r w:rsidR="0085108E">
        <w:rPr>
          <w:rFonts w:ascii="Arial" w:hAnsi="Arial" w:cs="Arial"/>
          <w:sz w:val="24"/>
          <w:szCs w:val="24"/>
        </w:rPr>
        <w:t xml:space="preserve"> on another dictionary (by </w:t>
      </w:r>
      <w:proofErr w:type="spellStart"/>
      <w:r w:rsidR="0085108E">
        <w:rPr>
          <w:rFonts w:ascii="Arial" w:hAnsi="Arial" w:cs="Arial"/>
          <w:sz w:val="24"/>
          <w:szCs w:val="24"/>
        </w:rPr>
        <w:t>Moreri</w:t>
      </w:r>
      <w:proofErr w:type="spellEnd"/>
      <w:r w:rsidR="0085108E">
        <w:rPr>
          <w:rFonts w:ascii="Arial" w:hAnsi="Arial" w:cs="Arial"/>
          <w:sz w:val="24"/>
          <w:szCs w:val="24"/>
        </w:rPr>
        <w:t>)</w:t>
      </w:r>
      <w:r w:rsidR="00E44103">
        <w:rPr>
          <w:rFonts w:ascii="Arial" w:hAnsi="Arial" w:cs="Arial"/>
          <w:sz w:val="24"/>
          <w:szCs w:val="24"/>
        </w:rPr>
        <w:t xml:space="preserve"> and</w:t>
      </w:r>
      <w:r w:rsidR="0085108E">
        <w:rPr>
          <w:rFonts w:ascii="Arial" w:hAnsi="Arial" w:cs="Arial"/>
          <w:sz w:val="24"/>
          <w:szCs w:val="24"/>
        </w:rPr>
        <w:t xml:space="preserve"> </w:t>
      </w:r>
      <w:r w:rsidR="0085108E">
        <w:rPr>
          <w:rFonts w:ascii="Arial" w:hAnsi="Arial" w:cs="Arial"/>
          <w:sz w:val="24"/>
          <w:szCs w:val="24"/>
        </w:rPr>
        <w:lastRenderedPageBreak/>
        <w:t xml:space="preserve">suggest the </w:t>
      </w:r>
      <w:r w:rsidR="008A6AAD">
        <w:rPr>
          <w:rFonts w:ascii="Arial" w:hAnsi="Arial" w:cs="Arial"/>
          <w:sz w:val="24"/>
          <w:szCs w:val="24"/>
        </w:rPr>
        <w:t xml:space="preserve">significance </w:t>
      </w:r>
      <w:r w:rsidR="0085108E">
        <w:rPr>
          <w:rFonts w:ascii="Arial" w:hAnsi="Arial" w:cs="Arial"/>
          <w:sz w:val="24"/>
          <w:szCs w:val="24"/>
        </w:rPr>
        <w:t>Bayle</w:t>
      </w:r>
      <w:r w:rsidR="00E44103">
        <w:rPr>
          <w:rFonts w:ascii="Arial" w:hAnsi="Arial" w:cs="Arial"/>
          <w:sz w:val="24"/>
          <w:szCs w:val="24"/>
        </w:rPr>
        <w:t xml:space="preserve"> attributed to</w:t>
      </w:r>
      <w:r w:rsidR="0085108E">
        <w:rPr>
          <w:rFonts w:ascii="Arial" w:hAnsi="Arial" w:cs="Arial"/>
          <w:sz w:val="24"/>
          <w:szCs w:val="24"/>
        </w:rPr>
        <w:t xml:space="preserve"> such undertakings</w:t>
      </w:r>
      <w:r w:rsidR="00E44103">
        <w:rPr>
          <w:rFonts w:ascii="Arial" w:hAnsi="Arial" w:cs="Arial"/>
          <w:sz w:val="24"/>
          <w:szCs w:val="24"/>
        </w:rPr>
        <w:t>.</w:t>
      </w:r>
      <w:r w:rsidR="0085108E">
        <w:rPr>
          <w:rFonts w:ascii="Arial" w:hAnsi="Arial" w:cs="Arial"/>
          <w:sz w:val="24"/>
          <w:szCs w:val="24"/>
        </w:rPr>
        <w:t xml:space="preserve"> </w:t>
      </w:r>
      <w:r>
        <w:rPr>
          <w:rFonts w:ascii="Arial" w:hAnsi="Arial" w:cs="Arial"/>
          <w:sz w:val="24"/>
          <w:szCs w:val="24"/>
        </w:rPr>
        <w:t>As</w:t>
      </w:r>
      <w:r w:rsidR="008A6AAD">
        <w:rPr>
          <w:rFonts w:ascii="Arial" w:hAnsi="Arial" w:cs="Arial"/>
          <w:sz w:val="24"/>
          <w:szCs w:val="24"/>
        </w:rPr>
        <w:t xml:space="preserve"> a second edition (the first dated as</w:t>
      </w:r>
      <w:r w:rsidR="00AA114D">
        <w:rPr>
          <w:rFonts w:ascii="Arial" w:hAnsi="Arial" w:cs="Arial"/>
          <w:sz w:val="24"/>
          <w:szCs w:val="24"/>
        </w:rPr>
        <w:t xml:space="preserve"> being published in </w:t>
      </w:r>
      <w:r w:rsidR="008A6AAD">
        <w:rPr>
          <w:rFonts w:ascii="Arial" w:hAnsi="Arial" w:cs="Arial"/>
          <w:sz w:val="24"/>
          <w:szCs w:val="24"/>
        </w:rPr>
        <w:t xml:space="preserve">1697 by the philosophy pages of the online Britannica) most </w:t>
      </w:r>
      <w:r w:rsidR="00AA114D">
        <w:rPr>
          <w:rFonts w:ascii="Arial" w:hAnsi="Arial" w:cs="Arial"/>
          <w:sz w:val="24"/>
          <w:szCs w:val="24"/>
        </w:rPr>
        <w:t xml:space="preserve">of the </w:t>
      </w:r>
      <w:r w:rsidR="008A6AAD">
        <w:rPr>
          <w:rFonts w:ascii="Arial" w:hAnsi="Arial" w:cs="Arial"/>
          <w:sz w:val="24"/>
          <w:szCs w:val="24"/>
        </w:rPr>
        <w:t>work was extant in Bayle’s original (English) edition</w:t>
      </w:r>
      <w:r w:rsidR="00AA114D">
        <w:rPr>
          <w:rFonts w:ascii="Arial" w:hAnsi="Arial" w:cs="Arial"/>
          <w:sz w:val="24"/>
          <w:szCs w:val="24"/>
        </w:rPr>
        <w:t xml:space="preserve">. The </w:t>
      </w:r>
      <w:r w:rsidR="008A6AAD">
        <w:rPr>
          <w:rFonts w:ascii="Arial" w:hAnsi="Arial" w:cs="Arial"/>
          <w:sz w:val="24"/>
          <w:szCs w:val="24"/>
        </w:rPr>
        <w:t>exception</w:t>
      </w:r>
      <w:r w:rsidR="00AA114D">
        <w:rPr>
          <w:rFonts w:ascii="Arial" w:hAnsi="Arial" w:cs="Arial"/>
          <w:sz w:val="24"/>
          <w:szCs w:val="24"/>
        </w:rPr>
        <w:t xml:space="preserve"> is the</w:t>
      </w:r>
      <w:r w:rsidR="0085175F">
        <w:rPr>
          <w:rFonts w:ascii="Arial" w:hAnsi="Arial" w:cs="Arial"/>
          <w:sz w:val="24"/>
          <w:szCs w:val="24"/>
        </w:rPr>
        <w:t xml:space="preserve"> biography of Pierre Bayle</w:t>
      </w:r>
      <w:r w:rsidR="00AA114D">
        <w:rPr>
          <w:rFonts w:ascii="Arial" w:hAnsi="Arial" w:cs="Arial"/>
          <w:sz w:val="24"/>
          <w:szCs w:val="24"/>
        </w:rPr>
        <w:t xml:space="preserve">, </w:t>
      </w:r>
      <w:r w:rsidR="0085175F">
        <w:rPr>
          <w:rFonts w:ascii="Arial" w:hAnsi="Arial" w:cs="Arial"/>
          <w:sz w:val="24"/>
          <w:szCs w:val="24"/>
        </w:rPr>
        <w:t xml:space="preserve">written by fellow Huguenot </w:t>
      </w:r>
      <w:r w:rsidR="0085175F" w:rsidRPr="00B7598F">
        <w:rPr>
          <w:rFonts w:ascii="Arial" w:hAnsi="Arial" w:cs="Arial"/>
          <w:sz w:val="24"/>
          <w:szCs w:val="24"/>
        </w:rPr>
        <w:t>exile</w:t>
      </w:r>
      <w:r w:rsidR="0085175F">
        <w:rPr>
          <w:rFonts w:ascii="Arial" w:hAnsi="Arial" w:cs="Arial"/>
          <w:sz w:val="24"/>
          <w:szCs w:val="24"/>
        </w:rPr>
        <w:t xml:space="preserve"> Mr </w:t>
      </w:r>
      <w:r w:rsidR="00B7598F">
        <w:rPr>
          <w:rFonts w:ascii="Arial" w:hAnsi="Arial" w:cs="Arial"/>
          <w:sz w:val="24"/>
          <w:szCs w:val="24"/>
        </w:rPr>
        <w:t xml:space="preserve">Pierre </w:t>
      </w:r>
      <w:r w:rsidR="0085175F">
        <w:rPr>
          <w:rFonts w:ascii="Arial" w:hAnsi="Arial" w:cs="Arial"/>
          <w:sz w:val="24"/>
          <w:szCs w:val="24"/>
        </w:rPr>
        <w:t xml:space="preserve">Des </w:t>
      </w:r>
      <w:r w:rsidR="004B4644">
        <w:rPr>
          <w:rFonts w:ascii="Arial" w:hAnsi="Arial" w:cs="Arial"/>
          <w:sz w:val="24"/>
          <w:szCs w:val="24"/>
        </w:rPr>
        <w:t>Maizeaux</w:t>
      </w:r>
      <w:r w:rsidR="00B7598F">
        <w:rPr>
          <w:rFonts w:ascii="Arial" w:hAnsi="Arial" w:cs="Arial"/>
          <w:sz w:val="24"/>
          <w:szCs w:val="24"/>
        </w:rPr>
        <w:t xml:space="preserve">, </w:t>
      </w:r>
      <w:r>
        <w:rPr>
          <w:rFonts w:ascii="Arial" w:hAnsi="Arial" w:cs="Arial"/>
          <w:sz w:val="24"/>
          <w:szCs w:val="24"/>
        </w:rPr>
        <w:t>who was also</w:t>
      </w:r>
      <w:r w:rsidR="00B7598F">
        <w:rPr>
          <w:rFonts w:ascii="Arial" w:hAnsi="Arial" w:cs="Arial"/>
          <w:sz w:val="24"/>
          <w:szCs w:val="24"/>
        </w:rPr>
        <w:t xml:space="preserve"> presumably the translator of the French original</w:t>
      </w:r>
      <w:r w:rsidR="0066579B">
        <w:rPr>
          <w:rFonts w:ascii="Arial" w:hAnsi="Arial" w:cs="Arial"/>
          <w:sz w:val="24"/>
          <w:szCs w:val="24"/>
        </w:rPr>
        <w:t>.</w:t>
      </w:r>
      <w:r w:rsidR="0066579B">
        <w:rPr>
          <w:rStyle w:val="FootnoteReference"/>
          <w:rFonts w:ascii="Arial" w:hAnsi="Arial" w:cs="Arial"/>
          <w:sz w:val="24"/>
          <w:szCs w:val="24"/>
        </w:rPr>
        <w:footnoteReference w:id="2"/>
      </w:r>
      <w:r w:rsidR="0066579B">
        <w:rPr>
          <w:rFonts w:ascii="Arial" w:hAnsi="Arial" w:cs="Arial"/>
          <w:sz w:val="24"/>
          <w:szCs w:val="24"/>
        </w:rPr>
        <w:t xml:space="preserve"> This </w:t>
      </w:r>
      <w:r w:rsidR="00AA114D">
        <w:rPr>
          <w:rFonts w:ascii="Arial" w:hAnsi="Arial" w:cs="Arial"/>
          <w:sz w:val="24"/>
          <w:szCs w:val="24"/>
        </w:rPr>
        <w:t xml:space="preserve">seems </w:t>
      </w:r>
      <w:r w:rsidR="00253303">
        <w:rPr>
          <w:rFonts w:ascii="Arial" w:hAnsi="Arial" w:cs="Arial"/>
          <w:sz w:val="24"/>
          <w:szCs w:val="24"/>
        </w:rPr>
        <w:t>a fitting addition to what is a posthumous publication</w:t>
      </w:r>
      <w:r>
        <w:rPr>
          <w:rFonts w:ascii="Arial" w:hAnsi="Arial" w:cs="Arial"/>
          <w:sz w:val="24"/>
          <w:szCs w:val="24"/>
        </w:rPr>
        <w:t xml:space="preserve"> -</w:t>
      </w:r>
      <w:r w:rsidR="00253303">
        <w:rPr>
          <w:rFonts w:ascii="Arial" w:hAnsi="Arial" w:cs="Arial"/>
          <w:sz w:val="24"/>
          <w:szCs w:val="24"/>
        </w:rPr>
        <w:t xml:space="preserve"> Bayle died in 1706 and the title page </w:t>
      </w:r>
      <w:r>
        <w:rPr>
          <w:rFonts w:ascii="Arial" w:hAnsi="Arial" w:cs="Arial"/>
          <w:sz w:val="24"/>
          <w:szCs w:val="24"/>
        </w:rPr>
        <w:t xml:space="preserve">this edition </w:t>
      </w:r>
      <w:r w:rsidR="00253303">
        <w:rPr>
          <w:rFonts w:ascii="Arial" w:hAnsi="Arial" w:cs="Arial"/>
          <w:sz w:val="24"/>
          <w:szCs w:val="24"/>
        </w:rPr>
        <w:t xml:space="preserve">notes </w:t>
      </w:r>
      <w:r>
        <w:rPr>
          <w:rFonts w:ascii="Arial" w:hAnsi="Arial" w:cs="Arial"/>
          <w:sz w:val="24"/>
          <w:szCs w:val="24"/>
        </w:rPr>
        <w:t>its</w:t>
      </w:r>
      <w:r w:rsidR="00253303">
        <w:rPr>
          <w:rFonts w:ascii="Arial" w:hAnsi="Arial" w:cs="Arial"/>
          <w:sz w:val="24"/>
          <w:szCs w:val="24"/>
        </w:rPr>
        <w:t xml:space="preserve"> first volume to have been printed in 1734 (the remaining volumes of the work completed by</w:t>
      </w:r>
      <w:r w:rsidR="00AC476B">
        <w:rPr>
          <w:rFonts w:ascii="Arial" w:hAnsi="Arial" w:cs="Arial"/>
          <w:sz w:val="24"/>
          <w:szCs w:val="24"/>
        </w:rPr>
        <w:t xml:space="preserve"> </w:t>
      </w:r>
      <w:r>
        <w:rPr>
          <w:rFonts w:ascii="Arial" w:hAnsi="Arial" w:cs="Arial"/>
          <w:sz w:val="24"/>
          <w:szCs w:val="24"/>
        </w:rPr>
        <w:t>1738).</w:t>
      </w:r>
    </w:p>
    <w:p w14:paraId="1D8441B7" w14:textId="3F34D301" w:rsidR="00AA114D" w:rsidRDefault="001B5D85" w:rsidP="001B5D85">
      <w:pPr>
        <w:spacing w:line="480" w:lineRule="auto"/>
        <w:rPr>
          <w:rFonts w:ascii="Arial" w:hAnsi="Arial" w:cs="Arial"/>
          <w:sz w:val="24"/>
          <w:szCs w:val="24"/>
        </w:rPr>
      </w:pPr>
      <w:r>
        <w:rPr>
          <w:rFonts w:ascii="Arial" w:hAnsi="Arial" w:cs="Arial"/>
          <w:sz w:val="24"/>
          <w:szCs w:val="24"/>
        </w:rPr>
        <w:t xml:space="preserve">Not much is revealed by either the </w:t>
      </w:r>
      <w:r w:rsidR="00175901">
        <w:rPr>
          <w:rFonts w:ascii="Arial" w:hAnsi="Arial" w:cs="Arial"/>
          <w:sz w:val="24"/>
          <w:szCs w:val="24"/>
        </w:rPr>
        <w:t xml:space="preserve">title </w:t>
      </w:r>
      <w:r>
        <w:rPr>
          <w:rFonts w:ascii="Arial" w:hAnsi="Arial" w:cs="Arial"/>
          <w:sz w:val="24"/>
          <w:szCs w:val="24"/>
        </w:rPr>
        <w:t>page, or</w:t>
      </w:r>
      <w:r w:rsidR="004C26C2">
        <w:rPr>
          <w:rFonts w:ascii="Arial" w:hAnsi="Arial" w:cs="Arial"/>
          <w:sz w:val="24"/>
          <w:szCs w:val="24"/>
        </w:rPr>
        <w:t xml:space="preserve"> in any</w:t>
      </w:r>
      <w:r>
        <w:rPr>
          <w:rFonts w:ascii="Arial" w:hAnsi="Arial" w:cs="Arial"/>
          <w:sz w:val="24"/>
          <w:szCs w:val="24"/>
        </w:rPr>
        <w:t xml:space="preserve"> records of the dictionary, about the printer</w:t>
      </w:r>
      <w:r w:rsidR="004C26C2">
        <w:rPr>
          <w:rFonts w:ascii="Arial" w:hAnsi="Arial" w:cs="Arial"/>
          <w:sz w:val="24"/>
          <w:szCs w:val="24"/>
        </w:rPr>
        <w:t>,</w:t>
      </w:r>
      <w:r>
        <w:rPr>
          <w:rFonts w:ascii="Arial" w:hAnsi="Arial" w:cs="Arial"/>
          <w:sz w:val="24"/>
          <w:szCs w:val="24"/>
        </w:rPr>
        <w:t xml:space="preserve"> </w:t>
      </w:r>
      <w:r w:rsidR="00175901">
        <w:rPr>
          <w:rFonts w:ascii="Arial" w:hAnsi="Arial" w:cs="Arial"/>
          <w:sz w:val="24"/>
          <w:szCs w:val="24"/>
        </w:rPr>
        <w:t>except</w:t>
      </w:r>
      <w:r>
        <w:rPr>
          <w:rFonts w:ascii="Arial" w:hAnsi="Arial" w:cs="Arial"/>
          <w:sz w:val="24"/>
          <w:szCs w:val="24"/>
        </w:rPr>
        <w:t xml:space="preserve"> the</w:t>
      </w:r>
      <w:r w:rsidR="00175901">
        <w:rPr>
          <w:rFonts w:ascii="Arial" w:hAnsi="Arial" w:cs="Arial"/>
          <w:sz w:val="24"/>
          <w:szCs w:val="24"/>
        </w:rPr>
        <w:t>y were</w:t>
      </w:r>
      <w:r>
        <w:rPr>
          <w:rFonts w:ascii="Arial" w:hAnsi="Arial" w:cs="Arial"/>
          <w:sz w:val="24"/>
          <w:szCs w:val="24"/>
        </w:rPr>
        <w:t xml:space="preserve"> locat</w:t>
      </w:r>
      <w:r w:rsidR="00175901">
        <w:rPr>
          <w:rFonts w:ascii="Arial" w:hAnsi="Arial" w:cs="Arial"/>
          <w:sz w:val="24"/>
          <w:szCs w:val="24"/>
        </w:rPr>
        <w:t>ed</w:t>
      </w:r>
      <w:r>
        <w:rPr>
          <w:rFonts w:ascii="Arial" w:hAnsi="Arial" w:cs="Arial"/>
          <w:sz w:val="24"/>
          <w:szCs w:val="24"/>
        </w:rPr>
        <w:t xml:space="preserve"> in London</w:t>
      </w:r>
      <w:r w:rsidR="00175901">
        <w:rPr>
          <w:rFonts w:ascii="Arial" w:hAnsi="Arial" w:cs="Arial"/>
          <w:sz w:val="24"/>
          <w:szCs w:val="24"/>
        </w:rPr>
        <w:t>. However, t</w:t>
      </w:r>
      <w:r>
        <w:rPr>
          <w:rFonts w:ascii="Arial" w:hAnsi="Arial" w:cs="Arial"/>
          <w:sz w:val="24"/>
          <w:szCs w:val="24"/>
        </w:rPr>
        <w:t>here is a</w:t>
      </w:r>
      <w:r w:rsidR="00175901">
        <w:rPr>
          <w:rFonts w:ascii="Arial" w:hAnsi="Arial" w:cs="Arial"/>
          <w:sz w:val="24"/>
          <w:szCs w:val="24"/>
        </w:rPr>
        <w:t xml:space="preserve">n extensive list of booksellers, </w:t>
      </w:r>
      <w:r w:rsidR="00AA114D">
        <w:rPr>
          <w:rFonts w:ascii="Arial" w:hAnsi="Arial" w:cs="Arial"/>
          <w:sz w:val="24"/>
          <w:szCs w:val="24"/>
        </w:rPr>
        <w:t xml:space="preserve">or, </w:t>
      </w:r>
      <w:r w:rsidR="00175901">
        <w:rPr>
          <w:rFonts w:ascii="Arial" w:hAnsi="Arial" w:cs="Arial"/>
          <w:sz w:val="24"/>
          <w:szCs w:val="24"/>
        </w:rPr>
        <w:t xml:space="preserve">at least people for whom the book was printed – most are identifiable as sellers in the 1668-1725, or 1726-1775 Plomer’s </w:t>
      </w:r>
      <w:r w:rsidR="00175901">
        <w:rPr>
          <w:rFonts w:ascii="Arial" w:hAnsi="Arial" w:cs="Arial"/>
          <w:i/>
          <w:iCs/>
          <w:sz w:val="24"/>
          <w:szCs w:val="24"/>
        </w:rPr>
        <w:t>A Dictionary of Printers and Booksellers</w:t>
      </w:r>
      <w:r w:rsidR="00175901">
        <w:rPr>
          <w:rFonts w:ascii="Arial" w:hAnsi="Arial" w:cs="Arial"/>
          <w:sz w:val="24"/>
          <w:szCs w:val="24"/>
        </w:rPr>
        <w:t>.</w:t>
      </w:r>
      <w:r w:rsidR="0074238C">
        <w:rPr>
          <w:rStyle w:val="FootnoteReference"/>
          <w:rFonts w:ascii="Arial" w:hAnsi="Arial" w:cs="Arial"/>
          <w:sz w:val="24"/>
          <w:szCs w:val="24"/>
        </w:rPr>
        <w:footnoteReference w:id="3"/>
      </w:r>
      <w:r w:rsidR="00175901">
        <w:rPr>
          <w:rFonts w:ascii="Arial" w:hAnsi="Arial" w:cs="Arial"/>
          <w:sz w:val="24"/>
          <w:szCs w:val="24"/>
        </w:rPr>
        <w:t xml:space="preserve"> From a list of thirty-one individuals, only five </w:t>
      </w:r>
      <w:r w:rsidR="0074238C">
        <w:rPr>
          <w:rFonts w:ascii="Arial" w:hAnsi="Arial" w:cs="Arial"/>
          <w:sz w:val="24"/>
          <w:szCs w:val="24"/>
        </w:rPr>
        <w:t>seem</w:t>
      </w:r>
      <w:r w:rsidR="00175901">
        <w:rPr>
          <w:rFonts w:ascii="Arial" w:hAnsi="Arial" w:cs="Arial"/>
          <w:sz w:val="24"/>
          <w:szCs w:val="24"/>
        </w:rPr>
        <w:t xml:space="preserve"> not</w:t>
      </w:r>
      <w:r w:rsidR="0074238C">
        <w:rPr>
          <w:rFonts w:ascii="Arial" w:hAnsi="Arial" w:cs="Arial"/>
          <w:sz w:val="24"/>
          <w:szCs w:val="24"/>
        </w:rPr>
        <w:t xml:space="preserve"> to be</w:t>
      </w:r>
      <w:r w:rsidR="00175901">
        <w:rPr>
          <w:rFonts w:ascii="Arial" w:hAnsi="Arial" w:cs="Arial"/>
          <w:sz w:val="24"/>
          <w:szCs w:val="24"/>
        </w:rPr>
        <w:t xml:space="preserve"> listed in these two reference books</w:t>
      </w:r>
      <w:r w:rsidR="0074238C">
        <w:rPr>
          <w:rFonts w:ascii="Arial" w:hAnsi="Arial" w:cs="Arial"/>
          <w:sz w:val="24"/>
          <w:szCs w:val="24"/>
        </w:rPr>
        <w:t xml:space="preserve">: E Wicksteed, T Woodward, A Ward, H Whitridge, </w:t>
      </w:r>
      <w:r w:rsidR="00AA114D">
        <w:rPr>
          <w:rFonts w:ascii="Arial" w:hAnsi="Arial" w:cs="Arial"/>
          <w:sz w:val="24"/>
          <w:szCs w:val="24"/>
        </w:rPr>
        <w:t xml:space="preserve">and </w:t>
      </w:r>
      <w:r w:rsidR="0074238C">
        <w:rPr>
          <w:rFonts w:ascii="Arial" w:hAnsi="Arial" w:cs="Arial"/>
          <w:sz w:val="24"/>
          <w:szCs w:val="24"/>
        </w:rPr>
        <w:t>R. Willock.</w:t>
      </w:r>
      <w:r w:rsidR="00800C54">
        <w:rPr>
          <w:rFonts w:ascii="Arial" w:hAnsi="Arial" w:cs="Arial"/>
          <w:sz w:val="24"/>
          <w:szCs w:val="24"/>
        </w:rPr>
        <w:t xml:space="preserve"> </w:t>
      </w:r>
      <w:r w:rsidR="00236A16">
        <w:rPr>
          <w:rFonts w:ascii="Arial" w:hAnsi="Arial" w:cs="Arial"/>
          <w:sz w:val="24"/>
          <w:szCs w:val="24"/>
        </w:rPr>
        <w:t xml:space="preserve">Of the remaining parties all </w:t>
      </w:r>
      <w:r w:rsidR="00AA114D">
        <w:rPr>
          <w:rFonts w:ascii="Arial" w:hAnsi="Arial" w:cs="Arial"/>
          <w:sz w:val="24"/>
          <w:szCs w:val="24"/>
        </w:rPr>
        <w:t xml:space="preserve">are </w:t>
      </w:r>
      <w:r w:rsidR="00236A16">
        <w:rPr>
          <w:rFonts w:ascii="Arial" w:hAnsi="Arial" w:cs="Arial"/>
          <w:sz w:val="24"/>
          <w:szCs w:val="24"/>
        </w:rPr>
        <w:t xml:space="preserve">booksellers based in London, </w:t>
      </w:r>
      <w:r w:rsidR="00D863E4">
        <w:rPr>
          <w:rFonts w:ascii="Arial" w:hAnsi="Arial" w:cs="Arial"/>
          <w:sz w:val="24"/>
          <w:szCs w:val="24"/>
        </w:rPr>
        <w:t xml:space="preserve">they are </w:t>
      </w:r>
      <w:r w:rsidR="00AA114D">
        <w:rPr>
          <w:rFonts w:ascii="Arial" w:hAnsi="Arial" w:cs="Arial"/>
          <w:sz w:val="24"/>
          <w:szCs w:val="24"/>
        </w:rPr>
        <w:t>listed here</w:t>
      </w:r>
      <w:r w:rsidR="00236A16">
        <w:rPr>
          <w:rFonts w:ascii="Arial" w:hAnsi="Arial" w:cs="Arial"/>
          <w:sz w:val="24"/>
          <w:szCs w:val="24"/>
        </w:rPr>
        <w:t xml:space="preserve"> with the particular Plomer’s </w:t>
      </w:r>
      <w:r w:rsidR="00AA114D">
        <w:rPr>
          <w:rFonts w:ascii="Arial" w:hAnsi="Arial" w:cs="Arial"/>
          <w:sz w:val="24"/>
          <w:szCs w:val="24"/>
        </w:rPr>
        <w:t xml:space="preserve">book </w:t>
      </w:r>
      <w:r w:rsidR="00236A16">
        <w:rPr>
          <w:rFonts w:ascii="Arial" w:hAnsi="Arial" w:cs="Arial"/>
          <w:sz w:val="24"/>
          <w:szCs w:val="24"/>
        </w:rPr>
        <w:t>they are included in</w:t>
      </w:r>
      <w:r w:rsidR="00AA114D">
        <w:rPr>
          <w:rFonts w:ascii="Arial" w:hAnsi="Arial" w:cs="Arial"/>
          <w:sz w:val="24"/>
          <w:szCs w:val="24"/>
        </w:rPr>
        <w:t>,</w:t>
      </w:r>
      <w:r w:rsidR="00236A16">
        <w:rPr>
          <w:rFonts w:ascii="Arial" w:hAnsi="Arial" w:cs="Arial"/>
          <w:sz w:val="24"/>
          <w:szCs w:val="24"/>
        </w:rPr>
        <w:t xml:space="preserve"> and </w:t>
      </w:r>
      <w:r w:rsidR="00AA114D">
        <w:rPr>
          <w:rFonts w:ascii="Arial" w:hAnsi="Arial" w:cs="Arial"/>
          <w:sz w:val="24"/>
          <w:szCs w:val="24"/>
        </w:rPr>
        <w:t xml:space="preserve">with </w:t>
      </w:r>
      <w:r w:rsidR="00236A16">
        <w:rPr>
          <w:rFonts w:ascii="Arial" w:hAnsi="Arial" w:cs="Arial"/>
          <w:sz w:val="24"/>
          <w:szCs w:val="24"/>
        </w:rPr>
        <w:t xml:space="preserve">the relevant page numbers: John and Paul Knapton, </w:t>
      </w:r>
      <w:r w:rsidR="00236A16">
        <w:rPr>
          <w:rFonts w:ascii="Arial" w:hAnsi="Arial" w:cs="Arial"/>
          <w:i/>
          <w:iCs/>
          <w:sz w:val="24"/>
          <w:szCs w:val="24"/>
        </w:rPr>
        <w:t>1726</w:t>
      </w:r>
      <w:r w:rsidR="00236A16">
        <w:rPr>
          <w:rFonts w:ascii="Arial" w:hAnsi="Arial" w:cs="Arial"/>
          <w:sz w:val="24"/>
          <w:szCs w:val="24"/>
        </w:rPr>
        <w:t xml:space="preserve"> p.148; Daniel Midwinter, </w:t>
      </w:r>
      <w:r w:rsidR="00236A16">
        <w:rPr>
          <w:rFonts w:ascii="Arial" w:hAnsi="Arial" w:cs="Arial"/>
          <w:i/>
          <w:iCs/>
          <w:sz w:val="24"/>
          <w:szCs w:val="24"/>
        </w:rPr>
        <w:t>1726</w:t>
      </w:r>
      <w:r w:rsidR="00236A16">
        <w:rPr>
          <w:rFonts w:ascii="Arial" w:hAnsi="Arial" w:cs="Arial"/>
          <w:sz w:val="24"/>
          <w:szCs w:val="24"/>
        </w:rPr>
        <w:t xml:space="preserve"> p.170; John Brotherton, </w:t>
      </w:r>
      <w:r w:rsidR="00236A16">
        <w:rPr>
          <w:rFonts w:ascii="Arial" w:hAnsi="Arial" w:cs="Arial"/>
          <w:i/>
          <w:iCs/>
          <w:sz w:val="24"/>
          <w:szCs w:val="24"/>
        </w:rPr>
        <w:t>1726</w:t>
      </w:r>
      <w:r w:rsidR="00236A16">
        <w:rPr>
          <w:rFonts w:ascii="Arial" w:hAnsi="Arial" w:cs="Arial"/>
          <w:sz w:val="24"/>
          <w:szCs w:val="24"/>
        </w:rPr>
        <w:t xml:space="preserve"> p.36; A</w:t>
      </w:r>
      <w:r w:rsidR="001D3892">
        <w:rPr>
          <w:rFonts w:ascii="Arial" w:hAnsi="Arial" w:cs="Arial"/>
          <w:sz w:val="24"/>
          <w:szCs w:val="24"/>
        </w:rPr>
        <w:t>rthur</w:t>
      </w:r>
      <w:r w:rsidR="00236A16">
        <w:rPr>
          <w:rFonts w:ascii="Arial" w:hAnsi="Arial" w:cs="Arial"/>
          <w:sz w:val="24"/>
          <w:szCs w:val="24"/>
        </w:rPr>
        <w:t xml:space="preserve"> Bettersworth </w:t>
      </w:r>
      <w:r w:rsidR="001D3892">
        <w:rPr>
          <w:rFonts w:ascii="Arial" w:hAnsi="Arial" w:cs="Arial"/>
          <w:sz w:val="24"/>
          <w:szCs w:val="24"/>
        </w:rPr>
        <w:t xml:space="preserve">and C Hitch, </w:t>
      </w:r>
      <w:r w:rsidR="001D3892">
        <w:rPr>
          <w:rFonts w:ascii="Arial" w:hAnsi="Arial" w:cs="Arial"/>
          <w:i/>
          <w:iCs/>
          <w:sz w:val="24"/>
          <w:szCs w:val="24"/>
        </w:rPr>
        <w:t>1726</w:t>
      </w:r>
      <w:r w:rsidR="001D3892">
        <w:rPr>
          <w:rFonts w:ascii="Arial" w:hAnsi="Arial" w:cs="Arial"/>
          <w:sz w:val="24"/>
          <w:szCs w:val="24"/>
        </w:rPr>
        <w:t xml:space="preserve"> p. 24 and p.127; Joseph Hazard, </w:t>
      </w:r>
      <w:r w:rsidR="001D3892">
        <w:rPr>
          <w:rFonts w:ascii="Arial" w:hAnsi="Arial" w:cs="Arial"/>
          <w:i/>
          <w:iCs/>
          <w:sz w:val="24"/>
          <w:szCs w:val="24"/>
        </w:rPr>
        <w:t>1726</w:t>
      </w:r>
      <w:r w:rsidR="001D3892">
        <w:rPr>
          <w:rFonts w:ascii="Arial" w:hAnsi="Arial" w:cs="Arial"/>
          <w:sz w:val="24"/>
          <w:szCs w:val="24"/>
        </w:rPr>
        <w:t xml:space="preserve"> p.121; Jacob Tonson II, </w:t>
      </w:r>
      <w:r w:rsidR="001D3892">
        <w:rPr>
          <w:rFonts w:ascii="Arial" w:hAnsi="Arial" w:cs="Arial"/>
          <w:i/>
          <w:iCs/>
          <w:sz w:val="24"/>
          <w:szCs w:val="24"/>
        </w:rPr>
        <w:t>1668</w:t>
      </w:r>
      <w:r w:rsidR="001D3892">
        <w:rPr>
          <w:rFonts w:ascii="Arial" w:hAnsi="Arial" w:cs="Arial"/>
          <w:sz w:val="24"/>
          <w:szCs w:val="24"/>
        </w:rPr>
        <w:t xml:space="preserve"> p.292</w:t>
      </w:r>
      <w:r w:rsidR="00B86C2F">
        <w:rPr>
          <w:rFonts w:ascii="Arial" w:hAnsi="Arial" w:cs="Arial"/>
          <w:sz w:val="24"/>
          <w:szCs w:val="24"/>
        </w:rPr>
        <w:t>;</w:t>
      </w:r>
      <w:r w:rsidR="001D3892">
        <w:rPr>
          <w:rFonts w:ascii="Arial" w:hAnsi="Arial" w:cs="Arial"/>
          <w:sz w:val="24"/>
          <w:szCs w:val="24"/>
        </w:rPr>
        <w:t xml:space="preserve"> </w:t>
      </w:r>
      <w:r w:rsidR="001D3892">
        <w:rPr>
          <w:rFonts w:ascii="Arial" w:hAnsi="Arial" w:cs="Arial"/>
          <w:sz w:val="24"/>
          <w:szCs w:val="24"/>
        </w:rPr>
        <w:lastRenderedPageBreak/>
        <w:t xml:space="preserve">William Innys and Robert Manby, </w:t>
      </w:r>
      <w:r w:rsidR="001D3892">
        <w:rPr>
          <w:rFonts w:ascii="Arial" w:hAnsi="Arial" w:cs="Arial"/>
          <w:i/>
          <w:iCs/>
          <w:sz w:val="24"/>
          <w:szCs w:val="24"/>
        </w:rPr>
        <w:t>1668</w:t>
      </w:r>
      <w:r w:rsidR="001D3892">
        <w:rPr>
          <w:rFonts w:ascii="Arial" w:hAnsi="Arial" w:cs="Arial"/>
          <w:sz w:val="24"/>
          <w:szCs w:val="24"/>
        </w:rPr>
        <w:t xml:space="preserve"> pp.167-68</w:t>
      </w:r>
      <w:r w:rsidR="00687C5A">
        <w:rPr>
          <w:rFonts w:ascii="Arial" w:hAnsi="Arial" w:cs="Arial"/>
          <w:sz w:val="24"/>
          <w:szCs w:val="24"/>
        </w:rPr>
        <w:t xml:space="preserve"> and </w:t>
      </w:r>
      <w:r w:rsidR="00687C5A">
        <w:rPr>
          <w:rFonts w:ascii="Arial" w:hAnsi="Arial" w:cs="Arial"/>
          <w:i/>
          <w:iCs/>
          <w:sz w:val="24"/>
          <w:szCs w:val="24"/>
        </w:rPr>
        <w:t xml:space="preserve">1726 </w:t>
      </w:r>
      <w:r w:rsidR="00687C5A" w:rsidRPr="00687C5A">
        <w:rPr>
          <w:rFonts w:ascii="Arial" w:hAnsi="Arial" w:cs="Arial"/>
          <w:sz w:val="24"/>
          <w:szCs w:val="24"/>
        </w:rPr>
        <w:t>p.161</w:t>
      </w:r>
      <w:r w:rsidR="001D3892">
        <w:rPr>
          <w:rFonts w:ascii="Arial" w:hAnsi="Arial" w:cs="Arial"/>
          <w:sz w:val="24"/>
          <w:szCs w:val="24"/>
        </w:rPr>
        <w:t xml:space="preserve">; </w:t>
      </w:r>
      <w:r w:rsidR="00687C5A">
        <w:rPr>
          <w:rFonts w:ascii="Arial" w:hAnsi="Arial" w:cs="Arial"/>
          <w:sz w:val="24"/>
          <w:szCs w:val="24"/>
        </w:rPr>
        <w:t xml:space="preserve">John Osborne and Thomas Longman, </w:t>
      </w:r>
      <w:r w:rsidR="00687C5A">
        <w:rPr>
          <w:rFonts w:ascii="Arial" w:hAnsi="Arial" w:cs="Arial"/>
          <w:i/>
          <w:iCs/>
          <w:sz w:val="24"/>
          <w:szCs w:val="24"/>
        </w:rPr>
        <w:t>1668</w:t>
      </w:r>
      <w:r w:rsidR="00687C5A">
        <w:rPr>
          <w:rFonts w:ascii="Arial" w:hAnsi="Arial" w:cs="Arial"/>
          <w:sz w:val="24"/>
          <w:szCs w:val="24"/>
        </w:rPr>
        <w:t xml:space="preserve"> p.225 and p.191</w:t>
      </w:r>
      <w:r w:rsidR="00D863E4">
        <w:rPr>
          <w:rFonts w:ascii="Arial" w:hAnsi="Arial" w:cs="Arial"/>
          <w:sz w:val="24"/>
          <w:szCs w:val="24"/>
        </w:rPr>
        <w:t xml:space="preserve"> (</w:t>
      </w:r>
      <w:r w:rsidR="00687C5A">
        <w:rPr>
          <w:rFonts w:ascii="Arial" w:hAnsi="Arial" w:cs="Arial"/>
          <w:sz w:val="24"/>
          <w:szCs w:val="24"/>
        </w:rPr>
        <w:t xml:space="preserve">with general company information in </w:t>
      </w:r>
      <w:r w:rsidR="00687C5A">
        <w:rPr>
          <w:rFonts w:ascii="Arial" w:hAnsi="Arial" w:cs="Arial"/>
          <w:i/>
          <w:iCs/>
          <w:sz w:val="24"/>
          <w:szCs w:val="24"/>
        </w:rPr>
        <w:t>1726</w:t>
      </w:r>
      <w:r w:rsidR="00687C5A">
        <w:rPr>
          <w:rFonts w:ascii="Arial" w:hAnsi="Arial" w:cs="Arial"/>
          <w:sz w:val="24"/>
          <w:szCs w:val="24"/>
        </w:rPr>
        <w:t xml:space="preserve"> pp. 158-59</w:t>
      </w:r>
      <w:r w:rsidR="00D863E4">
        <w:rPr>
          <w:rFonts w:ascii="Arial" w:hAnsi="Arial" w:cs="Arial"/>
          <w:sz w:val="24"/>
          <w:szCs w:val="24"/>
        </w:rPr>
        <w:t>)</w:t>
      </w:r>
      <w:r w:rsidR="00687C5A">
        <w:rPr>
          <w:rFonts w:ascii="Arial" w:hAnsi="Arial" w:cs="Arial"/>
          <w:sz w:val="24"/>
          <w:szCs w:val="24"/>
        </w:rPr>
        <w:t xml:space="preserve">; Thomas Ward </w:t>
      </w:r>
      <w:r w:rsidR="00687C5A">
        <w:rPr>
          <w:rFonts w:ascii="Arial" w:hAnsi="Arial" w:cs="Arial"/>
          <w:i/>
          <w:iCs/>
          <w:sz w:val="24"/>
          <w:szCs w:val="24"/>
        </w:rPr>
        <w:t>1668</w:t>
      </w:r>
      <w:r w:rsidR="00687C5A">
        <w:rPr>
          <w:rFonts w:ascii="Arial" w:hAnsi="Arial" w:cs="Arial"/>
          <w:sz w:val="24"/>
          <w:szCs w:val="24"/>
        </w:rPr>
        <w:t xml:space="preserve"> p.301; W Meadows </w:t>
      </w:r>
      <w:r w:rsidR="00687C5A">
        <w:rPr>
          <w:rFonts w:ascii="Arial" w:hAnsi="Arial" w:cs="Arial"/>
          <w:i/>
          <w:iCs/>
          <w:sz w:val="24"/>
          <w:szCs w:val="24"/>
        </w:rPr>
        <w:t>1726</w:t>
      </w:r>
      <w:r w:rsidR="00687C5A">
        <w:rPr>
          <w:rFonts w:ascii="Arial" w:hAnsi="Arial" w:cs="Arial"/>
          <w:sz w:val="24"/>
          <w:szCs w:val="24"/>
        </w:rPr>
        <w:t xml:space="preserve"> p.166; Benjamin Motte, </w:t>
      </w:r>
      <w:r w:rsidR="00687C5A">
        <w:rPr>
          <w:rFonts w:ascii="Arial" w:hAnsi="Arial" w:cs="Arial"/>
          <w:i/>
          <w:iCs/>
          <w:sz w:val="24"/>
          <w:szCs w:val="24"/>
        </w:rPr>
        <w:t>1668</w:t>
      </w:r>
      <w:r w:rsidR="00687C5A">
        <w:rPr>
          <w:rFonts w:ascii="Arial" w:hAnsi="Arial" w:cs="Arial"/>
          <w:sz w:val="24"/>
          <w:szCs w:val="24"/>
        </w:rPr>
        <w:t xml:space="preserve"> pp. 212-13;</w:t>
      </w:r>
      <w:r w:rsidR="004D55B0">
        <w:rPr>
          <w:rFonts w:ascii="Arial" w:hAnsi="Arial" w:cs="Arial"/>
          <w:sz w:val="24"/>
          <w:szCs w:val="24"/>
        </w:rPr>
        <w:t xml:space="preserve"> William Hinchcliffe, </w:t>
      </w:r>
      <w:r w:rsidR="004D55B0">
        <w:rPr>
          <w:rFonts w:ascii="Arial" w:hAnsi="Arial" w:cs="Arial"/>
          <w:i/>
          <w:iCs/>
          <w:sz w:val="24"/>
          <w:szCs w:val="24"/>
        </w:rPr>
        <w:t>1726</w:t>
      </w:r>
      <w:r w:rsidR="004D55B0">
        <w:rPr>
          <w:rFonts w:ascii="Arial" w:hAnsi="Arial" w:cs="Arial"/>
          <w:sz w:val="24"/>
          <w:szCs w:val="24"/>
        </w:rPr>
        <w:t xml:space="preserve"> p.125; John Walthoe Junior, </w:t>
      </w:r>
      <w:r w:rsidR="004D55B0">
        <w:rPr>
          <w:rFonts w:ascii="Arial" w:hAnsi="Arial" w:cs="Arial"/>
          <w:i/>
          <w:iCs/>
          <w:sz w:val="24"/>
          <w:szCs w:val="24"/>
        </w:rPr>
        <w:t>1668</w:t>
      </w:r>
      <w:r w:rsidR="004D55B0">
        <w:rPr>
          <w:rFonts w:ascii="Arial" w:hAnsi="Arial" w:cs="Arial"/>
          <w:sz w:val="24"/>
          <w:szCs w:val="24"/>
        </w:rPr>
        <w:t xml:space="preserve"> pp.300-01; Edward Symon, </w:t>
      </w:r>
      <w:r w:rsidR="004D55B0">
        <w:rPr>
          <w:rFonts w:ascii="Arial" w:hAnsi="Arial" w:cs="Arial"/>
          <w:i/>
          <w:iCs/>
          <w:sz w:val="24"/>
          <w:szCs w:val="24"/>
        </w:rPr>
        <w:t>1668</w:t>
      </w:r>
      <w:r w:rsidR="004D55B0">
        <w:rPr>
          <w:rFonts w:ascii="Arial" w:hAnsi="Arial" w:cs="Arial"/>
          <w:sz w:val="24"/>
          <w:szCs w:val="24"/>
        </w:rPr>
        <w:t xml:space="preserve"> p.283; Thomas Cox, </w:t>
      </w:r>
      <w:r w:rsidR="004D55B0">
        <w:rPr>
          <w:rFonts w:ascii="Arial" w:hAnsi="Arial" w:cs="Arial"/>
          <w:i/>
          <w:iCs/>
          <w:sz w:val="24"/>
          <w:szCs w:val="24"/>
        </w:rPr>
        <w:t>1668</w:t>
      </w:r>
      <w:r w:rsidR="004D55B0">
        <w:rPr>
          <w:rFonts w:ascii="Arial" w:hAnsi="Arial" w:cs="Arial"/>
          <w:sz w:val="24"/>
          <w:szCs w:val="24"/>
        </w:rPr>
        <w:t xml:space="preserve"> p.85; Daniel Browne, </w:t>
      </w:r>
      <w:r w:rsidR="004D55B0">
        <w:rPr>
          <w:rFonts w:ascii="Arial" w:hAnsi="Arial" w:cs="Arial"/>
          <w:i/>
          <w:iCs/>
          <w:sz w:val="24"/>
          <w:szCs w:val="24"/>
        </w:rPr>
        <w:t>1668</w:t>
      </w:r>
      <w:r w:rsidR="004D55B0">
        <w:rPr>
          <w:rFonts w:ascii="Arial" w:hAnsi="Arial" w:cs="Arial"/>
          <w:sz w:val="24"/>
          <w:szCs w:val="24"/>
        </w:rPr>
        <w:t xml:space="preserve"> p.53; Samuel Birt, </w:t>
      </w:r>
      <w:r w:rsidR="004D55B0">
        <w:rPr>
          <w:rFonts w:ascii="Arial" w:hAnsi="Arial" w:cs="Arial"/>
          <w:i/>
          <w:iCs/>
          <w:sz w:val="24"/>
          <w:szCs w:val="24"/>
        </w:rPr>
        <w:t>1726</w:t>
      </w:r>
      <w:r w:rsidR="004D55B0">
        <w:rPr>
          <w:rFonts w:ascii="Arial" w:hAnsi="Arial" w:cs="Arial"/>
          <w:sz w:val="24"/>
          <w:szCs w:val="24"/>
        </w:rPr>
        <w:t xml:space="preserve"> p.26; Weaver Bickerton, </w:t>
      </w:r>
      <w:r w:rsidR="004D55B0">
        <w:rPr>
          <w:rFonts w:ascii="Arial" w:hAnsi="Arial" w:cs="Arial"/>
          <w:i/>
          <w:iCs/>
          <w:sz w:val="24"/>
          <w:szCs w:val="24"/>
        </w:rPr>
        <w:t>1726</w:t>
      </w:r>
      <w:r w:rsidR="004D55B0">
        <w:rPr>
          <w:rFonts w:ascii="Arial" w:hAnsi="Arial" w:cs="Arial"/>
          <w:sz w:val="24"/>
          <w:szCs w:val="24"/>
        </w:rPr>
        <w:t xml:space="preserve"> pp.24-25; Thomas Astley, </w:t>
      </w:r>
      <w:r w:rsidR="004D55B0">
        <w:rPr>
          <w:rFonts w:ascii="Arial" w:hAnsi="Arial" w:cs="Arial"/>
          <w:i/>
          <w:iCs/>
          <w:sz w:val="24"/>
          <w:szCs w:val="24"/>
        </w:rPr>
        <w:t>1726</w:t>
      </w:r>
      <w:r w:rsidR="004D55B0">
        <w:rPr>
          <w:rFonts w:ascii="Arial" w:hAnsi="Arial" w:cs="Arial"/>
          <w:sz w:val="24"/>
          <w:szCs w:val="24"/>
        </w:rPr>
        <w:t xml:space="preserve"> p.9; Stephen Austin, </w:t>
      </w:r>
      <w:r w:rsidR="00B86C2F">
        <w:rPr>
          <w:rFonts w:ascii="Arial" w:hAnsi="Arial" w:cs="Arial"/>
          <w:sz w:val="24"/>
          <w:szCs w:val="24"/>
        </w:rPr>
        <w:t xml:space="preserve">who is the </w:t>
      </w:r>
      <w:r w:rsidR="004D55B0">
        <w:rPr>
          <w:rFonts w:ascii="Arial" w:hAnsi="Arial" w:cs="Arial"/>
          <w:sz w:val="24"/>
          <w:szCs w:val="24"/>
        </w:rPr>
        <w:t>first</w:t>
      </w:r>
      <w:r w:rsidR="00D863E4">
        <w:rPr>
          <w:rFonts w:ascii="Arial" w:hAnsi="Arial" w:cs="Arial"/>
          <w:sz w:val="24"/>
          <w:szCs w:val="24"/>
        </w:rPr>
        <w:t xml:space="preserve"> of the two</w:t>
      </w:r>
      <w:r w:rsidR="004D55B0">
        <w:rPr>
          <w:rFonts w:ascii="Arial" w:hAnsi="Arial" w:cs="Arial"/>
          <w:sz w:val="24"/>
          <w:szCs w:val="24"/>
        </w:rPr>
        <w:t xml:space="preserve"> </w:t>
      </w:r>
      <w:r w:rsidR="00B86C2F">
        <w:rPr>
          <w:rFonts w:ascii="Arial" w:hAnsi="Arial" w:cs="Arial"/>
          <w:sz w:val="24"/>
          <w:szCs w:val="24"/>
        </w:rPr>
        <w:t>entr</w:t>
      </w:r>
      <w:r w:rsidR="00D863E4">
        <w:rPr>
          <w:rFonts w:ascii="Arial" w:hAnsi="Arial" w:cs="Arial"/>
          <w:sz w:val="24"/>
          <w:szCs w:val="24"/>
        </w:rPr>
        <w:t>ies for the name</w:t>
      </w:r>
      <w:r w:rsidR="00B86C2F">
        <w:rPr>
          <w:rFonts w:ascii="Arial" w:hAnsi="Arial" w:cs="Arial"/>
          <w:sz w:val="24"/>
          <w:szCs w:val="24"/>
        </w:rPr>
        <w:t xml:space="preserve"> in </w:t>
      </w:r>
      <w:r w:rsidR="00B86C2F">
        <w:rPr>
          <w:rFonts w:ascii="Arial" w:hAnsi="Arial" w:cs="Arial"/>
          <w:i/>
          <w:iCs/>
          <w:sz w:val="24"/>
          <w:szCs w:val="24"/>
        </w:rPr>
        <w:t>1726</w:t>
      </w:r>
      <w:r w:rsidR="00B86C2F">
        <w:rPr>
          <w:rFonts w:ascii="Arial" w:hAnsi="Arial" w:cs="Arial"/>
          <w:sz w:val="24"/>
          <w:szCs w:val="24"/>
        </w:rPr>
        <w:t xml:space="preserve"> p.10; Lawton Gulliver, </w:t>
      </w:r>
      <w:r w:rsidR="00B86C2F">
        <w:rPr>
          <w:rFonts w:ascii="Arial" w:hAnsi="Arial" w:cs="Arial"/>
          <w:i/>
          <w:iCs/>
          <w:sz w:val="24"/>
          <w:szCs w:val="24"/>
        </w:rPr>
        <w:t>1726</w:t>
      </w:r>
      <w:r w:rsidR="00B86C2F">
        <w:rPr>
          <w:rFonts w:ascii="Arial" w:hAnsi="Arial" w:cs="Arial"/>
          <w:sz w:val="24"/>
          <w:szCs w:val="24"/>
        </w:rPr>
        <w:t xml:space="preserve"> pp.102-03 and Henry Lintot, </w:t>
      </w:r>
      <w:r w:rsidR="00B86C2F">
        <w:rPr>
          <w:rFonts w:ascii="Arial" w:hAnsi="Arial" w:cs="Arial"/>
          <w:i/>
          <w:iCs/>
          <w:sz w:val="24"/>
          <w:szCs w:val="24"/>
        </w:rPr>
        <w:t>1726</w:t>
      </w:r>
      <w:r w:rsidR="00B86C2F">
        <w:rPr>
          <w:rFonts w:ascii="Arial" w:hAnsi="Arial" w:cs="Arial"/>
          <w:sz w:val="24"/>
          <w:szCs w:val="24"/>
        </w:rPr>
        <w:t xml:space="preserve"> p.157. </w:t>
      </w:r>
    </w:p>
    <w:p w14:paraId="58E75FA4" w14:textId="5DA66F43" w:rsidR="001B5D85" w:rsidRDefault="00B86C2F" w:rsidP="001B5D85">
      <w:pPr>
        <w:spacing w:line="480" w:lineRule="auto"/>
        <w:rPr>
          <w:rFonts w:ascii="Arial" w:hAnsi="Arial" w:cs="Arial"/>
          <w:sz w:val="24"/>
          <w:szCs w:val="24"/>
        </w:rPr>
      </w:pPr>
      <w:r>
        <w:rPr>
          <w:rFonts w:ascii="Arial" w:hAnsi="Arial" w:cs="Arial"/>
          <w:sz w:val="24"/>
          <w:szCs w:val="24"/>
        </w:rPr>
        <w:t xml:space="preserve">Of these Tonson, Osborne, Motte and Austin are noted </w:t>
      </w:r>
      <w:r w:rsidR="00AA114D">
        <w:rPr>
          <w:rFonts w:ascii="Arial" w:hAnsi="Arial" w:cs="Arial"/>
          <w:sz w:val="24"/>
          <w:szCs w:val="24"/>
        </w:rPr>
        <w:t xml:space="preserve">also </w:t>
      </w:r>
      <w:r>
        <w:rPr>
          <w:rFonts w:ascii="Arial" w:hAnsi="Arial" w:cs="Arial"/>
          <w:sz w:val="24"/>
          <w:szCs w:val="24"/>
        </w:rPr>
        <w:t xml:space="preserve">to be printers, and additionally Hazard, Walthoe, and Astley are potential printers, however there is no information that suggests any one </w:t>
      </w:r>
      <w:r w:rsidR="00C15D37">
        <w:rPr>
          <w:rFonts w:ascii="Arial" w:hAnsi="Arial" w:cs="Arial"/>
          <w:sz w:val="24"/>
          <w:szCs w:val="24"/>
        </w:rPr>
        <w:t xml:space="preserve">of them </w:t>
      </w:r>
      <w:r>
        <w:rPr>
          <w:rFonts w:ascii="Arial" w:hAnsi="Arial" w:cs="Arial"/>
          <w:sz w:val="24"/>
          <w:szCs w:val="24"/>
        </w:rPr>
        <w:t xml:space="preserve">(or </w:t>
      </w:r>
      <w:r w:rsidR="00C15D37">
        <w:rPr>
          <w:rFonts w:ascii="Arial" w:hAnsi="Arial" w:cs="Arial"/>
          <w:sz w:val="24"/>
          <w:szCs w:val="24"/>
        </w:rPr>
        <w:t xml:space="preserve">any </w:t>
      </w:r>
      <w:r>
        <w:rPr>
          <w:rFonts w:ascii="Arial" w:hAnsi="Arial" w:cs="Arial"/>
          <w:sz w:val="24"/>
          <w:szCs w:val="24"/>
        </w:rPr>
        <w:t>combination</w:t>
      </w:r>
      <w:r w:rsidR="00C15D37">
        <w:rPr>
          <w:rFonts w:ascii="Arial" w:hAnsi="Arial" w:cs="Arial"/>
          <w:sz w:val="24"/>
          <w:szCs w:val="24"/>
        </w:rPr>
        <w:t xml:space="preserve"> of them</w:t>
      </w:r>
      <w:r>
        <w:rPr>
          <w:rFonts w:ascii="Arial" w:hAnsi="Arial" w:cs="Arial"/>
          <w:sz w:val="24"/>
          <w:szCs w:val="24"/>
        </w:rPr>
        <w:t xml:space="preserve">) may have printed these volumes. The most that </w:t>
      </w:r>
      <w:r w:rsidR="00C15D37">
        <w:rPr>
          <w:rFonts w:ascii="Arial" w:hAnsi="Arial" w:cs="Arial"/>
          <w:sz w:val="24"/>
          <w:szCs w:val="24"/>
        </w:rPr>
        <w:t>can be said of them lies in Bickerton’s entry in Plomer, that they were ‘temporary partners in publishin</w:t>
      </w:r>
      <w:r w:rsidR="00D863E4">
        <w:rPr>
          <w:rFonts w:ascii="Arial" w:hAnsi="Arial" w:cs="Arial"/>
          <w:sz w:val="24"/>
          <w:szCs w:val="24"/>
        </w:rPr>
        <w:t xml:space="preserve">g the English translation of </w:t>
      </w:r>
      <w:r w:rsidR="00C15D37">
        <w:rPr>
          <w:rFonts w:ascii="Arial" w:hAnsi="Arial" w:cs="Arial"/>
          <w:sz w:val="24"/>
          <w:szCs w:val="24"/>
        </w:rPr>
        <w:t>Bayle’s Dictionary’.</w:t>
      </w:r>
      <w:r w:rsidR="00C15D37">
        <w:rPr>
          <w:rStyle w:val="FootnoteReference"/>
          <w:rFonts w:ascii="Arial" w:hAnsi="Arial" w:cs="Arial"/>
          <w:sz w:val="24"/>
          <w:szCs w:val="24"/>
        </w:rPr>
        <w:footnoteReference w:id="4"/>
      </w:r>
    </w:p>
    <w:p w14:paraId="7675B1E8" w14:textId="2095C138" w:rsidR="005B54F0" w:rsidRDefault="005B54F0" w:rsidP="001B5D85">
      <w:pPr>
        <w:spacing w:line="480" w:lineRule="auto"/>
        <w:rPr>
          <w:rFonts w:ascii="Arial" w:hAnsi="Arial" w:cs="Arial"/>
          <w:sz w:val="24"/>
          <w:szCs w:val="24"/>
        </w:rPr>
      </w:pPr>
      <w:r>
        <w:rPr>
          <w:rFonts w:ascii="Arial" w:hAnsi="Arial" w:cs="Arial"/>
          <w:sz w:val="24"/>
          <w:szCs w:val="24"/>
        </w:rPr>
        <w:t>The only other name revealed by volume one is attached to the etching of Bayle facing the title-page. The name seems free-hand</w:t>
      </w:r>
      <w:r w:rsidR="005E6C53">
        <w:rPr>
          <w:rFonts w:ascii="Arial" w:hAnsi="Arial" w:cs="Arial"/>
          <w:sz w:val="24"/>
          <w:szCs w:val="24"/>
        </w:rPr>
        <w:t xml:space="preserve"> script</w:t>
      </w:r>
      <w:r w:rsidR="00D863E4">
        <w:rPr>
          <w:rFonts w:ascii="Arial" w:hAnsi="Arial" w:cs="Arial"/>
          <w:sz w:val="24"/>
          <w:szCs w:val="24"/>
        </w:rPr>
        <w:t xml:space="preserve"> rather than block printed,</w:t>
      </w:r>
      <w:r>
        <w:rPr>
          <w:rFonts w:ascii="Arial" w:hAnsi="Arial" w:cs="Arial"/>
          <w:sz w:val="24"/>
          <w:szCs w:val="24"/>
        </w:rPr>
        <w:t xml:space="preserve"> </w:t>
      </w:r>
      <w:r w:rsidR="00EC0E37">
        <w:rPr>
          <w:rFonts w:ascii="Arial" w:hAnsi="Arial" w:cs="Arial"/>
          <w:sz w:val="24"/>
          <w:szCs w:val="24"/>
        </w:rPr>
        <w:t>as part of the illustration - a signature</w:t>
      </w:r>
      <w:r w:rsidR="005E6C53">
        <w:rPr>
          <w:rFonts w:ascii="Arial" w:hAnsi="Arial" w:cs="Arial"/>
          <w:sz w:val="24"/>
          <w:szCs w:val="24"/>
        </w:rPr>
        <w:t xml:space="preserve">. Therefore, </w:t>
      </w:r>
      <w:r w:rsidR="00334C3D">
        <w:rPr>
          <w:rFonts w:ascii="Arial" w:hAnsi="Arial" w:cs="Arial"/>
          <w:sz w:val="24"/>
          <w:szCs w:val="24"/>
        </w:rPr>
        <w:t>the first name (J/I/</w:t>
      </w:r>
      <w:proofErr w:type="spellStart"/>
      <w:proofErr w:type="gramStart"/>
      <w:r w:rsidR="00334C3D">
        <w:rPr>
          <w:rFonts w:ascii="Arial" w:hAnsi="Arial" w:cs="Arial"/>
          <w:sz w:val="24"/>
          <w:szCs w:val="24"/>
        </w:rPr>
        <w:t>T?am</w:t>
      </w:r>
      <w:proofErr w:type="spellEnd"/>
      <w:proofErr w:type="gramEnd"/>
      <w:r w:rsidR="00334C3D">
        <w:rPr>
          <w:rFonts w:ascii="Arial" w:hAnsi="Arial" w:cs="Arial"/>
          <w:sz w:val="24"/>
          <w:szCs w:val="24"/>
        </w:rPr>
        <w:t xml:space="preserve"> with a possible small s above) </w:t>
      </w:r>
      <w:r w:rsidR="00EC0E37">
        <w:rPr>
          <w:rFonts w:ascii="Arial" w:hAnsi="Arial" w:cs="Arial"/>
          <w:sz w:val="24"/>
          <w:szCs w:val="24"/>
        </w:rPr>
        <w:t xml:space="preserve">is </w:t>
      </w:r>
      <w:r>
        <w:rPr>
          <w:rFonts w:ascii="Arial" w:hAnsi="Arial" w:cs="Arial"/>
          <w:sz w:val="24"/>
          <w:szCs w:val="24"/>
        </w:rPr>
        <w:t>difficult to decipher</w:t>
      </w:r>
      <w:r w:rsidR="00EC0E37">
        <w:rPr>
          <w:rFonts w:ascii="Arial" w:hAnsi="Arial" w:cs="Arial"/>
          <w:sz w:val="24"/>
          <w:szCs w:val="24"/>
        </w:rPr>
        <w:t>, but the surname is definitely Smith</w:t>
      </w:r>
      <w:r w:rsidR="00F31A10">
        <w:rPr>
          <w:rFonts w:ascii="Arial" w:hAnsi="Arial" w:cs="Arial"/>
          <w:sz w:val="24"/>
          <w:szCs w:val="24"/>
        </w:rPr>
        <w:t>, and</w:t>
      </w:r>
      <w:r w:rsidR="005E6C53">
        <w:rPr>
          <w:rFonts w:ascii="Arial" w:hAnsi="Arial" w:cs="Arial"/>
          <w:sz w:val="24"/>
          <w:szCs w:val="24"/>
        </w:rPr>
        <w:t xml:space="preserve"> it</w:t>
      </w:r>
      <w:r w:rsidR="00F31A10">
        <w:rPr>
          <w:rFonts w:ascii="Arial" w:hAnsi="Arial" w:cs="Arial"/>
          <w:sz w:val="24"/>
          <w:szCs w:val="24"/>
        </w:rPr>
        <w:t xml:space="preserve"> is dated 1733</w:t>
      </w:r>
      <w:r w:rsidR="00EC0E37">
        <w:rPr>
          <w:rFonts w:ascii="Arial" w:hAnsi="Arial" w:cs="Arial"/>
          <w:sz w:val="24"/>
          <w:szCs w:val="24"/>
        </w:rPr>
        <w:t xml:space="preserve">. </w:t>
      </w:r>
      <w:r w:rsidR="00F31A10">
        <w:rPr>
          <w:rFonts w:ascii="Arial" w:hAnsi="Arial" w:cs="Arial"/>
          <w:sz w:val="24"/>
          <w:szCs w:val="24"/>
        </w:rPr>
        <w:t>Using v</w:t>
      </w:r>
      <w:r w:rsidR="00EC0E37">
        <w:rPr>
          <w:rFonts w:ascii="Arial" w:hAnsi="Arial" w:cs="Arial"/>
          <w:sz w:val="24"/>
          <w:szCs w:val="24"/>
        </w:rPr>
        <w:t xml:space="preserve">olume five of </w:t>
      </w:r>
      <w:r w:rsidR="00EC0E37">
        <w:rPr>
          <w:rFonts w:ascii="Arial" w:hAnsi="Arial" w:cs="Arial"/>
          <w:i/>
          <w:iCs/>
          <w:sz w:val="24"/>
          <w:szCs w:val="24"/>
        </w:rPr>
        <w:t>Bryan’s Dictionary of Painters and Engravers</w:t>
      </w:r>
      <w:r w:rsidR="00EC0E37">
        <w:rPr>
          <w:rFonts w:ascii="Arial" w:hAnsi="Arial" w:cs="Arial"/>
          <w:sz w:val="24"/>
          <w:szCs w:val="24"/>
        </w:rPr>
        <w:t xml:space="preserve"> to identify engravers named Smith </w:t>
      </w:r>
      <w:r w:rsidR="00F31A10">
        <w:rPr>
          <w:rFonts w:ascii="Arial" w:hAnsi="Arial" w:cs="Arial"/>
          <w:sz w:val="24"/>
          <w:szCs w:val="24"/>
        </w:rPr>
        <w:t>against the date</w:t>
      </w:r>
      <w:r w:rsidR="005E6C53">
        <w:rPr>
          <w:rFonts w:ascii="Arial" w:hAnsi="Arial" w:cs="Arial"/>
          <w:sz w:val="24"/>
          <w:szCs w:val="24"/>
        </w:rPr>
        <w:t>,</w:t>
      </w:r>
      <w:r w:rsidR="00F31A10">
        <w:rPr>
          <w:rFonts w:ascii="Arial" w:hAnsi="Arial" w:cs="Arial"/>
          <w:sz w:val="24"/>
          <w:szCs w:val="24"/>
        </w:rPr>
        <w:t xml:space="preserve"> and including only those </w:t>
      </w:r>
      <w:r w:rsidR="005E6C53">
        <w:rPr>
          <w:rFonts w:ascii="Arial" w:hAnsi="Arial" w:cs="Arial"/>
          <w:sz w:val="24"/>
          <w:szCs w:val="24"/>
        </w:rPr>
        <w:t xml:space="preserve">individuals </w:t>
      </w:r>
      <w:r w:rsidR="00EB3790">
        <w:rPr>
          <w:rFonts w:ascii="Arial" w:hAnsi="Arial" w:cs="Arial"/>
          <w:sz w:val="24"/>
          <w:szCs w:val="24"/>
        </w:rPr>
        <w:t xml:space="preserve">that were </w:t>
      </w:r>
      <w:r w:rsidR="00F31A10">
        <w:rPr>
          <w:rFonts w:ascii="Arial" w:hAnsi="Arial" w:cs="Arial"/>
          <w:sz w:val="24"/>
          <w:szCs w:val="24"/>
        </w:rPr>
        <w:t xml:space="preserve">explicitly </w:t>
      </w:r>
      <w:r w:rsidR="005E6C53">
        <w:rPr>
          <w:rFonts w:ascii="Arial" w:hAnsi="Arial" w:cs="Arial"/>
          <w:sz w:val="24"/>
          <w:szCs w:val="24"/>
        </w:rPr>
        <w:t>list</w:t>
      </w:r>
      <w:r w:rsidR="00F31A10">
        <w:rPr>
          <w:rFonts w:ascii="Arial" w:hAnsi="Arial" w:cs="Arial"/>
          <w:sz w:val="24"/>
          <w:szCs w:val="24"/>
        </w:rPr>
        <w:t xml:space="preserve">ed </w:t>
      </w:r>
      <w:r w:rsidR="007358C4">
        <w:rPr>
          <w:rFonts w:ascii="Arial" w:hAnsi="Arial" w:cs="Arial"/>
          <w:sz w:val="24"/>
          <w:szCs w:val="24"/>
        </w:rPr>
        <w:t xml:space="preserve">as </w:t>
      </w:r>
      <w:r w:rsidR="00F31A10">
        <w:rPr>
          <w:rFonts w:ascii="Arial" w:hAnsi="Arial" w:cs="Arial"/>
          <w:sz w:val="24"/>
          <w:szCs w:val="24"/>
        </w:rPr>
        <w:t xml:space="preserve">engraver as oppose to painter, and </w:t>
      </w:r>
      <w:r w:rsidR="00EB3790">
        <w:rPr>
          <w:rFonts w:ascii="Arial" w:hAnsi="Arial" w:cs="Arial"/>
          <w:sz w:val="24"/>
          <w:szCs w:val="24"/>
        </w:rPr>
        <w:t xml:space="preserve">who </w:t>
      </w:r>
      <w:r w:rsidR="00F31A10">
        <w:rPr>
          <w:rFonts w:ascii="Arial" w:hAnsi="Arial" w:cs="Arial"/>
          <w:sz w:val="24"/>
          <w:szCs w:val="24"/>
        </w:rPr>
        <w:t>produc</w:t>
      </w:r>
      <w:r w:rsidR="00EB3790">
        <w:rPr>
          <w:rFonts w:ascii="Arial" w:hAnsi="Arial" w:cs="Arial"/>
          <w:sz w:val="24"/>
          <w:szCs w:val="24"/>
        </w:rPr>
        <w:t>ed</w:t>
      </w:r>
      <w:r w:rsidR="00F31A10">
        <w:rPr>
          <w:rFonts w:ascii="Arial" w:hAnsi="Arial" w:cs="Arial"/>
          <w:sz w:val="24"/>
          <w:szCs w:val="24"/>
        </w:rPr>
        <w:t xml:space="preserve"> portraits rather than landscapes, </w:t>
      </w:r>
      <w:r w:rsidR="00EB3790">
        <w:rPr>
          <w:rFonts w:ascii="Arial" w:hAnsi="Arial" w:cs="Arial"/>
          <w:sz w:val="24"/>
          <w:szCs w:val="24"/>
        </w:rPr>
        <w:t>leave</w:t>
      </w:r>
      <w:r w:rsidR="00334C3D">
        <w:rPr>
          <w:rFonts w:ascii="Arial" w:hAnsi="Arial" w:cs="Arial"/>
          <w:sz w:val="24"/>
          <w:szCs w:val="24"/>
        </w:rPr>
        <w:t>s</w:t>
      </w:r>
      <w:r w:rsidR="00F31A10">
        <w:rPr>
          <w:rFonts w:ascii="Arial" w:hAnsi="Arial" w:cs="Arial"/>
          <w:sz w:val="24"/>
          <w:szCs w:val="24"/>
        </w:rPr>
        <w:t xml:space="preserve"> </w:t>
      </w:r>
      <w:r w:rsidR="00EB3790">
        <w:rPr>
          <w:rFonts w:ascii="Arial" w:hAnsi="Arial" w:cs="Arial"/>
          <w:sz w:val="24"/>
          <w:szCs w:val="24"/>
        </w:rPr>
        <w:t>two rather unsatisfying potential candidates</w:t>
      </w:r>
      <w:r w:rsidR="00334C3D">
        <w:rPr>
          <w:rFonts w:ascii="Arial" w:hAnsi="Arial" w:cs="Arial"/>
          <w:sz w:val="24"/>
          <w:szCs w:val="24"/>
        </w:rPr>
        <w:t xml:space="preserve">. They are unsatisfying only because the first names do not </w:t>
      </w:r>
      <w:r w:rsidR="00334C3D">
        <w:rPr>
          <w:rFonts w:ascii="Arial" w:hAnsi="Arial" w:cs="Arial"/>
          <w:sz w:val="24"/>
          <w:szCs w:val="24"/>
        </w:rPr>
        <w:lastRenderedPageBreak/>
        <w:t>suggest an obvious answer to the puzzle of the signature. One is Jacob Smith, described as ‘an obscure English engraver who flourished about the year 1730</w:t>
      </w:r>
      <w:r w:rsidR="00546CFF">
        <w:rPr>
          <w:rFonts w:ascii="Arial" w:hAnsi="Arial" w:cs="Arial"/>
          <w:sz w:val="24"/>
          <w:szCs w:val="24"/>
        </w:rPr>
        <w:t>’</w:t>
      </w:r>
      <w:r w:rsidR="007358C4">
        <w:rPr>
          <w:rFonts w:ascii="Arial" w:hAnsi="Arial" w:cs="Arial"/>
          <w:sz w:val="24"/>
          <w:szCs w:val="24"/>
        </w:rPr>
        <w:t>,</w:t>
      </w:r>
      <w:r w:rsidR="00546CFF">
        <w:rPr>
          <w:rFonts w:ascii="Arial" w:hAnsi="Arial" w:cs="Arial"/>
          <w:sz w:val="24"/>
          <w:szCs w:val="24"/>
        </w:rPr>
        <w:t xml:space="preserve"> despite his obscurity now </w:t>
      </w:r>
      <w:r w:rsidR="007358C4">
        <w:rPr>
          <w:rFonts w:ascii="Arial" w:hAnsi="Arial" w:cs="Arial"/>
          <w:sz w:val="24"/>
          <w:szCs w:val="24"/>
        </w:rPr>
        <w:t>his</w:t>
      </w:r>
      <w:r w:rsidR="000C7CD9">
        <w:rPr>
          <w:rFonts w:ascii="Arial" w:hAnsi="Arial" w:cs="Arial"/>
          <w:sz w:val="24"/>
          <w:szCs w:val="24"/>
        </w:rPr>
        <w:t xml:space="preserve"> </w:t>
      </w:r>
      <w:r w:rsidR="00546CFF">
        <w:rPr>
          <w:rFonts w:ascii="Arial" w:hAnsi="Arial" w:cs="Arial"/>
          <w:sz w:val="24"/>
          <w:szCs w:val="24"/>
        </w:rPr>
        <w:t>engraved portrait</w:t>
      </w:r>
      <w:r w:rsidR="000C7CD9">
        <w:rPr>
          <w:rFonts w:ascii="Arial" w:hAnsi="Arial" w:cs="Arial"/>
          <w:sz w:val="24"/>
          <w:szCs w:val="24"/>
        </w:rPr>
        <w:t xml:space="preserve"> that is </w:t>
      </w:r>
      <w:r w:rsidR="007358C4">
        <w:rPr>
          <w:rFonts w:ascii="Arial" w:hAnsi="Arial" w:cs="Arial"/>
          <w:sz w:val="24"/>
          <w:szCs w:val="24"/>
        </w:rPr>
        <w:t xml:space="preserve">listed </w:t>
      </w:r>
      <w:r w:rsidR="000C7CD9">
        <w:rPr>
          <w:rFonts w:ascii="Arial" w:hAnsi="Arial" w:cs="Arial"/>
          <w:sz w:val="24"/>
          <w:szCs w:val="24"/>
        </w:rPr>
        <w:t>is</w:t>
      </w:r>
      <w:r w:rsidR="00546CFF">
        <w:rPr>
          <w:rFonts w:ascii="Arial" w:hAnsi="Arial" w:cs="Arial"/>
          <w:sz w:val="24"/>
          <w:szCs w:val="24"/>
        </w:rPr>
        <w:t xml:space="preserve"> </w:t>
      </w:r>
      <w:r w:rsidR="0087419B">
        <w:rPr>
          <w:rFonts w:ascii="Arial" w:hAnsi="Arial" w:cs="Arial"/>
          <w:sz w:val="24"/>
          <w:szCs w:val="24"/>
        </w:rPr>
        <w:t>a double</w:t>
      </w:r>
      <w:r w:rsidR="007358C4">
        <w:rPr>
          <w:rFonts w:ascii="Arial" w:hAnsi="Arial" w:cs="Arial"/>
          <w:sz w:val="24"/>
          <w:szCs w:val="24"/>
        </w:rPr>
        <w:t>,</w:t>
      </w:r>
      <w:r w:rsidR="0087419B">
        <w:rPr>
          <w:rFonts w:ascii="Arial" w:hAnsi="Arial" w:cs="Arial"/>
          <w:sz w:val="24"/>
          <w:szCs w:val="24"/>
        </w:rPr>
        <w:t xml:space="preserve"> </w:t>
      </w:r>
      <w:r w:rsidR="00546CFF">
        <w:rPr>
          <w:rFonts w:ascii="Arial" w:hAnsi="Arial" w:cs="Arial"/>
          <w:sz w:val="24"/>
          <w:szCs w:val="24"/>
        </w:rPr>
        <w:t>of Isaac Newton</w:t>
      </w:r>
      <w:r w:rsidR="000C7CD9">
        <w:rPr>
          <w:rFonts w:ascii="Arial" w:hAnsi="Arial" w:cs="Arial"/>
          <w:sz w:val="24"/>
          <w:szCs w:val="24"/>
        </w:rPr>
        <w:t xml:space="preserve"> and Sir Hans </w:t>
      </w:r>
      <w:r w:rsidR="0087419B">
        <w:rPr>
          <w:rFonts w:ascii="Arial" w:hAnsi="Arial" w:cs="Arial"/>
          <w:sz w:val="24"/>
          <w:szCs w:val="24"/>
        </w:rPr>
        <w:t>Sloane</w:t>
      </w:r>
      <w:r w:rsidR="00546CFF">
        <w:rPr>
          <w:rFonts w:ascii="Arial" w:hAnsi="Arial" w:cs="Arial"/>
          <w:sz w:val="24"/>
          <w:szCs w:val="24"/>
        </w:rPr>
        <w:t>.</w:t>
      </w:r>
      <w:r w:rsidR="004B6ED5">
        <w:rPr>
          <w:rStyle w:val="FootnoteReference"/>
          <w:rFonts w:ascii="Arial" w:hAnsi="Arial" w:cs="Arial"/>
          <w:sz w:val="24"/>
          <w:szCs w:val="24"/>
        </w:rPr>
        <w:footnoteReference w:id="5"/>
      </w:r>
      <w:r w:rsidR="00546CFF">
        <w:rPr>
          <w:rFonts w:ascii="Arial" w:hAnsi="Arial" w:cs="Arial"/>
          <w:sz w:val="24"/>
          <w:szCs w:val="24"/>
        </w:rPr>
        <w:t xml:space="preserve"> </w:t>
      </w:r>
      <w:r w:rsidR="005E6C53">
        <w:rPr>
          <w:rFonts w:ascii="Arial" w:hAnsi="Arial" w:cs="Arial"/>
          <w:sz w:val="24"/>
          <w:szCs w:val="24"/>
        </w:rPr>
        <w:t xml:space="preserve">The name </w:t>
      </w:r>
      <w:r w:rsidR="00546CFF">
        <w:rPr>
          <w:rFonts w:ascii="Arial" w:hAnsi="Arial" w:cs="Arial"/>
          <w:sz w:val="24"/>
          <w:szCs w:val="24"/>
        </w:rPr>
        <w:t>Jacob</w:t>
      </w:r>
      <w:r w:rsidR="007358C4">
        <w:rPr>
          <w:rFonts w:ascii="Arial" w:hAnsi="Arial" w:cs="Arial"/>
          <w:sz w:val="24"/>
          <w:szCs w:val="24"/>
        </w:rPr>
        <w:t xml:space="preserve"> does not make him a complete impossibility since it shares a </w:t>
      </w:r>
      <w:r w:rsidR="000C7CD9">
        <w:rPr>
          <w:rFonts w:ascii="Arial" w:hAnsi="Arial" w:cs="Arial"/>
          <w:sz w:val="24"/>
          <w:szCs w:val="24"/>
        </w:rPr>
        <w:t xml:space="preserve">root </w:t>
      </w:r>
      <w:r w:rsidR="007358C4">
        <w:rPr>
          <w:rFonts w:ascii="Arial" w:hAnsi="Arial" w:cs="Arial"/>
          <w:sz w:val="24"/>
          <w:szCs w:val="24"/>
        </w:rPr>
        <w:t>with the name</w:t>
      </w:r>
      <w:r w:rsidR="00546CFF">
        <w:rPr>
          <w:rFonts w:ascii="Arial" w:hAnsi="Arial" w:cs="Arial"/>
          <w:sz w:val="24"/>
          <w:szCs w:val="24"/>
        </w:rPr>
        <w:t xml:space="preserve"> James</w:t>
      </w:r>
      <w:r w:rsidR="000C7CD9">
        <w:rPr>
          <w:rFonts w:ascii="Arial" w:hAnsi="Arial" w:cs="Arial"/>
          <w:sz w:val="24"/>
          <w:szCs w:val="24"/>
        </w:rPr>
        <w:t>, which (J)am and the small extra s could signify? However, the portrait noted is</w:t>
      </w:r>
      <w:r w:rsidR="0087419B">
        <w:rPr>
          <w:rFonts w:ascii="Arial" w:hAnsi="Arial" w:cs="Arial"/>
          <w:sz w:val="24"/>
          <w:szCs w:val="24"/>
        </w:rPr>
        <w:t xml:space="preserve"> ‘carried out in a single spiral line’, whilst the portrait of Bayle appears to be cross-hatching.</w:t>
      </w:r>
      <w:r w:rsidR="002D197F">
        <w:rPr>
          <w:rStyle w:val="FootnoteReference"/>
          <w:rFonts w:ascii="Arial" w:hAnsi="Arial" w:cs="Arial"/>
          <w:sz w:val="24"/>
          <w:szCs w:val="24"/>
        </w:rPr>
        <w:footnoteReference w:id="6"/>
      </w:r>
      <w:r w:rsidR="0087419B">
        <w:rPr>
          <w:rFonts w:ascii="Arial" w:hAnsi="Arial" w:cs="Arial"/>
          <w:sz w:val="24"/>
          <w:szCs w:val="24"/>
        </w:rPr>
        <w:t xml:space="preserve"> The second is John Smith of Daventry</w:t>
      </w:r>
      <w:r w:rsidR="005E6C53">
        <w:rPr>
          <w:rFonts w:ascii="Arial" w:hAnsi="Arial" w:cs="Arial"/>
          <w:sz w:val="24"/>
          <w:szCs w:val="24"/>
        </w:rPr>
        <w:t xml:space="preserve"> who was</w:t>
      </w:r>
      <w:r w:rsidR="0087419B">
        <w:rPr>
          <w:rFonts w:ascii="Arial" w:hAnsi="Arial" w:cs="Arial"/>
          <w:sz w:val="24"/>
          <w:szCs w:val="24"/>
        </w:rPr>
        <w:t xml:space="preserve"> ‘considered the best mezzotint engraver of his time’</w:t>
      </w:r>
      <w:r w:rsidR="002D197F">
        <w:rPr>
          <w:rFonts w:ascii="Arial" w:hAnsi="Arial" w:cs="Arial"/>
          <w:sz w:val="24"/>
          <w:szCs w:val="24"/>
        </w:rPr>
        <w:t>.</w:t>
      </w:r>
      <w:r w:rsidR="002D197F">
        <w:rPr>
          <w:rStyle w:val="FootnoteReference"/>
          <w:rFonts w:ascii="Arial" w:hAnsi="Arial" w:cs="Arial"/>
          <w:sz w:val="24"/>
          <w:szCs w:val="24"/>
        </w:rPr>
        <w:footnoteReference w:id="7"/>
      </w:r>
      <w:r w:rsidR="002D197F">
        <w:rPr>
          <w:rFonts w:ascii="Arial" w:hAnsi="Arial" w:cs="Arial"/>
          <w:sz w:val="24"/>
          <w:szCs w:val="24"/>
        </w:rPr>
        <w:t xml:space="preserve"> T</w:t>
      </w:r>
      <w:r w:rsidR="0087419B">
        <w:rPr>
          <w:rFonts w:ascii="Arial" w:hAnsi="Arial" w:cs="Arial"/>
          <w:sz w:val="24"/>
          <w:szCs w:val="24"/>
        </w:rPr>
        <w:t>here is an extensive list of portraits attached to his name, however, Bayle is not mentioned.</w:t>
      </w:r>
      <w:r w:rsidR="002D197F">
        <w:rPr>
          <w:rFonts w:ascii="Arial" w:hAnsi="Arial" w:cs="Arial"/>
          <w:sz w:val="24"/>
          <w:szCs w:val="24"/>
        </w:rPr>
        <w:t xml:space="preserve"> Also, although active during 1733, his portrait plates ‘range from 1679-1727</w:t>
      </w:r>
      <w:r w:rsidR="005E6C53">
        <w:rPr>
          <w:rFonts w:ascii="Arial" w:hAnsi="Arial" w:cs="Arial"/>
          <w:sz w:val="24"/>
          <w:szCs w:val="24"/>
        </w:rPr>
        <w:t>’</w:t>
      </w:r>
      <w:r w:rsidR="002D197F">
        <w:rPr>
          <w:rFonts w:ascii="Arial" w:hAnsi="Arial" w:cs="Arial"/>
          <w:sz w:val="24"/>
          <w:szCs w:val="24"/>
        </w:rPr>
        <w:t>, therefore he remains included only on the possibility that the list of portraits may be incomplete.</w:t>
      </w:r>
      <w:r w:rsidR="005E6C53">
        <w:rPr>
          <w:rStyle w:val="FootnoteReference"/>
          <w:rFonts w:ascii="Arial" w:hAnsi="Arial" w:cs="Arial"/>
          <w:sz w:val="24"/>
          <w:szCs w:val="24"/>
        </w:rPr>
        <w:footnoteReference w:id="8"/>
      </w:r>
      <w:r w:rsidR="008162D9">
        <w:rPr>
          <w:rFonts w:ascii="Arial" w:hAnsi="Arial" w:cs="Arial"/>
          <w:sz w:val="24"/>
          <w:szCs w:val="24"/>
        </w:rPr>
        <w:t xml:space="preserve"> </w:t>
      </w:r>
    </w:p>
    <w:p w14:paraId="7031AB3F" w14:textId="2C2240BC" w:rsidR="008162D9" w:rsidRPr="005E6C53" w:rsidRDefault="008162D9" w:rsidP="001B5D85">
      <w:pPr>
        <w:spacing w:line="480" w:lineRule="auto"/>
        <w:rPr>
          <w:rFonts w:ascii="Arial" w:hAnsi="Arial" w:cs="Arial"/>
          <w:sz w:val="24"/>
          <w:szCs w:val="24"/>
        </w:rPr>
      </w:pPr>
      <w:r>
        <w:rPr>
          <w:rFonts w:ascii="Arial" w:hAnsi="Arial" w:cs="Arial"/>
          <w:sz w:val="24"/>
          <w:szCs w:val="24"/>
        </w:rPr>
        <w:t xml:space="preserve">There is, though, an engraver mentioned by the National Portrait Gallery online as active in the mid eighteenth century named James Smith. </w:t>
      </w:r>
      <w:r w:rsidR="005E6C53">
        <w:rPr>
          <w:rFonts w:ascii="Arial" w:hAnsi="Arial" w:cs="Arial"/>
          <w:sz w:val="24"/>
          <w:szCs w:val="24"/>
        </w:rPr>
        <w:t>The gallery</w:t>
      </w:r>
      <w:r>
        <w:rPr>
          <w:rFonts w:ascii="Arial" w:hAnsi="Arial" w:cs="Arial"/>
          <w:sz w:val="24"/>
          <w:szCs w:val="24"/>
        </w:rPr>
        <w:t xml:space="preserve"> has four portraits and, particularly in the second entitled Dolly, there appears to be cross-hatching used.</w:t>
      </w:r>
      <w:r w:rsidR="00821064">
        <w:rPr>
          <w:rStyle w:val="FootnoteReference"/>
          <w:rFonts w:ascii="Arial" w:hAnsi="Arial" w:cs="Arial"/>
          <w:sz w:val="24"/>
          <w:szCs w:val="24"/>
        </w:rPr>
        <w:footnoteReference w:id="9"/>
      </w:r>
      <w:r>
        <w:rPr>
          <w:rFonts w:ascii="Arial" w:hAnsi="Arial" w:cs="Arial"/>
          <w:sz w:val="24"/>
          <w:szCs w:val="24"/>
        </w:rPr>
        <w:t xml:space="preserve"> </w:t>
      </w:r>
      <w:r w:rsidR="005E6C53">
        <w:rPr>
          <w:rFonts w:ascii="Arial" w:hAnsi="Arial" w:cs="Arial"/>
          <w:sz w:val="24"/>
          <w:szCs w:val="24"/>
        </w:rPr>
        <w:t>O</w:t>
      </w:r>
      <w:r w:rsidR="005E6C53" w:rsidRPr="005E6C53">
        <w:rPr>
          <w:rFonts w:ascii="Arial" w:hAnsi="Arial" w:cs="Arial"/>
          <w:sz w:val="24"/>
          <w:szCs w:val="24"/>
        </w:rPr>
        <w:t xml:space="preserve">f the four, Dolly seems a particularity beautiful portrait, </w:t>
      </w:r>
      <w:r w:rsidR="005E6C53">
        <w:rPr>
          <w:rFonts w:ascii="Arial" w:hAnsi="Arial" w:cs="Arial"/>
          <w:sz w:val="24"/>
          <w:szCs w:val="24"/>
        </w:rPr>
        <w:t>without a knowledge of art it is hard to</w:t>
      </w:r>
      <w:r w:rsidR="005E6C53" w:rsidRPr="005E6C53">
        <w:rPr>
          <w:rFonts w:ascii="Arial" w:hAnsi="Arial" w:cs="Arial"/>
          <w:sz w:val="24"/>
          <w:szCs w:val="24"/>
        </w:rPr>
        <w:t xml:space="preserve"> judge</w:t>
      </w:r>
      <w:r w:rsidR="007358C4">
        <w:rPr>
          <w:rFonts w:ascii="Arial" w:hAnsi="Arial" w:cs="Arial"/>
          <w:sz w:val="24"/>
          <w:szCs w:val="24"/>
        </w:rPr>
        <w:t>,</w:t>
      </w:r>
      <w:r w:rsidR="005E6C53" w:rsidRPr="005E6C53">
        <w:rPr>
          <w:rFonts w:ascii="Arial" w:hAnsi="Arial" w:cs="Arial"/>
          <w:sz w:val="24"/>
          <w:szCs w:val="24"/>
        </w:rPr>
        <w:t xml:space="preserve"> but the work does seem slightly finer than the portrait of Bayle, and the background is darker in these four works. It is merely the nearest match</w:t>
      </w:r>
      <w:r w:rsidR="005E6C53">
        <w:rPr>
          <w:rFonts w:ascii="Arial" w:hAnsi="Arial" w:cs="Arial"/>
          <w:sz w:val="24"/>
          <w:szCs w:val="24"/>
        </w:rPr>
        <w:t xml:space="preserve"> of the options found</w:t>
      </w:r>
      <w:r w:rsidR="005E6C53" w:rsidRPr="005E6C53">
        <w:rPr>
          <w:rFonts w:ascii="Arial" w:hAnsi="Arial" w:cs="Arial"/>
          <w:sz w:val="24"/>
          <w:szCs w:val="24"/>
        </w:rPr>
        <w:t>.</w:t>
      </w:r>
    </w:p>
    <w:p w14:paraId="764BF5F7" w14:textId="68A7973B" w:rsidR="008A6AAD" w:rsidRPr="0085175F" w:rsidRDefault="005E6C53" w:rsidP="001B5D85">
      <w:pPr>
        <w:spacing w:line="480" w:lineRule="auto"/>
        <w:rPr>
          <w:rFonts w:ascii="Arial" w:hAnsi="Arial" w:cs="Arial"/>
          <w:sz w:val="24"/>
          <w:szCs w:val="24"/>
        </w:rPr>
      </w:pPr>
      <w:r>
        <w:rPr>
          <w:rFonts w:ascii="Arial" w:hAnsi="Arial" w:cs="Arial"/>
          <w:sz w:val="24"/>
          <w:szCs w:val="24"/>
        </w:rPr>
        <w:t>Finally, t</w:t>
      </w:r>
      <w:r w:rsidR="00A25805">
        <w:rPr>
          <w:rFonts w:ascii="Arial" w:hAnsi="Arial" w:cs="Arial"/>
          <w:sz w:val="24"/>
          <w:szCs w:val="24"/>
        </w:rPr>
        <w:t>here is also a Latin inscription that is hard to translate</w:t>
      </w:r>
      <w:r w:rsidR="007358C4">
        <w:rPr>
          <w:rFonts w:ascii="Arial" w:hAnsi="Arial" w:cs="Arial"/>
          <w:sz w:val="24"/>
          <w:szCs w:val="24"/>
        </w:rPr>
        <w:t xml:space="preserve"> with only internet tools and no knowledge of Latin. I</w:t>
      </w:r>
      <w:r w:rsidR="00AF5199">
        <w:rPr>
          <w:rFonts w:ascii="Arial" w:hAnsi="Arial" w:cs="Arial"/>
          <w:sz w:val="24"/>
          <w:szCs w:val="24"/>
        </w:rPr>
        <w:t xml:space="preserve">t </w:t>
      </w:r>
      <w:r w:rsidR="00A25805">
        <w:rPr>
          <w:rFonts w:ascii="Arial" w:hAnsi="Arial" w:cs="Arial"/>
          <w:sz w:val="24"/>
          <w:szCs w:val="24"/>
        </w:rPr>
        <w:t>contains reference to Bayle, and possibly that</w:t>
      </w:r>
      <w:r w:rsidR="007358C4">
        <w:rPr>
          <w:rFonts w:ascii="Arial" w:hAnsi="Arial" w:cs="Arial"/>
          <w:sz w:val="24"/>
          <w:szCs w:val="24"/>
        </w:rPr>
        <w:t>,</w:t>
      </w:r>
      <w:r w:rsidR="00A25805">
        <w:rPr>
          <w:rFonts w:ascii="Arial" w:hAnsi="Arial" w:cs="Arial"/>
          <w:sz w:val="24"/>
          <w:szCs w:val="24"/>
        </w:rPr>
        <w:t xml:space="preserve"> though </w:t>
      </w:r>
      <w:r w:rsidR="00A25805">
        <w:rPr>
          <w:rFonts w:ascii="Arial" w:hAnsi="Arial" w:cs="Arial"/>
          <w:sz w:val="24"/>
          <w:szCs w:val="24"/>
        </w:rPr>
        <w:lastRenderedPageBreak/>
        <w:t>his writings were made famous by a lawsuit</w:t>
      </w:r>
      <w:r w:rsidR="00AF5199">
        <w:rPr>
          <w:rFonts w:ascii="Arial" w:hAnsi="Arial" w:cs="Arial"/>
          <w:sz w:val="24"/>
          <w:szCs w:val="24"/>
        </w:rPr>
        <w:t xml:space="preserve"> -</w:t>
      </w:r>
      <w:r w:rsidR="00A25805">
        <w:rPr>
          <w:rFonts w:ascii="Arial" w:hAnsi="Arial" w:cs="Arial"/>
          <w:sz w:val="24"/>
          <w:szCs w:val="24"/>
        </w:rPr>
        <w:t xml:space="preserve"> either they delight God and so could not be more informative</w:t>
      </w:r>
      <w:r w:rsidR="00AF5199">
        <w:rPr>
          <w:rFonts w:ascii="Arial" w:hAnsi="Arial" w:cs="Arial"/>
          <w:sz w:val="24"/>
          <w:szCs w:val="24"/>
        </w:rPr>
        <w:t xml:space="preserve"> -</w:t>
      </w:r>
      <w:r w:rsidR="00A25805">
        <w:rPr>
          <w:rFonts w:ascii="Arial" w:hAnsi="Arial" w:cs="Arial"/>
          <w:sz w:val="24"/>
          <w:szCs w:val="24"/>
        </w:rPr>
        <w:t xml:space="preserve"> or he delights in God and </w:t>
      </w:r>
      <w:r w:rsidR="001D49E6">
        <w:rPr>
          <w:rFonts w:ascii="Arial" w:hAnsi="Arial" w:cs="Arial"/>
          <w:sz w:val="24"/>
          <w:szCs w:val="24"/>
        </w:rPr>
        <w:t xml:space="preserve">that </w:t>
      </w:r>
      <w:r w:rsidR="00A25805">
        <w:rPr>
          <w:rFonts w:ascii="Arial" w:hAnsi="Arial" w:cs="Arial"/>
          <w:sz w:val="24"/>
          <w:szCs w:val="24"/>
        </w:rPr>
        <w:t>to him is more informative?</w:t>
      </w:r>
      <w:r w:rsidR="00AF5199">
        <w:rPr>
          <w:rFonts w:ascii="Arial" w:hAnsi="Arial" w:cs="Arial"/>
          <w:sz w:val="24"/>
          <w:szCs w:val="24"/>
        </w:rPr>
        <w:t xml:space="preserve"> Any help from someone who knows Latin would be great!</w:t>
      </w:r>
    </w:p>
    <w:sectPr w:rsidR="008A6AAD" w:rsidRPr="0085175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A82ECA" w14:textId="77777777" w:rsidR="00A123E5" w:rsidRDefault="00A123E5" w:rsidP="00FA2C64">
      <w:pPr>
        <w:spacing w:after="0" w:line="240" w:lineRule="auto"/>
      </w:pPr>
      <w:r>
        <w:separator/>
      </w:r>
    </w:p>
  </w:endnote>
  <w:endnote w:type="continuationSeparator" w:id="0">
    <w:p w14:paraId="4589644A" w14:textId="77777777" w:rsidR="00A123E5" w:rsidRDefault="00A123E5" w:rsidP="00FA2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9177689"/>
      <w:docPartObj>
        <w:docPartGallery w:val="Page Numbers (Bottom of Page)"/>
        <w:docPartUnique/>
      </w:docPartObj>
    </w:sdtPr>
    <w:sdtEndPr>
      <w:rPr>
        <w:noProof/>
      </w:rPr>
    </w:sdtEndPr>
    <w:sdtContent>
      <w:p w14:paraId="0E029476" w14:textId="4BA647E1" w:rsidR="00E97131" w:rsidRDefault="00E971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1F54CE" w14:textId="77777777" w:rsidR="00E97131" w:rsidRDefault="00E971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7A2001" w14:textId="77777777" w:rsidR="00A123E5" w:rsidRDefault="00A123E5" w:rsidP="00FA2C64">
      <w:pPr>
        <w:spacing w:after="0" w:line="240" w:lineRule="auto"/>
      </w:pPr>
      <w:r>
        <w:separator/>
      </w:r>
    </w:p>
  </w:footnote>
  <w:footnote w:type="continuationSeparator" w:id="0">
    <w:p w14:paraId="61C719CA" w14:textId="77777777" w:rsidR="00A123E5" w:rsidRDefault="00A123E5" w:rsidP="00FA2C64">
      <w:pPr>
        <w:spacing w:after="0" w:line="240" w:lineRule="auto"/>
      </w:pPr>
      <w:r>
        <w:continuationSeparator/>
      </w:r>
    </w:p>
  </w:footnote>
  <w:footnote w:id="1">
    <w:p w14:paraId="46AB72DC" w14:textId="67C9F57C" w:rsidR="00FA2C64" w:rsidRPr="0066579B" w:rsidRDefault="00FA2C64" w:rsidP="0066579B">
      <w:pPr>
        <w:spacing w:line="240" w:lineRule="auto"/>
        <w:rPr>
          <w:rFonts w:ascii="Arial" w:hAnsi="Arial" w:cs="Arial"/>
          <w:sz w:val="24"/>
          <w:szCs w:val="24"/>
        </w:rPr>
      </w:pPr>
      <w:r>
        <w:rPr>
          <w:rStyle w:val="FootnoteReference"/>
        </w:rPr>
        <w:footnoteRef/>
      </w:r>
      <w:r>
        <w:t xml:space="preserve"> </w:t>
      </w:r>
      <w:r w:rsidRPr="00FA2C64">
        <w:rPr>
          <w:rFonts w:cstheme="minorHAnsi"/>
          <w:sz w:val="20"/>
          <w:szCs w:val="20"/>
        </w:rPr>
        <w:t>Pierre</w:t>
      </w:r>
      <w:r>
        <w:rPr>
          <w:rFonts w:cstheme="minorHAnsi"/>
          <w:sz w:val="20"/>
          <w:szCs w:val="20"/>
        </w:rPr>
        <w:t xml:space="preserve"> Bayle</w:t>
      </w:r>
      <w:r w:rsidRPr="00FA2C64">
        <w:rPr>
          <w:rFonts w:cstheme="minorHAnsi"/>
          <w:sz w:val="20"/>
          <w:szCs w:val="20"/>
        </w:rPr>
        <w:t xml:space="preserve">, </w:t>
      </w:r>
      <w:r w:rsidRPr="00FA2C64">
        <w:rPr>
          <w:rFonts w:cstheme="minorHAnsi"/>
          <w:i/>
          <w:iCs/>
          <w:sz w:val="20"/>
          <w:szCs w:val="20"/>
        </w:rPr>
        <w:t>The Dictionary Historical and Critical of Mr. Peter Bayle</w:t>
      </w:r>
      <w:r w:rsidRPr="00FA2C64">
        <w:rPr>
          <w:rFonts w:cstheme="minorHAnsi"/>
          <w:sz w:val="20"/>
          <w:szCs w:val="20"/>
        </w:rPr>
        <w:t>, 2</w:t>
      </w:r>
      <w:r w:rsidRPr="00FA2C64">
        <w:rPr>
          <w:rFonts w:cstheme="minorHAnsi"/>
          <w:sz w:val="20"/>
          <w:szCs w:val="20"/>
          <w:vertAlign w:val="superscript"/>
        </w:rPr>
        <w:t>nd</w:t>
      </w:r>
      <w:r w:rsidRPr="00FA2C64">
        <w:rPr>
          <w:rFonts w:cstheme="minorHAnsi"/>
          <w:sz w:val="20"/>
          <w:szCs w:val="20"/>
        </w:rPr>
        <w:t xml:space="preserve"> edn (London: Printed for J.J. and P. Knapton; D. midwinter; J. Brotherton; A. Bettesworth and C. Hitch; et al., 1734-38)</w:t>
      </w:r>
      <w:r>
        <w:rPr>
          <w:rFonts w:cstheme="minorHAnsi"/>
          <w:sz w:val="20"/>
          <w:szCs w:val="20"/>
        </w:rPr>
        <w:t xml:space="preserve"> </w:t>
      </w:r>
      <w:r w:rsidR="000F7880">
        <w:rPr>
          <w:rFonts w:cstheme="minorHAnsi"/>
          <w:sz w:val="20"/>
          <w:szCs w:val="20"/>
        </w:rPr>
        <w:t xml:space="preserve">Aaron </w:t>
      </w:r>
      <w:r>
        <w:rPr>
          <w:rFonts w:cstheme="minorHAnsi"/>
          <w:sz w:val="20"/>
          <w:szCs w:val="20"/>
        </w:rPr>
        <w:t>p</w:t>
      </w:r>
      <w:r w:rsidR="000F7880">
        <w:rPr>
          <w:rFonts w:cstheme="minorHAnsi"/>
          <w:sz w:val="20"/>
          <w:szCs w:val="20"/>
        </w:rPr>
        <w:t xml:space="preserve">p. 1-2, Aarsens pp 2-4, </w:t>
      </w:r>
      <w:proofErr w:type="spellStart"/>
      <w:r w:rsidR="000F7880">
        <w:rPr>
          <w:rFonts w:cstheme="minorHAnsi"/>
          <w:sz w:val="20"/>
          <w:szCs w:val="20"/>
        </w:rPr>
        <w:t>Abaris</w:t>
      </w:r>
      <w:proofErr w:type="spellEnd"/>
      <w:r w:rsidR="000F7880">
        <w:rPr>
          <w:rFonts w:cstheme="minorHAnsi"/>
          <w:sz w:val="20"/>
          <w:szCs w:val="20"/>
        </w:rPr>
        <w:t xml:space="preserve"> pp. 4-9, Abbeville pp. 9-11</w:t>
      </w:r>
      <w:r>
        <w:rPr>
          <w:rFonts w:cstheme="minorHAnsi"/>
          <w:sz w:val="20"/>
          <w:szCs w:val="20"/>
        </w:rPr>
        <w:t xml:space="preserve"> </w:t>
      </w:r>
    </w:p>
  </w:footnote>
  <w:footnote w:id="2">
    <w:p w14:paraId="01B7734B" w14:textId="71671915" w:rsidR="0066579B" w:rsidRDefault="0066579B">
      <w:pPr>
        <w:pStyle w:val="FootnoteText"/>
      </w:pPr>
      <w:r>
        <w:rPr>
          <w:rStyle w:val="FootnoteReference"/>
        </w:rPr>
        <w:footnoteRef/>
      </w:r>
      <w:r>
        <w:t xml:space="preserve"> Online Britannica page &lt;</w:t>
      </w:r>
      <w:r w:rsidRPr="0066579B">
        <w:t xml:space="preserve"> </w:t>
      </w:r>
      <w:hyperlink r:id="rId1" w:history="1">
        <w:r>
          <w:rPr>
            <w:rStyle w:val="Hyperlink"/>
          </w:rPr>
          <w:t>http://www.philosophypages.com/ph/bayl.htm</w:t>
        </w:r>
      </w:hyperlink>
      <w:r>
        <w:t>&gt; Accessed 25</w:t>
      </w:r>
      <w:r w:rsidRPr="0066579B">
        <w:rPr>
          <w:vertAlign w:val="superscript"/>
        </w:rPr>
        <w:t>th</w:t>
      </w:r>
      <w:r>
        <w:t xml:space="preserve"> Sept 2019. </w:t>
      </w:r>
      <w:r>
        <w:rPr>
          <w:rFonts w:cstheme="minorHAnsi"/>
        </w:rPr>
        <w:t>T</w:t>
      </w:r>
      <w:r w:rsidRPr="0066579B">
        <w:rPr>
          <w:rFonts w:cstheme="minorHAnsi"/>
        </w:rPr>
        <w:t>his was presumably in French since an online auction site notes it to have been ‘banned in Catholic France on first publication in 1697’</w:t>
      </w:r>
      <w:r>
        <w:rPr>
          <w:rFonts w:cstheme="minorHAnsi"/>
        </w:rPr>
        <w:t xml:space="preserve"> &lt;</w:t>
      </w:r>
      <w:r w:rsidRPr="0066579B">
        <w:t xml:space="preserve"> </w:t>
      </w:r>
      <w:hyperlink r:id="rId2" w:history="1">
        <w:r>
          <w:rPr>
            <w:rStyle w:val="Hyperlink"/>
          </w:rPr>
          <w:t>https://www.crcpress.com/Bayles-Dictionary-Historical-and-Critical-by-Peter-Bayle-the-Second/Bayle/p/book/9780415153874</w:t>
        </w:r>
      </w:hyperlink>
      <w:r>
        <w:t>&gt; Accessed 25</w:t>
      </w:r>
      <w:r w:rsidRPr="0066579B">
        <w:rPr>
          <w:vertAlign w:val="superscript"/>
        </w:rPr>
        <w:t>th</w:t>
      </w:r>
      <w:r>
        <w:t xml:space="preserve"> Sept 2019</w:t>
      </w:r>
      <w:r w:rsidR="00B7598F">
        <w:t>.   Regarding translation, Wikipedia notes Des Maizeaux to be Bayle’s translator but does not specifically mention the dictionary, whilst a Wikipedia page on Bayle himself states Des Maizeaux to be the translator but has no specific reference for the statement and it does not seem to be explicit in the dictionary itself.</w:t>
      </w:r>
    </w:p>
  </w:footnote>
  <w:footnote w:id="3">
    <w:p w14:paraId="2FCFA181" w14:textId="08338A2A" w:rsidR="0074238C" w:rsidRPr="0074238C" w:rsidRDefault="0074238C">
      <w:pPr>
        <w:pStyle w:val="FootnoteText"/>
      </w:pPr>
      <w:r>
        <w:rPr>
          <w:rStyle w:val="FootnoteReference"/>
        </w:rPr>
        <w:footnoteRef/>
      </w:r>
      <w:r>
        <w:t xml:space="preserve"> Henry R. Plomer, </w:t>
      </w:r>
      <w:r>
        <w:rPr>
          <w:i/>
          <w:iCs/>
        </w:rPr>
        <w:t>A Dictionary of the Printers and Booksellers Who Were at Work in England, Scotland and Ireland from 1668 to 1725</w:t>
      </w:r>
      <w:r>
        <w:t xml:space="preserve"> (Oxford: The Bibliographical Society, 1922; repr.1968) and Henry R. Plomer, G.H. Bushnell and E.R. McC.Dix, </w:t>
      </w:r>
      <w:r>
        <w:rPr>
          <w:i/>
          <w:iCs/>
        </w:rPr>
        <w:t>A Dictionary of the Printers and Booksellers Who Were at Work in England, Scotland and Ireland from 1726 to 1775</w:t>
      </w:r>
      <w:r>
        <w:t xml:space="preserve"> (Oxford: The Bibliographical Society, 1932; repr.1968). Hereafter </w:t>
      </w:r>
      <w:r>
        <w:rPr>
          <w:i/>
          <w:iCs/>
        </w:rPr>
        <w:t>1668</w:t>
      </w:r>
      <w:r>
        <w:t xml:space="preserve"> and </w:t>
      </w:r>
      <w:r>
        <w:rPr>
          <w:i/>
          <w:iCs/>
        </w:rPr>
        <w:t>1726</w:t>
      </w:r>
      <w:r>
        <w:t xml:space="preserve"> respectively.</w:t>
      </w:r>
    </w:p>
  </w:footnote>
  <w:footnote w:id="4">
    <w:p w14:paraId="5423D58B" w14:textId="2C37F061" w:rsidR="00C15D37" w:rsidRPr="00C15D37" w:rsidRDefault="00C15D37">
      <w:pPr>
        <w:pStyle w:val="FootnoteText"/>
      </w:pPr>
      <w:r>
        <w:rPr>
          <w:rStyle w:val="FootnoteReference"/>
        </w:rPr>
        <w:footnoteRef/>
      </w:r>
      <w:r>
        <w:t xml:space="preserve"> Plomb, </w:t>
      </w:r>
      <w:r>
        <w:rPr>
          <w:i/>
          <w:iCs/>
        </w:rPr>
        <w:t>1726 to 1775</w:t>
      </w:r>
      <w:r>
        <w:t>, p.25</w:t>
      </w:r>
    </w:p>
  </w:footnote>
  <w:footnote w:id="5">
    <w:p w14:paraId="66F9E3FE" w14:textId="67015214" w:rsidR="004B6ED5" w:rsidRPr="004B6ED5" w:rsidRDefault="004B6ED5">
      <w:pPr>
        <w:pStyle w:val="FootnoteText"/>
      </w:pPr>
      <w:r>
        <w:rPr>
          <w:rStyle w:val="FootnoteReference"/>
        </w:rPr>
        <w:footnoteRef/>
      </w:r>
      <w:r>
        <w:t xml:space="preserve"> </w:t>
      </w:r>
      <w:r w:rsidRPr="004B6ED5">
        <w:rPr>
          <w:rFonts w:cstheme="minorHAnsi"/>
          <w:i/>
          <w:iCs/>
        </w:rPr>
        <w:t>Bryan’s Dictionary of Painters and Engravers</w:t>
      </w:r>
      <w:r w:rsidR="00F26007">
        <w:rPr>
          <w:rFonts w:cstheme="minorHAnsi"/>
        </w:rPr>
        <w:t>, new edn revised and enlarged under the supervision of George C. Williamson (Port Washington, N.Y.: Kennikat Press, 1964, vol.5, p. 93</w:t>
      </w:r>
    </w:p>
  </w:footnote>
  <w:footnote w:id="6">
    <w:p w14:paraId="4976AEC9" w14:textId="3AC1939E" w:rsidR="002D197F" w:rsidRDefault="002D197F">
      <w:pPr>
        <w:pStyle w:val="FootnoteText"/>
      </w:pPr>
      <w:r>
        <w:rPr>
          <w:rStyle w:val="FootnoteReference"/>
        </w:rPr>
        <w:footnoteRef/>
      </w:r>
      <w:r>
        <w:t xml:space="preserve"> Ibid., p.93</w:t>
      </w:r>
    </w:p>
  </w:footnote>
  <w:footnote w:id="7">
    <w:p w14:paraId="69E34A38" w14:textId="06E32FA9" w:rsidR="002D197F" w:rsidRDefault="002D197F">
      <w:pPr>
        <w:pStyle w:val="FootnoteText"/>
      </w:pPr>
      <w:r>
        <w:rPr>
          <w:rStyle w:val="FootnoteReference"/>
        </w:rPr>
        <w:footnoteRef/>
      </w:r>
      <w:r>
        <w:t xml:space="preserve"> Ibid., pp.93-4</w:t>
      </w:r>
    </w:p>
  </w:footnote>
  <w:footnote w:id="8">
    <w:p w14:paraId="21FE27D3" w14:textId="29998B7E" w:rsidR="005E6C53" w:rsidRDefault="005E6C53">
      <w:pPr>
        <w:pStyle w:val="FootnoteText"/>
      </w:pPr>
      <w:r>
        <w:rPr>
          <w:rStyle w:val="FootnoteReference"/>
        </w:rPr>
        <w:footnoteRef/>
      </w:r>
      <w:r>
        <w:t xml:space="preserve"> Ibid., p.93</w:t>
      </w:r>
    </w:p>
  </w:footnote>
  <w:footnote w:id="9">
    <w:p w14:paraId="271FEB0E" w14:textId="0A52FAA5" w:rsidR="00821064" w:rsidRPr="00F67A87" w:rsidRDefault="00821064">
      <w:pPr>
        <w:pStyle w:val="FootnoteText"/>
      </w:pPr>
      <w:r>
        <w:rPr>
          <w:rStyle w:val="FootnoteReference"/>
        </w:rPr>
        <w:footnoteRef/>
      </w:r>
      <w:r>
        <w:t xml:space="preserve"> </w:t>
      </w:r>
      <w:r w:rsidR="00F67A87">
        <w:t>See The National Gallery &lt;</w:t>
      </w:r>
      <w:r w:rsidR="00F67A87" w:rsidRPr="00F67A87">
        <w:t xml:space="preserve"> </w:t>
      </w:r>
      <w:hyperlink r:id="rId3" w:history="1">
        <w:r w:rsidR="00F67A87">
          <w:rPr>
            <w:rStyle w:val="Hyperlink"/>
          </w:rPr>
          <w:t>https://www.npg.org.uk/collections/search/person/mp68296/james-smith</w:t>
        </w:r>
      </w:hyperlink>
      <w:r w:rsidR="00F67A87">
        <w:t>&gt; Accessed the 25</w:t>
      </w:r>
      <w:r w:rsidR="00F67A87" w:rsidRPr="00F67A87">
        <w:rPr>
          <w:vertAlign w:val="superscript"/>
        </w:rPr>
        <w:t>th</w:t>
      </w:r>
      <w:r w:rsidR="00F67A87">
        <w:t xml:space="preserve"> Sept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YwMjM3tDS3NDWztLBQ0lEKTi0uzszPAykwqQUAzWwsPSwAAAA="/>
  </w:docVars>
  <w:rsids>
    <w:rsidRoot w:val="00E23A78"/>
    <w:rsid w:val="000C7CD9"/>
    <w:rsid w:val="000F7880"/>
    <w:rsid w:val="00175901"/>
    <w:rsid w:val="001B5D85"/>
    <w:rsid w:val="001D3892"/>
    <w:rsid w:val="001D49E6"/>
    <w:rsid w:val="00236A16"/>
    <w:rsid w:val="00253303"/>
    <w:rsid w:val="002D197F"/>
    <w:rsid w:val="002E752D"/>
    <w:rsid w:val="00334C3D"/>
    <w:rsid w:val="00376E78"/>
    <w:rsid w:val="00411817"/>
    <w:rsid w:val="00463CB4"/>
    <w:rsid w:val="004B4644"/>
    <w:rsid w:val="004B6ED5"/>
    <w:rsid w:val="004C21EB"/>
    <w:rsid w:val="004C26C2"/>
    <w:rsid w:val="004D55B0"/>
    <w:rsid w:val="004F676A"/>
    <w:rsid w:val="0053388B"/>
    <w:rsid w:val="00546CFF"/>
    <w:rsid w:val="005B54F0"/>
    <w:rsid w:val="005E6C53"/>
    <w:rsid w:val="0066579B"/>
    <w:rsid w:val="00687C5A"/>
    <w:rsid w:val="006D2B21"/>
    <w:rsid w:val="00715C7E"/>
    <w:rsid w:val="007358C4"/>
    <w:rsid w:val="0074238C"/>
    <w:rsid w:val="00800C54"/>
    <w:rsid w:val="008162D9"/>
    <w:rsid w:val="00821064"/>
    <w:rsid w:val="0085108E"/>
    <w:rsid w:val="0085175F"/>
    <w:rsid w:val="00855017"/>
    <w:rsid w:val="0087419B"/>
    <w:rsid w:val="008A6AAD"/>
    <w:rsid w:val="009A2197"/>
    <w:rsid w:val="00A123E5"/>
    <w:rsid w:val="00A25805"/>
    <w:rsid w:val="00AA114D"/>
    <w:rsid w:val="00AC476B"/>
    <w:rsid w:val="00AF5199"/>
    <w:rsid w:val="00B7598F"/>
    <w:rsid w:val="00B86C2F"/>
    <w:rsid w:val="00C15D37"/>
    <w:rsid w:val="00D17DB2"/>
    <w:rsid w:val="00D863E4"/>
    <w:rsid w:val="00E23A78"/>
    <w:rsid w:val="00E44103"/>
    <w:rsid w:val="00E97131"/>
    <w:rsid w:val="00EB3790"/>
    <w:rsid w:val="00EC0E37"/>
    <w:rsid w:val="00EC3221"/>
    <w:rsid w:val="00F26007"/>
    <w:rsid w:val="00F31A10"/>
    <w:rsid w:val="00F67A87"/>
    <w:rsid w:val="00F96C83"/>
    <w:rsid w:val="00FA2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6D8C63"/>
  <w15:chartTrackingRefBased/>
  <w15:docId w15:val="{DE5350FF-639A-428B-9BDD-9E9EBDF8F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A2C6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2C64"/>
    <w:rPr>
      <w:sz w:val="20"/>
      <w:szCs w:val="20"/>
    </w:rPr>
  </w:style>
  <w:style w:type="character" w:styleId="FootnoteReference">
    <w:name w:val="footnote reference"/>
    <w:basedOn w:val="DefaultParagraphFont"/>
    <w:uiPriority w:val="99"/>
    <w:semiHidden/>
    <w:unhideWhenUsed/>
    <w:rsid w:val="00FA2C64"/>
    <w:rPr>
      <w:vertAlign w:val="superscript"/>
    </w:rPr>
  </w:style>
  <w:style w:type="character" w:styleId="Hyperlink">
    <w:name w:val="Hyperlink"/>
    <w:basedOn w:val="DefaultParagraphFont"/>
    <w:uiPriority w:val="99"/>
    <w:semiHidden/>
    <w:unhideWhenUsed/>
    <w:rsid w:val="0066579B"/>
    <w:rPr>
      <w:color w:val="0000FF"/>
      <w:u w:val="single"/>
    </w:rPr>
  </w:style>
  <w:style w:type="paragraph" w:styleId="Header">
    <w:name w:val="header"/>
    <w:basedOn w:val="Normal"/>
    <w:link w:val="HeaderChar"/>
    <w:uiPriority w:val="99"/>
    <w:unhideWhenUsed/>
    <w:rsid w:val="00E971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131"/>
  </w:style>
  <w:style w:type="paragraph" w:styleId="Footer">
    <w:name w:val="footer"/>
    <w:basedOn w:val="Normal"/>
    <w:link w:val="FooterChar"/>
    <w:uiPriority w:val="99"/>
    <w:unhideWhenUsed/>
    <w:rsid w:val="00E971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1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npg.org.uk/collections/search/person/mp68296/james-smith" TargetMode="External"/><Relationship Id="rId2" Type="http://schemas.openxmlformats.org/officeDocument/2006/relationships/hyperlink" Target="https://www.crcpress.com/Bayles-Dictionary-Historical-and-Critical-by-Peter-Bayle-the-Second/Bayle/p/book/9780415153874" TargetMode="External"/><Relationship Id="rId1" Type="http://schemas.openxmlformats.org/officeDocument/2006/relationships/hyperlink" Target="http://www.philosophypages.com/ph/bayl.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E773424-4457-4FDB-9515-8AE3BD820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1030</Words>
  <Characters>5871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dc:creator>
  <cp:keywords/>
  <dc:description/>
  <cp:lastModifiedBy>Annie Thomas</cp:lastModifiedBy>
  <cp:revision>2</cp:revision>
  <dcterms:created xsi:type="dcterms:W3CDTF">2019-09-26T10:21:00Z</dcterms:created>
  <dcterms:modified xsi:type="dcterms:W3CDTF">2019-09-26T10:21:00Z</dcterms:modified>
</cp:coreProperties>
</file>