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3E9E8" w14:textId="77777777" w:rsidR="00CD60CF" w:rsidRPr="000F7F7A" w:rsidRDefault="00631257">
      <w:pPr>
        <w:jc w:val="center"/>
        <w:rPr>
          <w:b/>
          <w:bCs/>
          <w:lang w:val="en-GB"/>
        </w:rPr>
      </w:pPr>
      <w:bookmarkStart w:id="0" w:name="_Hlk215774973"/>
      <w:r w:rsidRPr="000F7F7A">
        <w:rPr>
          <w:b/>
          <w:bCs/>
          <w:noProof/>
          <w:lang w:val="en-IN"/>
        </w:rPr>
        <w:drawing>
          <wp:inline distT="114300" distB="114300" distL="114300" distR="114300" wp14:anchorId="5263CD3D" wp14:editId="59C5889B">
            <wp:extent cx="2071688" cy="82455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71688" cy="824552"/>
                    </a:xfrm>
                    <a:prstGeom prst="rect">
                      <a:avLst/>
                    </a:prstGeom>
                    <a:ln/>
                  </pic:spPr>
                </pic:pic>
              </a:graphicData>
            </a:graphic>
          </wp:inline>
        </w:drawing>
      </w:r>
    </w:p>
    <w:p w14:paraId="4B513183" w14:textId="77777777" w:rsidR="00CD60CF" w:rsidRPr="000F7F7A" w:rsidRDefault="00CD60CF">
      <w:pPr>
        <w:jc w:val="center"/>
        <w:rPr>
          <w:b/>
          <w:bCs/>
          <w:lang w:val="en-GB"/>
        </w:rPr>
      </w:pPr>
    </w:p>
    <w:p w14:paraId="04E54C54" w14:textId="77777777" w:rsidR="00CD60CF" w:rsidRPr="000F7F7A" w:rsidRDefault="00CD60CF">
      <w:pPr>
        <w:jc w:val="center"/>
        <w:rPr>
          <w:b/>
          <w:bCs/>
          <w:lang w:val="en-GB"/>
        </w:rPr>
      </w:pPr>
    </w:p>
    <w:p w14:paraId="6BADEEE8" w14:textId="77777777" w:rsidR="00CD60CF" w:rsidRPr="006D7585" w:rsidRDefault="00631257">
      <w:pPr>
        <w:jc w:val="center"/>
        <w:rPr>
          <w:b/>
          <w:bCs/>
          <w:sz w:val="36"/>
          <w:lang w:val="en-GB"/>
        </w:rPr>
      </w:pPr>
      <w:r w:rsidRPr="006D7585">
        <w:rPr>
          <w:b/>
          <w:bCs/>
          <w:sz w:val="36"/>
          <w:lang w:val="en-GB"/>
        </w:rPr>
        <w:t>Module code: LCHS7006</w:t>
      </w:r>
    </w:p>
    <w:bookmarkEnd w:id="0"/>
    <w:p w14:paraId="0AB3238F" w14:textId="77777777" w:rsidR="00CD60CF" w:rsidRPr="006D7585" w:rsidRDefault="00CD60CF">
      <w:pPr>
        <w:jc w:val="center"/>
        <w:rPr>
          <w:b/>
          <w:bCs/>
          <w:sz w:val="36"/>
          <w:lang w:val="en-GB"/>
        </w:rPr>
      </w:pPr>
    </w:p>
    <w:p w14:paraId="1567E05F" w14:textId="77777777" w:rsidR="00CD60CF" w:rsidRPr="006D7585" w:rsidRDefault="00631257">
      <w:pPr>
        <w:jc w:val="center"/>
        <w:rPr>
          <w:b/>
          <w:bCs/>
          <w:sz w:val="36"/>
          <w:lang w:val="en-GB"/>
        </w:rPr>
      </w:pPr>
      <w:r w:rsidRPr="006D7585">
        <w:rPr>
          <w:b/>
          <w:bCs/>
          <w:sz w:val="36"/>
          <w:lang w:val="en-GB"/>
        </w:rPr>
        <w:t>Programme: MSc Public Health and Social Care in Practice</w:t>
      </w:r>
    </w:p>
    <w:p w14:paraId="4D17518F" w14:textId="77777777" w:rsidR="00CD60CF" w:rsidRPr="006D7585" w:rsidRDefault="00631257">
      <w:pPr>
        <w:jc w:val="center"/>
        <w:rPr>
          <w:b/>
          <w:bCs/>
          <w:sz w:val="36"/>
          <w:lang w:val="en-GB"/>
        </w:rPr>
      </w:pPr>
      <w:r w:rsidRPr="006D7585">
        <w:rPr>
          <w:b/>
          <w:bCs/>
          <w:sz w:val="36"/>
          <w:lang w:val="en-GB"/>
        </w:rPr>
        <w:t>Module: Quality Assurance and Service Improvements</w:t>
      </w:r>
    </w:p>
    <w:p w14:paraId="12A0CBDF" w14:textId="77777777" w:rsidR="00CD60CF" w:rsidRDefault="00CD60CF">
      <w:pPr>
        <w:jc w:val="center"/>
        <w:rPr>
          <w:b/>
          <w:bCs/>
          <w:sz w:val="36"/>
          <w:lang w:val="en-GB"/>
        </w:rPr>
      </w:pPr>
    </w:p>
    <w:p w14:paraId="746B8E4A" w14:textId="77777777" w:rsidR="000633EC" w:rsidRPr="000633EC" w:rsidRDefault="000633EC">
      <w:pPr>
        <w:jc w:val="center"/>
        <w:rPr>
          <w:b/>
          <w:bCs/>
          <w:sz w:val="36"/>
          <w:lang w:val="en-GB"/>
        </w:rPr>
      </w:pPr>
    </w:p>
    <w:p w14:paraId="32DD1200" w14:textId="11408C75" w:rsidR="00CD60CF" w:rsidRPr="000F7F7A" w:rsidRDefault="000633EC">
      <w:pPr>
        <w:jc w:val="center"/>
        <w:rPr>
          <w:b/>
          <w:bCs/>
          <w:lang w:val="en-GB"/>
        </w:rPr>
      </w:pPr>
      <w:r w:rsidRPr="000633EC">
        <w:rPr>
          <w:b/>
          <w:bCs/>
          <w:sz w:val="36"/>
          <w:lang w:val="en-GB"/>
        </w:rPr>
        <w:t>Service Improvement in Incident Reporting and Escalation within Neonatal Care: A Quality Analysis of the Lucy Letby Case</w:t>
      </w:r>
      <w:r w:rsidR="00631257" w:rsidRPr="000F7F7A">
        <w:rPr>
          <w:lang w:val="en-GB"/>
        </w:rPr>
        <w:br w:type="page"/>
      </w:r>
    </w:p>
    <w:bookmarkStart w:id="1" w:name="_kqaw9jp0u1rp" w:colFirst="0" w:colLast="0" w:displacedByCustomXml="next"/>
    <w:bookmarkEnd w:id="1" w:displacedByCustomXml="next"/>
    <w:sdt>
      <w:sdtPr>
        <w:rPr>
          <w:rFonts w:ascii="Times New Roman" w:eastAsia="Times New Roman" w:hAnsi="Times New Roman" w:cs="Times New Roman"/>
          <w:color w:val="auto"/>
          <w:sz w:val="24"/>
          <w:szCs w:val="24"/>
          <w:lang w:val="en-GB" w:eastAsia="en-IN"/>
        </w:rPr>
        <w:id w:val="1101222320"/>
        <w:docPartObj>
          <w:docPartGallery w:val="Table of Contents"/>
          <w:docPartUnique/>
        </w:docPartObj>
      </w:sdtPr>
      <w:sdtEndPr>
        <w:rPr>
          <w:b/>
          <w:bCs/>
          <w:noProof/>
        </w:rPr>
      </w:sdtEndPr>
      <w:sdtContent>
        <w:p w14:paraId="66084B43" w14:textId="77777777" w:rsidR="000F7F7A" w:rsidRPr="000F7F7A" w:rsidRDefault="000F7F7A" w:rsidP="000F7F7A">
          <w:pPr>
            <w:pStyle w:val="TOCHeading"/>
            <w:jc w:val="center"/>
            <w:rPr>
              <w:rFonts w:ascii="Times New Roman" w:hAnsi="Times New Roman" w:cs="Times New Roman"/>
              <w:b/>
              <w:color w:val="auto"/>
              <w:sz w:val="28"/>
              <w:lang w:val="en-GB"/>
            </w:rPr>
          </w:pPr>
          <w:r w:rsidRPr="000F7F7A">
            <w:rPr>
              <w:rFonts w:ascii="Times New Roman" w:hAnsi="Times New Roman" w:cs="Times New Roman"/>
              <w:b/>
              <w:color w:val="auto"/>
              <w:sz w:val="28"/>
              <w:lang w:val="en-GB"/>
            </w:rPr>
            <w:t>Table of Contents</w:t>
          </w:r>
        </w:p>
        <w:p w14:paraId="673C2B32" w14:textId="77777777" w:rsidR="000F7F7A" w:rsidRPr="000F7F7A" w:rsidRDefault="000F7F7A">
          <w:pPr>
            <w:pStyle w:val="TOC1"/>
            <w:tabs>
              <w:tab w:val="right" w:leader="dot" w:pos="9350"/>
            </w:tabs>
            <w:rPr>
              <w:noProof/>
              <w:lang w:val="en-GB"/>
            </w:rPr>
          </w:pPr>
          <w:r w:rsidRPr="000F7F7A">
            <w:rPr>
              <w:lang w:val="en-GB"/>
            </w:rPr>
            <w:fldChar w:fldCharType="begin"/>
          </w:r>
          <w:r w:rsidRPr="000F7F7A">
            <w:rPr>
              <w:lang w:val="en-GB"/>
            </w:rPr>
            <w:instrText xml:space="preserve"> TOC \o "1-3" \h \z \u </w:instrText>
          </w:r>
          <w:r w:rsidRPr="000F7F7A">
            <w:rPr>
              <w:lang w:val="en-GB"/>
            </w:rPr>
            <w:fldChar w:fldCharType="separate"/>
          </w:r>
          <w:hyperlink w:anchor="_Toc215669971" w:history="1">
            <w:r w:rsidRPr="000F7F7A">
              <w:rPr>
                <w:rStyle w:val="Hyperlink"/>
                <w:noProof/>
                <w:lang w:val="en-GB"/>
              </w:rPr>
              <w:t>1. Introduction</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_Toc215669971 \h </w:instrText>
            </w:r>
            <w:r w:rsidRPr="000F7F7A">
              <w:rPr>
                <w:noProof/>
                <w:webHidden/>
                <w:lang w:val="en-GB"/>
              </w:rPr>
            </w:r>
            <w:r w:rsidRPr="000F7F7A">
              <w:rPr>
                <w:noProof/>
                <w:webHidden/>
                <w:lang w:val="en-GB"/>
              </w:rPr>
              <w:fldChar w:fldCharType="separate"/>
            </w:r>
            <w:r w:rsidRPr="000F7F7A">
              <w:rPr>
                <w:noProof/>
                <w:webHidden/>
                <w:lang w:val="en-GB"/>
              </w:rPr>
              <w:t>2</w:t>
            </w:r>
            <w:r w:rsidRPr="000F7F7A">
              <w:rPr>
                <w:noProof/>
                <w:webHidden/>
                <w:lang w:val="en-GB"/>
              </w:rPr>
              <w:fldChar w:fldCharType="end"/>
            </w:r>
          </w:hyperlink>
        </w:p>
        <w:p w14:paraId="0A51FF8C" w14:textId="77777777" w:rsidR="000F7F7A" w:rsidRPr="000F7F7A" w:rsidRDefault="000F7F7A">
          <w:pPr>
            <w:pStyle w:val="TOC2"/>
            <w:tabs>
              <w:tab w:val="right" w:leader="dot" w:pos="9350"/>
            </w:tabs>
            <w:rPr>
              <w:noProof/>
              <w:lang w:val="en-GB"/>
            </w:rPr>
          </w:pPr>
          <w:hyperlink w:anchor="_Toc215669972" w:history="1">
            <w:r w:rsidRPr="000F7F7A">
              <w:rPr>
                <w:rStyle w:val="Hyperlink"/>
                <w:noProof/>
                <w:lang w:val="en-GB"/>
              </w:rPr>
              <w:t>1.1 Background to the Case</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_Toc215669972 \h </w:instrText>
            </w:r>
            <w:r w:rsidRPr="000F7F7A">
              <w:rPr>
                <w:noProof/>
                <w:webHidden/>
                <w:lang w:val="en-GB"/>
              </w:rPr>
            </w:r>
            <w:r w:rsidRPr="000F7F7A">
              <w:rPr>
                <w:noProof/>
                <w:webHidden/>
                <w:lang w:val="en-GB"/>
              </w:rPr>
              <w:fldChar w:fldCharType="separate"/>
            </w:r>
            <w:r w:rsidRPr="000F7F7A">
              <w:rPr>
                <w:noProof/>
                <w:webHidden/>
                <w:lang w:val="en-GB"/>
              </w:rPr>
              <w:t>2</w:t>
            </w:r>
            <w:r w:rsidRPr="000F7F7A">
              <w:rPr>
                <w:noProof/>
                <w:webHidden/>
                <w:lang w:val="en-GB"/>
              </w:rPr>
              <w:fldChar w:fldCharType="end"/>
            </w:r>
          </w:hyperlink>
        </w:p>
        <w:p w14:paraId="06C5644C" w14:textId="77777777" w:rsidR="000F7F7A" w:rsidRPr="000F7F7A" w:rsidRDefault="000F7F7A">
          <w:pPr>
            <w:pStyle w:val="TOC2"/>
            <w:tabs>
              <w:tab w:val="right" w:leader="dot" w:pos="9350"/>
            </w:tabs>
            <w:rPr>
              <w:noProof/>
              <w:lang w:val="en-GB"/>
            </w:rPr>
          </w:pPr>
          <w:hyperlink w:anchor="_Toc215669973" w:history="1">
            <w:r w:rsidRPr="000F7F7A">
              <w:rPr>
                <w:rStyle w:val="Hyperlink"/>
                <w:noProof/>
                <w:lang w:val="en-GB"/>
              </w:rPr>
              <w:t>1.2 Identified Quality Problem for Component 2</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_Toc215669973 \h </w:instrText>
            </w:r>
            <w:r w:rsidRPr="000F7F7A">
              <w:rPr>
                <w:noProof/>
                <w:webHidden/>
                <w:lang w:val="en-GB"/>
              </w:rPr>
            </w:r>
            <w:r w:rsidRPr="000F7F7A">
              <w:rPr>
                <w:noProof/>
                <w:webHidden/>
                <w:lang w:val="en-GB"/>
              </w:rPr>
              <w:fldChar w:fldCharType="separate"/>
            </w:r>
            <w:r w:rsidRPr="000F7F7A">
              <w:rPr>
                <w:noProof/>
                <w:webHidden/>
                <w:lang w:val="en-GB"/>
              </w:rPr>
              <w:t>2</w:t>
            </w:r>
            <w:r w:rsidRPr="000F7F7A">
              <w:rPr>
                <w:noProof/>
                <w:webHidden/>
                <w:lang w:val="en-GB"/>
              </w:rPr>
              <w:fldChar w:fldCharType="end"/>
            </w:r>
          </w:hyperlink>
        </w:p>
        <w:p w14:paraId="5DA56131" w14:textId="77777777" w:rsidR="000F7F7A" w:rsidRPr="000F7F7A" w:rsidRDefault="000F7F7A">
          <w:pPr>
            <w:pStyle w:val="TOC2"/>
            <w:tabs>
              <w:tab w:val="right" w:leader="dot" w:pos="9350"/>
            </w:tabs>
            <w:rPr>
              <w:noProof/>
              <w:lang w:val="en-GB"/>
            </w:rPr>
          </w:pPr>
          <w:hyperlink w:anchor="_Toc215669974" w:history="1">
            <w:r w:rsidRPr="000F7F7A">
              <w:rPr>
                <w:rStyle w:val="Hyperlink"/>
                <w:noProof/>
                <w:lang w:val="en-GB"/>
              </w:rPr>
              <w:t>1.3 Rationale for Investigating This Issue</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_Toc215669974 \h </w:instrText>
            </w:r>
            <w:r w:rsidRPr="000F7F7A">
              <w:rPr>
                <w:noProof/>
                <w:webHidden/>
                <w:lang w:val="en-GB"/>
              </w:rPr>
            </w:r>
            <w:r w:rsidRPr="000F7F7A">
              <w:rPr>
                <w:noProof/>
                <w:webHidden/>
                <w:lang w:val="en-GB"/>
              </w:rPr>
              <w:fldChar w:fldCharType="separate"/>
            </w:r>
            <w:r w:rsidRPr="000F7F7A">
              <w:rPr>
                <w:noProof/>
                <w:webHidden/>
                <w:lang w:val="en-GB"/>
              </w:rPr>
              <w:t>2</w:t>
            </w:r>
            <w:r w:rsidRPr="000F7F7A">
              <w:rPr>
                <w:noProof/>
                <w:webHidden/>
                <w:lang w:val="en-GB"/>
              </w:rPr>
              <w:fldChar w:fldCharType="end"/>
            </w:r>
          </w:hyperlink>
        </w:p>
        <w:p w14:paraId="2C8E8DBD" w14:textId="77777777" w:rsidR="000F7F7A" w:rsidRPr="000F7F7A" w:rsidRDefault="000F7F7A">
          <w:pPr>
            <w:pStyle w:val="TOC2"/>
            <w:tabs>
              <w:tab w:val="right" w:leader="dot" w:pos="9350"/>
            </w:tabs>
            <w:rPr>
              <w:noProof/>
              <w:lang w:val="en-GB"/>
            </w:rPr>
          </w:pPr>
          <w:hyperlink w:anchor="_Toc215669975" w:history="1">
            <w:r w:rsidRPr="000F7F7A">
              <w:rPr>
                <w:rStyle w:val="Hyperlink"/>
                <w:noProof/>
                <w:lang w:val="en-GB"/>
              </w:rPr>
              <w:t>1.4 Aim and Objectives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_Toc215669975 \h </w:instrText>
            </w:r>
            <w:r w:rsidRPr="000F7F7A">
              <w:rPr>
                <w:noProof/>
                <w:webHidden/>
                <w:lang w:val="en-GB"/>
              </w:rPr>
            </w:r>
            <w:r w:rsidRPr="000F7F7A">
              <w:rPr>
                <w:noProof/>
                <w:webHidden/>
                <w:lang w:val="en-GB"/>
              </w:rPr>
              <w:fldChar w:fldCharType="separate"/>
            </w:r>
            <w:r w:rsidRPr="000F7F7A">
              <w:rPr>
                <w:noProof/>
                <w:webHidden/>
                <w:lang w:val="en-GB"/>
              </w:rPr>
              <w:t>3</w:t>
            </w:r>
            <w:r w:rsidRPr="000F7F7A">
              <w:rPr>
                <w:noProof/>
                <w:webHidden/>
                <w:lang w:val="en-GB"/>
              </w:rPr>
              <w:fldChar w:fldCharType="end"/>
            </w:r>
          </w:hyperlink>
        </w:p>
        <w:p w14:paraId="73E04594" w14:textId="77777777" w:rsidR="000F7F7A" w:rsidRPr="000F7F7A" w:rsidRDefault="000F7F7A">
          <w:pPr>
            <w:pStyle w:val="TOC1"/>
            <w:tabs>
              <w:tab w:val="right" w:leader="dot" w:pos="9350"/>
            </w:tabs>
            <w:rPr>
              <w:noProof/>
              <w:lang w:val="en-GB"/>
            </w:rPr>
          </w:pPr>
          <w:hyperlink w:anchor="_Toc215669976" w:history="1">
            <w:r w:rsidRPr="000F7F7A">
              <w:rPr>
                <w:rStyle w:val="Hyperlink"/>
                <w:noProof/>
                <w:lang w:val="en-GB"/>
              </w:rPr>
              <w:t>2. Main Body</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_Toc215669976 \h </w:instrText>
            </w:r>
            <w:r w:rsidRPr="000F7F7A">
              <w:rPr>
                <w:noProof/>
                <w:webHidden/>
                <w:lang w:val="en-GB"/>
              </w:rPr>
            </w:r>
            <w:r w:rsidRPr="000F7F7A">
              <w:rPr>
                <w:noProof/>
                <w:webHidden/>
                <w:lang w:val="en-GB"/>
              </w:rPr>
              <w:fldChar w:fldCharType="separate"/>
            </w:r>
            <w:r w:rsidRPr="000F7F7A">
              <w:rPr>
                <w:noProof/>
                <w:webHidden/>
                <w:lang w:val="en-GB"/>
              </w:rPr>
              <w:t>3</w:t>
            </w:r>
            <w:r w:rsidRPr="000F7F7A">
              <w:rPr>
                <w:noProof/>
                <w:webHidden/>
                <w:lang w:val="en-GB"/>
              </w:rPr>
              <w:fldChar w:fldCharType="end"/>
            </w:r>
          </w:hyperlink>
        </w:p>
        <w:p w14:paraId="7DDA2843" w14:textId="77777777" w:rsidR="000F7F7A" w:rsidRPr="000F7F7A" w:rsidRDefault="000F7F7A">
          <w:pPr>
            <w:pStyle w:val="TOC2"/>
            <w:tabs>
              <w:tab w:val="right" w:leader="dot" w:pos="9350"/>
            </w:tabs>
            <w:rPr>
              <w:noProof/>
              <w:lang w:val="en-GB"/>
            </w:rPr>
          </w:pPr>
          <w:hyperlink w:anchor="_Toc215669977" w:history="1">
            <w:r w:rsidRPr="000F7F7A">
              <w:rPr>
                <w:rStyle w:val="Hyperlink"/>
                <w:noProof/>
                <w:lang w:val="en-GB"/>
              </w:rPr>
              <w:t>2.1 Understanding the Chosen Quality Issue</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_Toc215669977 \h </w:instrText>
            </w:r>
            <w:r w:rsidRPr="000F7F7A">
              <w:rPr>
                <w:noProof/>
                <w:webHidden/>
                <w:lang w:val="en-GB"/>
              </w:rPr>
            </w:r>
            <w:r w:rsidRPr="000F7F7A">
              <w:rPr>
                <w:noProof/>
                <w:webHidden/>
                <w:lang w:val="en-GB"/>
              </w:rPr>
              <w:fldChar w:fldCharType="separate"/>
            </w:r>
            <w:r w:rsidRPr="000F7F7A">
              <w:rPr>
                <w:noProof/>
                <w:webHidden/>
                <w:lang w:val="en-GB"/>
              </w:rPr>
              <w:t>3</w:t>
            </w:r>
            <w:r w:rsidRPr="000F7F7A">
              <w:rPr>
                <w:noProof/>
                <w:webHidden/>
                <w:lang w:val="en-GB"/>
              </w:rPr>
              <w:fldChar w:fldCharType="end"/>
            </w:r>
          </w:hyperlink>
        </w:p>
        <w:p w14:paraId="354788F4" w14:textId="77777777" w:rsidR="000F7F7A" w:rsidRPr="000F7F7A" w:rsidRDefault="000F7F7A">
          <w:pPr>
            <w:pStyle w:val="TOC2"/>
            <w:tabs>
              <w:tab w:val="right" w:leader="dot" w:pos="9350"/>
            </w:tabs>
            <w:rPr>
              <w:noProof/>
              <w:lang w:val="en-GB"/>
            </w:rPr>
          </w:pPr>
          <w:hyperlink w:anchor="_Toc215669978" w:history="1">
            <w:r w:rsidRPr="000F7F7A">
              <w:rPr>
                <w:rStyle w:val="Hyperlink"/>
                <w:noProof/>
                <w:lang w:val="en-GB"/>
              </w:rPr>
              <w:t>2.2 Application of Theoretical Models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_Toc215669978 \h </w:instrText>
            </w:r>
            <w:r w:rsidRPr="000F7F7A">
              <w:rPr>
                <w:noProof/>
                <w:webHidden/>
                <w:lang w:val="en-GB"/>
              </w:rPr>
            </w:r>
            <w:r w:rsidRPr="000F7F7A">
              <w:rPr>
                <w:noProof/>
                <w:webHidden/>
                <w:lang w:val="en-GB"/>
              </w:rPr>
              <w:fldChar w:fldCharType="separate"/>
            </w:r>
            <w:r w:rsidRPr="000F7F7A">
              <w:rPr>
                <w:noProof/>
                <w:webHidden/>
                <w:lang w:val="en-GB"/>
              </w:rPr>
              <w:t>4</w:t>
            </w:r>
            <w:r w:rsidRPr="000F7F7A">
              <w:rPr>
                <w:noProof/>
                <w:webHidden/>
                <w:lang w:val="en-GB"/>
              </w:rPr>
              <w:fldChar w:fldCharType="end"/>
            </w:r>
          </w:hyperlink>
        </w:p>
        <w:p w14:paraId="145DC0CD" w14:textId="77777777" w:rsidR="000F7F7A" w:rsidRPr="000F7F7A" w:rsidRDefault="000F7F7A">
          <w:pPr>
            <w:pStyle w:val="TOC3"/>
            <w:tabs>
              <w:tab w:val="right" w:leader="dot" w:pos="9350"/>
            </w:tabs>
            <w:rPr>
              <w:noProof/>
              <w:lang w:val="en-GB"/>
            </w:rPr>
          </w:pPr>
          <w:hyperlink w:anchor="_Toc215669979" w:history="1">
            <w:r w:rsidRPr="000F7F7A">
              <w:rPr>
                <w:rStyle w:val="Hyperlink"/>
                <w:noProof/>
                <w:lang w:val="en-GB"/>
              </w:rPr>
              <w:t>2.2.1 Fishbone (Ishikawa) Diagram Analysis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_Toc215669979 \h </w:instrText>
            </w:r>
            <w:r w:rsidRPr="000F7F7A">
              <w:rPr>
                <w:noProof/>
                <w:webHidden/>
                <w:lang w:val="en-GB"/>
              </w:rPr>
            </w:r>
            <w:r w:rsidRPr="000F7F7A">
              <w:rPr>
                <w:noProof/>
                <w:webHidden/>
                <w:lang w:val="en-GB"/>
              </w:rPr>
              <w:fldChar w:fldCharType="separate"/>
            </w:r>
            <w:r w:rsidRPr="000F7F7A">
              <w:rPr>
                <w:noProof/>
                <w:webHidden/>
                <w:lang w:val="en-GB"/>
              </w:rPr>
              <w:t>4</w:t>
            </w:r>
            <w:r w:rsidRPr="000F7F7A">
              <w:rPr>
                <w:noProof/>
                <w:webHidden/>
                <w:lang w:val="en-GB"/>
              </w:rPr>
              <w:fldChar w:fldCharType="end"/>
            </w:r>
          </w:hyperlink>
        </w:p>
        <w:p w14:paraId="6BBA28E0" w14:textId="77777777" w:rsidR="000F7F7A" w:rsidRPr="000F7F7A" w:rsidRDefault="000F7F7A">
          <w:pPr>
            <w:pStyle w:val="TOC3"/>
            <w:tabs>
              <w:tab w:val="right" w:leader="dot" w:pos="9350"/>
            </w:tabs>
            <w:rPr>
              <w:noProof/>
              <w:lang w:val="en-GB"/>
            </w:rPr>
          </w:pPr>
          <w:hyperlink w:anchor="_Toc215669980" w:history="1">
            <w:r w:rsidRPr="000F7F7A">
              <w:rPr>
                <w:rStyle w:val="Hyperlink"/>
                <w:noProof/>
                <w:lang w:val="en-GB"/>
              </w:rPr>
              <w:t>2.2.2 5 Whys Root Cause Analysis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_Toc215669980 \h </w:instrText>
            </w:r>
            <w:r w:rsidRPr="000F7F7A">
              <w:rPr>
                <w:noProof/>
                <w:webHidden/>
                <w:lang w:val="en-GB"/>
              </w:rPr>
            </w:r>
            <w:r w:rsidRPr="000F7F7A">
              <w:rPr>
                <w:noProof/>
                <w:webHidden/>
                <w:lang w:val="en-GB"/>
              </w:rPr>
              <w:fldChar w:fldCharType="separate"/>
            </w:r>
            <w:r w:rsidRPr="000F7F7A">
              <w:rPr>
                <w:noProof/>
                <w:webHidden/>
                <w:lang w:val="en-GB"/>
              </w:rPr>
              <w:t>6</w:t>
            </w:r>
            <w:r w:rsidRPr="000F7F7A">
              <w:rPr>
                <w:noProof/>
                <w:webHidden/>
                <w:lang w:val="en-GB"/>
              </w:rPr>
              <w:fldChar w:fldCharType="end"/>
            </w:r>
          </w:hyperlink>
        </w:p>
        <w:p w14:paraId="5FBF0040" w14:textId="77777777" w:rsidR="000F7F7A" w:rsidRPr="000F7F7A" w:rsidRDefault="000F7F7A">
          <w:pPr>
            <w:pStyle w:val="TOC3"/>
            <w:tabs>
              <w:tab w:val="right" w:leader="dot" w:pos="9350"/>
            </w:tabs>
            <w:rPr>
              <w:noProof/>
              <w:lang w:val="en-GB"/>
            </w:rPr>
          </w:pPr>
          <w:hyperlink w:anchor="_Toc215669981" w:history="1">
            <w:r w:rsidRPr="000F7F7A">
              <w:rPr>
                <w:rStyle w:val="Hyperlink"/>
                <w:noProof/>
                <w:lang w:val="en-GB"/>
              </w:rPr>
              <w:t>2.2.3 Donabedian Model (Structure–Process–Outcome)</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_Toc215669981 \h </w:instrText>
            </w:r>
            <w:r w:rsidRPr="000F7F7A">
              <w:rPr>
                <w:noProof/>
                <w:webHidden/>
                <w:lang w:val="en-GB"/>
              </w:rPr>
            </w:r>
            <w:r w:rsidRPr="000F7F7A">
              <w:rPr>
                <w:noProof/>
                <w:webHidden/>
                <w:lang w:val="en-GB"/>
              </w:rPr>
              <w:fldChar w:fldCharType="separate"/>
            </w:r>
            <w:r w:rsidRPr="000F7F7A">
              <w:rPr>
                <w:noProof/>
                <w:webHidden/>
                <w:lang w:val="en-GB"/>
              </w:rPr>
              <w:t>6</w:t>
            </w:r>
            <w:r w:rsidRPr="000F7F7A">
              <w:rPr>
                <w:noProof/>
                <w:webHidden/>
                <w:lang w:val="en-GB"/>
              </w:rPr>
              <w:fldChar w:fldCharType="end"/>
            </w:r>
          </w:hyperlink>
        </w:p>
        <w:p w14:paraId="3D79803A" w14:textId="77777777" w:rsidR="000F7F7A" w:rsidRPr="000F7F7A" w:rsidRDefault="000F7F7A">
          <w:pPr>
            <w:pStyle w:val="TOC2"/>
            <w:tabs>
              <w:tab w:val="right" w:leader="dot" w:pos="9350"/>
            </w:tabs>
            <w:rPr>
              <w:noProof/>
              <w:lang w:val="en-GB"/>
            </w:rPr>
          </w:pPr>
          <w:hyperlink w:anchor="_Toc215669982" w:history="1">
            <w:r w:rsidRPr="000F7F7A">
              <w:rPr>
                <w:rStyle w:val="Hyperlink"/>
                <w:noProof/>
                <w:lang w:val="en-GB"/>
              </w:rPr>
              <w:t>2.3 Strategic Analytical Tools: SWOT</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_Toc215669982 \h </w:instrText>
            </w:r>
            <w:r w:rsidRPr="000F7F7A">
              <w:rPr>
                <w:noProof/>
                <w:webHidden/>
                <w:lang w:val="en-GB"/>
              </w:rPr>
            </w:r>
            <w:r w:rsidRPr="000F7F7A">
              <w:rPr>
                <w:noProof/>
                <w:webHidden/>
                <w:lang w:val="en-GB"/>
              </w:rPr>
              <w:fldChar w:fldCharType="separate"/>
            </w:r>
            <w:r w:rsidRPr="000F7F7A">
              <w:rPr>
                <w:noProof/>
                <w:webHidden/>
                <w:lang w:val="en-GB"/>
              </w:rPr>
              <w:t>7</w:t>
            </w:r>
            <w:r w:rsidRPr="000F7F7A">
              <w:rPr>
                <w:noProof/>
                <w:webHidden/>
                <w:lang w:val="en-GB"/>
              </w:rPr>
              <w:fldChar w:fldCharType="end"/>
            </w:r>
          </w:hyperlink>
        </w:p>
        <w:p w14:paraId="7938F6E6" w14:textId="77777777" w:rsidR="000F7F7A" w:rsidRPr="000F7F7A" w:rsidRDefault="000F7F7A">
          <w:pPr>
            <w:pStyle w:val="TOC2"/>
            <w:tabs>
              <w:tab w:val="right" w:leader="dot" w:pos="9350"/>
            </w:tabs>
            <w:rPr>
              <w:noProof/>
              <w:lang w:val="en-GB"/>
            </w:rPr>
          </w:pPr>
          <w:hyperlink w:anchor="_Toc215669983" w:history="1">
            <w:r w:rsidRPr="000F7F7A">
              <w:rPr>
                <w:rStyle w:val="Hyperlink"/>
                <w:noProof/>
                <w:lang w:val="en-GB"/>
              </w:rPr>
              <w:t>2.4 Linking Findings to Literature</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_Toc215669983 \h </w:instrText>
            </w:r>
            <w:r w:rsidRPr="000F7F7A">
              <w:rPr>
                <w:noProof/>
                <w:webHidden/>
                <w:lang w:val="en-GB"/>
              </w:rPr>
            </w:r>
            <w:r w:rsidRPr="000F7F7A">
              <w:rPr>
                <w:noProof/>
                <w:webHidden/>
                <w:lang w:val="en-GB"/>
              </w:rPr>
              <w:fldChar w:fldCharType="separate"/>
            </w:r>
            <w:r w:rsidRPr="000F7F7A">
              <w:rPr>
                <w:noProof/>
                <w:webHidden/>
                <w:lang w:val="en-GB"/>
              </w:rPr>
              <w:t>8</w:t>
            </w:r>
            <w:r w:rsidRPr="000F7F7A">
              <w:rPr>
                <w:noProof/>
                <w:webHidden/>
                <w:lang w:val="en-GB"/>
              </w:rPr>
              <w:fldChar w:fldCharType="end"/>
            </w:r>
          </w:hyperlink>
        </w:p>
        <w:p w14:paraId="1964E0D9" w14:textId="77777777" w:rsidR="000F7F7A" w:rsidRPr="000F7F7A" w:rsidRDefault="000F7F7A">
          <w:pPr>
            <w:pStyle w:val="TOC2"/>
            <w:tabs>
              <w:tab w:val="right" w:leader="dot" w:pos="9350"/>
            </w:tabs>
            <w:rPr>
              <w:noProof/>
              <w:lang w:val="en-GB"/>
            </w:rPr>
          </w:pPr>
          <w:hyperlink w:anchor="_Toc215669984" w:history="1">
            <w:r w:rsidRPr="000F7F7A">
              <w:rPr>
                <w:rStyle w:val="Hyperlink"/>
                <w:noProof/>
                <w:lang w:val="en-GB"/>
              </w:rPr>
              <w:t>2.5 Summary of Key Root Causes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_Toc215669984 \h </w:instrText>
            </w:r>
            <w:r w:rsidRPr="000F7F7A">
              <w:rPr>
                <w:noProof/>
                <w:webHidden/>
                <w:lang w:val="en-GB"/>
              </w:rPr>
            </w:r>
            <w:r w:rsidRPr="000F7F7A">
              <w:rPr>
                <w:noProof/>
                <w:webHidden/>
                <w:lang w:val="en-GB"/>
              </w:rPr>
              <w:fldChar w:fldCharType="separate"/>
            </w:r>
            <w:r w:rsidRPr="000F7F7A">
              <w:rPr>
                <w:noProof/>
                <w:webHidden/>
                <w:lang w:val="en-GB"/>
              </w:rPr>
              <w:t>8</w:t>
            </w:r>
            <w:r w:rsidRPr="000F7F7A">
              <w:rPr>
                <w:noProof/>
                <w:webHidden/>
                <w:lang w:val="en-GB"/>
              </w:rPr>
              <w:fldChar w:fldCharType="end"/>
            </w:r>
          </w:hyperlink>
        </w:p>
        <w:p w14:paraId="4E12B215" w14:textId="77777777" w:rsidR="000F7F7A" w:rsidRPr="000F7F7A" w:rsidRDefault="000F7F7A">
          <w:pPr>
            <w:pStyle w:val="TOC1"/>
            <w:tabs>
              <w:tab w:val="right" w:leader="dot" w:pos="9350"/>
            </w:tabs>
            <w:rPr>
              <w:noProof/>
              <w:lang w:val="en-GB"/>
            </w:rPr>
          </w:pPr>
          <w:hyperlink w:anchor="_Toc215669985" w:history="1">
            <w:r w:rsidRPr="000F7F7A">
              <w:rPr>
                <w:rStyle w:val="Hyperlink"/>
                <w:noProof/>
                <w:lang w:val="en-GB"/>
              </w:rPr>
              <w:t>3. Recommendations &amp; Implementation Strategy</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_Toc215669985 \h </w:instrText>
            </w:r>
            <w:r w:rsidRPr="000F7F7A">
              <w:rPr>
                <w:noProof/>
                <w:webHidden/>
                <w:lang w:val="en-GB"/>
              </w:rPr>
            </w:r>
            <w:r w:rsidRPr="000F7F7A">
              <w:rPr>
                <w:noProof/>
                <w:webHidden/>
                <w:lang w:val="en-GB"/>
              </w:rPr>
              <w:fldChar w:fldCharType="separate"/>
            </w:r>
            <w:r w:rsidRPr="000F7F7A">
              <w:rPr>
                <w:noProof/>
                <w:webHidden/>
                <w:lang w:val="en-GB"/>
              </w:rPr>
              <w:t>9</w:t>
            </w:r>
            <w:r w:rsidRPr="000F7F7A">
              <w:rPr>
                <w:noProof/>
                <w:webHidden/>
                <w:lang w:val="en-GB"/>
              </w:rPr>
              <w:fldChar w:fldCharType="end"/>
            </w:r>
          </w:hyperlink>
        </w:p>
        <w:p w14:paraId="3E46B3E2" w14:textId="77777777" w:rsidR="000F7F7A" w:rsidRPr="000F7F7A" w:rsidRDefault="000F7F7A">
          <w:pPr>
            <w:pStyle w:val="TOC2"/>
            <w:tabs>
              <w:tab w:val="right" w:leader="dot" w:pos="9350"/>
            </w:tabs>
            <w:rPr>
              <w:noProof/>
              <w:lang w:val="en-GB"/>
            </w:rPr>
          </w:pPr>
          <w:hyperlink w:anchor="_Toc215669986" w:history="1">
            <w:r w:rsidRPr="000F7F7A">
              <w:rPr>
                <w:rStyle w:val="Hyperlink"/>
                <w:noProof/>
                <w:lang w:val="en-GB"/>
              </w:rPr>
              <w:t>3.1 Overview of Improvement Priorities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_Toc215669986 \h </w:instrText>
            </w:r>
            <w:r w:rsidRPr="000F7F7A">
              <w:rPr>
                <w:noProof/>
                <w:webHidden/>
                <w:lang w:val="en-GB"/>
              </w:rPr>
            </w:r>
            <w:r w:rsidRPr="000F7F7A">
              <w:rPr>
                <w:noProof/>
                <w:webHidden/>
                <w:lang w:val="en-GB"/>
              </w:rPr>
              <w:fldChar w:fldCharType="separate"/>
            </w:r>
            <w:r w:rsidRPr="000F7F7A">
              <w:rPr>
                <w:noProof/>
                <w:webHidden/>
                <w:lang w:val="en-GB"/>
              </w:rPr>
              <w:t>9</w:t>
            </w:r>
            <w:r w:rsidRPr="000F7F7A">
              <w:rPr>
                <w:noProof/>
                <w:webHidden/>
                <w:lang w:val="en-GB"/>
              </w:rPr>
              <w:fldChar w:fldCharType="end"/>
            </w:r>
          </w:hyperlink>
        </w:p>
        <w:p w14:paraId="396FC04A" w14:textId="77777777" w:rsidR="000F7F7A" w:rsidRPr="000F7F7A" w:rsidRDefault="000F7F7A">
          <w:pPr>
            <w:pStyle w:val="TOC2"/>
            <w:tabs>
              <w:tab w:val="right" w:leader="dot" w:pos="9350"/>
            </w:tabs>
            <w:rPr>
              <w:noProof/>
              <w:lang w:val="en-GB"/>
            </w:rPr>
          </w:pPr>
          <w:hyperlink w:anchor="_Toc215669987" w:history="1">
            <w:r w:rsidRPr="000F7F7A">
              <w:rPr>
                <w:rStyle w:val="Hyperlink"/>
                <w:noProof/>
                <w:lang w:val="en-GB"/>
              </w:rPr>
              <w:t>3.2 Detailed Recommendations Using QI Tools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_Toc215669987 \h </w:instrText>
            </w:r>
            <w:r w:rsidRPr="000F7F7A">
              <w:rPr>
                <w:noProof/>
                <w:webHidden/>
                <w:lang w:val="en-GB"/>
              </w:rPr>
            </w:r>
            <w:r w:rsidRPr="000F7F7A">
              <w:rPr>
                <w:noProof/>
                <w:webHidden/>
                <w:lang w:val="en-GB"/>
              </w:rPr>
              <w:fldChar w:fldCharType="separate"/>
            </w:r>
            <w:r w:rsidRPr="000F7F7A">
              <w:rPr>
                <w:noProof/>
                <w:webHidden/>
                <w:lang w:val="en-GB"/>
              </w:rPr>
              <w:t>9</w:t>
            </w:r>
            <w:r w:rsidRPr="000F7F7A">
              <w:rPr>
                <w:noProof/>
                <w:webHidden/>
                <w:lang w:val="en-GB"/>
              </w:rPr>
              <w:fldChar w:fldCharType="end"/>
            </w:r>
          </w:hyperlink>
        </w:p>
        <w:p w14:paraId="0F30B2E6" w14:textId="77777777" w:rsidR="000F7F7A" w:rsidRPr="000F7F7A" w:rsidRDefault="000F7F7A">
          <w:pPr>
            <w:pStyle w:val="TOC3"/>
            <w:tabs>
              <w:tab w:val="right" w:leader="dot" w:pos="9350"/>
            </w:tabs>
            <w:rPr>
              <w:noProof/>
              <w:lang w:val="en-GB"/>
            </w:rPr>
          </w:pPr>
          <w:hyperlink w:anchor="_Toc215669988" w:history="1">
            <w:r w:rsidRPr="000F7F7A">
              <w:rPr>
                <w:rStyle w:val="Hyperlink"/>
                <w:noProof/>
                <w:lang w:val="en-GB"/>
              </w:rPr>
              <w:t>3.2.1 PDSA Cycle Recommendation</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_Toc215669988 \h </w:instrText>
            </w:r>
            <w:r w:rsidRPr="000F7F7A">
              <w:rPr>
                <w:noProof/>
                <w:webHidden/>
                <w:lang w:val="en-GB"/>
              </w:rPr>
            </w:r>
            <w:r w:rsidRPr="000F7F7A">
              <w:rPr>
                <w:noProof/>
                <w:webHidden/>
                <w:lang w:val="en-GB"/>
              </w:rPr>
              <w:fldChar w:fldCharType="separate"/>
            </w:r>
            <w:r w:rsidRPr="000F7F7A">
              <w:rPr>
                <w:noProof/>
                <w:webHidden/>
                <w:lang w:val="en-GB"/>
              </w:rPr>
              <w:t>9</w:t>
            </w:r>
            <w:r w:rsidRPr="000F7F7A">
              <w:rPr>
                <w:noProof/>
                <w:webHidden/>
                <w:lang w:val="en-GB"/>
              </w:rPr>
              <w:fldChar w:fldCharType="end"/>
            </w:r>
          </w:hyperlink>
        </w:p>
        <w:p w14:paraId="5A4BD721" w14:textId="77777777" w:rsidR="000F7F7A" w:rsidRPr="000F7F7A" w:rsidRDefault="000F7F7A">
          <w:pPr>
            <w:pStyle w:val="TOC3"/>
            <w:tabs>
              <w:tab w:val="right" w:leader="dot" w:pos="9350"/>
            </w:tabs>
            <w:rPr>
              <w:noProof/>
              <w:lang w:val="en-GB"/>
            </w:rPr>
          </w:pPr>
          <w:hyperlink w:anchor="_Toc215669989" w:history="1">
            <w:r w:rsidRPr="000F7F7A">
              <w:rPr>
                <w:rStyle w:val="Hyperlink"/>
                <w:noProof/>
                <w:lang w:val="en-GB"/>
              </w:rPr>
              <w:t>3.2.2 Lean Approach Recommendation</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_Toc215669989 \h </w:instrText>
            </w:r>
            <w:r w:rsidRPr="000F7F7A">
              <w:rPr>
                <w:noProof/>
                <w:webHidden/>
                <w:lang w:val="en-GB"/>
              </w:rPr>
            </w:r>
            <w:r w:rsidRPr="000F7F7A">
              <w:rPr>
                <w:noProof/>
                <w:webHidden/>
                <w:lang w:val="en-GB"/>
              </w:rPr>
              <w:fldChar w:fldCharType="separate"/>
            </w:r>
            <w:r w:rsidRPr="000F7F7A">
              <w:rPr>
                <w:noProof/>
                <w:webHidden/>
                <w:lang w:val="en-GB"/>
              </w:rPr>
              <w:t>10</w:t>
            </w:r>
            <w:r w:rsidRPr="000F7F7A">
              <w:rPr>
                <w:noProof/>
                <w:webHidden/>
                <w:lang w:val="en-GB"/>
              </w:rPr>
              <w:fldChar w:fldCharType="end"/>
            </w:r>
          </w:hyperlink>
        </w:p>
        <w:p w14:paraId="2A88E1F5" w14:textId="77777777" w:rsidR="000F7F7A" w:rsidRPr="000F7F7A" w:rsidRDefault="000F7F7A">
          <w:pPr>
            <w:pStyle w:val="TOC3"/>
            <w:tabs>
              <w:tab w:val="right" w:leader="dot" w:pos="9350"/>
            </w:tabs>
            <w:rPr>
              <w:noProof/>
              <w:lang w:val="en-GB"/>
            </w:rPr>
          </w:pPr>
          <w:hyperlink w:anchor="_Toc215669990" w:history="1">
            <w:r w:rsidRPr="000F7F7A">
              <w:rPr>
                <w:rStyle w:val="Hyperlink"/>
                <w:noProof/>
                <w:lang w:val="en-GB"/>
              </w:rPr>
              <w:t>3.2.3 Six Sigma Recommendation Using DMAIC</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_Toc215669990 \h </w:instrText>
            </w:r>
            <w:r w:rsidRPr="000F7F7A">
              <w:rPr>
                <w:noProof/>
                <w:webHidden/>
                <w:lang w:val="en-GB"/>
              </w:rPr>
            </w:r>
            <w:r w:rsidRPr="000F7F7A">
              <w:rPr>
                <w:noProof/>
                <w:webHidden/>
                <w:lang w:val="en-GB"/>
              </w:rPr>
              <w:fldChar w:fldCharType="separate"/>
            </w:r>
            <w:r w:rsidRPr="000F7F7A">
              <w:rPr>
                <w:noProof/>
                <w:webHidden/>
                <w:lang w:val="en-GB"/>
              </w:rPr>
              <w:t>11</w:t>
            </w:r>
            <w:r w:rsidRPr="000F7F7A">
              <w:rPr>
                <w:noProof/>
                <w:webHidden/>
                <w:lang w:val="en-GB"/>
              </w:rPr>
              <w:fldChar w:fldCharType="end"/>
            </w:r>
          </w:hyperlink>
        </w:p>
        <w:p w14:paraId="60514D18" w14:textId="77777777" w:rsidR="000F7F7A" w:rsidRPr="000F7F7A" w:rsidRDefault="000F7F7A">
          <w:pPr>
            <w:pStyle w:val="TOC3"/>
            <w:tabs>
              <w:tab w:val="right" w:leader="dot" w:pos="9350"/>
            </w:tabs>
            <w:rPr>
              <w:noProof/>
              <w:lang w:val="en-GB"/>
            </w:rPr>
          </w:pPr>
          <w:hyperlink w:anchor="_Toc215669991" w:history="1">
            <w:r w:rsidRPr="000F7F7A">
              <w:rPr>
                <w:rStyle w:val="Hyperlink"/>
                <w:noProof/>
                <w:lang w:val="en-GB"/>
              </w:rPr>
              <w:t>3.2.4 Governance &amp; Leadership Recommendations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_Toc215669991 \h </w:instrText>
            </w:r>
            <w:r w:rsidRPr="000F7F7A">
              <w:rPr>
                <w:noProof/>
                <w:webHidden/>
                <w:lang w:val="en-GB"/>
              </w:rPr>
            </w:r>
            <w:r w:rsidRPr="000F7F7A">
              <w:rPr>
                <w:noProof/>
                <w:webHidden/>
                <w:lang w:val="en-GB"/>
              </w:rPr>
              <w:fldChar w:fldCharType="separate"/>
            </w:r>
            <w:r w:rsidRPr="000F7F7A">
              <w:rPr>
                <w:noProof/>
                <w:webHidden/>
                <w:lang w:val="en-GB"/>
              </w:rPr>
              <w:t>11</w:t>
            </w:r>
            <w:r w:rsidRPr="000F7F7A">
              <w:rPr>
                <w:noProof/>
                <w:webHidden/>
                <w:lang w:val="en-GB"/>
              </w:rPr>
              <w:fldChar w:fldCharType="end"/>
            </w:r>
          </w:hyperlink>
        </w:p>
        <w:p w14:paraId="2A076A6F" w14:textId="77777777" w:rsidR="000F7F7A" w:rsidRPr="000F7F7A" w:rsidRDefault="000F7F7A">
          <w:pPr>
            <w:pStyle w:val="TOC3"/>
            <w:tabs>
              <w:tab w:val="right" w:leader="dot" w:pos="9350"/>
            </w:tabs>
            <w:rPr>
              <w:noProof/>
              <w:lang w:val="en-GB"/>
            </w:rPr>
          </w:pPr>
          <w:hyperlink w:anchor="_Toc215669992" w:history="1">
            <w:r w:rsidRPr="000F7F7A">
              <w:rPr>
                <w:rStyle w:val="Hyperlink"/>
                <w:noProof/>
                <w:lang w:val="en-GB"/>
              </w:rPr>
              <w:t>3.2.5 Workforce Development Recommendations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_Toc215669992 \h </w:instrText>
            </w:r>
            <w:r w:rsidRPr="000F7F7A">
              <w:rPr>
                <w:noProof/>
                <w:webHidden/>
                <w:lang w:val="en-GB"/>
              </w:rPr>
            </w:r>
            <w:r w:rsidRPr="000F7F7A">
              <w:rPr>
                <w:noProof/>
                <w:webHidden/>
                <w:lang w:val="en-GB"/>
              </w:rPr>
              <w:fldChar w:fldCharType="separate"/>
            </w:r>
            <w:r w:rsidRPr="000F7F7A">
              <w:rPr>
                <w:noProof/>
                <w:webHidden/>
                <w:lang w:val="en-GB"/>
              </w:rPr>
              <w:t>11</w:t>
            </w:r>
            <w:r w:rsidRPr="000F7F7A">
              <w:rPr>
                <w:noProof/>
                <w:webHidden/>
                <w:lang w:val="en-GB"/>
              </w:rPr>
              <w:fldChar w:fldCharType="end"/>
            </w:r>
          </w:hyperlink>
        </w:p>
        <w:p w14:paraId="798B008F" w14:textId="77777777" w:rsidR="000F7F7A" w:rsidRPr="000F7F7A" w:rsidRDefault="000F7F7A">
          <w:pPr>
            <w:pStyle w:val="TOC2"/>
            <w:tabs>
              <w:tab w:val="right" w:leader="dot" w:pos="9350"/>
            </w:tabs>
            <w:rPr>
              <w:noProof/>
              <w:lang w:val="en-GB"/>
            </w:rPr>
          </w:pPr>
          <w:hyperlink w:anchor="_Toc215669993" w:history="1">
            <w:r w:rsidRPr="000F7F7A">
              <w:rPr>
                <w:rStyle w:val="Hyperlink"/>
                <w:noProof/>
                <w:lang w:val="en-GB"/>
              </w:rPr>
              <w:t>3.3 Implementation Strategy</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_Toc215669993 \h </w:instrText>
            </w:r>
            <w:r w:rsidRPr="000F7F7A">
              <w:rPr>
                <w:noProof/>
                <w:webHidden/>
                <w:lang w:val="en-GB"/>
              </w:rPr>
            </w:r>
            <w:r w:rsidRPr="000F7F7A">
              <w:rPr>
                <w:noProof/>
                <w:webHidden/>
                <w:lang w:val="en-GB"/>
              </w:rPr>
              <w:fldChar w:fldCharType="separate"/>
            </w:r>
            <w:r w:rsidRPr="000F7F7A">
              <w:rPr>
                <w:noProof/>
                <w:webHidden/>
                <w:lang w:val="en-GB"/>
              </w:rPr>
              <w:t>12</w:t>
            </w:r>
            <w:r w:rsidRPr="000F7F7A">
              <w:rPr>
                <w:noProof/>
                <w:webHidden/>
                <w:lang w:val="en-GB"/>
              </w:rPr>
              <w:fldChar w:fldCharType="end"/>
            </w:r>
          </w:hyperlink>
        </w:p>
        <w:p w14:paraId="64A15ECA" w14:textId="77777777" w:rsidR="000F7F7A" w:rsidRPr="000F7F7A" w:rsidRDefault="000F7F7A">
          <w:pPr>
            <w:pStyle w:val="TOC1"/>
            <w:tabs>
              <w:tab w:val="right" w:leader="dot" w:pos="9350"/>
            </w:tabs>
            <w:rPr>
              <w:noProof/>
              <w:lang w:val="en-GB"/>
            </w:rPr>
          </w:pPr>
          <w:hyperlink w:anchor="_Toc215669994" w:history="1">
            <w:r w:rsidRPr="000F7F7A">
              <w:rPr>
                <w:rStyle w:val="Hyperlink"/>
                <w:noProof/>
                <w:lang w:val="en-GB"/>
              </w:rPr>
              <w:t>4. Conclusion</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_Toc215669994 \h </w:instrText>
            </w:r>
            <w:r w:rsidRPr="000F7F7A">
              <w:rPr>
                <w:noProof/>
                <w:webHidden/>
                <w:lang w:val="en-GB"/>
              </w:rPr>
            </w:r>
            <w:r w:rsidRPr="000F7F7A">
              <w:rPr>
                <w:noProof/>
                <w:webHidden/>
                <w:lang w:val="en-GB"/>
              </w:rPr>
              <w:fldChar w:fldCharType="separate"/>
            </w:r>
            <w:r w:rsidRPr="000F7F7A">
              <w:rPr>
                <w:noProof/>
                <w:webHidden/>
                <w:lang w:val="en-GB"/>
              </w:rPr>
              <w:t>13</w:t>
            </w:r>
            <w:r w:rsidRPr="000F7F7A">
              <w:rPr>
                <w:noProof/>
                <w:webHidden/>
                <w:lang w:val="en-GB"/>
              </w:rPr>
              <w:fldChar w:fldCharType="end"/>
            </w:r>
          </w:hyperlink>
        </w:p>
        <w:p w14:paraId="1DBE5A81" w14:textId="77777777" w:rsidR="000F7F7A" w:rsidRPr="000F7F7A" w:rsidRDefault="000F7F7A">
          <w:pPr>
            <w:pStyle w:val="TOC2"/>
            <w:tabs>
              <w:tab w:val="right" w:leader="dot" w:pos="9350"/>
            </w:tabs>
            <w:rPr>
              <w:noProof/>
              <w:lang w:val="en-GB"/>
            </w:rPr>
          </w:pPr>
          <w:hyperlink w:anchor="_Toc215669995" w:history="1">
            <w:r w:rsidRPr="000F7F7A">
              <w:rPr>
                <w:rStyle w:val="Hyperlink"/>
                <w:noProof/>
                <w:lang w:val="en-GB"/>
              </w:rPr>
              <w:t>4.1 Summary of Key Insights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_Toc215669995 \h </w:instrText>
            </w:r>
            <w:r w:rsidRPr="000F7F7A">
              <w:rPr>
                <w:noProof/>
                <w:webHidden/>
                <w:lang w:val="en-GB"/>
              </w:rPr>
            </w:r>
            <w:r w:rsidRPr="000F7F7A">
              <w:rPr>
                <w:noProof/>
                <w:webHidden/>
                <w:lang w:val="en-GB"/>
              </w:rPr>
              <w:fldChar w:fldCharType="separate"/>
            </w:r>
            <w:r w:rsidRPr="000F7F7A">
              <w:rPr>
                <w:noProof/>
                <w:webHidden/>
                <w:lang w:val="en-GB"/>
              </w:rPr>
              <w:t>13</w:t>
            </w:r>
            <w:r w:rsidRPr="000F7F7A">
              <w:rPr>
                <w:noProof/>
                <w:webHidden/>
                <w:lang w:val="en-GB"/>
              </w:rPr>
              <w:fldChar w:fldCharType="end"/>
            </w:r>
          </w:hyperlink>
        </w:p>
        <w:p w14:paraId="2AA2C8A7" w14:textId="77777777" w:rsidR="000F7F7A" w:rsidRPr="000F7F7A" w:rsidRDefault="000F7F7A">
          <w:pPr>
            <w:pStyle w:val="TOC2"/>
            <w:tabs>
              <w:tab w:val="right" w:leader="dot" w:pos="9350"/>
            </w:tabs>
            <w:rPr>
              <w:noProof/>
              <w:lang w:val="en-GB"/>
            </w:rPr>
          </w:pPr>
          <w:hyperlink w:anchor="_Toc215669996" w:history="1">
            <w:r w:rsidRPr="000F7F7A">
              <w:rPr>
                <w:rStyle w:val="Hyperlink"/>
                <w:noProof/>
                <w:lang w:val="en-GB"/>
              </w:rPr>
              <w:t>4.2 Impact of the Issue on Public Health &amp; Safety</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_Toc215669996 \h </w:instrText>
            </w:r>
            <w:r w:rsidRPr="000F7F7A">
              <w:rPr>
                <w:noProof/>
                <w:webHidden/>
                <w:lang w:val="en-GB"/>
              </w:rPr>
            </w:r>
            <w:r w:rsidRPr="000F7F7A">
              <w:rPr>
                <w:noProof/>
                <w:webHidden/>
                <w:lang w:val="en-GB"/>
              </w:rPr>
              <w:fldChar w:fldCharType="separate"/>
            </w:r>
            <w:r w:rsidRPr="000F7F7A">
              <w:rPr>
                <w:noProof/>
                <w:webHidden/>
                <w:lang w:val="en-GB"/>
              </w:rPr>
              <w:t>14</w:t>
            </w:r>
            <w:r w:rsidRPr="000F7F7A">
              <w:rPr>
                <w:noProof/>
                <w:webHidden/>
                <w:lang w:val="en-GB"/>
              </w:rPr>
              <w:fldChar w:fldCharType="end"/>
            </w:r>
          </w:hyperlink>
        </w:p>
        <w:p w14:paraId="41F87494" w14:textId="77777777" w:rsidR="000F7F7A" w:rsidRPr="000F7F7A" w:rsidRDefault="000F7F7A">
          <w:pPr>
            <w:pStyle w:val="TOC2"/>
            <w:tabs>
              <w:tab w:val="right" w:leader="dot" w:pos="9350"/>
            </w:tabs>
            <w:rPr>
              <w:noProof/>
              <w:lang w:val="en-GB"/>
            </w:rPr>
          </w:pPr>
          <w:hyperlink w:anchor="_Toc215669997" w:history="1">
            <w:r w:rsidRPr="000F7F7A">
              <w:rPr>
                <w:rStyle w:val="Hyperlink"/>
                <w:noProof/>
                <w:lang w:val="en-GB"/>
              </w:rPr>
              <w:t>4.3 Final Statement on Improvements Needed</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_Toc215669997 \h </w:instrText>
            </w:r>
            <w:r w:rsidRPr="000F7F7A">
              <w:rPr>
                <w:noProof/>
                <w:webHidden/>
                <w:lang w:val="en-GB"/>
              </w:rPr>
            </w:r>
            <w:r w:rsidRPr="000F7F7A">
              <w:rPr>
                <w:noProof/>
                <w:webHidden/>
                <w:lang w:val="en-GB"/>
              </w:rPr>
              <w:fldChar w:fldCharType="separate"/>
            </w:r>
            <w:r w:rsidRPr="000F7F7A">
              <w:rPr>
                <w:noProof/>
                <w:webHidden/>
                <w:lang w:val="en-GB"/>
              </w:rPr>
              <w:t>14</w:t>
            </w:r>
            <w:r w:rsidRPr="000F7F7A">
              <w:rPr>
                <w:noProof/>
                <w:webHidden/>
                <w:lang w:val="en-GB"/>
              </w:rPr>
              <w:fldChar w:fldCharType="end"/>
            </w:r>
          </w:hyperlink>
        </w:p>
        <w:p w14:paraId="739D174C" w14:textId="77777777" w:rsidR="000F7F7A" w:rsidRPr="000F7F7A" w:rsidRDefault="000F7F7A">
          <w:pPr>
            <w:pStyle w:val="TOC1"/>
            <w:tabs>
              <w:tab w:val="right" w:leader="dot" w:pos="9350"/>
            </w:tabs>
            <w:rPr>
              <w:noProof/>
              <w:lang w:val="en-GB"/>
            </w:rPr>
          </w:pPr>
          <w:hyperlink w:anchor="_Toc215669998" w:history="1">
            <w:r w:rsidRPr="000F7F7A">
              <w:rPr>
                <w:rStyle w:val="Hyperlink"/>
                <w:noProof/>
                <w:lang w:val="en-GB"/>
              </w:rPr>
              <w:t>Referances</w:t>
            </w:r>
            <w:r w:rsidRPr="000F7F7A">
              <w:rPr>
                <w:noProof/>
                <w:webHidden/>
                <w:lang w:val="en-GB"/>
              </w:rPr>
              <w:tab/>
            </w:r>
            <w:r w:rsidRPr="000F7F7A">
              <w:rPr>
                <w:noProof/>
                <w:webHidden/>
                <w:lang w:val="en-GB"/>
              </w:rPr>
              <w:fldChar w:fldCharType="begin"/>
            </w:r>
            <w:r w:rsidRPr="000F7F7A">
              <w:rPr>
                <w:noProof/>
                <w:webHidden/>
                <w:lang w:val="en-GB"/>
              </w:rPr>
              <w:instrText xml:space="preserve"> PAGEREF _Toc215669998 \h </w:instrText>
            </w:r>
            <w:r w:rsidRPr="000F7F7A">
              <w:rPr>
                <w:noProof/>
                <w:webHidden/>
                <w:lang w:val="en-GB"/>
              </w:rPr>
            </w:r>
            <w:r w:rsidRPr="000F7F7A">
              <w:rPr>
                <w:noProof/>
                <w:webHidden/>
                <w:lang w:val="en-GB"/>
              </w:rPr>
              <w:fldChar w:fldCharType="separate"/>
            </w:r>
            <w:r w:rsidRPr="000F7F7A">
              <w:rPr>
                <w:noProof/>
                <w:webHidden/>
                <w:lang w:val="en-GB"/>
              </w:rPr>
              <w:t>15</w:t>
            </w:r>
            <w:r w:rsidRPr="000F7F7A">
              <w:rPr>
                <w:noProof/>
                <w:webHidden/>
                <w:lang w:val="en-GB"/>
              </w:rPr>
              <w:fldChar w:fldCharType="end"/>
            </w:r>
          </w:hyperlink>
        </w:p>
        <w:p w14:paraId="6C93AE06" w14:textId="77777777" w:rsidR="000F7F7A" w:rsidRPr="000F7F7A" w:rsidRDefault="000F7F7A">
          <w:pPr>
            <w:rPr>
              <w:lang w:val="en-GB"/>
            </w:rPr>
          </w:pPr>
          <w:r w:rsidRPr="000F7F7A">
            <w:rPr>
              <w:b/>
              <w:bCs/>
              <w:noProof/>
              <w:lang w:val="en-GB"/>
            </w:rPr>
            <w:fldChar w:fldCharType="end"/>
          </w:r>
        </w:p>
      </w:sdtContent>
    </w:sdt>
    <w:p w14:paraId="78882046" w14:textId="77777777" w:rsidR="000F7F7A" w:rsidRPr="000F7F7A" w:rsidRDefault="000F7F7A">
      <w:pPr>
        <w:rPr>
          <w:b/>
          <w:bCs/>
          <w:lang w:val="en-GB"/>
        </w:rPr>
      </w:pPr>
      <w:r w:rsidRPr="000F7F7A">
        <w:rPr>
          <w:lang w:val="en-GB"/>
        </w:rPr>
        <w:br w:type="page"/>
      </w:r>
    </w:p>
    <w:p w14:paraId="194B26A0" w14:textId="77777777" w:rsidR="00CD60CF" w:rsidRPr="000F7F7A" w:rsidRDefault="00631257">
      <w:pPr>
        <w:pStyle w:val="Heading1"/>
        <w:rPr>
          <w:sz w:val="24"/>
          <w:szCs w:val="24"/>
          <w:lang w:val="en-GB"/>
        </w:rPr>
      </w:pPr>
      <w:bookmarkStart w:id="2" w:name="_Toc215669971"/>
      <w:r w:rsidRPr="000F7F7A">
        <w:rPr>
          <w:sz w:val="24"/>
          <w:szCs w:val="24"/>
          <w:lang w:val="en-GB"/>
        </w:rPr>
        <w:lastRenderedPageBreak/>
        <w:t>1. Introduction</w:t>
      </w:r>
      <w:bookmarkEnd w:id="2"/>
    </w:p>
    <w:p w14:paraId="73159214" w14:textId="77777777" w:rsidR="00CD60CF" w:rsidRPr="000F7F7A" w:rsidRDefault="00631257">
      <w:pPr>
        <w:rPr>
          <w:lang w:val="en-GB"/>
        </w:rPr>
      </w:pPr>
      <w:r w:rsidRPr="000F7F7A">
        <w:rPr>
          <w:lang w:val="en-GB"/>
        </w:rPr>
        <w:t>The case of Lucy Letby is one of the biggest failures in patient safety and quality that has occurred in the history of the NHS. There were various cases of unexplained neonatal deaths and collapses between 2015 and 2016 at the Countess of Chester Hospital, and the warning signs were ignored or poorly raised. Further studies such as CQC reports, NHS England investigations and ONS neonatal mortality statistics have identified systemic governance failures, lax oversight and adamant rejection of clinical issues. It is thus possible to view this case as a critical prism through which one can analyse how ineffective leadership, reporting, culture and monitoring may lead to the devastating population health damage. These quality failures are crucial to understanding not just to enhance justice and accountability, but also to enhance the public trust and protect future patients and improve organisational resilience.</w:t>
      </w:r>
    </w:p>
    <w:p w14:paraId="1D91EDD2" w14:textId="77777777" w:rsidR="00CD60CF" w:rsidRPr="000F7F7A" w:rsidRDefault="00631257">
      <w:pPr>
        <w:pStyle w:val="Heading2"/>
        <w:rPr>
          <w:sz w:val="24"/>
          <w:szCs w:val="24"/>
          <w:lang w:val="en-GB"/>
        </w:rPr>
      </w:pPr>
      <w:bookmarkStart w:id="3" w:name="_eyxeaxqfcfah" w:colFirst="0" w:colLast="0"/>
      <w:bookmarkStart w:id="4" w:name="_Toc215669972"/>
      <w:bookmarkEnd w:id="3"/>
      <w:r w:rsidRPr="000F7F7A">
        <w:rPr>
          <w:sz w:val="24"/>
          <w:szCs w:val="24"/>
          <w:lang w:val="en-GB"/>
        </w:rPr>
        <w:t>1.1 Background to the Case</w:t>
      </w:r>
      <w:bookmarkEnd w:id="4"/>
    </w:p>
    <w:p w14:paraId="025D6224" w14:textId="77777777" w:rsidR="00CD60CF" w:rsidRPr="000F7F7A" w:rsidRDefault="00631257">
      <w:pPr>
        <w:rPr>
          <w:lang w:val="en-GB"/>
        </w:rPr>
      </w:pPr>
      <w:r w:rsidRPr="000F7F7A">
        <w:rPr>
          <w:lang w:val="en-GB"/>
        </w:rPr>
        <w:t>In 2023, Letby, a neonatal nurse, was found guilty of killing and attempting to kill babies who were under her care. With the increasing mortality rates and frequent alarms by the top clinicians, the managers were unable to prompt investigations, escalation to third parties and focused more on reputation protection, neglecting clinical protection. This was a clear case of systemic and preventable failure, as later discovered by the CQC to have poor incident reporting, poor governance structures and unsafe staffing practices.</w:t>
      </w:r>
    </w:p>
    <w:p w14:paraId="538AB22E" w14:textId="77777777" w:rsidR="00CD60CF" w:rsidRPr="000F7F7A" w:rsidRDefault="00631257">
      <w:pPr>
        <w:pStyle w:val="Heading2"/>
        <w:rPr>
          <w:sz w:val="24"/>
          <w:szCs w:val="24"/>
          <w:lang w:val="en-GB"/>
        </w:rPr>
      </w:pPr>
      <w:bookmarkStart w:id="5" w:name="_lpre7zuo8rrb" w:colFirst="0" w:colLast="0"/>
      <w:bookmarkStart w:id="6" w:name="_Toc215669973"/>
      <w:bookmarkEnd w:id="5"/>
      <w:r w:rsidRPr="000F7F7A">
        <w:rPr>
          <w:sz w:val="24"/>
          <w:szCs w:val="24"/>
          <w:lang w:val="en-GB"/>
        </w:rPr>
        <w:t>1.2 Identified Quality Problem for Component 2</w:t>
      </w:r>
      <w:bookmarkEnd w:id="6"/>
    </w:p>
    <w:p w14:paraId="0AE263E9" w14:textId="77777777" w:rsidR="00CD60CF" w:rsidRPr="000F7F7A" w:rsidRDefault="00631257">
      <w:pPr>
        <w:rPr>
          <w:lang w:val="en-GB"/>
        </w:rPr>
      </w:pPr>
      <w:r w:rsidRPr="000F7F7A">
        <w:rPr>
          <w:lang w:val="en-GB"/>
        </w:rPr>
        <w:t>The central aspect of quality to be considered in this assignment is that of failure of incident reporting and escalation. This case shows that there have been persistent obstacles to reporting adverse events, a culture of silence among clinicians, and resistance from the leadership that hindered an immediate response (</w:t>
      </w:r>
      <w:proofErr w:type="spellStart"/>
      <w:r w:rsidRPr="000F7F7A">
        <w:rPr>
          <w:highlight w:val="white"/>
          <w:lang w:val="en-GB"/>
        </w:rPr>
        <w:t>Elseesy</w:t>
      </w:r>
      <w:proofErr w:type="spellEnd"/>
      <w:r w:rsidRPr="000F7F7A">
        <w:rPr>
          <w:i/>
          <w:iCs/>
          <w:highlight w:val="white"/>
          <w:lang w:val="en-GB"/>
        </w:rPr>
        <w:t xml:space="preserve"> et al. </w:t>
      </w:r>
      <w:r w:rsidRPr="000F7F7A">
        <w:rPr>
          <w:highlight w:val="white"/>
          <w:lang w:val="en-GB"/>
        </w:rPr>
        <w:t>2025)</w:t>
      </w:r>
      <w:r w:rsidRPr="000F7F7A">
        <w:rPr>
          <w:lang w:val="en-GB"/>
        </w:rPr>
        <w:t xml:space="preserve">. These deficiencies ensured that patterns of harm remained unnoticed and </w:t>
      </w:r>
      <w:proofErr w:type="gramStart"/>
      <w:r w:rsidRPr="000F7F7A">
        <w:rPr>
          <w:lang w:val="en-GB"/>
        </w:rPr>
        <w:t>unchecked, and</w:t>
      </w:r>
      <w:proofErr w:type="gramEnd"/>
      <w:r w:rsidRPr="000F7F7A">
        <w:rPr>
          <w:lang w:val="en-GB"/>
        </w:rPr>
        <w:t xml:space="preserve"> showed that there is a serious failure of core safety systems that should be present in NHS neonatal care.</w:t>
      </w:r>
    </w:p>
    <w:p w14:paraId="2A1F99EB" w14:textId="77777777" w:rsidR="00CD60CF" w:rsidRPr="000F7F7A" w:rsidRDefault="00631257">
      <w:pPr>
        <w:pStyle w:val="Heading2"/>
        <w:rPr>
          <w:sz w:val="24"/>
          <w:szCs w:val="24"/>
          <w:lang w:val="en-GB"/>
        </w:rPr>
      </w:pPr>
      <w:bookmarkStart w:id="7" w:name="_vk6etwrf71e" w:colFirst="0" w:colLast="0"/>
      <w:bookmarkStart w:id="8" w:name="_Toc215669974"/>
      <w:bookmarkEnd w:id="7"/>
      <w:r w:rsidRPr="000F7F7A">
        <w:rPr>
          <w:sz w:val="24"/>
          <w:szCs w:val="24"/>
          <w:lang w:val="en-GB"/>
        </w:rPr>
        <w:t>1.3 Rationale for Investigating This Issue</w:t>
      </w:r>
      <w:bookmarkEnd w:id="8"/>
    </w:p>
    <w:p w14:paraId="19608FA9" w14:textId="77777777" w:rsidR="00CD60CF" w:rsidRPr="000F7F7A" w:rsidRDefault="00631257">
      <w:pPr>
        <w:rPr>
          <w:lang w:val="en-GB"/>
        </w:rPr>
      </w:pPr>
      <w:r w:rsidRPr="000F7F7A">
        <w:rPr>
          <w:lang w:val="en-GB"/>
        </w:rPr>
        <w:t xml:space="preserve">Patient safety, transparency, equity and quality improvement are based on effective incident reporting. The problems in this area contribute to avoidable damage, erosion of trust, and breaches </w:t>
      </w:r>
      <w:r w:rsidRPr="000F7F7A">
        <w:rPr>
          <w:lang w:val="en-GB"/>
        </w:rPr>
        <w:lastRenderedPageBreak/>
        <w:t>of critical principles of clinical governance (</w:t>
      </w:r>
      <w:r w:rsidRPr="000F7F7A">
        <w:rPr>
          <w:highlight w:val="white"/>
          <w:lang w:val="en-GB"/>
        </w:rPr>
        <w:t xml:space="preserve">Nacu, Constantin and </w:t>
      </w:r>
      <w:proofErr w:type="spellStart"/>
      <w:r w:rsidRPr="000F7F7A">
        <w:rPr>
          <w:highlight w:val="white"/>
          <w:lang w:val="en-GB"/>
        </w:rPr>
        <w:t>Rogozea</w:t>
      </w:r>
      <w:proofErr w:type="spellEnd"/>
      <w:r w:rsidRPr="000F7F7A">
        <w:rPr>
          <w:highlight w:val="white"/>
          <w:lang w:val="en-GB"/>
        </w:rPr>
        <w:t>, 2025)</w:t>
      </w:r>
      <w:r w:rsidRPr="000F7F7A">
        <w:rPr>
          <w:lang w:val="en-GB"/>
        </w:rPr>
        <w:t xml:space="preserve">. The structure-process-outcome model presented by Donabedian, along with the Root Cause Analysis (RCA), helps in analysing this issue to understand that system-level gaps can expose someone to risks over an extended </w:t>
      </w:r>
      <w:proofErr w:type="gramStart"/>
      <w:r w:rsidRPr="000F7F7A">
        <w:rPr>
          <w:lang w:val="en-GB"/>
        </w:rPr>
        <w:t>period of time</w:t>
      </w:r>
      <w:proofErr w:type="gramEnd"/>
      <w:r w:rsidRPr="000F7F7A">
        <w:rPr>
          <w:lang w:val="en-GB"/>
        </w:rPr>
        <w:t>.</w:t>
      </w:r>
    </w:p>
    <w:p w14:paraId="2873FE38" w14:textId="77777777" w:rsidR="00CD60CF" w:rsidRPr="000F7F7A" w:rsidRDefault="00631257">
      <w:pPr>
        <w:pStyle w:val="Heading2"/>
        <w:rPr>
          <w:sz w:val="24"/>
          <w:szCs w:val="24"/>
          <w:lang w:val="en-GB"/>
        </w:rPr>
      </w:pPr>
      <w:bookmarkStart w:id="9" w:name="_n9ad57t76kus" w:colFirst="0" w:colLast="0"/>
      <w:bookmarkStart w:id="10" w:name="_Toc215669975"/>
      <w:bookmarkEnd w:id="9"/>
      <w:r w:rsidRPr="000F7F7A">
        <w:rPr>
          <w:sz w:val="24"/>
          <w:szCs w:val="24"/>
          <w:lang w:val="en-GB"/>
        </w:rPr>
        <w:t>1.4 Aim and Objectives</w:t>
      </w:r>
      <w:bookmarkEnd w:id="10"/>
    </w:p>
    <w:p w14:paraId="04EC6A30" w14:textId="77777777" w:rsidR="00CD60CF" w:rsidRPr="000F7F7A" w:rsidRDefault="00631257">
      <w:pPr>
        <w:rPr>
          <w:b/>
          <w:bCs/>
          <w:i/>
          <w:iCs/>
          <w:lang w:val="en-GB"/>
        </w:rPr>
      </w:pPr>
      <w:r w:rsidRPr="000F7F7A">
        <w:rPr>
          <w:b/>
          <w:bCs/>
          <w:i/>
          <w:iCs/>
          <w:lang w:val="en-GB"/>
        </w:rPr>
        <w:t>Aim:</w:t>
      </w:r>
    </w:p>
    <w:p w14:paraId="7CB25D9E" w14:textId="77777777" w:rsidR="00CD60CF" w:rsidRPr="000F7F7A" w:rsidRDefault="00631257">
      <w:pPr>
        <w:rPr>
          <w:lang w:val="en-GB"/>
        </w:rPr>
      </w:pPr>
      <w:r w:rsidRPr="000F7F7A">
        <w:rPr>
          <w:lang w:val="en-GB"/>
        </w:rPr>
        <w:t>To critically examine the systemic quality failure root causes in the neonatal unit by using the existing theories of quality management and formulating the evidence-based improvement strategies.</w:t>
      </w:r>
    </w:p>
    <w:p w14:paraId="61BE80B7" w14:textId="77777777" w:rsidR="00CD60CF" w:rsidRPr="000F7F7A" w:rsidRDefault="00631257">
      <w:pPr>
        <w:rPr>
          <w:b/>
          <w:bCs/>
          <w:i/>
          <w:iCs/>
          <w:lang w:val="en-GB"/>
        </w:rPr>
      </w:pPr>
      <w:r w:rsidRPr="000F7F7A">
        <w:rPr>
          <w:b/>
          <w:bCs/>
          <w:i/>
          <w:iCs/>
          <w:lang w:val="en-GB"/>
        </w:rPr>
        <w:t>Objectives:</w:t>
      </w:r>
    </w:p>
    <w:p w14:paraId="645CD24E" w14:textId="77777777" w:rsidR="00CD60CF" w:rsidRPr="000F7F7A" w:rsidRDefault="00631257">
      <w:pPr>
        <w:numPr>
          <w:ilvl w:val="0"/>
          <w:numId w:val="7"/>
        </w:numPr>
        <w:rPr>
          <w:lang w:val="en-GB"/>
        </w:rPr>
      </w:pPr>
      <w:r w:rsidRPr="000F7F7A">
        <w:rPr>
          <w:lang w:val="en-GB"/>
        </w:rPr>
        <w:t>To examine the chosen incident reporting and escalation issue according to Fishbone, 5 Whys and Donabedian models.</w:t>
      </w:r>
    </w:p>
    <w:p w14:paraId="57FCF4C5" w14:textId="77777777" w:rsidR="00CD60CF" w:rsidRPr="000F7F7A" w:rsidRDefault="00631257">
      <w:pPr>
        <w:numPr>
          <w:ilvl w:val="0"/>
          <w:numId w:val="7"/>
        </w:numPr>
        <w:rPr>
          <w:lang w:val="en-GB"/>
        </w:rPr>
      </w:pPr>
      <w:r w:rsidRPr="000F7F7A">
        <w:rPr>
          <w:lang w:val="en-GB"/>
        </w:rPr>
        <w:t>To determine contextual and organisational issues that have been affecting failures using SWOT or PESTLE analysis.</w:t>
      </w:r>
    </w:p>
    <w:p w14:paraId="1E46FBC4" w14:textId="77777777" w:rsidR="00CD60CF" w:rsidRPr="000F7F7A" w:rsidRDefault="00631257">
      <w:pPr>
        <w:numPr>
          <w:ilvl w:val="0"/>
          <w:numId w:val="7"/>
        </w:numPr>
        <w:rPr>
          <w:lang w:val="en-GB"/>
        </w:rPr>
      </w:pPr>
      <w:r w:rsidRPr="000F7F7A">
        <w:rPr>
          <w:lang w:val="en-GB"/>
        </w:rPr>
        <w:t>To refresh the policy, governance and organisational weaknesses with the help of modern literature.</w:t>
      </w:r>
    </w:p>
    <w:p w14:paraId="24354BA5" w14:textId="77777777" w:rsidR="00CD60CF" w:rsidRPr="000F7F7A" w:rsidRDefault="00631257">
      <w:pPr>
        <w:numPr>
          <w:ilvl w:val="0"/>
          <w:numId w:val="7"/>
        </w:numPr>
        <w:rPr>
          <w:lang w:val="en-GB"/>
        </w:rPr>
      </w:pPr>
      <w:r w:rsidRPr="000F7F7A">
        <w:rPr>
          <w:lang w:val="en-GB"/>
        </w:rPr>
        <w:t>To recommend quality improvement based on PDSA/PDCA, Lean method, and Six Sigma method.</w:t>
      </w:r>
    </w:p>
    <w:p w14:paraId="2BA3D0AF" w14:textId="77777777" w:rsidR="00CD60CF" w:rsidRPr="000F7F7A" w:rsidRDefault="00631257">
      <w:pPr>
        <w:pStyle w:val="Heading1"/>
        <w:keepNext w:val="0"/>
        <w:keepLines w:val="0"/>
        <w:rPr>
          <w:sz w:val="24"/>
          <w:szCs w:val="24"/>
          <w:lang w:val="en-GB"/>
        </w:rPr>
      </w:pPr>
      <w:bookmarkStart w:id="11" w:name="_y2zxaef70u1g" w:colFirst="0" w:colLast="0"/>
      <w:bookmarkStart w:id="12" w:name="_Toc215669976"/>
      <w:bookmarkEnd w:id="11"/>
      <w:r w:rsidRPr="000F7F7A">
        <w:rPr>
          <w:sz w:val="24"/>
          <w:szCs w:val="24"/>
          <w:lang w:val="en-GB"/>
        </w:rPr>
        <w:t>2. Main Body</w:t>
      </w:r>
      <w:bookmarkEnd w:id="12"/>
    </w:p>
    <w:p w14:paraId="468997F3" w14:textId="77777777" w:rsidR="00CD60CF" w:rsidRPr="000F7F7A" w:rsidRDefault="00631257">
      <w:pPr>
        <w:pStyle w:val="Heading2"/>
        <w:keepNext w:val="0"/>
        <w:keepLines w:val="0"/>
        <w:spacing w:before="280"/>
        <w:rPr>
          <w:sz w:val="24"/>
          <w:szCs w:val="24"/>
          <w:lang w:val="en-GB"/>
        </w:rPr>
      </w:pPr>
      <w:bookmarkStart w:id="13" w:name="_3oeugooy7ljz" w:colFirst="0" w:colLast="0"/>
      <w:bookmarkStart w:id="14" w:name="_Toc215669977"/>
      <w:bookmarkEnd w:id="13"/>
      <w:r w:rsidRPr="000F7F7A">
        <w:rPr>
          <w:sz w:val="24"/>
          <w:szCs w:val="24"/>
          <w:lang w:val="en-GB"/>
        </w:rPr>
        <w:t>2.1 Understanding the Chosen Quality Issue</w:t>
      </w:r>
      <w:bookmarkEnd w:id="14"/>
    </w:p>
    <w:p w14:paraId="27971EF8" w14:textId="77777777" w:rsidR="00CD60CF" w:rsidRPr="000F7F7A" w:rsidRDefault="00631257">
      <w:pPr>
        <w:rPr>
          <w:lang w:val="en-GB"/>
        </w:rPr>
      </w:pPr>
      <w:r w:rsidRPr="000F7F7A">
        <w:rPr>
          <w:lang w:val="en-GB"/>
        </w:rPr>
        <w:t>The main quality concern that was investigated in this analysis is the</w:t>
      </w:r>
      <w:r w:rsidRPr="000F7F7A">
        <w:rPr>
          <w:b/>
          <w:bCs/>
          <w:lang w:val="en-GB"/>
        </w:rPr>
        <w:t xml:space="preserve"> lack of incident reporting and escalation</w:t>
      </w:r>
      <w:r w:rsidRPr="000F7F7A">
        <w:rPr>
          <w:lang w:val="en-GB"/>
        </w:rPr>
        <w:t xml:space="preserve"> in the neonatal unit of the Countess of Chester Hospital over the years, related to the Lucy Letby case. An essential part of the NHS clinical governance is incident reporting, which allows anticipating the risks early and learning about the negative occurrences and avoiding future damage (</w:t>
      </w:r>
      <w:r w:rsidRPr="000F7F7A">
        <w:rPr>
          <w:highlight w:val="white"/>
          <w:lang w:val="en-GB"/>
        </w:rPr>
        <w:t>Sirrs, 2024)</w:t>
      </w:r>
      <w:r w:rsidRPr="000F7F7A">
        <w:rPr>
          <w:lang w:val="en-GB"/>
        </w:rPr>
        <w:t xml:space="preserve">. In that regard, major weaknesses in safety processes and organisational </w:t>
      </w:r>
      <w:r w:rsidRPr="000F7F7A">
        <w:rPr>
          <w:lang w:val="en-GB"/>
        </w:rPr>
        <w:lastRenderedPageBreak/>
        <w:t>culture were manifested in recurring issues brought up by senior consultants, which were either denied, postponed or poorly escalated.</w:t>
      </w:r>
    </w:p>
    <w:p w14:paraId="6B8BD3D4" w14:textId="77777777" w:rsidR="00CD60CF" w:rsidRPr="000F7F7A" w:rsidRDefault="00631257">
      <w:pPr>
        <w:rPr>
          <w:lang w:val="en-GB"/>
        </w:rPr>
      </w:pPr>
      <w:r w:rsidRPr="000F7F7A">
        <w:rPr>
          <w:lang w:val="en-GB"/>
        </w:rPr>
        <w:t>Such failure is directly incompatible with the NHS quality dimensions:</w:t>
      </w:r>
      <w:r w:rsidRPr="000F7F7A">
        <w:rPr>
          <w:b/>
          <w:bCs/>
          <w:lang w:val="en-GB"/>
        </w:rPr>
        <w:t xml:space="preserve"> safety</w:t>
      </w:r>
      <w:r w:rsidRPr="000F7F7A">
        <w:rPr>
          <w:lang w:val="en-GB"/>
        </w:rPr>
        <w:t>, as it has been permitting the harm that can be prevented,</w:t>
      </w:r>
      <w:r w:rsidRPr="000F7F7A">
        <w:rPr>
          <w:b/>
          <w:bCs/>
          <w:lang w:val="en-GB"/>
        </w:rPr>
        <w:t xml:space="preserve"> effectiveness</w:t>
      </w:r>
      <w:r w:rsidRPr="000F7F7A">
        <w:rPr>
          <w:lang w:val="en-GB"/>
        </w:rPr>
        <w:t xml:space="preserve">, as it has been weakening evidence-based risk management, and </w:t>
      </w:r>
      <w:r w:rsidRPr="000F7F7A">
        <w:rPr>
          <w:b/>
          <w:bCs/>
          <w:lang w:val="en-GB"/>
        </w:rPr>
        <w:t>patient experience</w:t>
      </w:r>
      <w:r w:rsidRPr="000F7F7A">
        <w:rPr>
          <w:lang w:val="en-GB"/>
        </w:rPr>
        <w:t>, as it has been dismantling the trust in maternity and neonatal services. Internal review and subsequent external studies of mortality indicated statistically abnormal increases in neonatal collapses and mortality, but these were not addressed (</w:t>
      </w:r>
      <w:proofErr w:type="spellStart"/>
      <w:r w:rsidRPr="000F7F7A">
        <w:rPr>
          <w:highlight w:val="white"/>
          <w:lang w:val="en-GB"/>
        </w:rPr>
        <w:t>Zaurez</w:t>
      </w:r>
      <w:proofErr w:type="spellEnd"/>
      <w:r w:rsidRPr="000F7F7A">
        <w:rPr>
          <w:highlight w:val="white"/>
          <w:lang w:val="en-GB"/>
        </w:rPr>
        <w:t xml:space="preserve"> Afshar and Hussain Shah, 2025)</w:t>
      </w:r>
      <w:r w:rsidRPr="000F7F7A">
        <w:rPr>
          <w:lang w:val="en-GB"/>
        </w:rPr>
        <w:t>. Reports such as CQC reports and even the independent Letby Inquiry found that there were avoidable delays, poor documentation and disjointed responses to serious incident triggers (</w:t>
      </w:r>
      <w:proofErr w:type="spellStart"/>
      <w:r w:rsidRPr="000F7F7A">
        <w:rPr>
          <w:highlight w:val="white"/>
          <w:lang w:val="en-GB"/>
        </w:rPr>
        <w:t>Jesudason</w:t>
      </w:r>
      <w:proofErr w:type="spellEnd"/>
      <w:r w:rsidRPr="000F7F7A">
        <w:rPr>
          <w:highlight w:val="white"/>
          <w:lang w:val="en-GB"/>
        </w:rPr>
        <w:t>, 2024)</w:t>
      </w:r>
      <w:r w:rsidRPr="000F7F7A">
        <w:rPr>
          <w:lang w:val="en-GB"/>
        </w:rPr>
        <w:t>. It led to the long-term risk phase during which repeated negative occurrences were not properly analysed and escalated to the external regulating authorities so that systemic vulnerabilities could be tolerated.</w:t>
      </w:r>
    </w:p>
    <w:p w14:paraId="6E4A4DA5" w14:textId="77777777" w:rsidR="00CD60CF" w:rsidRPr="000F7F7A" w:rsidRDefault="00631257">
      <w:pPr>
        <w:pStyle w:val="Heading2"/>
        <w:keepNext w:val="0"/>
        <w:keepLines w:val="0"/>
        <w:spacing w:before="280"/>
        <w:rPr>
          <w:sz w:val="24"/>
          <w:szCs w:val="24"/>
          <w:lang w:val="en-GB"/>
        </w:rPr>
      </w:pPr>
      <w:bookmarkStart w:id="15" w:name="_gc6ti03jh191" w:colFirst="0" w:colLast="0"/>
      <w:bookmarkStart w:id="16" w:name="_Toc215669978"/>
      <w:bookmarkEnd w:id="15"/>
      <w:r w:rsidRPr="000F7F7A">
        <w:rPr>
          <w:sz w:val="24"/>
          <w:szCs w:val="24"/>
          <w:lang w:val="en-GB"/>
        </w:rPr>
        <w:t>2.2 Application of Theoretical Models</w:t>
      </w:r>
      <w:bookmarkEnd w:id="16"/>
    </w:p>
    <w:p w14:paraId="3391A6DB" w14:textId="77777777" w:rsidR="00CD60CF" w:rsidRPr="000F7F7A" w:rsidRDefault="00631257">
      <w:pPr>
        <w:pStyle w:val="Heading3"/>
        <w:rPr>
          <w:lang w:val="en-GB"/>
        </w:rPr>
      </w:pPr>
      <w:bookmarkStart w:id="17" w:name="_pw87he42nvpz" w:colFirst="0" w:colLast="0"/>
      <w:bookmarkStart w:id="18" w:name="_Toc215669979"/>
      <w:bookmarkEnd w:id="17"/>
      <w:r w:rsidRPr="000F7F7A">
        <w:rPr>
          <w:lang w:val="en-GB"/>
        </w:rPr>
        <w:t>2.2.1 Fishbone (Ishikawa) Diagram Analysis</w:t>
      </w:r>
      <w:bookmarkEnd w:id="18"/>
    </w:p>
    <w:p w14:paraId="75BAF965" w14:textId="77777777" w:rsidR="00CD60CF" w:rsidRPr="000F7F7A" w:rsidRDefault="00631257">
      <w:pPr>
        <w:rPr>
          <w:lang w:val="en-GB"/>
        </w:rPr>
      </w:pPr>
      <w:r w:rsidRPr="000F7F7A">
        <w:rPr>
          <w:lang w:val="en-GB"/>
        </w:rPr>
        <w:t>Fishbone analysis indicates several interacting factors in each of the major categories:</w:t>
      </w:r>
    </w:p>
    <w:p w14:paraId="20FE8FBB" w14:textId="77777777" w:rsidR="00CD60CF" w:rsidRPr="000F7F7A" w:rsidRDefault="00631257">
      <w:pPr>
        <w:rPr>
          <w:lang w:val="en-GB"/>
        </w:rPr>
      </w:pPr>
      <w:r w:rsidRPr="000F7F7A">
        <w:rPr>
          <w:b/>
          <w:bCs/>
          <w:i/>
          <w:iCs/>
          <w:lang w:val="en-GB"/>
        </w:rPr>
        <w:t>People:</w:t>
      </w:r>
      <w:r w:rsidRPr="000F7F7A">
        <w:rPr>
          <w:lang w:val="en-GB"/>
        </w:rPr>
        <w:t xml:space="preserve"> Employees were afraid of being reprimanded, which led to underreporting. Clinicians who sounded off were gagged or asked to apologise, which indicated the absence of psychological safety (</w:t>
      </w:r>
      <w:r w:rsidRPr="000F7F7A">
        <w:rPr>
          <w:highlight w:val="white"/>
          <w:lang w:val="en-GB"/>
        </w:rPr>
        <w:t>Berry, 2021)</w:t>
      </w:r>
      <w:r w:rsidRPr="000F7F7A">
        <w:rPr>
          <w:lang w:val="en-GB"/>
        </w:rPr>
        <w:t>. The juniors did not have the training and were not sure of the incident escalation pathways.</w:t>
      </w:r>
    </w:p>
    <w:p w14:paraId="60DCAC1C" w14:textId="77777777" w:rsidR="00CD60CF" w:rsidRPr="000F7F7A" w:rsidRDefault="00631257">
      <w:pPr>
        <w:rPr>
          <w:lang w:val="en-GB"/>
        </w:rPr>
      </w:pPr>
      <w:r w:rsidRPr="000F7F7A">
        <w:rPr>
          <w:b/>
          <w:bCs/>
          <w:i/>
          <w:iCs/>
          <w:lang w:val="en-GB"/>
        </w:rPr>
        <w:t>Policy:</w:t>
      </w:r>
      <w:r w:rsidRPr="000F7F7A">
        <w:rPr>
          <w:i/>
          <w:iCs/>
          <w:lang w:val="en-GB"/>
        </w:rPr>
        <w:t xml:space="preserve"> </w:t>
      </w:r>
      <w:r w:rsidRPr="000F7F7A">
        <w:rPr>
          <w:lang w:val="en-GB"/>
        </w:rPr>
        <w:t>The policy regarding incident reporting and whistleblowing was either old-fashioned, not well conveyed, or not uniformly enforced. The Trust did not adhere to the protocol of the NHS Serious Incident Framework, which postponed RCA processes.</w:t>
      </w:r>
    </w:p>
    <w:p w14:paraId="0CC38A56" w14:textId="77777777" w:rsidR="00CD60CF" w:rsidRPr="000F7F7A" w:rsidRDefault="00631257">
      <w:pPr>
        <w:rPr>
          <w:lang w:val="en-GB"/>
        </w:rPr>
      </w:pPr>
      <w:r w:rsidRPr="000F7F7A">
        <w:rPr>
          <w:b/>
          <w:bCs/>
          <w:i/>
          <w:iCs/>
          <w:lang w:val="en-GB"/>
        </w:rPr>
        <w:t>Processes:</w:t>
      </w:r>
      <w:r w:rsidRPr="000F7F7A">
        <w:rPr>
          <w:b/>
          <w:bCs/>
          <w:lang w:val="en-GB"/>
        </w:rPr>
        <w:t xml:space="preserve"> </w:t>
      </w:r>
      <w:r w:rsidRPr="000F7F7A">
        <w:rPr>
          <w:lang w:val="en-GB"/>
        </w:rPr>
        <w:t>There was an inconsistency in incident documentation, and reviews were not thorough. Escalation levels were not clear, and this resulted in frequent incidences of failing to see patterns in neonatal deterioration (</w:t>
      </w:r>
      <w:r w:rsidRPr="000F7F7A">
        <w:rPr>
          <w:highlight w:val="white"/>
          <w:lang w:val="en-GB"/>
        </w:rPr>
        <w:t>Bellini</w:t>
      </w:r>
      <w:r w:rsidRPr="000F7F7A">
        <w:rPr>
          <w:i/>
          <w:iCs/>
          <w:highlight w:val="white"/>
          <w:lang w:val="en-GB"/>
        </w:rPr>
        <w:t xml:space="preserve"> et al. </w:t>
      </w:r>
      <w:r w:rsidRPr="000F7F7A">
        <w:rPr>
          <w:highlight w:val="white"/>
          <w:lang w:val="en-GB"/>
        </w:rPr>
        <w:t>2025)</w:t>
      </w:r>
      <w:r w:rsidRPr="000F7F7A">
        <w:rPr>
          <w:lang w:val="en-GB"/>
        </w:rPr>
        <w:t>. The poor communication between teams also tore apart learning and response systems.</w:t>
      </w:r>
    </w:p>
    <w:p w14:paraId="449EC8C1" w14:textId="77777777" w:rsidR="00CD60CF" w:rsidRPr="000F7F7A" w:rsidRDefault="00631257">
      <w:pPr>
        <w:rPr>
          <w:lang w:val="en-GB"/>
        </w:rPr>
      </w:pPr>
      <w:r w:rsidRPr="000F7F7A">
        <w:rPr>
          <w:b/>
          <w:bCs/>
          <w:i/>
          <w:iCs/>
          <w:lang w:val="en-GB"/>
        </w:rPr>
        <w:lastRenderedPageBreak/>
        <w:t>Environment:</w:t>
      </w:r>
      <w:r w:rsidRPr="000F7F7A">
        <w:rPr>
          <w:b/>
          <w:bCs/>
          <w:lang w:val="en-GB"/>
        </w:rPr>
        <w:t xml:space="preserve"> </w:t>
      </w:r>
      <w:r w:rsidRPr="000F7F7A">
        <w:rPr>
          <w:lang w:val="en-GB"/>
        </w:rPr>
        <w:t>An organisational culture that valued reputational safety instead of transparency did not encourage open communication of safety issues (</w:t>
      </w:r>
      <w:r w:rsidRPr="000F7F7A">
        <w:rPr>
          <w:highlight w:val="white"/>
          <w:lang w:val="en-GB"/>
        </w:rPr>
        <w:t>Lindhout and Reniers, 2022)</w:t>
      </w:r>
      <w:r w:rsidRPr="000F7F7A">
        <w:rPr>
          <w:lang w:val="en-GB"/>
        </w:rPr>
        <w:t>. Hierarchy rendered clinicians weak and entrenched managerial control in narrating incidents.</w:t>
      </w:r>
    </w:p>
    <w:p w14:paraId="1A8860D8" w14:textId="77777777" w:rsidR="00CD60CF" w:rsidRPr="000F7F7A" w:rsidRDefault="00631257">
      <w:pPr>
        <w:rPr>
          <w:lang w:val="en-GB"/>
        </w:rPr>
      </w:pPr>
      <w:r w:rsidRPr="000F7F7A">
        <w:rPr>
          <w:b/>
          <w:bCs/>
          <w:i/>
          <w:iCs/>
          <w:lang w:val="en-GB"/>
        </w:rPr>
        <w:t>Equipment:</w:t>
      </w:r>
      <w:r w:rsidRPr="000F7F7A">
        <w:rPr>
          <w:b/>
          <w:bCs/>
          <w:lang w:val="en-GB"/>
        </w:rPr>
        <w:t xml:space="preserve"> </w:t>
      </w:r>
      <w:proofErr w:type="gramStart"/>
      <w:r w:rsidRPr="000F7F7A">
        <w:rPr>
          <w:lang w:val="en-GB"/>
        </w:rPr>
        <w:t>In spite of the fact that</w:t>
      </w:r>
      <w:proofErr w:type="gramEnd"/>
      <w:r w:rsidRPr="000F7F7A">
        <w:rPr>
          <w:lang w:val="en-GB"/>
        </w:rPr>
        <w:t xml:space="preserve"> equipment failure was not the cause of the mortality pattern, the lack of effective monitoring tools, data dashboards and audit systems made no possibility to identify the abnormal trends in time (</w:t>
      </w:r>
      <w:r w:rsidRPr="000F7F7A">
        <w:rPr>
          <w:highlight w:val="white"/>
          <w:lang w:val="en-GB"/>
        </w:rPr>
        <w:t>Boppana, 2023)</w:t>
      </w:r>
      <w:r w:rsidRPr="000F7F7A">
        <w:rPr>
          <w:lang w:val="en-GB"/>
        </w:rPr>
        <w:t>.</w:t>
      </w:r>
    </w:p>
    <w:p w14:paraId="7CF7F1F1" w14:textId="77777777" w:rsidR="00CD60CF" w:rsidRPr="000F7F7A" w:rsidRDefault="00631257">
      <w:pPr>
        <w:rPr>
          <w:lang w:val="en-GB"/>
        </w:rPr>
      </w:pPr>
      <w:r w:rsidRPr="000F7F7A">
        <w:rPr>
          <w:b/>
          <w:bCs/>
          <w:i/>
          <w:iCs/>
          <w:lang w:val="en-GB"/>
        </w:rPr>
        <w:t>Leadership:</w:t>
      </w:r>
      <w:r w:rsidRPr="000F7F7A">
        <w:rPr>
          <w:b/>
          <w:bCs/>
          <w:lang w:val="en-GB"/>
        </w:rPr>
        <w:t xml:space="preserve"> </w:t>
      </w:r>
      <w:r w:rsidRPr="000F7F7A">
        <w:rPr>
          <w:lang w:val="en-GB"/>
        </w:rPr>
        <w:t>Denial, defensiveness and minimisation of risk characterised leadership. Managers were not open to outside scrutiny, were unwilling to take consultants' advice, and their organisational culture stifled worries. This was the most crucial leadership failure that led to the failure in governance.</w:t>
      </w:r>
    </w:p>
    <w:p w14:paraId="4F09A296" w14:textId="77777777" w:rsidR="00CD60CF" w:rsidRPr="000F7F7A" w:rsidRDefault="00631257">
      <w:pPr>
        <w:rPr>
          <w:lang w:val="en-GB"/>
        </w:rPr>
      </w:pPr>
      <w:r w:rsidRPr="000F7F7A">
        <w:rPr>
          <w:lang w:val="en-GB"/>
        </w:rPr>
        <w:t>Fishbone analysis points out that the problem was not caused by one operational failure but by a complicated combination of human, structural, and cultural factors.</w:t>
      </w:r>
    </w:p>
    <w:p w14:paraId="3FAF2E08" w14:textId="77777777" w:rsidR="00CD60CF" w:rsidRPr="000F7F7A" w:rsidRDefault="00631257">
      <w:pPr>
        <w:jc w:val="center"/>
        <w:rPr>
          <w:lang w:val="en-GB"/>
        </w:rPr>
      </w:pPr>
      <w:r w:rsidRPr="000F7F7A">
        <w:rPr>
          <w:noProof/>
          <w:lang w:val="en-IN"/>
        </w:rPr>
        <w:drawing>
          <wp:inline distT="114300" distB="114300" distL="114300" distR="114300" wp14:anchorId="0A168E49" wp14:editId="1E5D302F">
            <wp:extent cx="6562633" cy="35337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562633" cy="3533725"/>
                    </a:xfrm>
                    <a:prstGeom prst="rect">
                      <a:avLst/>
                    </a:prstGeom>
                    <a:ln/>
                  </pic:spPr>
                </pic:pic>
              </a:graphicData>
            </a:graphic>
          </wp:inline>
        </w:drawing>
      </w:r>
    </w:p>
    <w:p w14:paraId="3E85C512" w14:textId="77777777" w:rsidR="00CD60CF" w:rsidRPr="000F7F7A" w:rsidRDefault="00631257">
      <w:pPr>
        <w:jc w:val="center"/>
        <w:rPr>
          <w:b/>
          <w:bCs/>
          <w:lang w:val="en-GB"/>
        </w:rPr>
      </w:pPr>
      <w:r w:rsidRPr="000F7F7A">
        <w:rPr>
          <w:b/>
          <w:bCs/>
          <w:lang w:val="en-GB"/>
        </w:rPr>
        <w:t>Figure: Root Cause Analysis of Incident Reporting Failures</w:t>
      </w:r>
    </w:p>
    <w:p w14:paraId="2CE6070D" w14:textId="77777777" w:rsidR="00CD60CF" w:rsidRPr="000F7F7A" w:rsidRDefault="00631257">
      <w:pPr>
        <w:jc w:val="center"/>
        <w:rPr>
          <w:lang w:val="en-GB"/>
        </w:rPr>
      </w:pPr>
      <w:r w:rsidRPr="000F7F7A">
        <w:rPr>
          <w:lang w:val="en-GB"/>
        </w:rPr>
        <w:t>(Source: Self-made)</w:t>
      </w:r>
    </w:p>
    <w:p w14:paraId="0FA94A74" w14:textId="77777777" w:rsidR="00CD60CF" w:rsidRPr="000F7F7A" w:rsidRDefault="00631257">
      <w:pPr>
        <w:pStyle w:val="Heading3"/>
        <w:rPr>
          <w:lang w:val="en-GB"/>
        </w:rPr>
      </w:pPr>
      <w:bookmarkStart w:id="19" w:name="_eupeojyajcv3" w:colFirst="0" w:colLast="0"/>
      <w:bookmarkStart w:id="20" w:name="_Toc215669980"/>
      <w:bookmarkEnd w:id="19"/>
      <w:r w:rsidRPr="000F7F7A">
        <w:rPr>
          <w:lang w:val="en-GB"/>
        </w:rPr>
        <w:lastRenderedPageBreak/>
        <w:t>2.2.2 5 Whys Root Cause Analysis</w:t>
      </w:r>
      <w:bookmarkEnd w:id="20"/>
    </w:p>
    <w:p w14:paraId="6C99F79D" w14:textId="77777777" w:rsidR="00CD60CF" w:rsidRPr="000F7F7A" w:rsidRDefault="00631257">
      <w:pPr>
        <w:rPr>
          <w:lang w:val="en-GB"/>
        </w:rPr>
      </w:pPr>
      <w:r w:rsidRPr="000F7F7A">
        <w:rPr>
          <w:b/>
          <w:bCs/>
          <w:i/>
          <w:iCs/>
          <w:lang w:val="en-GB"/>
        </w:rPr>
        <w:t xml:space="preserve">Issue: </w:t>
      </w:r>
      <w:r w:rsidRPr="000F7F7A">
        <w:rPr>
          <w:lang w:val="en-GB"/>
        </w:rPr>
        <w:t>Major accidents were not handled properly.</w:t>
      </w:r>
    </w:p>
    <w:p w14:paraId="69BD3A11" w14:textId="77777777" w:rsidR="00CD60CF" w:rsidRPr="000F7F7A" w:rsidRDefault="00631257">
      <w:pPr>
        <w:numPr>
          <w:ilvl w:val="0"/>
          <w:numId w:val="11"/>
        </w:numPr>
        <w:rPr>
          <w:lang w:val="en-GB"/>
        </w:rPr>
      </w:pPr>
      <w:r w:rsidRPr="000F7F7A">
        <w:rPr>
          <w:b/>
          <w:bCs/>
          <w:lang w:val="en-GB"/>
        </w:rPr>
        <w:t>Why?</w:t>
      </w:r>
      <w:r w:rsidRPr="000F7F7A">
        <w:rPr>
          <w:lang w:val="en-GB"/>
        </w:rPr>
        <w:t xml:space="preserve"> Consultants had issues that were dismissed.</w:t>
      </w:r>
    </w:p>
    <w:p w14:paraId="1B699E15" w14:textId="77777777" w:rsidR="00CD60CF" w:rsidRPr="000F7F7A" w:rsidRDefault="00631257">
      <w:pPr>
        <w:numPr>
          <w:ilvl w:val="0"/>
          <w:numId w:val="11"/>
        </w:numPr>
        <w:rPr>
          <w:lang w:val="en-GB"/>
        </w:rPr>
      </w:pPr>
      <w:r w:rsidRPr="000F7F7A">
        <w:rPr>
          <w:b/>
          <w:bCs/>
          <w:lang w:val="en-GB"/>
        </w:rPr>
        <w:t>Why?</w:t>
      </w:r>
      <w:r w:rsidRPr="000F7F7A">
        <w:rPr>
          <w:lang w:val="en-GB"/>
        </w:rPr>
        <w:t xml:space="preserve"> Managers felt that the anxieties were overstated and wanted to escape the reputational harm.</w:t>
      </w:r>
    </w:p>
    <w:p w14:paraId="3DE2416E" w14:textId="77777777" w:rsidR="00CD60CF" w:rsidRPr="000F7F7A" w:rsidRDefault="00631257">
      <w:pPr>
        <w:numPr>
          <w:ilvl w:val="0"/>
          <w:numId w:val="11"/>
        </w:numPr>
        <w:rPr>
          <w:lang w:val="en-GB"/>
        </w:rPr>
      </w:pPr>
      <w:r w:rsidRPr="000F7F7A">
        <w:rPr>
          <w:b/>
          <w:bCs/>
          <w:lang w:val="en-GB"/>
        </w:rPr>
        <w:t xml:space="preserve">Why? </w:t>
      </w:r>
      <w:r w:rsidRPr="000F7F7A">
        <w:rPr>
          <w:lang w:val="en-GB"/>
        </w:rPr>
        <w:t>Instead of focusing on patient safety, the leadership culture became normalised in terms of the denial culture and minimisation of risks.</w:t>
      </w:r>
    </w:p>
    <w:p w14:paraId="2BF4DC79" w14:textId="77777777" w:rsidR="00CD60CF" w:rsidRPr="000F7F7A" w:rsidRDefault="00631257">
      <w:pPr>
        <w:numPr>
          <w:ilvl w:val="0"/>
          <w:numId w:val="11"/>
        </w:numPr>
        <w:rPr>
          <w:lang w:val="en-GB"/>
        </w:rPr>
      </w:pPr>
      <w:r w:rsidRPr="000F7F7A">
        <w:rPr>
          <w:b/>
          <w:bCs/>
          <w:lang w:val="en-GB"/>
        </w:rPr>
        <w:t>Why?</w:t>
      </w:r>
      <w:r w:rsidRPr="000F7F7A">
        <w:rPr>
          <w:lang w:val="en-GB"/>
        </w:rPr>
        <w:t xml:space="preserve"> The governance arrangements gave too much freedom to the managers </w:t>
      </w:r>
      <w:proofErr w:type="gramStart"/>
      <w:r w:rsidRPr="000F7F7A">
        <w:rPr>
          <w:lang w:val="en-GB"/>
        </w:rPr>
        <w:t>in regard to</w:t>
      </w:r>
      <w:proofErr w:type="gramEnd"/>
      <w:r w:rsidRPr="000F7F7A">
        <w:rPr>
          <w:lang w:val="en-GB"/>
        </w:rPr>
        <w:t xml:space="preserve"> the incidence classification and the inclusion of external bodies.</w:t>
      </w:r>
    </w:p>
    <w:p w14:paraId="6BBADAAE" w14:textId="77777777" w:rsidR="00CD60CF" w:rsidRPr="000F7F7A" w:rsidRDefault="00631257">
      <w:pPr>
        <w:numPr>
          <w:ilvl w:val="0"/>
          <w:numId w:val="11"/>
        </w:numPr>
        <w:rPr>
          <w:lang w:val="en-GB"/>
        </w:rPr>
      </w:pPr>
      <w:r w:rsidRPr="000F7F7A">
        <w:rPr>
          <w:b/>
          <w:bCs/>
          <w:lang w:val="en-GB"/>
        </w:rPr>
        <w:t xml:space="preserve">Why? </w:t>
      </w:r>
      <w:r w:rsidRPr="000F7F7A">
        <w:rPr>
          <w:lang w:val="en-GB"/>
        </w:rPr>
        <w:t>The design of the organisation had no independent checks or balances, and the leadership had an opportunity to focus on the reputation of the institution instead of safety.</w:t>
      </w:r>
    </w:p>
    <w:p w14:paraId="7A644569" w14:textId="77777777" w:rsidR="00CD60CF" w:rsidRPr="000F7F7A" w:rsidRDefault="00631257">
      <w:pPr>
        <w:rPr>
          <w:lang w:val="en-GB"/>
        </w:rPr>
      </w:pPr>
      <w:r w:rsidRPr="000F7F7A">
        <w:rPr>
          <w:lang w:val="en-GB"/>
        </w:rPr>
        <w:t xml:space="preserve">The 5 Whys proves that the most fundamental cause was a </w:t>
      </w:r>
      <w:r w:rsidRPr="000F7F7A">
        <w:rPr>
          <w:b/>
          <w:bCs/>
          <w:lang w:val="en-GB"/>
        </w:rPr>
        <w:t>leadership culture that was impervious to questioning</w:t>
      </w:r>
      <w:r w:rsidRPr="000F7F7A">
        <w:rPr>
          <w:lang w:val="en-GB"/>
        </w:rPr>
        <w:t>, with the assistance of a poor governance system and a lack of accountability systems. They were the key issues that were not considered before due to the lack of internal forces to trigger the escalation, discouragement of the whistleblowers, and no effective external checks were activated (</w:t>
      </w:r>
      <w:r w:rsidRPr="000F7F7A">
        <w:rPr>
          <w:highlight w:val="white"/>
          <w:lang w:val="en-GB"/>
        </w:rPr>
        <w:t>Iwasaki, 2025)</w:t>
      </w:r>
      <w:r w:rsidRPr="000F7F7A">
        <w:rPr>
          <w:lang w:val="en-GB"/>
        </w:rPr>
        <w:t>. This is an indication of an organisation in which certain structural deficiencies allowed destructive cultural trends to be left alone.</w:t>
      </w:r>
    </w:p>
    <w:p w14:paraId="73C7C540" w14:textId="77777777" w:rsidR="00CD60CF" w:rsidRPr="000F7F7A" w:rsidRDefault="00631257">
      <w:pPr>
        <w:pStyle w:val="Heading3"/>
        <w:rPr>
          <w:lang w:val="en-GB"/>
        </w:rPr>
      </w:pPr>
      <w:bookmarkStart w:id="21" w:name="_7d1icdnogdy0" w:colFirst="0" w:colLast="0"/>
      <w:bookmarkStart w:id="22" w:name="_Toc215669981"/>
      <w:bookmarkEnd w:id="21"/>
      <w:r w:rsidRPr="000F7F7A">
        <w:rPr>
          <w:lang w:val="en-GB"/>
        </w:rPr>
        <w:t>2.2.3 Donabedian Model (Structure–Process–Outcome)</w:t>
      </w:r>
      <w:bookmarkEnd w:id="22"/>
    </w:p>
    <w:p w14:paraId="51E72F0C" w14:textId="77777777" w:rsidR="00CD60CF" w:rsidRPr="000F7F7A" w:rsidRDefault="00631257">
      <w:pPr>
        <w:rPr>
          <w:lang w:val="en-GB"/>
        </w:rPr>
      </w:pPr>
      <w:r w:rsidRPr="000F7F7A">
        <w:rPr>
          <w:b/>
          <w:bCs/>
          <w:i/>
          <w:iCs/>
          <w:lang w:val="en-GB"/>
        </w:rPr>
        <w:t>Organisation:</w:t>
      </w:r>
      <w:r w:rsidRPr="000F7F7A">
        <w:rPr>
          <w:lang w:val="en-GB"/>
        </w:rPr>
        <w:t xml:space="preserve"> The Trust was weak in terms of workforce deficiency, inadequate neonatal specialist coverage, and senior clinical leadership deficiency (</w:t>
      </w:r>
      <w:r w:rsidRPr="000F7F7A">
        <w:rPr>
          <w:highlight w:val="white"/>
          <w:lang w:val="en-GB"/>
        </w:rPr>
        <w:t>Kaur</w:t>
      </w:r>
      <w:r w:rsidRPr="000F7F7A">
        <w:rPr>
          <w:i/>
          <w:iCs/>
          <w:highlight w:val="white"/>
          <w:lang w:val="en-GB"/>
        </w:rPr>
        <w:t xml:space="preserve"> et al.</w:t>
      </w:r>
      <w:r w:rsidRPr="000F7F7A">
        <w:rPr>
          <w:highlight w:val="white"/>
          <w:lang w:val="en-GB"/>
        </w:rPr>
        <w:t xml:space="preserve"> 2023)</w:t>
      </w:r>
      <w:r w:rsidRPr="000F7F7A">
        <w:rPr>
          <w:lang w:val="en-GB"/>
        </w:rPr>
        <w:t>. The system of governance was not clear, and the data systems failed to pick up abnormal mortality trends early. Incident reporting and safeguarding were not regularly trained.</w:t>
      </w:r>
    </w:p>
    <w:p w14:paraId="2D04B082" w14:textId="77777777" w:rsidR="00CD60CF" w:rsidRPr="000F7F7A" w:rsidRDefault="00631257">
      <w:pPr>
        <w:rPr>
          <w:lang w:val="en-GB"/>
        </w:rPr>
      </w:pPr>
      <w:r w:rsidRPr="000F7F7A">
        <w:rPr>
          <w:b/>
          <w:bCs/>
          <w:i/>
          <w:iCs/>
          <w:lang w:val="en-GB"/>
        </w:rPr>
        <w:t xml:space="preserve">Process: </w:t>
      </w:r>
      <w:r w:rsidRPr="000F7F7A">
        <w:rPr>
          <w:lang w:val="en-GB"/>
        </w:rPr>
        <w:t xml:space="preserve">The most important process failures were incident reporting, RCA and escalation. The events that passed the criteria of serious incident classification were done in an informal manner or rejected. There were delayed and incomplete RCA reports. The concerns of clinicians were not channelled to the governance structures, like the morbidity and mortality meetings or risk </w:t>
      </w:r>
      <w:r w:rsidRPr="000F7F7A">
        <w:rPr>
          <w:lang w:val="en-GB"/>
        </w:rPr>
        <w:lastRenderedPageBreak/>
        <w:t>committees (</w:t>
      </w:r>
      <w:r w:rsidRPr="000F7F7A">
        <w:rPr>
          <w:highlight w:val="white"/>
          <w:lang w:val="en-GB"/>
        </w:rPr>
        <w:t xml:space="preserve">Goldman </w:t>
      </w:r>
      <w:r w:rsidRPr="000F7F7A">
        <w:rPr>
          <w:i/>
          <w:iCs/>
          <w:highlight w:val="white"/>
          <w:lang w:val="en-GB"/>
        </w:rPr>
        <w:t>et al.</w:t>
      </w:r>
      <w:r w:rsidRPr="000F7F7A">
        <w:rPr>
          <w:highlight w:val="white"/>
          <w:lang w:val="en-GB"/>
        </w:rPr>
        <w:t xml:space="preserve"> 2025)</w:t>
      </w:r>
      <w:r w:rsidRPr="000F7F7A">
        <w:rPr>
          <w:lang w:val="en-GB"/>
        </w:rPr>
        <w:t>. The inability to refer to the police, CQC and regional neonatal networks indicated a serious failure in the required processes.</w:t>
      </w:r>
    </w:p>
    <w:p w14:paraId="27F43A34" w14:textId="77777777" w:rsidR="00CD60CF" w:rsidRPr="000F7F7A" w:rsidRDefault="00631257">
      <w:pPr>
        <w:rPr>
          <w:lang w:val="en-GB"/>
        </w:rPr>
      </w:pPr>
      <w:r w:rsidRPr="000F7F7A">
        <w:rPr>
          <w:b/>
          <w:bCs/>
          <w:i/>
          <w:iCs/>
          <w:lang w:val="en-GB"/>
        </w:rPr>
        <w:t xml:space="preserve">Outcomes: </w:t>
      </w:r>
      <w:r w:rsidRPr="000F7F7A">
        <w:rPr>
          <w:lang w:val="en-GB"/>
        </w:rPr>
        <w:t>The resulting outcomes were preventable neonatal deaths and collapses, critical reputational losses to the Trust, reduction of trust in the community and safety culture failure (</w:t>
      </w:r>
      <w:r w:rsidRPr="000F7F7A">
        <w:rPr>
          <w:highlight w:val="white"/>
          <w:lang w:val="en-GB"/>
        </w:rPr>
        <w:t>Edwards, 2021)</w:t>
      </w:r>
      <w:r w:rsidRPr="000F7F7A">
        <w:rPr>
          <w:lang w:val="en-GB"/>
        </w:rPr>
        <w:t>. Employee morale went down, whistleblowers were sidelined, and patient safety became jeopardised.</w:t>
      </w:r>
    </w:p>
    <w:p w14:paraId="5F69A199" w14:textId="77777777" w:rsidR="00CD60CF" w:rsidRPr="000F7F7A" w:rsidRDefault="00631257">
      <w:pPr>
        <w:rPr>
          <w:lang w:val="en-GB"/>
        </w:rPr>
      </w:pPr>
      <w:r w:rsidRPr="000F7F7A">
        <w:rPr>
          <w:lang w:val="en-GB"/>
        </w:rPr>
        <w:t>Most importantly, the Donabedian model reveals very high interdependences: structural vulnerability (inadequate oversight, inappropriate staffing), compromised processes (reporting, review, escalation), which resulted in disastrous consequences (</w:t>
      </w:r>
      <w:proofErr w:type="spellStart"/>
      <w:r w:rsidRPr="000F7F7A">
        <w:rPr>
          <w:highlight w:val="white"/>
          <w:lang w:val="en-GB"/>
        </w:rPr>
        <w:t>Tenkorang</w:t>
      </w:r>
      <w:proofErr w:type="spellEnd"/>
      <w:r w:rsidRPr="000F7F7A">
        <w:rPr>
          <w:highlight w:val="white"/>
          <w:lang w:val="en-GB"/>
        </w:rPr>
        <w:t xml:space="preserve">-Twum, </w:t>
      </w:r>
      <w:proofErr w:type="spellStart"/>
      <w:r w:rsidRPr="000F7F7A">
        <w:rPr>
          <w:highlight w:val="white"/>
          <w:lang w:val="en-GB"/>
        </w:rPr>
        <w:t>Atibila</w:t>
      </w:r>
      <w:proofErr w:type="spellEnd"/>
      <w:r w:rsidRPr="000F7F7A">
        <w:rPr>
          <w:highlight w:val="white"/>
          <w:lang w:val="en-GB"/>
        </w:rPr>
        <w:t xml:space="preserve"> and </w:t>
      </w:r>
      <w:proofErr w:type="spellStart"/>
      <w:r w:rsidRPr="000F7F7A">
        <w:rPr>
          <w:highlight w:val="white"/>
          <w:lang w:val="en-GB"/>
        </w:rPr>
        <w:t>Gyapong</w:t>
      </w:r>
      <w:proofErr w:type="spellEnd"/>
      <w:r w:rsidRPr="000F7F7A">
        <w:rPr>
          <w:highlight w:val="white"/>
          <w:lang w:val="en-GB"/>
        </w:rPr>
        <w:t>, 2024)</w:t>
      </w:r>
      <w:r w:rsidRPr="000F7F7A">
        <w:rPr>
          <w:lang w:val="en-GB"/>
        </w:rPr>
        <w:t>. Better structures would have forestalled process malfunctions, which point to systemic rather than individual-oriented reform.</w:t>
      </w:r>
    </w:p>
    <w:p w14:paraId="72695A13" w14:textId="77777777" w:rsidR="00CD60CF" w:rsidRPr="000F7F7A" w:rsidRDefault="00631257">
      <w:pPr>
        <w:pStyle w:val="Heading2"/>
        <w:rPr>
          <w:sz w:val="24"/>
          <w:szCs w:val="24"/>
          <w:lang w:val="en-GB"/>
        </w:rPr>
      </w:pPr>
      <w:bookmarkStart w:id="23" w:name="_bfkkjig0pf80" w:colFirst="0" w:colLast="0"/>
      <w:bookmarkStart w:id="24" w:name="_Toc215669982"/>
      <w:bookmarkEnd w:id="23"/>
      <w:r w:rsidRPr="000F7F7A">
        <w:rPr>
          <w:sz w:val="24"/>
          <w:szCs w:val="24"/>
          <w:lang w:val="en-GB"/>
        </w:rPr>
        <w:t>2.3 Strategic Analytical Tools: SWOT</w:t>
      </w:r>
      <w:bookmarkEnd w:id="24"/>
    </w:p>
    <w:p w14:paraId="4EB16F88" w14:textId="77777777" w:rsidR="00CD60CF" w:rsidRPr="000F7F7A" w:rsidRDefault="00631257">
      <w:pPr>
        <w:rPr>
          <w:b/>
          <w:bCs/>
          <w:i/>
          <w:iCs/>
          <w:lang w:val="en-GB"/>
        </w:rPr>
      </w:pPr>
      <w:r w:rsidRPr="000F7F7A">
        <w:rPr>
          <w:b/>
          <w:bCs/>
          <w:i/>
          <w:iCs/>
          <w:lang w:val="en-GB"/>
        </w:rPr>
        <w:t>SWOT analysis of the Trust for the period provides: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D60CF" w:rsidRPr="000F7F7A" w14:paraId="57F4E47B" w14:textId="77777777">
        <w:trPr>
          <w:trHeight w:val="4250"/>
        </w:trPr>
        <w:tc>
          <w:tcPr>
            <w:tcW w:w="4680" w:type="dxa"/>
            <w:tcMar>
              <w:top w:w="100" w:type="dxa"/>
              <w:left w:w="100" w:type="dxa"/>
              <w:bottom w:w="100" w:type="dxa"/>
              <w:right w:w="100" w:type="dxa"/>
            </w:tcMar>
          </w:tcPr>
          <w:p w14:paraId="08108C27" w14:textId="77777777" w:rsidR="00CD60CF" w:rsidRPr="000F7F7A" w:rsidRDefault="00631257">
            <w:pPr>
              <w:rPr>
                <w:b/>
                <w:bCs/>
                <w:i/>
                <w:iCs/>
                <w:lang w:val="en-GB"/>
              </w:rPr>
            </w:pPr>
            <w:r w:rsidRPr="000F7F7A">
              <w:rPr>
                <w:b/>
                <w:bCs/>
                <w:i/>
                <w:iCs/>
                <w:lang w:val="en-GB"/>
              </w:rPr>
              <w:t>Strengths:</w:t>
            </w:r>
          </w:p>
          <w:p w14:paraId="7DDD5C2D" w14:textId="77777777" w:rsidR="00CD60CF" w:rsidRPr="000F7F7A" w:rsidRDefault="00631257">
            <w:pPr>
              <w:numPr>
                <w:ilvl w:val="0"/>
                <w:numId w:val="5"/>
              </w:numPr>
              <w:rPr>
                <w:lang w:val="en-GB"/>
              </w:rPr>
            </w:pPr>
            <w:r w:rsidRPr="000F7F7A">
              <w:rPr>
                <w:lang w:val="en-GB"/>
              </w:rPr>
              <w:t>Special neonatal consultants who were also concerned with raising concerns.</w:t>
            </w:r>
          </w:p>
          <w:p w14:paraId="30262A67" w14:textId="77777777" w:rsidR="00CD60CF" w:rsidRPr="000F7F7A" w:rsidRDefault="00631257">
            <w:pPr>
              <w:numPr>
                <w:ilvl w:val="0"/>
                <w:numId w:val="5"/>
              </w:numPr>
              <w:rPr>
                <w:lang w:val="en-GB"/>
              </w:rPr>
            </w:pPr>
            <w:r w:rsidRPr="000F7F7A">
              <w:rPr>
                <w:lang w:val="en-GB"/>
              </w:rPr>
              <w:t>Some set up governance committees, but unusually utilised.</w:t>
            </w:r>
          </w:p>
          <w:p w14:paraId="4335753A" w14:textId="77777777" w:rsidR="00CD60CF" w:rsidRPr="000F7F7A" w:rsidRDefault="00CD60CF">
            <w:pPr>
              <w:widowControl w:val="0"/>
              <w:pBdr>
                <w:top w:val="nil"/>
                <w:left w:val="nil"/>
                <w:bottom w:val="nil"/>
                <w:right w:val="nil"/>
                <w:between w:val="nil"/>
              </w:pBdr>
              <w:jc w:val="left"/>
              <w:rPr>
                <w:lang w:val="en-GB"/>
              </w:rPr>
            </w:pPr>
          </w:p>
        </w:tc>
        <w:tc>
          <w:tcPr>
            <w:tcW w:w="4680" w:type="dxa"/>
            <w:tcMar>
              <w:top w:w="100" w:type="dxa"/>
              <w:left w:w="100" w:type="dxa"/>
              <w:bottom w:w="100" w:type="dxa"/>
              <w:right w:w="100" w:type="dxa"/>
            </w:tcMar>
          </w:tcPr>
          <w:p w14:paraId="74DF1AAB" w14:textId="77777777" w:rsidR="00CD60CF" w:rsidRPr="000F7F7A" w:rsidRDefault="00631257">
            <w:pPr>
              <w:rPr>
                <w:b/>
                <w:bCs/>
                <w:i/>
                <w:iCs/>
                <w:lang w:val="en-GB"/>
              </w:rPr>
            </w:pPr>
            <w:r w:rsidRPr="000F7F7A">
              <w:rPr>
                <w:b/>
                <w:bCs/>
                <w:i/>
                <w:iCs/>
                <w:lang w:val="en-GB"/>
              </w:rPr>
              <w:t>Weaknesses:</w:t>
            </w:r>
          </w:p>
          <w:p w14:paraId="2E0F01D7" w14:textId="77777777" w:rsidR="00CD60CF" w:rsidRPr="000F7F7A" w:rsidRDefault="00631257">
            <w:pPr>
              <w:numPr>
                <w:ilvl w:val="0"/>
                <w:numId w:val="4"/>
              </w:numPr>
              <w:rPr>
                <w:lang w:val="en-GB"/>
              </w:rPr>
            </w:pPr>
            <w:r w:rsidRPr="000F7F7A">
              <w:rPr>
                <w:lang w:val="en-GB"/>
              </w:rPr>
              <w:t>The denial of leadership and resistance to escalation.</w:t>
            </w:r>
          </w:p>
          <w:p w14:paraId="10C6685B" w14:textId="77777777" w:rsidR="00CD60CF" w:rsidRPr="000F7F7A" w:rsidRDefault="00631257">
            <w:pPr>
              <w:numPr>
                <w:ilvl w:val="0"/>
                <w:numId w:val="4"/>
              </w:numPr>
              <w:rPr>
                <w:lang w:val="en-GB"/>
              </w:rPr>
            </w:pPr>
            <w:r w:rsidRPr="000F7F7A">
              <w:rPr>
                <w:lang w:val="en-GB"/>
              </w:rPr>
              <w:t>Ineffective data surveillance and RCA processes.</w:t>
            </w:r>
          </w:p>
          <w:p w14:paraId="269E16F8" w14:textId="77777777" w:rsidR="00CD60CF" w:rsidRPr="000F7F7A" w:rsidRDefault="00631257">
            <w:pPr>
              <w:numPr>
                <w:ilvl w:val="0"/>
                <w:numId w:val="4"/>
              </w:numPr>
              <w:rPr>
                <w:lang w:val="en-GB"/>
              </w:rPr>
            </w:pPr>
            <w:r w:rsidRPr="000F7F7A">
              <w:rPr>
                <w:lang w:val="en-GB"/>
              </w:rPr>
              <w:t xml:space="preserve">Lack of psychological safety and malfunctioning whistleblowing </w:t>
            </w:r>
            <w:proofErr w:type="gramStart"/>
            <w:r w:rsidRPr="000F7F7A">
              <w:rPr>
                <w:lang w:val="en-GB"/>
              </w:rPr>
              <w:t>channels..</w:t>
            </w:r>
            <w:proofErr w:type="gramEnd"/>
          </w:p>
          <w:p w14:paraId="19E3EC82" w14:textId="77777777" w:rsidR="00CD60CF" w:rsidRPr="000F7F7A" w:rsidRDefault="00CD60CF">
            <w:pPr>
              <w:widowControl w:val="0"/>
              <w:pBdr>
                <w:top w:val="nil"/>
                <w:left w:val="nil"/>
                <w:bottom w:val="nil"/>
                <w:right w:val="nil"/>
                <w:between w:val="nil"/>
              </w:pBdr>
              <w:jc w:val="left"/>
              <w:rPr>
                <w:lang w:val="en-GB"/>
              </w:rPr>
            </w:pPr>
          </w:p>
        </w:tc>
      </w:tr>
      <w:tr w:rsidR="00CD60CF" w:rsidRPr="000F7F7A" w14:paraId="1C88831C" w14:textId="77777777">
        <w:tc>
          <w:tcPr>
            <w:tcW w:w="4680" w:type="dxa"/>
            <w:tcMar>
              <w:top w:w="100" w:type="dxa"/>
              <w:left w:w="100" w:type="dxa"/>
              <w:bottom w:w="100" w:type="dxa"/>
              <w:right w:w="100" w:type="dxa"/>
            </w:tcMar>
          </w:tcPr>
          <w:p w14:paraId="68EE37CB" w14:textId="77777777" w:rsidR="00CD60CF" w:rsidRPr="000F7F7A" w:rsidRDefault="00631257">
            <w:pPr>
              <w:rPr>
                <w:b/>
                <w:bCs/>
                <w:i/>
                <w:iCs/>
                <w:lang w:val="en-GB"/>
              </w:rPr>
            </w:pPr>
            <w:r w:rsidRPr="000F7F7A">
              <w:rPr>
                <w:b/>
                <w:bCs/>
                <w:i/>
                <w:iCs/>
                <w:lang w:val="en-GB"/>
              </w:rPr>
              <w:t>Opportunities:</w:t>
            </w:r>
          </w:p>
          <w:p w14:paraId="15DF6348" w14:textId="77777777" w:rsidR="00CD60CF" w:rsidRPr="000F7F7A" w:rsidRDefault="00631257">
            <w:pPr>
              <w:numPr>
                <w:ilvl w:val="0"/>
                <w:numId w:val="10"/>
              </w:numPr>
              <w:rPr>
                <w:lang w:val="en-GB"/>
              </w:rPr>
            </w:pPr>
            <w:r w:rsidRPr="000F7F7A">
              <w:rPr>
                <w:lang w:val="en-GB"/>
              </w:rPr>
              <w:lastRenderedPageBreak/>
              <w:t>National neonatal networking to compare rates of mortality.</w:t>
            </w:r>
          </w:p>
          <w:p w14:paraId="35F07049" w14:textId="77777777" w:rsidR="00CD60CF" w:rsidRPr="000F7F7A" w:rsidRDefault="00631257">
            <w:pPr>
              <w:numPr>
                <w:ilvl w:val="0"/>
                <w:numId w:val="10"/>
              </w:numPr>
              <w:rPr>
                <w:lang w:val="en-GB"/>
              </w:rPr>
            </w:pPr>
            <w:r w:rsidRPr="000F7F7A">
              <w:rPr>
                <w:lang w:val="en-GB"/>
              </w:rPr>
              <w:t>Enhancing governance and whistleblowing.</w:t>
            </w:r>
          </w:p>
          <w:p w14:paraId="64108406" w14:textId="77777777" w:rsidR="00CD60CF" w:rsidRPr="000F7F7A" w:rsidRDefault="00631257">
            <w:pPr>
              <w:numPr>
                <w:ilvl w:val="0"/>
                <w:numId w:val="10"/>
              </w:numPr>
              <w:rPr>
                <w:lang w:val="en-GB"/>
              </w:rPr>
            </w:pPr>
            <w:r w:rsidRPr="000F7F7A">
              <w:rPr>
                <w:lang w:val="en-GB"/>
              </w:rPr>
              <w:t>Implementation of digital surveillance to identify irregularities.</w:t>
            </w:r>
          </w:p>
        </w:tc>
        <w:tc>
          <w:tcPr>
            <w:tcW w:w="4680" w:type="dxa"/>
            <w:tcMar>
              <w:top w:w="100" w:type="dxa"/>
              <w:left w:w="100" w:type="dxa"/>
              <w:bottom w:w="100" w:type="dxa"/>
              <w:right w:w="100" w:type="dxa"/>
            </w:tcMar>
          </w:tcPr>
          <w:p w14:paraId="68A5BC69" w14:textId="77777777" w:rsidR="00CD60CF" w:rsidRPr="000F7F7A" w:rsidRDefault="00631257">
            <w:pPr>
              <w:rPr>
                <w:b/>
                <w:bCs/>
                <w:i/>
                <w:iCs/>
                <w:lang w:val="en-GB"/>
              </w:rPr>
            </w:pPr>
            <w:r w:rsidRPr="000F7F7A">
              <w:rPr>
                <w:b/>
                <w:bCs/>
                <w:i/>
                <w:iCs/>
                <w:lang w:val="en-GB"/>
              </w:rPr>
              <w:lastRenderedPageBreak/>
              <w:t>Threats:</w:t>
            </w:r>
          </w:p>
          <w:p w14:paraId="3939E701" w14:textId="77777777" w:rsidR="00CD60CF" w:rsidRPr="000F7F7A" w:rsidRDefault="00631257">
            <w:pPr>
              <w:numPr>
                <w:ilvl w:val="0"/>
                <w:numId w:val="1"/>
              </w:numPr>
              <w:rPr>
                <w:lang w:val="en-GB"/>
              </w:rPr>
            </w:pPr>
            <w:r w:rsidRPr="000F7F7A">
              <w:rPr>
                <w:lang w:val="en-GB"/>
              </w:rPr>
              <w:lastRenderedPageBreak/>
              <w:t>Additional injury to patients occurs in cases of ignoring signals.</w:t>
            </w:r>
          </w:p>
          <w:p w14:paraId="7D5FE98D" w14:textId="77777777" w:rsidR="00CD60CF" w:rsidRPr="000F7F7A" w:rsidRDefault="00631257">
            <w:pPr>
              <w:numPr>
                <w:ilvl w:val="0"/>
                <w:numId w:val="1"/>
              </w:numPr>
              <w:rPr>
                <w:lang w:val="en-GB"/>
              </w:rPr>
            </w:pPr>
            <w:r w:rsidRPr="000F7F7A">
              <w:rPr>
                <w:lang w:val="en-GB"/>
              </w:rPr>
              <w:t>Governmental penalties and loss of reputation.</w:t>
            </w:r>
          </w:p>
          <w:p w14:paraId="638FBE68" w14:textId="77777777" w:rsidR="00CD60CF" w:rsidRPr="000F7F7A" w:rsidRDefault="00631257">
            <w:pPr>
              <w:numPr>
                <w:ilvl w:val="0"/>
                <w:numId w:val="1"/>
              </w:numPr>
              <w:rPr>
                <w:lang w:val="en-GB"/>
              </w:rPr>
            </w:pPr>
            <w:r w:rsidRPr="000F7F7A">
              <w:rPr>
                <w:lang w:val="en-GB"/>
              </w:rPr>
              <w:t>Personnel burnout and turnover lower the service quality.</w:t>
            </w:r>
          </w:p>
        </w:tc>
      </w:tr>
    </w:tbl>
    <w:p w14:paraId="3C1A8F28" w14:textId="77777777" w:rsidR="00CD60CF" w:rsidRPr="000F7F7A" w:rsidRDefault="00CD60CF">
      <w:pPr>
        <w:rPr>
          <w:lang w:val="en-GB"/>
        </w:rPr>
      </w:pPr>
    </w:p>
    <w:p w14:paraId="61F2BE08" w14:textId="77777777" w:rsidR="00CD60CF" w:rsidRPr="000F7F7A" w:rsidRDefault="00631257">
      <w:pPr>
        <w:rPr>
          <w:lang w:val="en-GB"/>
        </w:rPr>
      </w:pPr>
      <w:r w:rsidRPr="000F7F7A">
        <w:rPr>
          <w:lang w:val="en-GB"/>
        </w:rPr>
        <w:t>The SWOT analysis substantiates the fact that strengths were not the most dominant factors, but instead weaknesses and threats, which substantiates the weakness of the organisation to systemic failure.</w:t>
      </w:r>
    </w:p>
    <w:p w14:paraId="38712434" w14:textId="77777777" w:rsidR="00CD60CF" w:rsidRPr="000F7F7A" w:rsidRDefault="00631257">
      <w:pPr>
        <w:pStyle w:val="Heading2"/>
        <w:rPr>
          <w:lang w:val="en-GB"/>
        </w:rPr>
      </w:pPr>
      <w:bookmarkStart w:id="25" w:name="_hkje50r2rk8y" w:colFirst="0" w:colLast="0"/>
      <w:bookmarkStart w:id="26" w:name="_Toc215669983"/>
      <w:bookmarkEnd w:id="25"/>
      <w:r w:rsidRPr="000F7F7A">
        <w:rPr>
          <w:lang w:val="en-GB"/>
        </w:rPr>
        <w:t>2.4 Linking Findings to Literature</w:t>
      </w:r>
      <w:bookmarkEnd w:id="26"/>
    </w:p>
    <w:p w14:paraId="6786BCEC" w14:textId="77777777" w:rsidR="00CD60CF" w:rsidRPr="000F7F7A" w:rsidRDefault="00631257">
      <w:pPr>
        <w:rPr>
          <w:lang w:val="en-GB"/>
        </w:rPr>
      </w:pPr>
      <w:r w:rsidRPr="000F7F7A">
        <w:rPr>
          <w:lang w:val="en-GB"/>
        </w:rPr>
        <w:t>The studies on whistleblowing highlight the significance of psychological safety, effective reporting mechanisms, and leadership that promotes speaking up. The sources on clinical governance emphasise that the management of risks depends on the ability to identify the risks promptly, the openness of the reporting, and the external scrutiny. The research on patient safety indicates that hierarchical cultures negatively impact reporting, resulting in delayed responses and avoidable damage (</w:t>
      </w:r>
      <w:r w:rsidRPr="000F7F7A">
        <w:rPr>
          <w:highlight w:val="white"/>
          <w:lang w:val="en-GB"/>
        </w:rPr>
        <w:t>Reader, 2022)</w:t>
      </w:r>
      <w:r w:rsidRPr="000F7F7A">
        <w:rPr>
          <w:lang w:val="en-GB"/>
        </w:rPr>
        <w:t>.</w:t>
      </w:r>
    </w:p>
    <w:p w14:paraId="370AA85D" w14:textId="77777777" w:rsidR="00CD60CF" w:rsidRPr="000F7F7A" w:rsidRDefault="00631257">
      <w:pPr>
        <w:rPr>
          <w:lang w:val="en-GB"/>
        </w:rPr>
      </w:pPr>
      <w:r w:rsidRPr="000F7F7A">
        <w:rPr>
          <w:lang w:val="en-GB"/>
        </w:rPr>
        <w:t>This was, however, not the case with the Countess of Chester and the whistleblowers were muted down, the committees of governance never did anything, and the leadership was concerned about organisational image. The evidence that has been published emphasises that any indications of early warning should set an immediate review, but in this scenario, the issues were discussed as an interpersonal conflict, and not as a clinical risk (</w:t>
      </w:r>
      <w:r w:rsidRPr="000F7F7A">
        <w:rPr>
          <w:highlight w:val="white"/>
          <w:lang w:val="en-GB"/>
        </w:rPr>
        <w:t xml:space="preserve">Ahmed </w:t>
      </w:r>
      <w:r w:rsidRPr="000F7F7A">
        <w:rPr>
          <w:i/>
          <w:iCs/>
          <w:highlight w:val="white"/>
          <w:lang w:val="en-GB"/>
        </w:rPr>
        <w:t>et al.</w:t>
      </w:r>
      <w:r w:rsidRPr="000F7F7A">
        <w:rPr>
          <w:highlight w:val="white"/>
          <w:lang w:val="en-GB"/>
        </w:rPr>
        <w:t xml:space="preserve"> 2023)</w:t>
      </w:r>
      <w:r w:rsidRPr="000F7F7A">
        <w:rPr>
          <w:lang w:val="en-GB"/>
        </w:rPr>
        <w:t>. Other deficiencies that are reflected in the literature are that safety cultures fail when accountability is not involved, as happened in this instance.</w:t>
      </w:r>
    </w:p>
    <w:p w14:paraId="2EE9D094" w14:textId="77777777" w:rsidR="00CD60CF" w:rsidRPr="000F7F7A" w:rsidRDefault="00631257">
      <w:pPr>
        <w:pStyle w:val="Heading2"/>
        <w:rPr>
          <w:lang w:val="en-GB"/>
        </w:rPr>
      </w:pPr>
      <w:bookmarkStart w:id="27" w:name="_a45j1z4qfe0b" w:colFirst="0" w:colLast="0"/>
      <w:bookmarkStart w:id="28" w:name="_Toc215669984"/>
      <w:bookmarkEnd w:id="27"/>
      <w:r w:rsidRPr="000F7F7A">
        <w:rPr>
          <w:lang w:val="en-GB"/>
        </w:rPr>
        <w:t>2.5 Summary of Key Root Causes</w:t>
      </w:r>
      <w:bookmarkEnd w:id="28"/>
    </w:p>
    <w:p w14:paraId="5AF37A9B" w14:textId="77777777" w:rsidR="00CD60CF" w:rsidRPr="000F7F7A" w:rsidRDefault="00631257">
      <w:pPr>
        <w:rPr>
          <w:lang w:val="en-GB"/>
        </w:rPr>
      </w:pPr>
      <w:r w:rsidRPr="000F7F7A">
        <w:rPr>
          <w:lang w:val="en-GB"/>
        </w:rPr>
        <w:t>The major systemic underlying causes are:</w:t>
      </w:r>
    </w:p>
    <w:p w14:paraId="49B37907" w14:textId="77777777" w:rsidR="00CD60CF" w:rsidRPr="000F7F7A" w:rsidRDefault="00631257">
      <w:pPr>
        <w:numPr>
          <w:ilvl w:val="0"/>
          <w:numId w:val="9"/>
        </w:numPr>
        <w:rPr>
          <w:lang w:val="en-GB"/>
        </w:rPr>
      </w:pPr>
      <w:r w:rsidRPr="000F7F7A">
        <w:rPr>
          <w:lang w:val="en-GB"/>
        </w:rPr>
        <w:lastRenderedPageBreak/>
        <w:t>Leadership denial and risk minimisation.</w:t>
      </w:r>
    </w:p>
    <w:p w14:paraId="0536F0E4" w14:textId="77777777" w:rsidR="00CD60CF" w:rsidRPr="000F7F7A" w:rsidRDefault="00631257">
      <w:pPr>
        <w:numPr>
          <w:ilvl w:val="0"/>
          <w:numId w:val="9"/>
        </w:numPr>
        <w:rPr>
          <w:lang w:val="en-GB"/>
        </w:rPr>
      </w:pPr>
      <w:r w:rsidRPr="000F7F7A">
        <w:rPr>
          <w:lang w:val="en-GB"/>
        </w:rPr>
        <w:t>Has faulty channels of whistleblowing and fear of reprisal.</w:t>
      </w:r>
    </w:p>
    <w:p w14:paraId="27C40B29" w14:textId="77777777" w:rsidR="00CD60CF" w:rsidRPr="000F7F7A" w:rsidRDefault="00631257">
      <w:pPr>
        <w:numPr>
          <w:ilvl w:val="0"/>
          <w:numId w:val="9"/>
        </w:numPr>
        <w:rPr>
          <w:lang w:val="en-GB"/>
        </w:rPr>
      </w:pPr>
      <w:r w:rsidRPr="000F7F7A">
        <w:rPr>
          <w:lang w:val="en-GB"/>
        </w:rPr>
        <w:t>Poor clinical governance instruments and ineffective escalation (</w:t>
      </w:r>
      <w:r w:rsidRPr="000F7F7A">
        <w:rPr>
          <w:highlight w:val="white"/>
          <w:lang w:val="en-GB"/>
        </w:rPr>
        <w:t>Sutton</w:t>
      </w:r>
      <w:r w:rsidRPr="000F7F7A">
        <w:rPr>
          <w:i/>
          <w:iCs/>
          <w:highlight w:val="white"/>
          <w:lang w:val="en-GB"/>
        </w:rPr>
        <w:t xml:space="preserve"> et al., </w:t>
      </w:r>
      <w:r w:rsidRPr="000F7F7A">
        <w:rPr>
          <w:highlight w:val="white"/>
          <w:lang w:val="en-GB"/>
        </w:rPr>
        <w:t>2025)</w:t>
      </w:r>
      <w:r w:rsidRPr="000F7F7A">
        <w:rPr>
          <w:lang w:val="en-GB"/>
        </w:rPr>
        <w:t>.</w:t>
      </w:r>
    </w:p>
    <w:p w14:paraId="26ECDD71" w14:textId="77777777" w:rsidR="00CD60CF" w:rsidRPr="000F7F7A" w:rsidRDefault="00631257">
      <w:pPr>
        <w:numPr>
          <w:ilvl w:val="0"/>
          <w:numId w:val="9"/>
        </w:numPr>
        <w:rPr>
          <w:lang w:val="en-GB"/>
        </w:rPr>
      </w:pPr>
      <w:r w:rsidRPr="000F7F7A">
        <w:rPr>
          <w:lang w:val="en-GB"/>
        </w:rPr>
        <w:t>Lack of data, audits and trend analysis.</w:t>
      </w:r>
    </w:p>
    <w:p w14:paraId="67F7FEB5" w14:textId="77777777" w:rsidR="00CD60CF" w:rsidRPr="000F7F7A" w:rsidRDefault="00631257">
      <w:pPr>
        <w:numPr>
          <w:ilvl w:val="0"/>
          <w:numId w:val="9"/>
        </w:numPr>
        <w:rPr>
          <w:lang w:val="en-GB"/>
        </w:rPr>
      </w:pPr>
      <w:r w:rsidRPr="000F7F7A">
        <w:rPr>
          <w:lang w:val="en-GB"/>
        </w:rPr>
        <w:t>A blame culture that was toxic and silenced the voice of the staff.</w:t>
      </w:r>
    </w:p>
    <w:p w14:paraId="2FF34A9C" w14:textId="77777777" w:rsidR="00CD60CF" w:rsidRPr="000F7F7A" w:rsidRDefault="00631257">
      <w:pPr>
        <w:numPr>
          <w:ilvl w:val="0"/>
          <w:numId w:val="9"/>
        </w:numPr>
        <w:rPr>
          <w:lang w:val="en-GB"/>
        </w:rPr>
      </w:pPr>
      <w:r w:rsidRPr="000F7F7A">
        <w:rPr>
          <w:lang w:val="en-GB"/>
        </w:rPr>
        <w:t>Shortage of staff and specialist training in neonatal care (</w:t>
      </w:r>
      <w:r w:rsidRPr="000F7F7A">
        <w:rPr>
          <w:highlight w:val="white"/>
          <w:lang w:val="en-GB"/>
        </w:rPr>
        <w:t>Kaur</w:t>
      </w:r>
      <w:r w:rsidRPr="000F7F7A">
        <w:rPr>
          <w:i/>
          <w:iCs/>
          <w:highlight w:val="white"/>
          <w:lang w:val="en-GB"/>
        </w:rPr>
        <w:t xml:space="preserve"> et al.</w:t>
      </w:r>
      <w:r w:rsidRPr="000F7F7A">
        <w:rPr>
          <w:highlight w:val="white"/>
          <w:lang w:val="en-GB"/>
        </w:rPr>
        <w:t xml:space="preserve"> 2023)</w:t>
      </w:r>
      <w:r w:rsidRPr="000F7F7A">
        <w:rPr>
          <w:lang w:val="en-GB"/>
        </w:rPr>
        <w:t>.</w:t>
      </w:r>
    </w:p>
    <w:p w14:paraId="238208E2" w14:textId="77777777" w:rsidR="00CD60CF" w:rsidRPr="000F7F7A" w:rsidRDefault="00631257">
      <w:pPr>
        <w:numPr>
          <w:ilvl w:val="0"/>
          <w:numId w:val="9"/>
        </w:numPr>
        <w:rPr>
          <w:lang w:val="en-GB"/>
        </w:rPr>
      </w:pPr>
      <w:r w:rsidRPr="000F7F7A">
        <w:rPr>
          <w:lang w:val="en-GB"/>
        </w:rPr>
        <w:t>Lack of independent oversight and regulation accountability.</w:t>
      </w:r>
    </w:p>
    <w:p w14:paraId="4E9B8125" w14:textId="77777777" w:rsidR="00CD60CF" w:rsidRPr="000F7F7A" w:rsidRDefault="00631257">
      <w:pPr>
        <w:rPr>
          <w:lang w:val="en-GB"/>
        </w:rPr>
      </w:pPr>
      <w:r w:rsidRPr="000F7F7A">
        <w:rPr>
          <w:lang w:val="en-GB"/>
        </w:rPr>
        <w:t>These underlying causes worked together to provide extensive safety failures, and it showed that there was a need to improve the entire system.</w:t>
      </w:r>
    </w:p>
    <w:p w14:paraId="3EB64760" w14:textId="77777777" w:rsidR="00CD60CF" w:rsidRPr="000F7F7A" w:rsidRDefault="00631257">
      <w:pPr>
        <w:pStyle w:val="Heading1"/>
        <w:keepNext w:val="0"/>
        <w:keepLines w:val="0"/>
        <w:rPr>
          <w:lang w:val="en-GB"/>
        </w:rPr>
      </w:pPr>
      <w:bookmarkStart w:id="29" w:name="_lwu3cnbbos4e" w:colFirst="0" w:colLast="0"/>
      <w:bookmarkStart w:id="30" w:name="_Toc215669985"/>
      <w:bookmarkEnd w:id="29"/>
      <w:r w:rsidRPr="000F7F7A">
        <w:rPr>
          <w:lang w:val="en-GB"/>
        </w:rPr>
        <w:t>3. Recommendations &amp; Implementation Strategy</w:t>
      </w:r>
      <w:bookmarkEnd w:id="30"/>
    </w:p>
    <w:p w14:paraId="71DD0D08" w14:textId="77777777" w:rsidR="00CD60CF" w:rsidRPr="000F7F7A" w:rsidRDefault="00631257">
      <w:pPr>
        <w:pStyle w:val="Heading2"/>
        <w:keepNext w:val="0"/>
        <w:keepLines w:val="0"/>
        <w:rPr>
          <w:lang w:val="en-GB"/>
        </w:rPr>
      </w:pPr>
      <w:bookmarkStart w:id="31" w:name="_mt6ziq2yx8oz" w:colFirst="0" w:colLast="0"/>
      <w:bookmarkStart w:id="32" w:name="_Toc215669986"/>
      <w:bookmarkEnd w:id="31"/>
      <w:r w:rsidRPr="000F7F7A">
        <w:rPr>
          <w:lang w:val="en-GB"/>
        </w:rPr>
        <w:t>3.1 Overview of Improvement Priorities</w:t>
      </w:r>
      <w:bookmarkEnd w:id="32"/>
    </w:p>
    <w:p w14:paraId="4849DFF8" w14:textId="77777777" w:rsidR="00CD60CF" w:rsidRPr="000F7F7A" w:rsidRDefault="00631257">
      <w:pPr>
        <w:rPr>
          <w:lang w:val="en-GB"/>
        </w:rPr>
      </w:pPr>
      <w:r w:rsidRPr="000F7F7A">
        <w:rPr>
          <w:lang w:val="en-GB"/>
        </w:rPr>
        <w:t>The root cause analysis found that critical failures were observed in incident reporting, leadership behaviour, governance structures, use of data and capabilities of the workforce. The areas of improvement are thus concerned with making the reporting systems stronger, having transparent escalation, a high-quality safety culture, closer oversight, and competence of the staff (</w:t>
      </w:r>
      <w:r w:rsidRPr="000F7F7A">
        <w:rPr>
          <w:highlight w:val="white"/>
          <w:lang w:val="en-GB"/>
        </w:rPr>
        <w:t>Chau, 2024)</w:t>
      </w:r>
      <w:r w:rsidRPr="000F7F7A">
        <w:rPr>
          <w:lang w:val="en-GB"/>
        </w:rPr>
        <w:t>. The following recommendations can be used with the help of evidence-based quality improvement (QI) tools, i.e., PDSA, Lean, and Six Sigma, to implement structured, sustainable and measurable change.</w:t>
      </w:r>
    </w:p>
    <w:p w14:paraId="552214DE" w14:textId="77777777" w:rsidR="00CD60CF" w:rsidRPr="000F7F7A" w:rsidRDefault="00631257">
      <w:pPr>
        <w:pStyle w:val="Heading2"/>
        <w:rPr>
          <w:lang w:val="en-GB"/>
        </w:rPr>
      </w:pPr>
      <w:bookmarkStart w:id="33" w:name="_xieageemy5k1" w:colFirst="0" w:colLast="0"/>
      <w:bookmarkStart w:id="34" w:name="_Toc215669987"/>
      <w:bookmarkEnd w:id="33"/>
      <w:r w:rsidRPr="000F7F7A">
        <w:rPr>
          <w:lang w:val="en-GB"/>
        </w:rPr>
        <w:t>3.2 Detailed Recommendations Using QI Tools</w:t>
      </w:r>
      <w:bookmarkEnd w:id="34"/>
    </w:p>
    <w:p w14:paraId="17877872" w14:textId="77777777" w:rsidR="00CD60CF" w:rsidRPr="000F7F7A" w:rsidRDefault="00631257">
      <w:pPr>
        <w:pStyle w:val="Heading3"/>
        <w:rPr>
          <w:lang w:val="en-GB"/>
        </w:rPr>
      </w:pPr>
      <w:bookmarkStart w:id="35" w:name="_3d4h4q5lv1ol" w:colFirst="0" w:colLast="0"/>
      <w:bookmarkStart w:id="36" w:name="_Toc215669988"/>
      <w:bookmarkEnd w:id="35"/>
      <w:r w:rsidRPr="000F7F7A">
        <w:rPr>
          <w:lang w:val="en-GB"/>
        </w:rPr>
        <w:t>3.2.1 PDSA Cycle Recommendation</w:t>
      </w:r>
      <w:bookmarkEnd w:id="36"/>
    </w:p>
    <w:p w14:paraId="43246131" w14:textId="77777777" w:rsidR="00CD60CF" w:rsidRPr="000F7F7A" w:rsidRDefault="00631257">
      <w:pPr>
        <w:rPr>
          <w:lang w:val="en-GB"/>
        </w:rPr>
      </w:pPr>
      <w:r w:rsidRPr="000F7F7A">
        <w:rPr>
          <w:lang w:val="en-GB"/>
        </w:rPr>
        <w:t>(Concentrated on Incident Reporting Improvement)</w:t>
      </w:r>
    </w:p>
    <w:p w14:paraId="65B15BFB" w14:textId="77777777" w:rsidR="00CD60CF" w:rsidRPr="000F7F7A" w:rsidRDefault="00631257">
      <w:pPr>
        <w:rPr>
          <w:lang w:val="en-GB"/>
        </w:rPr>
      </w:pPr>
      <w:r w:rsidRPr="000F7F7A">
        <w:rPr>
          <w:b/>
          <w:bCs/>
          <w:i/>
          <w:iCs/>
          <w:lang w:val="en-GB"/>
        </w:rPr>
        <w:t xml:space="preserve">Plan: </w:t>
      </w:r>
      <w:r w:rsidRPr="000F7F7A">
        <w:rPr>
          <w:lang w:val="en-GB"/>
        </w:rPr>
        <w:t xml:space="preserve">Standardise the incident reporting system digitally using automated triggers of escalation. Present simple flow charts that would define reporting procedures, escalation limits and </w:t>
      </w:r>
      <w:r w:rsidRPr="000F7F7A">
        <w:rPr>
          <w:lang w:val="en-GB"/>
        </w:rPr>
        <w:lastRenderedPageBreak/>
        <w:t>managerial roles (</w:t>
      </w:r>
      <w:r w:rsidRPr="000F7F7A">
        <w:rPr>
          <w:highlight w:val="white"/>
          <w:lang w:val="en-GB"/>
        </w:rPr>
        <w:t>Yap</w:t>
      </w:r>
      <w:r w:rsidRPr="000F7F7A">
        <w:rPr>
          <w:i/>
          <w:iCs/>
          <w:highlight w:val="white"/>
          <w:lang w:val="en-GB"/>
        </w:rPr>
        <w:t xml:space="preserve"> et al.</w:t>
      </w:r>
      <w:r w:rsidRPr="000F7F7A">
        <w:rPr>
          <w:highlight w:val="white"/>
          <w:lang w:val="en-GB"/>
        </w:rPr>
        <w:t xml:space="preserve"> 2023)</w:t>
      </w:r>
      <w:r w:rsidRPr="000F7F7A">
        <w:rPr>
          <w:lang w:val="en-GB"/>
        </w:rPr>
        <w:t xml:space="preserve">. Offer standard training to all neonatal staff about the proper documentation of incidents, their classification and the right to </w:t>
      </w:r>
      <w:proofErr w:type="spellStart"/>
      <w:r w:rsidRPr="000F7F7A">
        <w:rPr>
          <w:lang w:val="en-GB"/>
        </w:rPr>
        <w:t>whistleblow</w:t>
      </w:r>
      <w:proofErr w:type="spellEnd"/>
      <w:r w:rsidRPr="000F7F7A">
        <w:rPr>
          <w:lang w:val="en-GB"/>
        </w:rPr>
        <w:t>.</w:t>
      </w:r>
    </w:p>
    <w:p w14:paraId="60229B73" w14:textId="77777777" w:rsidR="00CD60CF" w:rsidRPr="000F7F7A" w:rsidRDefault="00631257">
      <w:pPr>
        <w:rPr>
          <w:lang w:val="en-GB"/>
        </w:rPr>
      </w:pPr>
      <w:r w:rsidRPr="000F7F7A">
        <w:rPr>
          <w:b/>
          <w:bCs/>
          <w:i/>
          <w:iCs/>
          <w:lang w:val="en-GB"/>
        </w:rPr>
        <w:t xml:space="preserve">Do: </w:t>
      </w:r>
      <w:r w:rsidRPr="000F7F7A">
        <w:rPr>
          <w:lang w:val="en-GB"/>
        </w:rPr>
        <w:t>Introduce the system in the neonatal unit on an initial basis of eight weeks and with oversight of a Patient Safety Champion and risk management team, who will guide in real time.</w:t>
      </w:r>
    </w:p>
    <w:p w14:paraId="2AB280DE" w14:textId="77777777" w:rsidR="00CD60CF" w:rsidRPr="000F7F7A" w:rsidRDefault="00631257">
      <w:pPr>
        <w:rPr>
          <w:lang w:val="en-GB"/>
        </w:rPr>
      </w:pPr>
      <w:r w:rsidRPr="000F7F7A">
        <w:rPr>
          <w:b/>
          <w:bCs/>
          <w:i/>
          <w:iCs/>
          <w:lang w:val="en-GB"/>
        </w:rPr>
        <w:t xml:space="preserve">Study: </w:t>
      </w:r>
      <w:r w:rsidRPr="000F7F7A">
        <w:rPr>
          <w:lang w:val="en-GB"/>
        </w:rPr>
        <w:t>Calculate the change in the incident reporting rate, the mean time between incident and documentation, and the rate of escalation (</w:t>
      </w:r>
      <w:r w:rsidRPr="000F7F7A">
        <w:rPr>
          <w:highlight w:val="white"/>
          <w:lang w:val="en-GB"/>
        </w:rPr>
        <w:t xml:space="preserve">de la Torre-Pérez </w:t>
      </w:r>
      <w:r w:rsidRPr="000F7F7A">
        <w:rPr>
          <w:i/>
          <w:iCs/>
          <w:highlight w:val="white"/>
          <w:lang w:val="en-GB"/>
        </w:rPr>
        <w:t>et al.</w:t>
      </w:r>
      <w:r w:rsidRPr="000F7F7A">
        <w:rPr>
          <w:highlight w:val="white"/>
          <w:lang w:val="en-GB"/>
        </w:rPr>
        <w:t xml:space="preserve"> 2023)</w:t>
      </w:r>
      <w:r w:rsidRPr="000F7F7A">
        <w:rPr>
          <w:lang w:val="en-GB"/>
        </w:rPr>
        <w:t>. Perform surveys of the staff on the issues of confidence, knowledge, and psychological safety. Compare results with baseline information.</w:t>
      </w:r>
    </w:p>
    <w:p w14:paraId="1D068251" w14:textId="77777777" w:rsidR="00CD60CF" w:rsidRPr="000F7F7A" w:rsidRDefault="00631257">
      <w:pPr>
        <w:rPr>
          <w:lang w:val="en-GB"/>
        </w:rPr>
      </w:pPr>
      <w:r w:rsidRPr="000F7F7A">
        <w:rPr>
          <w:b/>
          <w:bCs/>
          <w:i/>
          <w:iCs/>
          <w:lang w:val="en-GB"/>
        </w:rPr>
        <w:t xml:space="preserve">Act: </w:t>
      </w:r>
      <w:r w:rsidRPr="000F7F7A">
        <w:rPr>
          <w:lang w:val="en-GB"/>
        </w:rPr>
        <w:t xml:space="preserve">Improve reporting templates and triggers. Implementation with quarterly audits to ensure compliance and learning should be rolled out after </w:t>
      </w:r>
      <w:proofErr w:type="gramStart"/>
      <w:r w:rsidRPr="000F7F7A">
        <w:rPr>
          <w:lang w:val="en-GB"/>
        </w:rPr>
        <w:t>making adjustments</w:t>
      </w:r>
      <w:proofErr w:type="gramEnd"/>
      <w:r w:rsidRPr="000F7F7A">
        <w:rPr>
          <w:lang w:val="en-GB"/>
        </w:rPr>
        <w:t xml:space="preserve"> and implemented on a trust-wide basis (</w:t>
      </w:r>
      <w:r w:rsidRPr="000F7F7A">
        <w:rPr>
          <w:highlight w:val="white"/>
          <w:lang w:val="en-GB"/>
        </w:rPr>
        <w:t xml:space="preserve">Hudon </w:t>
      </w:r>
      <w:r w:rsidRPr="000F7F7A">
        <w:rPr>
          <w:i/>
          <w:iCs/>
          <w:highlight w:val="white"/>
          <w:lang w:val="en-GB"/>
        </w:rPr>
        <w:t>et al.</w:t>
      </w:r>
      <w:r w:rsidRPr="000F7F7A">
        <w:rPr>
          <w:highlight w:val="white"/>
          <w:lang w:val="en-GB"/>
        </w:rPr>
        <w:t xml:space="preserve"> 2025)</w:t>
      </w:r>
      <w:r w:rsidRPr="000F7F7A">
        <w:rPr>
          <w:lang w:val="en-GB"/>
        </w:rPr>
        <w:t>.</w:t>
      </w:r>
    </w:p>
    <w:p w14:paraId="1DC223B6" w14:textId="77777777" w:rsidR="00CD60CF" w:rsidRPr="000F7F7A" w:rsidRDefault="00631257">
      <w:pPr>
        <w:pStyle w:val="Heading3"/>
        <w:rPr>
          <w:lang w:val="en-GB"/>
        </w:rPr>
      </w:pPr>
      <w:bookmarkStart w:id="37" w:name="_styqlfxamzz8" w:colFirst="0" w:colLast="0"/>
      <w:bookmarkStart w:id="38" w:name="_Toc215669989"/>
      <w:bookmarkEnd w:id="37"/>
      <w:r w:rsidRPr="000F7F7A">
        <w:rPr>
          <w:lang w:val="en-GB"/>
        </w:rPr>
        <w:t>3.2.2 Lean Approach Recommendation</w:t>
      </w:r>
      <w:bookmarkEnd w:id="38"/>
    </w:p>
    <w:p w14:paraId="3BE0BF21" w14:textId="77777777" w:rsidR="00CD60CF" w:rsidRPr="000F7F7A" w:rsidRDefault="00631257">
      <w:pPr>
        <w:rPr>
          <w:lang w:val="en-GB"/>
        </w:rPr>
      </w:pPr>
      <w:r w:rsidRPr="000F7F7A">
        <w:rPr>
          <w:lang w:val="en-GB"/>
        </w:rPr>
        <w:t>(Optimising Reporting and Escalation Channels)</w:t>
      </w:r>
    </w:p>
    <w:p w14:paraId="38112FCD" w14:textId="77777777" w:rsidR="00CD60CF" w:rsidRPr="000F7F7A" w:rsidRDefault="00631257">
      <w:pPr>
        <w:rPr>
          <w:lang w:val="en-GB"/>
        </w:rPr>
      </w:pPr>
      <w:r w:rsidRPr="000F7F7A">
        <w:rPr>
          <w:lang w:val="en-GB"/>
        </w:rPr>
        <w:t>The lean methodology tries to eliminate process waste, including process delays, duplication, lack of clarity, and variation. Recommendations include:</w:t>
      </w:r>
    </w:p>
    <w:p w14:paraId="0663AB03" w14:textId="77777777" w:rsidR="00CD60CF" w:rsidRPr="000F7F7A" w:rsidRDefault="00631257">
      <w:pPr>
        <w:numPr>
          <w:ilvl w:val="0"/>
          <w:numId w:val="3"/>
        </w:numPr>
        <w:rPr>
          <w:lang w:val="en-GB"/>
        </w:rPr>
      </w:pPr>
      <w:r w:rsidRPr="000F7F7A">
        <w:rPr>
          <w:lang w:val="en-GB"/>
        </w:rPr>
        <w:t xml:space="preserve">Development of a </w:t>
      </w:r>
      <w:r w:rsidRPr="000F7F7A">
        <w:rPr>
          <w:b/>
          <w:bCs/>
          <w:lang w:val="en-GB"/>
        </w:rPr>
        <w:t>uniform escalation pathway</w:t>
      </w:r>
      <w:r w:rsidRPr="000F7F7A">
        <w:rPr>
          <w:lang w:val="en-GB"/>
        </w:rPr>
        <w:t xml:space="preserve"> of neonatal incidence to substitute informal methods (</w:t>
      </w:r>
      <w:r w:rsidRPr="000F7F7A">
        <w:rPr>
          <w:highlight w:val="white"/>
          <w:lang w:val="en-GB"/>
        </w:rPr>
        <w:t>Okai, Fair and Soltani, 2024)</w:t>
      </w:r>
      <w:r w:rsidRPr="000F7F7A">
        <w:rPr>
          <w:lang w:val="en-GB"/>
        </w:rPr>
        <w:t>.</w:t>
      </w:r>
    </w:p>
    <w:p w14:paraId="38A435E8" w14:textId="77777777" w:rsidR="00CD60CF" w:rsidRPr="000F7F7A" w:rsidRDefault="00631257">
      <w:pPr>
        <w:numPr>
          <w:ilvl w:val="0"/>
          <w:numId w:val="3"/>
        </w:numPr>
        <w:rPr>
          <w:lang w:val="en-GB"/>
        </w:rPr>
      </w:pPr>
      <w:r w:rsidRPr="000F7F7A">
        <w:rPr>
          <w:lang w:val="en-GB"/>
        </w:rPr>
        <w:t xml:space="preserve"> Implementing </w:t>
      </w:r>
      <w:r w:rsidRPr="000F7F7A">
        <w:rPr>
          <w:b/>
          <w:bCs/>
          <w:lang w:val="en-GB"/>
        </w:rPr>
        <w:t xml:space="preserve">value stream mapping </w:t>
      </w:r>
      <w:r w:rsidRPr="000F7F7A">
        <w:rPr>
          <w:lang w:val="en-GB"/>
        </w:rPr>
        <w:t>to detect bottlenecks and simplify reviews.</w:t>
      </w:r>
    </w:p>
    <w:p w14:paraId="0EB4D861" w14:textId="77777777" w:rsidR="00CD60CF" w:rsidRPr="000F7F7A" w:rsidRDefault="00631257">
      <w:pPr>
        <w:numPr>
          <w:ilvl w:val="0"/>
          <w:numId w:val="3"/>
        </w:numPr>
        <w:rPr>
          <w:lang w:val="en-GB"/>
        </w:rPr>
      </w:pPr>
      <w:r w:rsidRPr="000F7F7A">
        <w:rPr>
          <w:lang w:val="en-GB"/>
        </w:rPr>
        <w:t xml:space="preserve"> Implementation of the so-called stop-the-line authority that gives employees the right to stop processes when there are safety issues.</w:t>
      </w:r>
    </w:p>
    <w:p w14:paraId="4ADDC593" w14:textId="77777777" w:rsidR="00CD60CF" w:rsidRPr="000F7F7A" w:rsidRDefault="00631257">
      <w:pPr>
        <w:numPr>
          <w:ilvl w:val="0"/>
          <w:numId w:val="3"/>
        </w:numPr>
        <w:rPr>
          <w:lang w:val="en-GB"/>
        </w:rPr>
      </w:pPr>
      <w:r w:rsidRPr="000F7F7A">
        <w:rPr>
          <w:lang w:val="en-GB"/>
        </w:rPr>
        <w:t>Serious Incident (SI) reviews: Developing standard operating procedures to make sure that reviews are timely and consistent (</w:t>
      </w:r>
      <w:r w:rsidRPr="000F7F7A">
        <w:rPr>
          <w:highlight w:val="white"/>
          <w:lang w:val="en-GB"/>
        </w:rPr>
        <w:t xml:space="preserve">Porter </w:t>
      </w:r>
      <w:r w:rsidRPr="000F7F7A">
        <w:rPr>
          <w:i/>
          <w:iCs/>
          <w:highlight w:val="white"/>
          <w:lang w:val="en-GB"/>
        </w:rPr>
        <w:t>et al.</w:t>
      </w:r>
      <w:r w:rsidRPr="000F7F7A">
        <w:rPr>
          <w:highlight w:val="white"/>
          <w:lang w:val="en-GB"/>
        </w:rPr>
        <w:t xml:space="preserve"> 2025)</w:t>
      </w:r>
      <w:r w:rsidRPr="000F7F7A">
        <w:rPr>
          <w:lang w:val="en-GB"/>
        </w:rPr>
        <w:t>.</w:t>
      </w:r>
    </w:p>
    <w:p w14:paraId="38F1650E" w14:textId="77777777" w:rsidR="00CD60CF" w:rsidRPr="000F7F7A" w:rsidRDefault="00631257">
      <w:pPr>
        <w:rPr>
          <w:lang w:val="en-GB"/>
        </w:rPr>
      </w:pPr>
      <w:r w:rsidRPr="000F7F7A">
        <w:rPr>
          <w:lang w:val="en-GB"/>
        </w:rPr>
        <w:t>This standardisation enhances clarity, eliminates redundant steps, and well predictability in and timely manner.</w:t>
      </w:r>
    </w:p>
    <w:p w14:paraId="1FBE9CF5" w14:textId="77777777" w:rsidR="00CD60CF" w:rsidRPr="000F7F7A" w:rsidRDefault="00631257">
      <w:pPr>
        <w:pStyle w:val="Heading3"/>
        <w:rPr>
          <w:lang w:val="en-GB"/>
        </w:rPr>
      </w:pPr>
      <w:bookmarkStart w:id="39" w:name="_374y6cbq8b60" w:colFirst="0" w:colLast="0"/>
      <w:bookmarkStart w:id="40" w:name="_Toc215669990"/>
      <w:bookmarkEnd w:id="39"/>
      <w:r w:rsidRPr="000F7F7A">
        <w:rPr>
          <w:lang w:val="en-GB"/>
        </w:rPr>
        <w:lastRenderedPageBreak/>
        <w:t>3.2.3 Six Sigma Recommendation Using DMAIC</w:t>
      </w:r>
      <w:bookmarkEnd w:id="40"/>
    </w:p>
    <w:p w14:paraId="6E9838CB" w14:textId="77777777" w:rsidR="00CD60CF" w:rsidRPr="000F7F7A" w:rsidRDefault="00631257">
      <w:pPr>
        <w:rPr>
          <w:lang w:val="en-GB"/>
        </w:rPr>
      </w:pPr>
      <w:r w:rsidRPr="000F7F7A">
        <w:rPr>
          <w:lang w:val="en-GB"/>
        </w:rPr>
        <w:t>(Reducing Variation in Mortality Reporting)</w:t>
      </w:r>
    </w:p>
    <w:p w14:paraId="60C7C31F" w14:textId="77777777" w:rsidR="00CD60CF" w:rsidRPr="000F7F7A" w:rsidRDefault="00631257">
      <w:pPr>
        <w:rPr>
          <w:lang w:val="en-GB"/>
        </w:rPr>
      </w:pPr>
      <w:r w:rsidRPr="000F7F7A">
        <w:rPr>
          <w:b/>
          <w:bCs/>
          <w:i/>
          <w:iCs/>
          <w:lang w:val="en-GB"/>
        </w:rPr>
        <w:t>Define:</w:t>
      </w:r>
      <w:r w:rsidRPr="000F7F7A">
        <w:rPr>
          <w:b/>
          <w:bCs/>
          <w:lang w:val="en-GB"/>
        </w:rPr>
        <w:t xml:space="preserve"> </w:t>
      </w:r>
      <w:r w:rsidRPr="000F7F7A">
        <w:rPr>
          <w:lang w:val="en-GB"/>
        </w:rPr>
        <w:t>Irregular mortality surveillance and lack of consistency in categorising mortality were factors in lagged risk warning (</w:t>
      </w:r>
      <w:r w:rsidRPr="000F7F7A">
        <w:rPr>
          <w:highlight w:val="white"/>
          <w:lang w:val="en-GB"/>
        </w:rPr>
        <w:t>He</w:t>
      </w:r>
      <w:r w:rsidRPr="000F7F7A">
        <w:rPr>
          <w:i/>
          <w:iCs/>
          <w:highlight w:val="white"/>
          <w:lang w:val="en-GB"/>
        </w:rPr>
        <w:t xml:space="preserve"> et al. </w:t>
      </w:r>
      <w:r w:rsidRPr="000F7F7A">
        <w:rPr>
          <w:highlight w:val="white"/>
          <w:lang w:val="en-GB"/>
        </w:rPr>
        <w:t>2024)</w:t>
      </w:r>
      <w:r w:rsidRPr="000F7F7A">
        <w:rPr>
          <w:lang w:val="en-GB"/>
        </w:rPr>
        <w:t>.</w:t>
      </w:r>
    </w:p>
    <w:p w14:paraId="6A95745F" w14:textId="77777777" w:rsidR="00CD60CF" w:rsidRPr="000F7F7A" w:rsidRDefault="00631257">
      <w:pPr>
        <w:rPr>
          <w:lang w:val="en-GB"/>
        </w:rPr>
      </w:pPr>
      <w:r w:rsidRPr="000F7F7A">
        <w:rPr>
          <w:b/>
          <w:bCs/>
          <w:i/>
          <w:iCs/>
          <w:lang w:val="en-GB"/>
        </w:rPr>
        <w:t>Measure:</w:t>
      </w:r>
      <w:r w:rsidRPr="000F7F7A">
        <w:rPr>
          <w:i/>
          <w:iCs/>
          <w:lang w:val="en-GB"/>
        </w:rPr>
        <w:t xml:space="preserve"> </w:t>
      </w:r>
      <w:r w:rsidRPr="000F7F7A">
        <w:rPr>
          <w:lang w:val="en-GB"/>
        </w:rPr>
        <w:t>Collect measures of reporting whether timely, complete, and varied in departments.</w:t>
      </w:r>
    </w:p>
    <w:p w14:paraId="029E40E0" w14:textId="77777777" w:rsidR="00CD60CF" w:rsidRPr="000F7F7A" w:rsidRDefault="00631257">
      <w:pPr>
        <w:rPr>
          <w:lang w:val="en-GB"/>
        </w:rPr>
      </w:pPr>
      <w:r w:rsidRPr="000F7F7A">
        <w:rPr>
          <w:b/>
          <w:bCs/>
          <w:i/>
          <w:iCs/>
          <w:lang w:val="en-GB"/>
        </w:rPr>
        <w:t>Analyse:</w:t>
      </w:r>
      <w:r w:rsidRPr="000F7F7A">
        <w:rPr>
          <w:b/>
          <w:bCs/>
          <w:lang w:val="en-GB"/>
        </w:rPr>
        <w:t xml:space="preserve"> </w:t>
      </w:r>
      <w:r w:rsidRPr="000F7F7A">
        <w:rPr>
          <w:lang w:val="en-GB"/>
        </w:rPr>
        <w:t>With the help of Pareto charts and cause and effect matrix, determine the stages that vary most, which are probably clinical documentation and managerial triage (</w:t>
      </w:r>
      <w:r w:rsidRPr="000F7F7A">
        <w:rPr>
          <w:highlight w:val="white"/>
          <w:lang w:val="en-GB"/>
        </w:rPr>
        <w:t>Chia</w:t>
      </w:r>
      <w:r w:rsidRPr="000F7F7A">
        <w:rPr>
          <w:i/>
          <w:iCs/>
          <w:highlight w:val="white"/>
          <w:lang w:val="en-GB"/>
        </w:rPr>
        <w:t xml:space="preserve"> et al.</w:t>
      </w:r>
      <w:r w:rsidRPr="000F7F7A">
        <w:rPr>
          <w:highlight w:val="white"/>
          <w:lang w:val="en-GB"/>
        </w:rPr>
        <w:t xml:space="preserve"> 2024).</w:t>
      </w:r>
    </w:p>
    <w:p w14:paraId="0C2B751F" w14:textId="77777777" w:rsidR="00CD60CF" w:rsidRPr="000F7F7A" w:rsidRDefault="00631257">
      <w:pPr>
        <w:rPr>
          <w:lang w:val="en-GB"/>
        </w:rPr>
      </w:pPr>
      <w:r w:rsidRPr="000F7F7A">
        <w:rPr>
          <w:b/>
          <w:bCs/>
          <w:i/>
          <w:iCs/>
          <w:lang w:val="en-GB"/>
        </w:rPr>
        <w:t>Improve:</w:t>
      </w:r>
      <w:r w:rsidRPr="000F7F7A">
        <w:rPr>
          <w:lang w:val="en-GB"/>
        </w:rPr>
        <w:t xml:space="preserve"> Standardised mortality review templates, automatic digital alerts on clusters and multidisciplinary mortality governance weekly meetings should be implemented.</w:t>
      </w:r>
    </w:p>
    <w:p w14:paraId="7A38CC06" w14:textId="77777777" w:rsidR="00CD60CF" w:rsidRPr="000F7F7A" w:rsidRDefault="00631257">
      <w:pPr>
        <w:rPr>
          <w:lang w:val="en-GB"/>
        </w:rPr>
      </w:pPr>
      <w:r w:rsidRPr="000F7F7A">
        <w:rPr>
          <w:b/>
          <w:bCs/>
          <w:i/>
          <w:iCs/>
          <w:lang w:val="en-GB"/>
        </w:rPr>
        <w:t>Control:</w:t>
      </w:r>
      <w:r w:rsidRPr="000F7F7A">
        <w:rPr>
          <w:lang w:val="en-GB"/>
        </w:rPr>
        <w:t xml:space="preserve"> Long-term performance: quarterly audits, automated dashboards, and the control of regional neonatal networks (</w:t>
      </w:r>
      <w:r w:rsidRPr="000F7F7A">
        <w:rPr>
          <w:highlight w:val="white"/>
          <w:lang w:val="en-GB"/>
        </w:rPr>
        <w:t>Raboin</w:t>
      </w:r>
      <w:r w:rsidRPr="000F7F7A">
        <w:rPr>
          <w:i/>
          <w:iCs/>
          <w:highlight w:val="white"/>
          <w:lang w:val="en-GB"/>
        </w:rPr>
        <w:t xml:space="preserve"> et al. </w:t>
      </w:r>
      <w:r w:rsidRPr="000F7F7A">
        <w:rPr>
          <w:highlight w:val="white"/>
          <w:lang w:val="en-GB"/>
        </w:rPr>
        <w:t>2024)</w:t>
      </w:r>
      <w:r w:rsidRPr="000F7F7A">
        <w:rPr>
          <w:lang w:val="en-GB"/>
        </w:rPr>
        <w:t>.</w:t>
      </w:r>
    </w:p>
    <w:p w14:paraId="6FF807FD" w14:textId="77777777" w:rsidR="00CD60CF" w:rsidRPr="000F7F7A" w:rsidRDefault="00631257">
      <w:pPr>
        <w:pStyle w:val="Heading3"/>
        <w:rPr>
          <w:lang w:val="en-GB"/>
        </w:rPr>
      </w:pPr>
      <w:bookmarkStart w:id="41" w:name="_uxjyjalmorxi" w:colFirst="0" w:colLast="0"/>
      <w:bookmarkStart w:id="42" w:name="_Toc215669991"/>
      <w:bookmarkEnd w:id="41"/>
      <w:r w:rsidRPr="000F7F7A">
        <w:rPr>
          <w:lang w:val="en-GB"/>
        </w:rPr>
        <w:t>3.2.4 Governance &amp; Leadership Recommendations</w:t>
      </w:r>
      <w:bookmarkEnd w:id="42"/>
    </w:p>
    <w:p w14:paraId="195775B7" w14:textId="77777777" w:rsidR="00CD60CF" w:rsidRPr="000F7F7A" w:rsidRDefault="00631257">
      <w:pPr>
        <w:numPr>
          <w:ilvl w:val="0"/>
          <w:numId w:val="8"/>
        </w:numPr>
        <w:rPr>
          <w:lang w:val="en-GB"/>
        </w:rPr>
      </w:pPr>
      <w:r w:rsidRPr="000F7F7A">
        <w:rPr>
          <w:lang w:val="en-GB"/>
        </w:rPr>
        <w:t>Managerial education about just culture, patient safety, and high-reliability leadership is mandatory.</w:t>
      </w:r>
    </w:p>
    <w:p w14:paraId="4B4BAA3F" w14:textId="77777777" w:rsidR="00CD60CF" w:rsidRPr="000F7F7A" w:rsidRDefault="00631257">
      <w:pPr>
        <w:numPr>
          <w:ilvl w:val="0"/>
          <w:numId w:val="8"/>
        </w:numPr>
        <w:rPr>
          <w:lang w:val="en-GB"/>
        </w:rPr>
      </w:pPr>
      <w:r w:rsidRPr="000F7F7A">
        <w:rPr>
          <w:lang w:val="en-GB"/>
        </w:rPr>
        <w:t>Mortality review, incident management, and RCA quality external audit.</w:t>
      </w:r>
    </w:p>
    <w:p w14:paraId="30CF18A4" w14:textId="77777777" w:rsidR="00CD60CF" w:rsidRPr="000F7F7A" w:rsidRDefault="00631257">
      <w:pPr>
        <w:numPr>
          <w:ilvl w:val="0"/>
          <w:numId w:val="8"/>
        </w:numPr>
        <w:rPr>
          <w:lang w:val="en-GB"/>
        </w:rPr>
      </w:pPr>
      <w:r w:rsidRPr="000F7F7A">
        <w:rPr>
          <w:lang w:val="en-GB"/>
        </w:rPr>
        <w:t>Enhanced whistle-blowing systems, such as anonymous electronic reporting and enhanced Freedom to Speak Up Guardian roles (</w:t>
      </w:r>
      <w:r w:rsidRPr="000F7F7A">
        <w:rPr>
          <w:highlight w:val="white"/>
          <w:lang w:val="en-GB"/>
        </w:rPr>
        <w:t>Berendt and Schiffner, 2021)</w:t>
      </w:r>
      <w:r w:rsidRPr="000F7F7A">
        <w:rPr>
          <w:lang w:val="en-GB"/>
        </w:rPr>
        <w:t>.</w:t>
      </w:r>
    </w:p>
    <w:p w14:paraId="13F118AF" w14:textId="77777777" w:rsidR="00CD60CF" w:rsidRPr="000F7F7A" w:rsidRDefault="00631257">
      <w:pPr>
        <w:numPr>
          <w:ilvl w:val="0"/>
          <w:numId w:val="8"/>
        </w:numPr>
        <w:rPr>
          <w:lang w:val="en-GB"/>
        </w:rPr>
      </w:pPr>
      <w:r w:rsidRPr="000F7F7A">
        <w:rPr>
          <w:lang w:val="en-GB"/>
        </w:rPr>
        <w:t>CSRs: The Safety Oversight Committee should be established with the power to go directly to the regulators to minimise managerial gatekeeping.</w:t>
      </w:r>
    </w:p>
    <w:p w14:paraId="234CA188" w14:textId="77777777" w:rsidR="00CD60CF" w:rsidRPr="000F7F7A" w:rsidRDefault="00631257">
      <w:pPr>
        <w:pStyle w:val="Heading3"/>
        <w:rPr>
          <w:lang w:val="en-GB"/>
        </w:rPr>
      </w:pPr>
      <w:bookmarkStart w:id="43" w:name="_okx6fesf9e3o" w:colFirst="0" w:colLast="0"/>
      <w:bookmarkStart w:id="44" w:name="_Toc215669992"/>
      <w:bookmarkEnd w:id="43"/>
      <w:r w:rsidRPr="000F7F7A">
        <w:rPr>
          <w:lang w:val="en-GB"/>
        </w:rPr>
        <w:t>3.2.5 Workforce Development Recommendations</w:t>
      </w:r>
      <w:bookmarkEnd w:id="44"/>
    </w:p>
    <w:p w14:paraId="4DDD9B79" w14:textId="77777777" w:rsidR="00CD60CF" w:rsidRPr="000F7F7A" w:rsidRDefault="00631257">
      <w:pPr>
        <w:numPr>
          <w:ilvl w:val="0"/>
          <w:numId w:val="2"/>
        </w:numPr>
        <w:rPr>
          <w:lang w:val="en-GB"/>
        </w:rPr>
      </w:pPr>
      <w:r w:rsidRPr="000F7F7A">
        <w:rPr>
          <w:lang w:val="en-GB"/>
        </w:rPr>
        <w:t xml:space="preserve"> Equipment: Maintain personnel ratios in line with national neonatal safety measures.</w:t>
      </w:r>
    </w:p>
    <w:p w14:paraId="49A24C38" w14:textId="77777777" w:rsidR="00CD60CF" w:rsidRPr="000F7F7A" w:rsidRDefault="00631257">
      <w:pPr>
        <w:numPr>
          <w:ilvl w:val="0"/>
          <w:numId w:val="2"/>
        </w:numPr>
        <w:rPr>
          <w:lang w:val="en-GB"/>
        </w:rPr>
      </w:pPr>
      <w:r w:rsidRPr="000F7F7A">
        <w:rPr>
          <w:lang w:val="en-GB"/>
        </w:rPr>
        <w:t xml:space="preserve"> Implement competency models on safeguarding, clinical deterioration and escalation.</w:t>
      </w:r>
    </w:p>
    <w:p w14:paraId="7252E352" w14:textId="77777777" w:rsidR="00CD60CF" w:rsidRPr="000F7F7A" w:rsidRDefault="00631257">
      <w:pPr>
        <w:numPr>
          <w:ilvl w:val="0"/>
          <w:numId w:val="2"/>
        </w:numPr>
        <w:rPr>
          <w:lang w:val="en-GB"/>
        </w:rPr>
      </w:pPr>
      <w:r w:rsidRPr="000F7F7A">
        <w:rPr>
          <w:lang w:val="en-GB"/>
        </w:rPr>
        <w:t>Annual compulsory patient safety and human factors training.</w:t>
      </w:r>
    </w:p>
    <w:p w14:paraId="70E7BEF7" w14:textId="77777777" w:rsidR="00CD60CF" w:rsidRPr="000F7F7A" w:rsidRDefault="00631257">
      <w:pPr>
        <w:numPr>
          <w:ilvl w:val="0"/>
          <w:numId w:val="2"/>
        </w:numPr>
        <w:rPr>
          <w:lang w:val="en-GB"/>
        </w:rPr>
      </w:pPr>
      <w:r w:rsidRPr="000F7F7A">
        <w:rPr>
          <w:lang w:val="en-GB"/>
        </w:rPr>
        <w:lastRenderedPageBreak/>
        <w:t>Psychological support, reflective practice and debriefing of incidents in a structured way after the incident to develop resilience (</w:t>
      </w:r>
      <w:r w:rsidRPr="000F7F7A">
        <w:rPr>
          <w:highlight w:val="white"/>
          <w:lang w:val="en-GB"/>
        </w:rPr>
        <w:t xml:space="preserve">Evans </w:t>
      </w:r>
      <w:r w:rsidRPr="000F7F7A">
        <w:rPr>
          <w:i/>
          <w:iCs/>
          <w:highlight w:val="white"/>
          <w:lang w:val="en-GB"/>
        </w:rPr>
        <w:t>et al.</w:t>
      </w:r>
      <w:r w:rsidRPr="000F7F7A">
        <w:rPr>
          <w:highlight w:val="white"/>
          <w:lang w:val="en-GB"/>
        </w:rPr>
        <w:t xml:space="preserve"> 2023)</w:t>
      </w:r>
      <w:r w:rsidRPr="000F7F7A">
        <w:rPr>
          <w:lang w:val="en-GB"/>
        </w:rPr>
        <w:t>.</w:t>
      </w:r>
    </w:p>
    <w:p w14:paraId="05960571" w14:textId="77777777" w:rsidR="00CD60CF" w:rsidRPr="000F7F7A" w:rsidRDefault="00631257">
      <w:pPr>
        <w:pStyle w:val="Heading2"/>
        <w:rPr>
          <w:lang w:val="en-GB"/>
        </w:rPr>
      </w:pPr>
      <w:bookmarkStart w:id="45" w:name="_badsw2kumilu" w:colFirst="0" w:colLast="0"/>
      <w:bookmarkStart w:id="46" w:name="_Toc215669993"/>
      <w:bookmarkEnd w:id="45"/>
      <w:r w:rsidRPr="000F7F7A">
        <w:rPr>
          <w:lang w:val="en-GB"/>
        </w:rPr>
        <w:t>3.3 Implementation Strategy</w:t>
      </w:r>
      <w:bookmarkEnd w:id="46"/>
    </w:p>
    <w:p w14:paraId="675B6F54" w14:textId="77777777" w:rsidR="00CD60CF" w:rsidRPr="000F7F7A" w:rsidRDefault="00631257">
      <w:pPr>
        <w:rPr>
          <w:b/>
          <w:bCs/>
          <w:i/>
          <w:iCs/>
          <w:lang w:val="en-GB"/>
        </w:rPr>
      </w:pPr>
      <w:r w:rsidRPr="000F7F7A">
        <w:rPr>
          <w:b/>
          <w:bCs/>
          <w:i/>
          <w:iCs/>
          <w:lang w:val="en-GB"/>
        </w:rPr>
        <w:t>Timeline:</w:t>
      </w:r>
    </w:p>
    <w:p w14:paraId="39CADAF5" w14:textId="77777777" w:rsidR="00CD60CF" w:rsidRPr="000F7F7A" w:rsidRDefault="00631257">
      <w:pPr>
        <w:numPr>
          <w:ilvl w:val="0"/>
          <w:numId w:val="12"/>
        </w:numPr>
        <w:rPr>
          <w:rFonts w:ascii="Arial" w:eastAsia="Arial" w:hAnsi="Arial" w:cs="Arial"/>
          <w:lang w:val="en-GB"/>
        </w:rPr>
      </w:pPr>
      <w:r w:rsidRPr="000F7F7A">
        <w:rPr>
          <w:b/>
          <w:bCs/>
          <w:lang w:val="en-GB"/>
        </w:rPr>
        <w:t xml:space="preserve">0-3 months: </w:t>
      </w:r>
      <w:r w:rsidRPr="000F7F7A">
        <w:rPr>
          <w:lang w:val="en-GB"/>
        </w:rPr>
        <w:t>Tools, train employees, build structures of governance.</w:t>
      </w:r>
    </w:p>
    <w:p w14:paraId="363EC2FE" w14:textId="77777777" w:rsidR="00CD60CF" w:rsidRPr="000F7F7A" w:rsidRDefault="00631257">
      <w:pPr>
        <w:numPr>
          <w:ilvl w:val="0"/>
          <w:numId w:val="12"/>
        </w:numPr>
        <w:rPr>
          <w:rFonts w:ascii="Arial" w:eastAsia="Arial" w:hAnsi="Arial" w:cs="Arial"/>
          <w:lang w:val="en-GB"/>
        </w:rPr>
      </w:pPr>
      <w:r w:rsidRPr="000F7F7A">
        <w:rPr>
          <w:b/>
          <w:bCs/>
          <w:lang w:val="en-GB"/>
        </w:rPr>
        <w:t>3-6 months:</w:t>
      </w:r>
      <w:r w:rsidRPr="000F7F7A">
        <w:rPr>
          <w:lang w:val="en-GB"/>
        </w:rPr>
        <w:t xml:space="preserve"> Pilot PDSA, perform Lean value mapping, start with the DMAIC measurement (</w:t>
      </w:r>
      <w:r w:rsidRPr="000F7F7A">
        <w:rPr>
          <w:highlight w:val="white"/>
          <w:lang w:val="en-GB"/>
        </w:rPr>
        <w:t xml:space="preserve">Wolfe </w:t>
      </w:r>
      <w:r w:rsidRPr="000F7F7A">
        <w:rPr>
          <w:i/>
          <w:iCs/>
          <w:highlight w:val="white"/>
          <w:lang w:val="en-GB"/>
        </w:rPr>
        <w:t xml:space="preserve">et al. </w:t>
      </w:r>
      <w:r w:rsidRPr="000F7F7A">
        <w:rPr>
          <w:highlight w:val="white"/>
          <w:lang w:val="en-GB"/>
        </w:rPr>
        <w:t>2021)</w:t>
      </w:r>
      <w:r w:rsidRPr="000F7F7A">
        <w:rPr>
          <w:lang w:val="en-GB"/>
        </w:rPr>
        <w:t>.</w:t>
      </w:r>
    </w:p>
    <w:p w14:paraId="20CB69E2" w14:textId="77777777" w:rsidR="00CD60CF" w:rsidRPr="000F7F7A" w:rsidRDefault="00631257">
      <w:pPr>
        <w:numPr>
          <w:ilvl w:val="0"/>
          <w:numId w:val="12"/>
        </w:numPr>
        <w:rPr>
          <w:rFonts w:ascii="Arial" w:eastAsia="Arial" w:hAnsi="Arial" w:cs="Arial"/>
          <w:lang w:val="en-GB"/>
        </w:rPr>
      </w:pPr>
      <w:r w:rsidRPr="000F7F7A">
        <w:rPr>
          <w:b/>
          <w:bCs/>
          <w:lang w:val="en-GB"/>
        </w:rPr>
        <w:t>6-12 months:</w:t>
      </w:r>
      <w:r w:rsidRPr="000F7F7A">
        <w:rPr>
          <w:lang w:val="en-GB"/>
        </w:rPr>
        <w:t xml:space="preserve"> Leadership training, mortality dashboards.</w:t>
      </w:r>
    </w:p>
    <w:p w14:paraId="36A9D440" w14:textId="77777777" w:rsidR="00CD60CF" w:rsidRPr="000F7F7A" w:rsidRDefault="00631257">
      <w:pPr>
        <w:numPr>
          <w:ilvl w:val="0"/>
          <w:numId w:val="12"/>
        </w:numPr>
        <w:rPr>
          <w:rFonts w:ascii="Arial" w:eastAsia="Arial" w:hAnsi="Arial" w:cs="Arial"/>
          <w:lang w:val="en-GB"/>
        </w:rPr>
      </w:pPr>
      <w:r w:rsidRPr="000F7F7A">
        <w:rPr>
          <w:b/>
          <w:bCs/>
          <w:lang w:val="en-GB"/>
        </w:rPr>
        <w:t xml:space="preserve">12+ months: </w:t>
      </w:r>
      <w:r w:rsidRPr="000F7F7A">
        <w:rPr>
          <w:lang w:val="en-GB"/>
        </w:rPr>
        <w:t>External audits, on-going monitoring, culture review.</w:t>
      </w:r>
    </w:p>
    <w:p w14:paraId="2C406A3A" w14:textId="77777777" w:rsidR="00CD60CF" w:rsidRPr="000F7F7A" w:rsidRDefault="00631257">
      <w:pPr>
        <w:jc w:val="center"/>
        <w:rPr>
          <w:lang w:val="en-GB"/>
        </w:rPr>
      </w:pPr>
      <w:r w:rsidRPr="000F7F7A">
        <w:rPr>
          <w:noProof/>
          <w:lang w:val="en-IN"/>
        </w:rPr>
        <w:drawing>
          <wp:inline distT="114300" distB="114300" distL="114300" distR="114300" wp14:anchorId="780E2E3F" wp14:editId="53112969">
            <wp:extent cx="5943600" cy="2336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336800"/>
                    </a:xfrm>
                    <a:prstGeom prst="rect">
                      <a:avLst/>
                    </a:prstGeom>
                    <a:ln/>
                  </pic:spPr>
                </pic:pic>
              </a:graphicData>
            </a:graphic>
          </wp:inline>
        </w:drawing>
      </w:r>
    </w:p>
    <w:p w14:paraId="3E37F7C8" w14:textId="77777777" w:rsidR="00CD60CF" w:rsidRPr="000F7F7A" w:rsidRDefault="00631257">
      <w:pPr>
        <w:jc w:val="center"/>
        <w:rPr>
          <w:b/>
          <w:bCs/>
          <w:lang w:val="en-GB"/>
        </w:rPr>
      </w:pPr>
      <w:r w:rsidRPr="000F7F7A">
        <w:rPr>
          <w:b/>
          <w:bCs/>
          <w:lang w:val="en-GB"/>
        </w:rPr>
        <w:t>Figure: Timeline</w:t>
      </w:r>
    </w:p>
    <w:p w14:paraId="04297CCA" w14:textId="77777777" w:rsidR="00CD60CF" w:rsidRPr="000F7F7A" w:rsidRDefault="00631257">
      <w:pPr>
        <w:jc w:val="center"/>
        <w:rPr>
          <w:lang w:val="en-GB"/>
        </w:rPr>
      </w:pPr>
      <w:r w:rsidRPr="000F7F7A">
        <w:rPr>
          <w:lang w:val="en-GB"/>
        </w:rPr>
        <w:t>(Source: Self-made)</w:t>
      </w:r>
    </w:p>
    <w:p w14:paraId="46A50FA6" w14:textId="77777777" w:rsidR="00CD60CF" w:rsidRPr="000F7F7A" w:rsidRDefault="00631257">
      <w:pPr>
        <w:rPr>
          <w:b/>
          <w:bCs/>
          <w:i/>
          <w:iCs/>
          <w:lang w:val="en-GB"/>
        </w:rPr>
      </w:pPr>
      <w:r w:rsidRPr="000F7F7A">
        <w:rPr>
          <w:b/>
          <w:bCs/>
          <w:i/>
          <w:iCs/>
          <w:lang w:val="en-GB"/>
        </w:rPr>
        <w:t>Roles &amp; Responsibilities:</w:t>
      </w:r>
    </w:p>
    <w:p w14:paraId="45562AF9" w14:textId="77777777" w:rsidR="00CD60CF" w:rsidRPr="000F7F7A" w:rsidRDefault="00631257">
      <w:pPr>
        <w:numPr>
          <w:ilvl w:val="0"/>
          <w:numId w:val="6"/>
        </w:numPr>
        <w:rPr>
          <w:lang w:val="en-GB"/>
        </w:rPr>
      </w:pPr>
      <w:r w:rsidRPr="000F7F7A">
        <w:rPr>
          <w:lang w:val="en-GB"/>
        </w:rPr>
        <w:t>Clinical leads: Training and safety standards.</w:t>
      </w:r>
    </w:p>
    <w:p w14:paraId="15BB59DE" w14:textId="77777777" w:rsidR="00CD60CF" w:rsidRPr="000F7F7A" w:rsidRDefault="00631257">
      <w:pPr>
        <w:numPr>
          <w:ilvl w:val="0"/>
          <w:numId w:val="6"/>
        </w:numPr>
        <w:rPr>
          <w:lang w:val="en-GB"/>
        </w:rPr>
      </w:pPr>
      <w:r w:rsidRPr="000F7F7A">
        <w:rPr>
          <w:lang w:val="en-GB"/>
        </w:rPr>
        <w:t>Risk managers control reporting systems (</w:t>
      </w:r>
      <w:r w:rsidRPr="000F7F7A">
        <w:rPr>
          <w:highlight w:val="white"/>
          <w:lang w:val="en-GB"/>
        </w:rPr>
        <w:t xml:space="preserve">Rahi </w:t>
      </w:r>
      <w:r w:rsidRPr="000F7F7A">
        <w:rPr>
          <w:i/>
          <w:iCs/>
          <w:highlight w:val="white"/>
          <w:lang w:val="en-GB"/>
        </w:rPr>
        <w:t xml:space="preserve">et al. </w:t>
      </w:r>
      <w:r w:rsidRPr="000F7F7A">
        <w:rPr>
          <w:highlight w:val="white"/>
          <w:lang w:val="en-GB"/>
        </w:rPr>
        <w:t>2022)</w:t>
      </w:r>
      <w:r w:rsidRPr="000F7F7A">
        <w:rPr>
          <w:lang w:val="en-GB"/>
        </w:rPr>
        <w:t>.</w:t>
      </w:r>
    </w:p>
    <w:p w14:paraId="4F735118" w14:textId="77777777" w:rsidR="00CD60CF" w:rsidRPr="000F7F7A" w:rsidRDefault="00631257">
      <w:pPr>
        <w:numPr>
          <w:ilvl w:val="0"/>
          <w:numId w:val="6"/>
        </w:numPr>
        <w:rPr>
          <w:lang w:val="en-GB"/>
        </w:rPr>
      </w:pPr>
      <w:r w:rsidRPr="000F7F7A">
        <w:rPr>
          <w:lang w:val="en-GB"/>
        </w:rPr>
        <w:t>Executive leadership guarantees resources and responsibility.</w:t>
      </w:r>
    </w:p>
    <w:p w14:paraId="15FAEF72" w14:textId="77777777" w:rsidR="00CD60CF" w:rsidRPr="000F7F7A" w:rsidRDefault="00631257">
      <w:pPr>
        <w:numPr>
          <w:ilvl w:val="0"/>
          <w:numId w:val="6"/>
        </w:numPr>
        <w:rPr>
          <w:lang w:val="en-GB"/>
        </w:rPr>
      </w:pPr>
      <w:r w:rsidRPr="000F7F7A">
        <w:rPr>
          <w:lang w:val="en-GB"/>
        </w:rPr>
        <w:lastRenderedPageBreak/>
        <w:t>Safe Reporting: Freedom to Speak Up Guardians.</w:t>
      </w:r>
    </w:p>
    <w:p w14:paraId="56C0A734" w14:textId="77777777" w:rsidR="00CD60CF" w:rsidRPr="000F7F7A" w:rsidRDefault="00631257">
      <w:pPr>
        <w:rPr>
          <w:b/>
          <w:bCs/>
          <w:i/>
          <w:iCs/>
          <w:lang w:val="en-GB"/>
        </w:rPr>
      </w:pPr>
      <w:r w:rsidRPr="000F7F7A">
        <w:rPr>
          <w:b/>
          <w:bCs/>
          <w:i/>
          <w:iCs/>
          <w:lang w:val="en-GB"/>
        </w:rPr>
        <w:t>Resources Required:</w:t>
      </w:r>
    </w:p>
    <w:p w14:paraId="37DB57F9" w14:textId="77777777" w:rsidR="00CD60CF" w:rsidRPr="000F7F7A" w:rsidRDefault="00631257">
      <w:pPr>
        <w:rPr>
          <w:lang w:val="en-GB"/>
        </w:rPr>
      </w:pPr>
      <w:r w:rsidRPr="000F7F7A">
        <w:rPr>
          <w:lang w:val="en-GB"/>
        </w:rPr>
        <w:t>E-reporting software, training programs, QI facilitator, data analysts, and backfilling of staff.</w:t>
      </w:r>
    </w:p>
    <w:p w14:paraId="74CABC60" w14:textId="77777777" w:rsidR="00CD60CF" w:rsidRPr="000F7F7A" w:rsidRDefault="00631257">
      <w:pPr>
        <w:rPr>
          <w:b/>
          <w:bCs/>
          <w:i/>
          <w:iCs/>
          <w:lang w:val="en-GB"/>
        </w:rPr>
      </w:pPr>
      <w:r w:rsidRPr="000F7F7A">
        <w:rPr>
          <w:b/>
          <w:bCs/>
          <w:i/>
          <w:iCs/>
          <w:lang w:val="en-GB"/>
        </w:rPr>
        <w:t>Monitoring &amp; KPIs:</w:t>
      </w:r>
    </w:p>
    <w:p w14:paraId="20A9B5AC" w14:textId="77777777" w:rsidR="00CD60CF" w:rsidRPr="000F7F7A" w:rsidRDefault="00631257">
      <w:pPr>
        <w:numPr>
          <w:ilvl w:val="0"/>
          <w:numId w:val="13"/>
        </w:numPr>
        <w:rPr>
          <w:lang w:val="en-GB"/>
        </w:rPr>
      </w:pPr>
      <w:r w:rsidRPr="000F7F7A">
        <w:rPr>
          <w:lang w:val="en-GB"/>
        </w:rPr>
        <w:t>Timeliness and rates of incident reporting.</w:t>
      </w:r>
    </w:p>
    <w:p w14:paraId="29AB58A2" w14:textId="77777777" w:rsidR="00CD60CF" w:rsidRPr="000F7F7A" w:rsidRDefault="00631257">
      <w:pPr>
        <w:numPr>
          <w:ilvl w:val="0"/>
          <w:numId w:val="13"/>
        </w:numPr>
        <w:rPr>
          <w:lang w:val="en-GB"/>
        </w:rPr>
      </w:pPr>
      <w:r w:rsidRPr="000F7F7A">
        <w:rPr>
          <w:lang w:val="en-GB"/>
        </w:rPr>
        <w:t>Escalation compliance.</w:t>
      </w:r>
    </w:p>
    <w:p w14:paraId="2D740DD4" w14:textId="77777777" w:rsidR="00CD60CF" w:rsidRPr="000F7F7A" w:rsidRDefault="00631257">
      <w:pPr>
        <w:numPr>
          <w:ilvl w:val="0"/>
          <w:numId w:val="13"/>
        </w:numPr>
        <w:rPr>
          <w:lang w:val="en-GB"/>
        </w:rPr>
      </w:pPr>
      <w:r w:rsidRPr="000F7F7A">
        <w:rPr>
          <w:lang w:val="en-GB"/>
        </w:rPr>
        <w:t>Staff safety culture scores.</w:t>
      </w:r>
    </w:p>
    <w:p w14:paraId="584342B9" w14:textId="77777777" w:rsidR="00CD60CF" w:rsidRPr="000F7F7A" w:rsidRDefault="00631257">
      <w:pPr>
        <w:numPr>
          <w:ilvl w:val="0"/>
          <w:numId w:val="13"/>
        </w:numPr>
        <w:rPr>
          <w:lang w:val="en-GB"/>
        </w:rPr>
      </w:pPr>
      <w:r w:rsidRPr="000F7F7A">
        <w:rPr>
          <w:lang w:val="en-GB"/>
        </w:rPr>
        <w:t>Mortality trend stability.</w:t>
      </w:r>
    </w:p>
    <w:p w14:paraId="2763A2B4" w14:textId="77777777" w:rsidR="00CD60CF" w:rsidRPr="000F7F7A" w:rsidRDefault="00631257">
      <w:pPr>
        <w:numPr>
          <w:ilvl w:val="0"/>
          <w:numId w:val="13"/>
        </w:numPr>
        <w:rPr>
          <w:lang w:val="en-GB"/>
        </w:rPr>
      </w:pPr>
      <w:r w:rsidRPr="000F7F7A">
        <w:rPr>
          <w:lang w:val="en-GB"/>
        </w:rPr>
        <w:t>RCA fulfilment of time requirements.</w:t>
      </w:r>
    </w:p>
    <w:p w14:paraId="346591A8" w14:textId="77777777" w:rsidR="00CD60CF" w:rsidRPr="000F7F7A" w:rsidRDefault="00631257">
      <w:pPr>
        <w:rPr>
          <w:b/>
          <w:bCs/>
          <w:i/>
          <w:iCs/>
          <w:lang w:val="en-GB"/>
        </w:rPr>
      </w:pPr>
      <w:r w:rsidRPr="000F7F7A">
        <w:rPr>
          <w:b/>
          <w:bCs/>
          <w:i/>
          <w:iCs/>
          <w:lang w:val="en-GB"/>
        </w:rPr>
        <w:t>Sustainability:</w:t>
      </w:r>
    </w:p>
    <w:p w14:paraId="3791B1B3" w14:textId="77777777" w:rsidR="00CD60CF" w:rsidRPr="000F7F7A" w:rsidRDefault="00631257">
      <w:pPr>
        <w:rPr>
          <w:lang w:val="en-GB"/>
        </w:rPr>
      </w:pPr>
      <w:r w:rsidRPr="000F7F7A">
        <w:rPr>
          <w:lang w:val="en-GB"/>
        </w:rPr>
        <w:t>The long-term learning culture will be integrated with the regular feedback loops, open communication, safety meetings, and visible leadership dedication (</w:t>
      </w:r>
      <w:r w:rsidRPr="000F7F7A">
        <w:rPr>
          <w:highlight w:val="white"/>
          <w:lang w:val="en-GB"/>
        </w:rPr>
        <w:t>Adeniyi</w:t>
      </w:r>
      <w:r w:rsidRPr="000F7F7A">
        <w:rPr>
          <w:i/>
          <w:iCs/>
          <w:highlight w:val="white"/>
          <w:lang w:val="en-GB"/>
        </w:rPr>
        <w:t xml:space="preserve"> et al. </w:t>
      </w:r>
      <w:r w:rsidRPr="000F7F7A">
        <w:rPr>
          <w:highlight w:val="white"/>
          <w:lang w:val="en-GB"/>
        </w:rPr>
        <w:t>2024)</w:t>
      </w:r>
      <w:r w:rsidRPr="000F7F7A">
        <w:rPr>
          <w:lang w:val="en-GB"/>
        </w:rPr>
        <w:t>.</w:t>
      </w:r>
    </w:p>
    <w:p w14:paraId="6B5AE76F" w14:textId="77777777" w:rsidR="00CD60CF" w:rsidRPr="000F7F7A" w:rsidRDefault="00631257">
      <w:pPr>
        <w:pStyle w:val="Heading1"/>
        <w:keepNext w:val="0"/>
        <w:keepLines w:val="0"/>
        <w:rPr>
          <w:lang w:val="en-GB"/>
        </w:rPr>
      </w:pPr>
      <w:bookmarkStart w:id="47" w:name="_dfmy2ofoco85" w:colFirst="0" w:colLast="0"/>
      <w:bookmarkStart w:id="48" w:name="_Toc215669994"/>
      <w:bookmarkEnd w:id="47"/>
      <w:r w:rsidRPr="000F7F7A">
        <w:rPr>
          <w:lang w:val="en-GB"/>
        </w:rPr>
        <w:t>4. Conclusion</w:t>
      </w:r>
      <w:bookmarkEnd w:id="48"/>
    </w:p>
    <w:p w14:paraId="196D6B23" w14:textId="77777777" w:rsidR="00CD60CF" w:rsidRPr="000F7F7A" w:rsidRDefault="00631257">
      <w:pPr>
        <w:pStyle w:val="Heading2"/>
        <w:keepNext w:val="0"/>
        <w:keepLines w:val="0"/>
        <w:rPr>
          <w:lang w:val="en-GB"/>
        </w:rPr>
      </w:pPr>
      <w:bookmarkStart w:id="49" w:name="_jt1678scb9l3" w:colFirst="0" w:colLast="0"/>
      <w:bookmarkStart w:id="50" w:name="_Toc215669995"/>
      <w:bookmarkEnd w:id="49"/>
      <w:r w:rsidRPr="000F7F7A">
        <w:rPr>
          <w:lang w:val="en-GB"/>
        </w:rPr>
        <w:t>4.1 Summary of Key Insights</w:t>
      </w:r>
      <w:bookmarkEnd w:id="50"/>
    </w:p>
    <w:p w14:paraId="15B3E114" w14:textId="77777777" w:rsidR="00CD60CF" w:rsidRPr="000F7F7A" w:rsidRDefault="00631257">
      <w:pPr>
        <w:rPr>
          <w:lang w:val="en-GB"/>
        </w:rPr>
      </w:pPr>
      <w:r w:rsidRPr="000F7F7A">
        <w:rPr>
          <w:lang w:val="en-GB"/>
        </w:rPr>
        <w:t xml:space="preserve">This discussion reviewed the significant quality problem of incident reporting and escalation failure in the Countess of Chester Hospital neonatal unit in the case of Lucy Letby. The use of Fishbone, 5 Whys, Donabedian, SWOT and other analysis tools revealed that it was not a one-time lapse but a result of underlying deep systemic weaknesses. The causes were denial of leadership, ineffective governance systems, lack of effective safety culture, ineffective data monitoring, poor RCA process consistency, inadequate </w:t>
      </w:r>
      <w:proofErr w:type="spellStart"/>
      <w:r w:rsidRPr="000F7F7A">
        <w:rPr>
          <w:lang w:val="en-GB"/>
        </w:rPr>
        <w:t>whistleblow</w:t>
      </w:r>
      <w:proofErr w:type="spellEnd"/>
      <w:r w:rsidRPr="000F7F7A">
        <w:rPr>
          <w:lang w:val="en-GB"/>
        </w:rPr>
        <w:t xml:space="preserve"> systems, and poor workforce capability gaps. All these interdependent factors resulted in a climate where recurring negative situations had neither been identified nor magnified, and preventable damage had been sustained.</w:t>
      </w:r>
    </w:p>
    <w:p w14:paraId="30CE7B0F" w14:textId="77777777" w:rsidR="00CD60CF" w:rsidRPr="000F7F7A" w:rsidRDefault="00631257">
      <w:pPr>
        <w:pStyle w:val="Heading2"/>
        <w:rPr>
          <w:lang w:val="en-GB"/>
        </w:rPr>
      </w:pPr>
      <w:bookmarkStart w:id="51" w:name="_fywpxny0tv4f" w:colFirst="0" w:colLast="0"/>
      <w:bookmarkStart w:id="52" w:name="_Toc215669996"/>
      <w:bookmarkEnd w:id="51"/>
      <w:r w:rsidRPr="000F7F7A">
        <w:rPr>
          <w:lang w:val="en-GB"/>
        </w:rPr>
        <w:lastRenderedPageBreak/>
        <w:t>4.2 Impact of the Issue on Public Health &amp; Safety</w:t>
      </w:r>
      <w:bookmarkEnd w:id="52"/>
    </w:p>
    <w:p w14:paraId="7C53AA2A" w14:textId="77777777" w:rsidR="00CD60CF" w:rsidRPr="000F7F7A" w:rsidRDefault="00631257">
      <w:pPr>
        <w:rPr>
          <w:lang w:val="en-GB"/>
        </w:rPr>
      </w:pPr>
      <w:r w:rsidRPr="000F7F7A">
        <w:rPr>
          <w:lang w:val="en-GB"/>
        </w:rPr>
        <w:t>The effect on patient safety and the well-being of the populace was immense. Preventable infant deaths are the disastrous breaches of the obligation of the NHS to do good to the weakest. The failures within the system weakened equity because, instead of being provided with safe and standardised neonatal care, the infants were exposed to avoidable risks. Trust in maternity and neonatal services was harshly harmed, which is one of the factors that caused anxiety and concern in the community regarding NHS governance. The general quality outcomes, such as safety, timeliness, and effectiveness, were compromised, and this led to reputational damages, moral injuries to personnel, and future consequences to the affected families.</w:t>
      </w:r>
    </w:p>
    <w:p w14:paraId="30B4048B" w14:textId="77777777" w:rsidR="00CD60CF" w:rsidRPr="000F7F7A" w:rsidRDefault="00631257">
      <w:pPr>
        <w:pStyle w:val="Heading2"/>
        <w:keepNext w:val="0"/>
        <w:keepLines w:val="0"/>
        <w:rPr>
          <w:lang w:val="en-GB"/>
        </w:rPr>
      </w:pPr>
      <w:bookmarkStart w:id="53" w:name="_vuibrrew46mp" w:colFirst="0" w:colLast="0"/>
      <w:bookmarkStart w:id="54" w:name="_Toc215669997"/>
      <w:bookmarkEnd w:id="53"/>
      <w:r w:rsidRPr="000F7F7A">
        <w:rPr>
          <w:lang w:val="en-GB"/>
        </w:rPr>
        <w:t>4.3 Final Statement on Improvements Needed</w:t>
      </w:r>
      <w:bookmarkEnd w:id="54"/>
    </w:p>
    <w:p w14:paraId="051F28EF" w14:textId="77777777" w:rsidR="00CD60CF" w:rsidRPr="000F7F7A" w:rsidRDefault="00631257">
      <w:pPr>
        <w:rPr>
          <w:b/>
          <w:bCs/>
          <w:lang w:val="en-GB"/>
        </w:rPr>
      </w:pPr>
      <w:r w:rsidRPr="000F7F7A">
        <w:rPr>
          <w:lang w:val="en-GB"/>
        </w:rPr>
        <w:t>The results highlight the importance of the immediate necessity of a learning culture based on transparency, accountability, and psychological safety being developed throughout the system. Considerable leadership behaviour, more definite governance structures, and better systems of control are required to make sure that concerns are listened to, responded to, and audited separately. Reporting can be redefined through continuous quality improvement, in the form of PDSA cycles, Lean standardisation, and reduction of variation using Six Sigma can help to establish effective escalation pathways and assure the timely presence of risk signals. The suggested strategies will contribute to restoring trust, strengthening safe clinical practice, and eliminating such significant failures in the future so that patient safety will be kept at the core of NHS care.</w:t>
      </w:r>
      <w:r w:rsidRPr="000F7F7A">
        <w:rPr>
          <w:lang w:val="en-GB"/>
        </w:rPr>
        <w:br w:type="page"/>
      </w:r>
    </w:p>
    <w:p w14:paraId="17720389" w14:textId="77777777" w:rsidR="00CD60CF" w:rsidRPr="000F7F7A" w:rsidRDefault="00631257">
      <w:pPr>
        <w:pStyle w:val="Heading1"/>
        <w:rPr>
          <w:lang w:val="en-GB"/>
        </w:rPr>
      </w:pPr>
      <w:bookmarkStart w:id="55" w:name="_4yr84i4hlaxm" w:colFirst="0" w:colLast="0"/>
      <w:bookmarkStart w:id="56" w:name="_Toc215669998"/>
      <w:bookmarkEnd w:id="55"/>
      <w:r w:rsidRPr="000F7F7A">
        <w:rPr>
          <w:lang w:val="en-GB"/>
        </w:rPr>
        <w:lastRenderedPageBreak/>
        <w:t>Refe</w:t>
      </w:r>
      <w:bookmarkEnd w:id="56"/>
      <w:r w:rsidR="000F7F7A" w:rsidRPr="000F7F7A">
        <w:rPr>
          <w:lang w:val="en-GB"/>
        </w:rPr>
        <w:t>rences</w:t>
      </w:r>
    </w:p>
    <w:p w14:paraId="0BFE66C7" w14:textId="77777777" w:rsidR="000F7F7A" w:rsidRPr="000F7F7A" w:rsidRDefault="000F7F7A">
      <w:pPr>
        <w:rPr>
          <w:lang w:val="en-GB"/>
        </w:rPr>
      </w:pPr>
      <w:r w:rsidRPr="000F7F7A">
        <w:rPr>
          <w:color w:val="222222"/>
          <w:highlight w:val="white"/>
          <w:lang w:val="en-GB"/>
        </w:rPr>
        <w:t xml:space="preserve">Adeniyi, I.S., Al Hamad, N.M., Adewusi, O.E., </w:t>
      </w:r>
      <w:proofErr w:type="spellStart"/>
      <w:r w:rsidRPr="000F7F7A">
        <w:rPr>
          <w:color w:val="222222"/>
          <w:highlight w:val="white"/>
          <w:lang w:val="en-GB"/>
        </w:rPr>
        <w:t>Unachukwu</w:t>
      </w:r>
      <w:proofErr w:type="spellEnd"/>
      <w:r w:rsidRPr="000F7F7A">
        <w:rPr>
          <w:color w:val="222222"/>
          <w:highlight w:val="white"/>
          <w:lang w:val="en-GB"/>
        </w:rPr>
        <w:t xml:space="preserve">, C.C., </w:t>
      </w:r>
      <w:proofErr w:type="spellStart"/>
      <w:r w:rsidRPr="000F7F7A">
        <w:rPr>
          <w:color w:val="222222"/>
          <w:highlight w:val="white"/>
          <w:lang w:val="en-GB"/>
        </w:rPr>
        <w:t>Osawaru</w:t>
      </w:r>
      <w:proofErr w:type="spellEnd"/>
      <w:r w:rsidRPr="000F7F7A">
        <w:rPr>
          <w:color w:val="222222"/>
          <w:highlight w:val="white"/>
          <w:lang w:val="en-GB"/>
        </w:rPr>
        <w:t xml:space="preserve">, B., Onyebuchi, C.N., </w:t>
      </w:r>
      <w:proofErr w:type="spellStart"/>
      <w:r w:rsidRPr="000F7F7A">
        <w:rPr>
          <w:color w:val="222222"/>
          <w:highlight w:val="white"/>
          <w:lang w:val="en-GB"/>
        </w:rPr>
        <w:t>Omolawal</w:t>
      </w:r>
      <w:proofErr w:type="spellEnd"/>
      <w:r w:rsidRPr="000F7F7A">
        <w:rPr>
          <w:color w:val="222222"/>
          <w:highlight w:val="white"/>
          <w:lang w:val="en-GB"/>
        </w:rPr>
        <w:t xml:space="preserve">, S.A., Aliu, A.O. and David, I.O., (2024). Organizational culture and leadership development: A human resources review of trends and best practices. </w:t>
      </w:r>
      <w:r w:rsidRPr="000F7F7A">
        <w:rPr>
          <w:i/>
          <w:iCs/>
          <w:color w:val="222222"/>
          <w:highlight w:val="white"/>
          <w:lang w:val="en-GB"/>
        </w:rPr>
        <w:t>Magna Scientia Advanced Research and Reviews</w:t>
      </w:r>
      <w:r w:rsidRPr="000F7F7A">
        <w:rPr>
          <w:color w:val="222222"/>
          <w:highlight w:val="white"/>
          <w:lang w:val="en-GB"/>
        </w:rPr>
        <w:t xml:space="preserve">, </w:t>
      </w:r>
      <w:r w:rsidRPr="000F7F7A">
        <w:rPr>
          <w:i/>
          <w:iCs/>
          <w:color w:val="222222"/>
          <w:highlight w:val="white"/>
          <w:lang w:val="en-GB"/>
        </w:rPr>
        <w:t>10</w:t>
      </w:r>
      <w:r w:rsidRPr="000F7F7A">
        <w:rPr>
          <w:color w:val="222222"/>
          <w:highlight w:val="white"/>
          <w:lang w:val="en-GB"/>
        </w:rPr>
        <w:t xml:space="preserve">(1), pp.243-255.doi: </w:t>
      </w:r>
      <w:hyperlink r:id="rId11">
        <w:r w:rsidRPr="000F7F7A">
          <w:rPr>
            <w:color w:val="1155CC"/>
            <w:u w:val="single"/>
            <w:lang w:val="en-GB"/>
          </w:rPr>
          <w:t>https://doi.org/10.30574/msarr.2024.10.1.0025</w:t>
        </w:r>
      </w:hyperlink>
    </w:p>
    <w:p w14:paraId="39B9A920" w14:textId="77777777" w:rsidR="000F7F7A" w:rsidRPr="000F7F7A" w:rsidRDefault="000F7F7A">
      <w:pPr>
        <w:rPr>
          <w:lang w:val="en-GB"/>
        </w:rPr>
      </w:pPr>
      <w:r w:rsidRPr="000F7F7A">
        <w:rPr>
          <w:color w:val="222222"/>
          <w:highlight w:val="white"/>
          <w:lang w:val="en-GB"/>
        </w:rPr>
        <w:t xml:space="preserve">Ahmed, S.K., Chandran, D., Hussein, S., </w:t>
      </w:r>
      <w:proofErr w:type="spellStart"/>
      <w:r w:rsidRPr="000F7F7A">
        <w:rPr>
          <w:color w:val="222222"/>
          <w:highlight w:val="white"/>
          <w:lang w:val="en-GB"/>
        </w:rPr>
        <w:t>Sv</w:t>
      </w:r>
      <w:proofErr w:type="spellEnd"/>
      <w:r w:rsidRPr="000F7F7A">
        <w:rPr>
          <w:color w:val="222222"/>
          <w:highlight w:val="white"/>
          <w:lang w:val="en-GB"/>
        </w:rPr>
        <w:t xml:space="preserve">, P., Chakraborty, S., Islam, M.R. and </w:t>
      </w:r>
      <w:proofErr w:type="spellStart"/>
      <w:r w:rsidRPr="000F7F7A">
        <w:rPr>
          <w:color w:val="222222"/>
          <w:highlight w:val="white"/>
          <w:lang w:val="en-GB"/>
        </w:rPr>
        <w:t>Dhama</w:t>
      </w:r>
      <w:proofErr w:type="spellEnd"/>
      <w:r w:rsidRPr="000F7F7A">
        <w:rPr>
          <w:color w:val="222222"/>
          <w:highlight w:val="white"/>
          <w:lang w:val="en-GB"/>
        </w:rPr>
        <w:t xml:space="preserve">, K., (2023). ‘Environmental health risks after the (2023) ‘Turkey-Syria earthquake and salient mitigating strategies: a critical appraisal’. </w:t>
      </w:r>
      <w:r w:rsidRPr="000F7F7A">
        <w:rPr>
          <w:i/>
          <w:iCs/>
          <w:color w:val="222222"/>
          <w:highlight w:val="white"/>
          <w:lang w:val="en-GB"/>
        </w:rPr>
        <w:t>Environmental Health Insights</w:t>
      </w:r>
      <w:r w:rsidRPr="000F7F7A">
        <w:rPr>
          <w:color w:val="222222"/>
          <w:highlight w:val="white"/>
          <w:lang w:val="en-GB"/>
        </w:rPr>
        <w:t xml:space="preserve">, </w:t>
      </w:r>
      <w:r w:rsidRPr="000F7F7A">
        <w:rPr>
          <w:i/>
          <w:iCs/>
          <w:color w:val="222222"/>
          <w:highlight w:val="white"/>
          <w:lang w:val="en-GB"/>
        </w:rPr>
        <w:t>17</w:t>
      </w:r>
      <w:r w:rsidRPr="000F7F7A">
        <w:rPr>
          <w:color w:val="222222"/>
          <w:highlight w:val="white"/>
          <w:lang w:val="en-GB"/>
        </w:rPr>
        <w:t xml:space="preserve">, p.11786302231200865.doi: </w:t>
      </w:r>
      <w:hyperlink r:id="rId12">
        <w:r w:rsidRPr="000F7F7A">
          <w:rPr>
            <w:color w:val="1155CC"/>
            <w:u w:val="single"/>
            <w:lang w:val="en-GB"/>
          </w:rPr>
          <w:t>https://doi.org/10.1177/11786302231200865</w:t>
        </w:r>
      </w:hyperlink>
    </w:p>
    <w:p w14:paraId="2299F962" w14:textId="77777777" w:rsidR="000F7F7A" w:rsidRPr="000F7F7A" w:rsidRDefault="000F7F7A">
      <w:pPr>
        <w:rPr>
          <w:lang w:val="en-GB"/>
        </w:rPr>
      </w:pPr>
      <w:r w:rsidRPr="000F7F7A">
        <w:rPr>
          <w:color w:val="222222"/>
          <w:highlight w:val="white"/>
          <w:lang w:val="en-GB"/>
        </w:rPr>
        <w:t xml:space="preserve">Arredondo-Soto, K.C., Blanco-Fernández, J., Miranda-Ackerman, M.A., Solís-Quinteros, M.M., Realyvasquez-Vargas, A. and García-Alcaraz, J.L., (2021). ‘A plan-do-check-act based process improvement intervention for quality improvement’. </w:t>
      </w:r>
      <w:r w:rsidRPr="000F7F7A">
        <w:rPr>
          <w:i/>
          <w:iCs/>
          <w:color w:val="222222"/>
          <w:highlight w:val="white"/>
          <w:lang w:val="en-GB"/>
        </w:rPr>
        <w:t>IEEE Access</w:t>
      </w:r>
      <w:r w:rsidRPr="000F7F7A">
        <w:rPr>
          <w:color w:val="222222"/>
          <w:highlight w:val="white"/>
          <w:lang w:val="en-GB"/>
        </w:rPr>
        <w:t xml:space="preserve">, </w:t>
      </w:r>
      <w:r w:rsidRPr="000F7F7A">
        <w:rPr>
          <w:i/>
          <w:iCs/>
          <w:color w:val="222222"/>
          <w:highlight w:val="white"/>
          <w:lang w:val="en-GB"/>
        </w:rPr>
        <w:t>9</w:t>
      </w:r>
      <w:r w:rsidRPr="000F7F7A">
        <w:rPr>
          <w:color w:val="222222"/>
          <w:highlight w:val="white"/>
          <w:lang w:val="en-GB"/>
        </w:rPr>
        <w:t xml:space="preserve">, pp.132779-132790.doi: </w:t>
      </w:r>
      <w:hyperlink r:id="rId13">
        <w:r w:rsidRPr="000F7F7A">
          <w:rPr>
            <w:color w:val="1155CC"/>
            <w:u w:val="single"/>
            <w:lang w:val="en-GB"/>
          </w:rPr>
          <w:t>https://doi.org/10.1109/ACCESS.2021.3112948</w:t>
        </w:r>
      </w:hyperlink>
    </w:p>
    <w:p w14:paraId="0800E664" w14:textId="77777777" w:rsidR="000F7F7A" w:rsidRPr="000F7F7A" w:rsidRDefault="000F7F7A">
      <w:pPr>
        <w:rPr>
          <w:lang w:val="en-GB"/>
        </w:rPr>
      </w:pPr>
      <w:r w:rsidRPr="000F7F7A">
        <w:rPr>
          <w:color w:val="222222"/>
          <w:highlight w:val="white"/>
          <w:lang w:val="en-GB"/>
        </w:rPr>
        <w:t xml:space="preserve">Bellini, T., Vinci, F., </w:t>
      </w:r>
      <w:proofErr w:type="spellStart"/>
      <w:r w:rsidRPr="000F7F7A">
        <w:rPr>
          <w:color w:val="222222"/>
          <w:highlight w:val="white"/>
          <w:lang w:val="en-GB"/>
        </w:rPr>
        <w:t>Polleri</w:t>
      </w:r>
      <w:proofErr w:type="spellEnd"/>
      <w:r w:rsidRPr="000F7F7A">
        <w:rPr>
          <w:color w:val="222222"/>
          <w:highlight w:val="white"/>
          <w:lang w:val="en-GB"/>
        </w:rPr>
        <w:t xml:space="preserve">, G., </w:t>
      </w:r>
      <w:proofErr w:type="spellStart"/>
      <w:r w:rsidRPr="000F7F7A">
        <w:rPr>
          <w:color w:val="222222"/>
          <w:highlight w:val="white"/>
          <w:lang w:val="en-GB"/>
        </w:rPr>
        <w:t>Pezzotta</w:t>
      </w:r>
      <w:proofErr w:type="spellEnd"/>
      <w:r w:rsidRPr="000F7F7A">
        <w:rPr>
          <w:color w:val="222222"/>
          <w:highlight w:val="white"/>
          <w:lang w:val="en-GB"/>
        </w:rPr>
        <w:t xml:space="preserve">, F., Grasselli, L., </w:t>
      </w:r>
      <w:proofErr w:type="spellStart"/>
      <w:r w:rsidRPr="000F7F7A">
        <w:rPr>
          <w:color w:val="222222"/>
          <w:highlight w:val="white"/>
          <w:lang w:val="en-GB"/>
        </w:rPr>
        <w:t>Piccotti</w:t>
      </w:r>
      <w:proofErr w:type="spellEnd"/>
      <w:r w:rsidRPr="000F7F7A">
        <w:rPr>
          <w:color w:val="222222"/>
          <w:highlight w:val="white"/>
          <w:lang w:val="en-GB"/>
        </w:rPr>
        <w:t xml:space="preserve">, E., </w:t>
      </w:r>
      <w:proofErr w:type="spellStart"/>
      <w:r w:rsidRPr="000F7F7A">
        <w:rPr>
          <w:color w:val="222222"/>
          <w:highlight w:val="white"/>
          <w:lang w:val="en-GB"/>
        </w:rPr>
        <w:t>Ramenghi</w:t>
      </w:r>
      <w:proofErr w:type="spellEnd"/>
      <w:r w:rsidRPr="000F7F7A">
        <w:rPr>
          <w:color w:val="222222"/>
          <w:highlight w:val="white"/>
          <w:lang w:val="en-GB"/>
        </w:rPr>
        <w:t xml:space="preserve">, L.A., Moscatelli, A. and Striano, P., (2025). ‘Adverse Outcomes in Neonates Following Planned Home Births: A Case Report Series and a Narrative Literature Review’. </w:t>
      </w:r>
      <w:r w:rsidRPr="000F7F7A">
        <w:rPr>
          <w:i/>
          <w:iCs/>
          <w:color w:val="222222"/>
          <w:highlight w:val="white"/>
          <w:lang w:val="en-GB"/>
        </w:rPr>
        <w:t>Journal of Clinical Medicine</w:t>
      </w:r>
      <w:r w:rsidRPr="000F7F7A">
        <w:rPr>
          <w:color w:val="222222"/>
          <w:highlight w:val="white"/>
          <w:lang w:val="en-GB"/>
        </w:rPr>
        <w:t xml:space="preserve">, </w:t>
      </w:r>
      <w:r w:rsidRPr="000F7F7A">
        <w:rPr>
          <w:i/>
          <w:iCs/>
          <w:color w:val="222222"/>
          <w:highlight w:val="white"/>
          <w:lang w:val="en-GB"/>
        </w:rPr>
        <w:t>14</w:t>
      </w:r>
      <w:r w:rsidRPr="000F7F7A">
        <w:rPr>
          <w:color w:val="222222"/>
          <w:highlight w:val="white"/>
          <w:lang w:val="en-GB"/>
        </w:rPr>
        <w:t xml:space="preserve">(4), p.1181.doi: </w:t>
      </w:r>
      <w:hyperlink r:id="rId14">
        <w:r w:rsidRPr="000F7F7A">
          <w:rPr>
            <w:color w:val="1155CC"/>
            <w:u w:val="single"/>
            <w:lang w:val="en-GB"/>
          </w:rPr>
          <w:t>https://doi.org/10.3390/jcm14041181</w:t>
        </w:r>
      </w:hyperlink>
    </w:p>
    <w:p w14:paraId="2593503D" w14:textId="77777777" w:rsidR="000F7F7A" w:rsidRPr="000F7F7A" w:rsidRDefault="000F7F7A">
      <w:pPr>
        <w:rPr>
          <w:lang w:val="en-GB"/>
        </w:rPr>
      </w:pPr>
      <w:r w:rsidRPr="000F7F7A">
        <w:rPr>
          <w:color w:val="222222"/>
          <w:highlight w:val="white"/>
          <w:lang w:val="en-GB"/>
        </w:rPr>
        <w:t>Berendt, B. and Schiffner, S., (2021). Whistleblower protection in the digital age--</w:t>
      </w:r>
      <w:proofErr w:type="spellStart"/>
      <w:r w:rsidRPr="000F7F7A">
        <w:rPr>
          <w:color w:val="222222"/>
          <w:highlight w:val="white"/>
          <w:lang w:val="en-GB"/>
        </w:rPr>
        <w:t>why'anonymous</w:t>
      </w:r>
      <w:proofErr w:type="spellEnd"/>
      <w:r w:rsidRPr="000F7F7A">
        <w:rPr>
          <w:color w:val="222222"/>
          <w:highlight w:val="white"/>
          <w:lang w:val="en-GB"/>
        </w:rPr>
        <w:t xml:space="preserve">' is not enough. From technology to a wider view of governance. </w:t>
      </w:r>
      <w:proofErr w:type="spellStart"/>
      <w:r w:rsidRPr="000F7F7A">
        <w:rPr>
          <w:i/>
          <w:iCs/>
          <w:color w:val="222222"/>
          <w:highlight w:val="white"/>
          <w:lang w:val="en-GB"/>
        </w:rPr>
        <w:t>arXiv</w:t>
      </w:r>
      <w:proofErr w:type="spellEnd"/>
      <w:r w:rsidRPr="000F7F7A">
        <w:rPr>
          <w:i/>
          <w:iCs/>
          <w:color w:val="222222"/>
          <w:highlight w:val="white"/>
          <w:lang w:val="en-GB"/>
        </w:rPr>
        <w:t xml:space="preserve"> preprint arXiv:2111.02825</w:t>
      </w:r>
      <w:r w:rsidRPr="000F7F7A">
        <w:rPr>
          <w:color w:val="222222"/>
          <w:highlight w:val="white"/>
          <w:lang w:val="en-GB"/>
        </w:rPr>
        <w:t>doi</w:t>
      </w:r>
      <w:proofErr w:type="gramStart"/>
      <w:r w:rsidRPr="000F7F7A">
        <w:rPr>
          <w:color w:val="222222"/>
          <w:highlight w:val="white"/>
          <w:lang w:val="en-GB"/>
        </w:rPr>
        <w:t>: .</w:t>
      </w:r>
      <w:proofErr w:type="gramEnd"/>
      <w:r>
        <w:fldChar w:fldCharType="begin"/>
      </w:r>
      <w:r>
        <w:instrText>HYPERLINK "https://doi.org/10.48550/arXiv.2111.02825" \h</w:instrText>
      </w:r>
      <w:r>
        <w:fldChar w:fldCharType="separate"/>
      </w:r>
      <w:r w:rsidRPr="000F7F7A">
        <w:rPr>
          <w:color w:val="1155CC"/>
          <w:u w:val="single"/>
          <w:lang w:val="en-GB"/>
        </w:rPr>
        <w:t>https://doi.org/10.48550/arXiv.2111.02825</w:t>
      </w:r>
      <w:r>
        <w:fldChar w:fldCharType="end"/>
      </w:r>
    </w:p>
    <w:p w14:paraId="1F79F9B2" w14:textId="77777777" w:rsidR="000F7F7A" w:rsidRPr="000F7F7A" w:rsidRDefault="000F7F7A">
      <w:pPr>
        <w:rPr>
          <w:lang w:val="en-GB"/>
        </w:rPr>
      </w:pPr>
      <w:r w:rsidRPr="000F7F7A">
        <w:rPr>
          <w:color w:val="222222"/>
          <w:highlight w:val="white"/>
          <w:lang w:val="en-GB"/>
        </w:rPr>
        <w:t>Berry, P., (2021). ‘What became of the ‘eyes and the ears</w:t>
      </w:r>
      <w:proofErr w:type="gramStart"/>
      <w:r w:rsidRPr="000F7F7A">
        <w:rPr>
          <w:color w:val="222222"/>
          <w:highlight w:val="white"/>
          <w:lang w:val="en-GB"/>
        </w:rPr>
        <w:t>’?:</w:t>
      </w:r>
      <w:proofErr w:type="gramEnd"/>
      <w:r w:rsidRPr="000F7F7A">
        <w:rPr>
          <w:color w:val="222222"/>
          <w:highlight w:val="white"/>
          <w:lang w:val="en-GB"/>
        </w:rPr>
        <w:t xml:space="preserve"> exploring the challenges to reporting poor quality of care among trainee medical staff’. </w:t>
      </w:r>
      <w:r w:rsidRPr="000F7F7A">
        <w:rPr>
          <w:i/>
          <w:iCs/>
          <w:color w:val="222222"/>
          <w:highlight w:val="white"/>
          <w:lang w:val="en-GB"/>
        </w:rPr>
        <w:t>Postgraduate medical journal</w:t>
      </w:r>
      <w:r w:rsidRPr="000F7F7A">
        <w:rPr>
          <w:color w:val="222222"/>
          <w:highlight w:val="white"/>
          <w:lang w:val="en-GB"/>
        </w:rPr>
        <w:t xml:space="preserve">, </w:t>
      </w:r>
      <w:r w:rsidRPr="000F7F7A">
        <w:rPr>
          <w:i/>
          <w:iCs/>
          <w:color w:val="222222"/>
          <w:highlight w:val="white"/>
          <w:lang w:val="en-GB"/>
        </w:rPr>
        <w:t>97</w:t>
      </w:r>
      <w:r w:rsidRPr="000F7F7A">
        <w:rPr>
          <w:color w:val="222222"/>
          <w:highlight w:val="white"/>
          <w:lang w:val="en-GB"/>
        </w:rPr>
        <w:t xml:space="preserve">(1153), pp.695-700.doi: </w:t>
      </w:r>
      <w:hyperlink r:id="rId15">
        <w:r w:rsidRPr="000F7F7A">
          <w:rPr>
            <w:color w:val="1155CC"/>
            <w:u w:val="single"/>
            <w:lang w:val="en-GB"/>
          </w:rPr>
          <w:t>https://doi.org/10.1136/postgradmedj-2021-140463</w:t>
        </w:r>
      </w:hyperlink>
    </w:p>
    <w:p w14:paraId="256CEAB9" w14:textId="77777777" w:rsidR="000F7F7A" w:rsidRPr="000F7F7A" w:rsidRDefault="000F7F7A">
      <w:pPr>
        <w:rPr>
          <w:lang w:val="en-GB"/>
        </w:rPr>
      </w:pPr>
      <w:r w:rsidRPr="000F7F7A">
        <w:rPr>
          <w:color w:val="222222"/>
          <w:highlight w:val="white"/>
          <w:lang w:val="en-GB"/>
        </w:rPr>
        <w:t>Boppana, V.R., (2023). ‘Data Analytics for Predictive Maintenance in Healthcare Equipment</w:t>
      </w:r>
      <w:proofErr w:type="gramStart"/>
      <w:r w:rsidRPr="000F7F7A">
        <w:rPr>
          <w:color w:val="222222"/>
          <w:highlight w:val="white"/>
          <w:lang w:val="en-GB"/>
        </w:rPr>
        <w:t>’.</w:t>
      </w:r>
      <w:proofErr w:type="spellStart"/>
      <w:r w:rsidRPr="000F7F7A">
        <w:rPr>
          <w:color w:val="222222"/>
          <w:highlight w:val="white"/>
          <w:lang w:val="en-GB"/>
        </w:rPr>
        <w:t>doi</w:t>
      </w:r>
      <w:proofErr w:type="spellEnd"/>
      <w:proofErr w:type="gramEnd"/>
      <w:r w:rsidRPr="000F7F7A">
        <w:rPr>
          <w:color w:val="222222"/>
          <w:highlight w:val="white"/>
          <w:lang w:val="en-GB"/>
        </w:rPr>
        <w:t xml:space="preserve">: </w:t>
      </w:r>
      <w:hyperlink r:id="rId16">
        <w:r w:rsidRPr="000F7F7A">
          <w:rPr>
            <w:color w:val="1155CC"/>
            <w:u w:val="single"/>
            <w:lang w:val="en-GB"/>
          </w:rPr>
          <w:t>https://dx.doi.org/10.2139/ssrn.5005057</w:t>
        </w:r>
      </w:hyperlink>
    </w:p>
    <w:p w14:paraId="5E757281" w14:textId="77777777" w:rsidR="000F7F7A" w:rsidRPr="000F7F7A" w:rsidRDefault="000F7F7A">
      <w:pPr>
        <w:rPr>
          <w:lang w:val="en-GB"/>
        </w:rPr>
      </w:pPr>
      <w:r w:rsidRPr="000F7F7A">
        <w:rPr>
          <w:color w:val="222222"/>
          <w:highlight w:val="white"/>
          <w:lang w:val="en-GB"/>
        </w:rPr>
        <w:t xml:space="preserve">Chau, M., (2024). ‘Enhancing safety culture in radiology: Key practices and recommendations for sustainable excellence’. </w:t>
      </w:r>
      <w:r w:rsidRPr="000F7F7A">
        <w:rPr>
          <w:i/>
          <w:iCs/>
          <w:color w:val="222222"/>
          <w:highlight w:val="white"/>
          <w:lang w:val="en-GB"/>
        </w:rPr>
        <w:t>Radiography</w:t>
      </w:r>
      <w:r w:rsidRPr="000F7F7A">
        <w:rPr>
          <w:color w:val="222222"/>
          <w:highlight w:val="white"/>
          <w:lang w:val="en-GB"/>
        </w:rPr>
        <w:t xml:space="preserve">, </w:t>
      </w:r>
      <w:r w:rsidRPr="000F7F7A">
        <w:rPr>
          <w:i/>
          <w:iCs/>
          <w:color w:val="222222"/>
          <w:highlight w:val="white"/>
          <w:lang w:val="en-GB"/>
        </w:rPr>
        <w:t>30</w:t>
      </w:r>
      <w:r w:rsidRPr="000F7F7A">
        <w:rPr>
          <w:color w:val="222222"/>
          <w:highlight w:val="white"/>
          <w:lang w:val="en-GB"/>
        </w:rPr>
        <w:t xml:space="preserve">, pp.9-16.doi: </w:t>
      </w:r>
      <w:hyperlink r:id="rId17">
        <w:r w:rsidRPr="000F7F7A">
          <w:rPr>
            <w:color w:val="1155CC"/>
            <w:u w:val="single"/>
            <w:lang w:val="en-GB"/>
          </w:rPr>
          <w:t>https://doi.org/10.1016/j.radi.2024.04.025</w:t>
        </w:r>
      </w:hyperlink>
    </w:p>
    <w:p w14:paraId="5AB69AA6" w14:textId="77777777" w:rsidR="000F7F7A" w:rsidRPr="000F7F7A" w:rsidRDefault="000F7F7A">
      <w:pPr>
        <w:rPr>
          <w:lang w:val="en-GB"/>
        </w:rPr>
      </w:pPr>
      <w:r w:rsidRPr="000F7F7A">
        <w:rPr>
          <w:color w:val="222222"/>
          <w:highlight w:val="white"/>
          <w:lang w:val="en-GB"/>
        </w:rPr>
        <w:lastRenderedPageBreak/>
        <w:t xml:space="preserve">Chia, J.S., Chang, C., Lo, S.C., Yang, C.H. and Yang, H.Y., (2024). Healthcare failure mode and effect analysis combined service blueprint–Mitigating mass casualty triage in emergency units: A qualitative study. </w:t>
      </w:r>
      <w:r w:rsidRPr="000F7F7A">
        <w:rPr>
          <w:i/>
          <w:iCs/>
          <w:color w:val="222222"/>
          <w:highlight w:val="white"/>
          <w:lang w:val="en-GB"/>
        </w:rPr>
        <w:t>International emergency nursing</w:t>
      </w:r>
      <w:r w:rsidRPr="000F7F7A">
        <w:rPr>
          <w:color w:val="222222"/>
          <w:highlight w:val="white"/>
          <w:lang w:val="en-GB"/>
        </w:rPr>
        <w:t xml:space="preserve">, </w:t>
      </w:r>
      <w:r w:rsidRPr="000F7F7A">
        <w:rPr>
          <w:i/>
          <w:iCs/>
          <w:color w:val="222222"/>
          <w:highlight w:val="white"/>
          <w:lang w:val="en-GB"/>
        </w:rPr>
        <w:t>77</w:t>
      </w:r>
      <w:r w:rsidRPr="000F7F7A">
        <w:rPr>
          <w:color w:val="222222"/>
          <w:highlight w:val="white"/>
          <w:lang w:val="en-GB"/>
        </w:rPr>
        <w:t xml:space="preserve">, p.101508.doi: </w:t>
      </w:r>
      <w:hyperlink r:id="rId18">
        <w:r w:rsidRPr="000F7F7A">
          <w:rPr>
            <w:color w:val="1155CC"/>
            <w:u w:val="single"/>
            <w:lang w:val="en-GB"/>
          </w:rPr>
          <w:t>https://doi.org/10.1016/j.ienj.2024.101508</w:t>
        </w:r>
      </w:hyperlink>
    </w:p>
    <w:p w14:paraId="2A57BFB4" w14:textId="77777777" w:rsidR="000F7F7A" w:rsidRPr="000F7F7A" w:rsidRDefault="000F7F7A">
      <w:pPr>
        <w:rPr>
          <w:lang w:val="en-GB"/>
        </w:rPr>
      </w:pPr>
      <w:r w:rsidRPr="00CB1121">
        <w:rPr>
          <w:color w:val="222222"/>
          <w:highlight w:val="white"/>
          <w:lang w:val="sv-SE"/>
        </w:rPr>
        <w:t xml:space="preserve">de la Torre-Pérez, L., Granés, L., Marín, A.P. and Bertran, M.J., (2023). </w:t>
      </w:r>
      <w:r w:rsidRPr="000F7F7A">
        <w:rPr>
          <w:color w:val="222222"/>
          <w:highlight w:val="white"/>
          <w:lang w:val="en-GB"/>
        </w:rPr>
        <w:t xml:space="preserve">A hospital incident reporting system (2016–2019): Learning from notifier's perception on incidents’ risk, severity and frequency of adverse events. </w:t>
      </w:r>
      <w:r w:rsidRPr="000F7F7A">
        <w:rPr>
          <w:i/>
          <w:iCs/>
          <w:color w:val="222222"/>
          <w:highlight w:val="white"/>
          <w:lang w:val="en-GB"/>
        </w:rPr>
        <w:t>Journal of Healthcare Quality Research</w:t>
      </w:r>
      <w:r w:rsidRPr="000F7F7A">
        <w:rPr>
          <w:color w:val="222222"/>
          <w:highlight w:val="white"/>
          <w:lang w:val="en-GB"/>
        </w:rPr>
        <w:t xml:space="preserve">, </w:t>
      </w:r>
      <w:r w:rsidRPr="000F7F7A">
        <w:rPr>
          <w:i/>
          <w:iCs/>
          <w:color w:val="222222"/>
          <w:highlight w:val="white"/>
          <w:lang w:val="en-GB"/>
        </w:rPr>
        <w:t>38</w:t>
      </w:r>
      <w:r w:rsidRPr="000F7F7A">
        <w:rPr>
          <w:color w:val="222222"/>
          <w:highlight w:val="white"/>
          <w:lang w:val="en-GB"/>
        </w:rPr>
        <w:t xml:space="preserve">(2), pp.93-104.doi: </w:t>
      </w:r>
      <w:hyperlink r:id="rId19">
        <w:r w:rsidRPr="000F7F7A">
          <w:rPr>
            <w:color w:val="1155CC"/>
            <w:u w:val="single"/>
            <w:lang w:val="en-GB"/>
          </w:rPr>
          <w:t>https://doi.org/10.1016/j.jhqr.2022.08.004</w:t>
        </w:r>
      </w:hyperlink>
    </w:p>
    <w:p w14:paraId="0362175D" w14:textId="77777777" w:rsidR="000F7F7A" w:rsidRPr="000F7F7A" w:rsidRDefault="000F7F7A">
      <w:pPr>
        <w:rPr>
          <w:lang w:val="en-GB"/>
        </w:rPr>
      </w:pPr>
      <w:r w:rsidRPr="000F7F7A">
        <w:rPr>
          <w:color w:val="222222"/>
          <w:highlight w:val="white"/>
          <w:lang w:val="en-GB"/>
        </w:rPr>
        <w:t xml:space="preserve">Edwards, B., (2021). </w:t>
      </w:r>
      <w:r w:rsidRPr="000F7F7A">
        <w:rPr>
          <w:i/>
          <w:iCs/>
          <w:color w:val="222222"/>
          <w:highlight w:val="white"/>
          <w:lang w:val="en-GB"/>
        </w:rPr>
        <w:t xml:space="preserve">The Dark Side of Healthcare: Issues, Cases, and Lessons for the </w:t>
      </w:r>
      <w:proofErr w:type="spellStart"/>
      <w:r w:rsidRPr="000F7F7A">
        <w:rPr>
          <w:i/>
          <w:iCs/>
          <w:color w:val="222222"/>
          <w:highlight w:val="white"/>
          <w:lang w:val="en-GB"/>
        </w:rPr>
        <w:t>Future</w:t>
      </w:r>
      <w:r w:rsidRPr="000F7F7A">
        <w:rPr>
          <w:color w:val="222222"/>
          <w:highlight w:val="white"/>
          <w:lang w:val="en-GB"/>
        </w:rPr>
        <w:t>.doi</w:t>
      </w:r>
      <w:proofErr w:type="spellEnd"/>
      <w:r w:rsidRPr="000F7F7A">
        <w:rPr>
          <w:color w:val="222222"/>
          <w:highlight w:val="white"/>
          <w:lang w:val="en-GB"/>
        </w:rPr>
        <w:t xml:space="preserve">: </w:t>
      </w:r>
      <w:hyperlink r:id="rId20">
        <w:r w:rsidRPr="000F7F7A">
          <w:rPr>
            <w:color w:val="1155CC"/>
            <w:u w:val="single"/>
            <w:lang w:val="en-GB"/>
          </w:rPr>
          <w:t>https://doi.org/10.1142/9789811231384_0001</w:t>
        </w:r>
      </w:hyperlink>
    </w:p>
    <w:p w14:paraId="6526FC63" w14:textId="77777777" w:rsidR="000F7F7A" w:rsidRPr="000F7F7A" w:rsidRDefault="000F7F7A">
      <w:pPr>
        <w:rPr>
          <w:lang w:val="en-GB"/>
        </w:rPr>
      </w:pPr>
      <w:proofErr w:type="spellStart"/>
      <w:r w:rsidRPr="000F7F7A">
        <w:rPr>
          <w:color w:val="222222"/>
          <w:highlight w:val="white"/>
          <w:lang w:val="en-GB"/>
        </w:rPr>
        <w:t>Elseesy</w:t>
      </w:r>
      <w:proofErr w:type="spellEnd"/>
      <w:r w:rsidRPr="000F7F7A">
        <w:rPr>
          <w:color w:val="222222"/>
          <w:highlight w:val="white"/>
          <w:lang w:val="en-GB"/>
        </w:rPr>
        <w:t xml:space="preserve">, N.A.M., </w:t>
      </w:r>
      <w:proofErr w:type="spellStart"/>
      <w:r w:rsidRPr="000F7F7A">
        <w:rPr>
          <w:color w:val="222222"/>
          <w:highlight w:val="white"/>
          <w:lang w:val="en-GB"/>
        </w:rPr>
        <w:t>Almezraq</w:t>
      </w:r>
      <w:proofErr w:type="spellEnd"/>
      <w:r w:rsidRPr="000F7F7A">
        <w:rPr>
          <w:color w:val="222222"/>
          <w:highlight w:val="white"/>
          <w:lang w:val="en-GB"/>
        </w:rPr>
        <w:t xml:space="preserve">, B.A., Hafez, D.A., Felemban, O. and Felemban, E.M., (2025), ‘April. Breaking the Silence: Barriers to Error Disclosure Among Nurses in the Kingdom of Saudi Arabia—A Cross-Sectional Study’. In </w:t>
      </w:r>
      <w:r w:rsidRPr="000F7F7A">
        <w:rPr>
          <w:i/>
          <w:iCs/>
          <w:color w:val="222222"/>
          <w:highlight w:val="white"/>
          <w:lang w:val="en-GB"/>
        </w:rPr>
        <w:t>Healthcare</w:t>
      </w:r>
      <w:r w:rsidRPr="000F7F7A">
        <w:rPr>
          <w:color w:val="222222"/>
          <w:highlight w:val="white"/>
          <w:lang w:val="en-GB"/>
        </w:rPr>
        <w:t xml:space="preserve"> (Vol. 13, No. 7, p. 831). MDPI. </w:t>
      </w:r>
      <w:proofErr w:type="spellStart"/>
      <w:r w:rsidRPr="000F7F7A">
        <w:rPr>
          <w:color w:val="222222"/>
          <w:highlight w:val="white"/>
          <w:lang w:val="en-GB"/>
        </w:rPr>
        <w:t>doi</w:t>
      </w:r>
      <w:proofErr w:type="spellEnd"/>
      <w:r w:rsidRPr="000F7F7A">
        <w:rPr>
          <w:color w:val="222222"/>
          <w:highlight w:val="white"/>
          <w:lang w:val="en-GB"/>
        </w:rPr>
        <w:t xml:space="preserve">: </w:t>
      </w:r>
      <w:hyperlink r:id="rId21">
        <w:r w:rsidRPr="000F7F7A">
          <w:rPr>
            <w:color w:val="1155CC"/>
            <w:u w:val="single"/>
            <w:lang w:val="en-GB"/>
          </w:rPr>
          <w:t>https://doi.org/10.3390/healthcare13070831</w:t>
        </w:r>
      </w:hyperlink>
    </w:p>
    <w:p w14:paraId="23AD453F" w14:textId="77777777" w:rsidR="000F7F7A" w:rsidRPr="000F7F7A" w:rsidRDefault="000F7F7A">
      <w:pPr>
        <w:rPr>
          <w:lang w:val="en-GB"/>
        </w:rPr>
      </w:pPr>
      <w:r w:rsidRPr="000F7F7A">
        <w:rPr>
          <w:color w:val="222222"/>
          <w:highlight w:val="white"/>
          <w:lang w:val="en-GB"/>
        </w:rPr>
        <w:t xml:space="preserve">Evans, T.R., Burns, C., Essex, R., Finnerty, G., Hatton, E., Clements, A.J., Breau, G., Quinn, F., Elliott, H., Smith, L.D. and Matthews, B., (2023). A systematic scoping review on the evidence behind debriefing practices for the wellbeing/emotional outcomes of healthcare workers. </w:t>
      </w:r>
      <w:r w:rsidRPr="000F7F7A">
        <w:rPr>
          <w:i/>
          <w:iCs/>
          <w:color w:val="222222"/>
          <w:highlight w:val="white"/>
          <w:lang w:val="en-GB"/>
        </w:rPr>
        <w:t>Frontiers in psychiatry</w:t>
      </w:r>
      <w:r w:rsidRPr="000F7F7A">
        <w:rPr>
          <w:color w:val="222222"/>
          <w:highlight w:val="white"/>
          <w:lang w:val="en-GB"/>
        </w:rPr>
        <w:t xml:space="preserve">, </w:t>
      </w:r>
      <w:r w:rsidRPr="000F7F7A">
        <w:rPr>
          <w:i/>
          <w:iCs/>
          <w:color w:val="222222"/>
          <w:highlight w:val="white"/>
          <w:lang w:val="en-GB"/>
        </w:rPr>
        <w:t>14</w:t>
      </w:r>
      <w:r w:rsidRPr="000F7F7A">
        <w:rPr>
          <w:color w:val="222222"/>
          <w:highlight w:val="white"/>
          <w:lang w:val="en-GB"/>
        </w:rPr>
        <w:t xml:space="preserve">, p.1078797.doi: </w:t>
      </w:r>
      <w:hyperlink r:id="rId22">
        <w:r w:rsidRPr="000F7F7A">
          <w:rPr>
            <w:color w:val="1155CC"/>
            <w:u w:val="single"/>
            <w:lang w:val="en-GB"/>
          </w:rPr>
          <w:t>https://doi.org/10.3389/fpsyt.2023.1078797</w:t>
        </w:r>
      </w:hyperlink>
    </w:p>
    <w:p w14:paraId="49464F36" w14:textId="77777777" w:rsidR="000F7F7A" w:rsidRPr="000F7F7A" w:rsidRDefault="000F7F7A">
      <w:pPr>
        <w:rPr>
          <w:lang w:val="en-GB"/>
        </w:rPr>
      </w:pPr>
      <w:r w:rsidRPr="000F7F7A">
        <w:rPr>
          <w:color w:val="222222"/>
          <w:highlight w:val="white"/>
          <w:lang w:val="en-GB"/>
        </w:rPr>
        <w:t xml:space="preserve">Goldman, J., </w:t>
      </w:r>
      <w:proofErr w:type="spellStart"/>
      <w:r w:rsidRPr="000F7F7A">
        <w:rPr>
          <w:color w:val="222222"/>
          <w:highlight w:val="white"/>
          <w:lang w:val="en-GB"/>
        </w:rPr>
        <w:t>Rotteau</w:t>
      </w:r>
      <w:proofErr w:type="spellEnd"/>
      <w:r w:rsidRPr="000F7F7A">
        <w:rPr>
          <w:color w:val="222222"/>
          <w:highlight w:val="white"/>
          <w:lang w:val="en-GB"/>
        </w:rPr>
        <w:t xml:space="preserve">, L., Lo, L., Wong, B.M., Kuper, A., </w:t>
      </w:r>
      <w:proofErr w:type="spellStart"/>
      <w:r w:rsidRPr="000F7F7A">
        <w:rPr>
          <w:color w:val="222222"/>
          <w:highlight w:val="white"/>
          <w:lang w:val="en-GB"/>
        </w:rPr>
        <w:t>Kooijman</w:t>
      </w:r>
      <w:proofErr w:type="spellEnd"/>
      <w:r w:rsidRPr="000F7F7A">
        <w:rPr>
          <w:color w:val="222222"/>
          <w:highlight w:val="white"/>
          <w:lang w:val="en-GB"/>
        </w:rPr>
        <w:t xml:space="preserve">, A., Coffey, M., Razack, S., Rawal, S., Palomo, M. and Alfred, M., (2025). ‘Integrating equity into incident reporting and patient concerns systems: a critical interpretive synthesis’. </w:t>
      </w:r>
      <w:r w:rsidRPr="000F7F7A">
        <w:rPr>
          <w:i/>
          <w:iCs/>
          <w:color w:val="222222"/>
          <w:highlight w:val="white"/>
          <w:lang w:val="en-GB"/>
        </w:rPr>
        <w:t xml:space="preserve">BMJ Quality &amp; </w:t>
      </w:r>
      <w:proofErr w:type="spellStart"/>
      <w:r w:rsidRPr="000F7F7A">
        <w:rPr>
          <w:i/>
          <w:iCs/>
          <w:color w:val="222222"/>
          <w:highlight w:val="white"/>
          <w:lang w:val="en-GB"/>
        </w:rPr>
        <w:t>Safety</w:t>
      </w:r>
      <w:r w:rsidRPr="000F7F7A">
        <w:rPr>
          <w:color w:val="222222"/>
          <w:highlight w:val="white"/>
          <w:lang w:val="en-GB"/>
        </w:rPr>
        <w:t>.doi</w:t>
      </w:r>
      <w:proofErr w:type="spellEnd"/>
      <w:r w:rsidRPr="000F7F7A">
        <w:rPr>
          <w:color w:val="222222"/>
          <w:highlight w:val="white"/>
          <w:lang w:val="en-GB"/>
        </w:rPr>
        <w:t xml:space="preserve">:  </w:t>
      </w:r>
      <w:hyperlink r:id="rId23">
        <w:r w:rsidRPr="000F7F7A">
          <w:rPr>
            <w:color w:val="1155CC"/>
            <w:u w:val="single"/>
            <w:lang w:val="en-GB"/>
          </w:rPr>
          <w:t>https://doi.org/10.1136/bmjqs-2025-019118</w:t>
        </w:r>
      </w:hyperlink>
    </w:p>
    <w:p w14:paraId="2959B5D7" w14:textId="77777777" w:rsidR="000F7F7A" w:rsidRPr="000F7F7A" w:rsidRDefault="000F7F7A">
      <w:pPr>
        <w:rPr>
          <w:lang w:val="en-GB"/>
        </w:rPr>
      </w:pPr>
      <w:r w:rsidRPr="000F7F7A">
        <w:rPr>
          <w:color w:val="222222"/>
          <w:highlight w:val="white"/>
          <w:lang w:val="en-GB"/>
        </w:rPr>
        <w:t xml:space="preserve">He, C., Breitner-Busch, S., Huber, V., Chen, K., Zhang, S., Gasparrini, A., Bell, M., Kan, H., </w:t>
      </w:r>
      <w:proofErr w:type="spellStart"/>
      <w:r w:rsidRPr="000F7F7A">
        <w:rPr>
          <w:color w:val="222222"/>
          <w:highlight w:val="white"/>
          <w:lang w:val="en-GB"/>
        </w:rPr>
        <w:t>Royé</w:t>
      </w:r>
      <w:proofErr w:type="spellEnd"/>
      <w:r w:rsidRPr="000F7F7A">
        <w:rPr>
          <w:color w:val="222222"/>
          <w:highlight w:val="white"/>
          <w:lang w:val="en-GB"/>
        </w:rPr>
        <w:t xml:space="preserve">, D., Armstrong, B. and Schwartz, J., (2024). Rainfall events and daily mortality across 645 global locations: two stage time series analysis. </w:t>
      </w:r>
      <w:proofErr w:type="spellStart"/>
      <w:r w:rsidRPr="000F7F7A">
        <w:rPr>
          <w:i/>
          <w:iCs/>
          <w:color w:val="222222"/>
          <w:highlight w:val="white"/>
          <w:lang w:val="en-GB"/>
        </w:rPr>
        <w:t>bmj</w:t>
      </w:r>
      <w:proofErr w:type="spellEnd"/>
      <w:r w:rsidRPr="000F7F7A">
        <w:rPr>
          <w:color w:val="222222"/>
          <w:highlight w:val="white"/>
          <w:lang w:val="en-GB"/>
        </w:rPr>
        <w:t xml:space="preserve">, </w:t>
      </w:r>
      <w:r w:rsidRPr="000F7F7A">
        <w:rPr>
          <w:i/>
          <w:iCs/>
          <w:color w:val="222222"/>
          <w:highlight w:val="white"/>
          <w:lang w:val="en-GB"/>
        </w:rPr>
        <w:t>387</w:t>
      </w:r>
      <w:r w:rsidRPr="000F7F7A">
        <w:rPr>
          <w:color w:val="222222"/>
          <w:highlight w:val="white"/>
          <w:lang w:val="en-GB"/>
        </w:rPr>
        <w:t xml:space="preserve">.doi: </w:t>
      </w:r>
      <w:hyperlink r:id="rId24">
        <w:r w:rsidRPr="000F7F7A">
          <w:rPr>
            <w:color w:val="1155CC"/>
            <w:u w:val="single"/>
            <w:lang w:val="en-GB"/>
          </w:rPr>
          <w:t>https://doi.org/10.1136/bmj-2024-080944</w:t>
        </w:r>
      </w:hyperlink>
    </w:p>
    <w:p w14:paraId="71A1D02B" w14:textId="77777777" w:rsidR="000F7F7A" w:rsidRPr="000F7F7A" w:rsidRDefault="000F7F7A">
      <w:pPr>
        <w:rPr>
          <w:lang w:val="en-GB"/>
        </w:rPr>
      </w:pPr>
      <w:r w:rsidRPr="000F7F7A">
        <w:rPr>
          <w:color w:val="222222"/>
          <w:highlight w:val="white"/>
          <w:lang w:val="en-GB"/>
        </w:rPr>
        <w:lastRenderedPageBreak/>
        <w:t xml:space="preserve">Hudon, A., Cloutier-Tanguay, J.P., Levy, J., Dastous-Stampe, W., Daigneault, M.L., Lacombe, C., Noël, F. and Borduas Pagé, S., (2025). Managing substance abuse on psychiatric units: a scoping review. </w:t>
      </w:r>
      <w:r w:rsidRPr="000F7F7A">
        <w:rPr>
          <w:i/>
          <w:iCs/>
          <w:color w:val="222222"/>
          <w:highlight w:val="white"/>
          <w:lang w:val="en-GB"/>
        </w:rPr>
        <w:t>Frontiers in Psychiatry</w:t>
      </w:r>
      <w:r w:rsidRPr="000F7F7A">
        <w:rPr>
          <w:color w:val="222222"/>
          <w:highlight w:val="white"/>
          <w:lang w:val="en-GB"/>
        </w:rPr>
        <w:t xml:space="preserve">, </w:t>
      </w:r>
      <w:r w:rsidRPr="000F7F7A">
        <w:rPr>
          <w:i/>
          <w:iCs/>
          <w:color w:val="222222"/>
          <w:highlight w:val="white"/>
          <w:lang w:val="en-GB"/>
        </w:rPr>
        <w:t>16</w:t>
      </w:r>
      <w:r w:rsidRPr="000F7F7A">
        <w:rPr>
          <w:color w:val="222222"/>
          <w:highlight w:val="white"/>
          <w:lang w:val="en-GB"/>
        </w:rPr>
        <w:t xml:space="preserve">, p.1653093.doi: </w:t>
      </w:r>
      <w:hyperlink r:id="rId25">
        <w:r w:rsidRPr="000F7F7A">
          <w:rPr>
            <w:color w:val="1155CC"/>
            <w:u w:val="single"/>
            <w:lang w:val="en-GB"/>
          </w:rPr>
          <w:t>https://doi.org/10.3389/fpsyt.2025.1653093</w:t>
        </w:r>
      </w:hyperlink>
    </w:p>
    <w:p w14:paraId="67BC045E" w14:textId="77777777" w:rsidR="000F7F7A" w:rsidRPr="000F7F7A" w:rsidRDefault="000F7F7A">
      <w:pPr>
        <w:rPr>
          <w:lang w:val="en-GB"/>
        </w:rPr>
      </w:pPr>
      <w:r w:rsidRPr="000F7F7A">
        <w:rPr>
          <w:color w:val="222222"/>
          <w:highlight w:val="white"/>
          <w:lang w:val="en-GB"/>
        </w:rPr>
        <w:t xml:space="preserve">Iwasaki, M., (2025). ‘Environmental Governance and Whistleblower Rewards: Balancing Prosocial Motivations with Monetary Incentives’. </w:t>
      </w:r>
      <w:r w:rsidRPr="000F7F7A">
        <w:rPr>
          <w:i/>
          <w:iCs/>
          <w:color w:val="222222"/>
          <w:highlight w:val="white"/>
          <w:lang w:val="en-GB"/>
        </w:rPr>
        <w:t>Law &amp; Social Inquiry</w:t>
      </w:r>
      <w:r w:rsidRPr="000F7F7A">
        <w:rPr>
          <w:color w:val="222222"/>
          <w:highlight w:val="white"/>
          <w:lang w:val="en-GB"/>
        </w:rPr>
        <w:t xml:space="preserve">, pp.1-36. </w:t>
      </w:r>
      <w:proofErr w:type="spellStart"/>
      <w:r w:rsidRPr="000F7F7A">
        <w:rPr>
          <w:color w:val="222222"/>
          <w:highlight w:val="white"/>
          <w:lang w:val="en-GB"/>
        </w:rPr>
        <w:t>doi</w:t>
      </w:r>
      <w:proofErr w:type="spellEnd"/>
      <w:r w:rsidRPr="000F7F7A">
        <w:rPr>
          <w:color w:val="222222"/>
          <w:highlight w:val="white"/>
          <w:lang w:val="en-GB"/>
        </w:rPr>
        <w:t xml:space="preserve">:  </w:t>
      </w:r>
      <w:hyperlink r:id="rId26">
        <w:r w:rsidRPr="000F7F7A">
          <w:rPr>
            <w:color w:val="1155CC"/>
            <w:u w:val="single"/>
            <w:lang w:val="en-GB"/>
          </w:rPr>
          <w:t>https://doi.org/10.1017/lsi.2025.13</w:t>
        </w:r>
      </w:hyperlink>
    </w:p>
    <w:p w14:paraId="33008901" w14:textId="77777777" w:rsidR="000F7F7A" w:rsidRPr="000F7F7A" w:rsidRDefault="000F7F7A">
      <w:pPr>
        <w:rPr>
          <w:lang w:val="en-GB"/>
        </w:rPr>
      </w:pPr>
      <w:r w:rsidRPr="000F7F7A">
        <w:rPr>
          <w:color w:val="222222"/>
          <w:highlight w:val="white"/>
          <w:lang w:val="en-GB"/>
        </w:rPr>
        <w:t xml:space="preserve">Jesudason, E., (2024). ‘Reducing the risk of NHS </w:t>
      </w:r>
      <w:proofErr w:type="gramStart"/>
      <w:r w:rsidRPr="000F7F7A">
        <w:rPr>
          <w:color w:val="222222"/>
          <w:highlight w:val="white"/>
          <w:lang w:val="en-GB"/>
        </w:rPr>
        <w:t>disasters’</w:t>
      </w:r>
      <w:proofErr w:type="gramEnd"/>
      <w:r w:rsidRPr="000F7F7A">
        <w:rPr>
          <w:color w:val="222222"/>
          <w:highlight w:val="white"/>
          <w:lang w:val="en-GB"/>
        </w:rPr>
        <w:t xml:space="preserve">. </w:t>
      </w:r>
      <w:r w:rsidRPr="000F7F7A">
        <w:rPr>
          <w:i/>
          <w:iCs/>
          <w:color w:val="222222"/>
          <w:highlight w:val="white"/>
          <w:lang w:val="en-GB"/>
        </w:rPr>
        <w:t>Journal of medical ethics</w:t>
      </w:r>
      <w:r w:rsidRPr="000F7F7A">
        <w:rPr>
          <w:color w:val="222222"/>
          <w:highlight w:val="white"/>
          <w:lang w:val="en-GB"/>
        </w:rPr>
        <w:t xml:space="preserve">, </w:t>
      </w:r>
      <w:r w:rsidRPr="000F7F7A">
        <w:rPr>
          <w:i/>
          <w:iCs/>
          <w:color w:val="222222"/>
          <w:highlight w:val="white"/>
          <w:lang w:val="en-GB"/>
        </w:rPr>
        <w:t>50</w:t>
      </w:r>
      <w:r w:rsidRPr="000F7F7A">
        <w:rPr>
          <w:color w:val="222222"/>
          <w:highlight w:val="white"/>
          <w:lang w:val="en-GB"/>
        </w:rPr>
        <w:t xml:space="preserve">(7), pp.482-488.doi: </w:t>
      </w:r>
      <w:hyperlink r:id="rId27">
        <w:r w:rsidRPr="000F7F7A">
          <w:rPr>
            <w:color w:val="1155CC"/>
            <w:u w:val="single"/>
            <w:lang w:val="en-GB"/>
          </w:rPr>
          <w:t>https://doi.org/10.1136/jme-2023-109534</w:t>
        </w:r>
      </w:hyperlink>
    </w:p>
    <w:p w14:paraId="3694B2B2" w14:textId="77777777" w:rsidR="000F7F7A" w:rsidRPr="000F7F7A" w:rsidRDefault="000F7F7A">
      <w:pPr>
        <w:rPr>
          <w:lang w:val="en-GB"/>
        </w:rPr>
      </w:pPr>
      <w:r w:rsidRPr="000F7F7A">
        <w:rPr>
          <w:color w:val="222222"/>
          <w:highlight w:val="white"/>
          <w:lang w:val="en-GB"/>
        </w:rPr>
        <w:t xml:space="preserve">Kaur, E., Heys, M., Crehan, C., Fitzgerald, F., </w:t>
      </w:r>
      <w:proofErr w:type="spellStart"/>
      <w:r w:rsidRPr="000F7F7A">
        <w:rPr>
          <w:color w:val="222222"/>
          <w:highlight w:val="white"/>
          <w:lang w:val="en-GB"/>
        </w:rPr>
        <w:t>Chiume</w:t>
      </w:r>
      <w:proofErr w:type="spellEnd"/>
      <w:r w:rsidRPr="000F7F7A">
        <w:rPr>
          <w:color w:val="222222"/>
          <w:highlight w:val="white"/>
          <w:lang w:val="en-GB"/>
        </w:rPr>
        <w:t xml:space="preserve">, M., Chirwa, E., Wilson, E. and Evans, M., (2023). Persistent barriers to achieving quality neonatal care in low-resource settings: perspectives from a unique panel of frontline neonatal health experts. </w:t>
      </w:r>
      <w:r w:rsidRPr="000F7F7A">
        <w:rPr>
          <w:i/>
          <w:iCs/>
          <w:color w:val="222222"/>
          <w:highlight w:val="white"/>
          <w:lang w:val="en-GB"/>
        </w:rPr>
        <w:t>Journal of Global Health Reports</w:t>
      </w:r>
      <w:r w:rsidRPr="000F7F7A">
        <w:rPr>
          <w:color w:val="222222"/>
          <w:highlight w:val="white"/>
          <w:lang w:val="en-GB"/>
        </w:rPr>
        <w:t xml:space="preserve">, </w:t>
      </w:r>
      <w:r w:rsidRPr="000F7F7A">
        <w:rPr>
          <w:i/>
          <w:iCs/>
          <w:color w:val="222222"/>
          <w:highlight w:val="white"/>
          <w:lang w:val="en-GB"/>
        </w:rPr>
        <w:t>7</w:t>
      </w:r>
      <w:r w:rsidRPr="000F7F7A">
        <w:rPr>
          <w:color w:val="222222"/>
          <w:highlight w:val="white"/>
          <w:lang w:val="en-GB"/>
        </w:rPr>
        <w:t xml:space="preserve">.doi: </w:t>
      </w:r>
      <w:hyperlink r:id="rId28">
        <w:r w:rsidRPr="000F7F7A">
          <w:rPr>
            <w:color w:val="1155CC"/>
            <w:u w:val="single"/>
            <w:lang w:val="en-GB"/>
          </w:rPr>
          <w:t>https://doi.org/10.29392/001c.72089</w:t>
        </w:r>
      </w:hyperlink>
    </w:p>
    <w:p w14:paraId="01982D83" w14:textId="77777777" w:rsidR="000F7F7A" w:rsidRPr="000F7F7A" w:rsidRDefault="000F7F7A">
      <w:pPr>
        <w:rPr>
          <w:lang w:val="en-GB"/>
        </w:rPr>
      </w:pPr>
      <w:r w:rsidRPr="000F7F7A">
        <w:rPr>
          <w:color w:val="222222"/>
          <w:highlight w:val="white"/>
          <w:lang w:val="en-GB"/>
        </w:rPr>
        <w:t xml:space="preserve">Kaur, E., Heys, M., Crehan, C., Fitzgerald, F., </w:t>
      </w:r>
      <w:proofErr w:type="spellStart"/>
      <w:r w:rsidRPr="000F7F7A">
        <w:rPr>
          <w:color w:val="222222"/>
          <w:highlight w:val="white"/>
          <w:lang w:val="en-GB"/>
        </w:rPr>
        <w:t>Chiume</w:t>
      </w:r>
      <w:proofErr w:type="spellEnd"/>
      <w:r w:rsidRPr="000F7F7A">
        <w:rPr>
          <w:color w:val="222222"/>
          <w:highlight w:val="white"/>
          <w:lang w:val="en-GB"/>
        </w:rPr>
        <w:t xml:space="preserve">, M., Chirwa, E., Wilson, E. and Evans, M., (2023). Persistent barriers to achieving quality neonatal care in low-resource settings: perspectives from a unique panel of frontline neonatal health experts. </w:t>
      </w:r>
      <w:r w:rsidRPr="000F7F7A">
        <w:rPr>
          <w:i/>
          <w:iCs/>
          <w:color w:val="222222"/>
          <w:highlight w:val="white"/>
          <w:lang w:val="en-GB"/>
        </w:rPr>
        <w:t>Journal of Global Health Reports</w:t>
      </w:r>
      <w:r w:rsidRPr="000F7F7A">
        <w:rPr>
          <w:color w:val="222222"/>
          <w:highlight w:val="white"/>
          <w:lang w:val="en-GB"/>
        </w:rPr>
        <w:t xml:space="preserve">, </w:t>
      </w:r>
      <w:r w:rsidRPr="000F7F7A">
        <w:rPr>
          <w:i/>
          <w:iCs/>
          <w:color w:val="222222"/>
          <w:highlight w:val="white"/>
          <w:lang w:val="en-GB"/>
        </w:rPr>
        <w:t>7</w:t>
      </w:r>
      <w:r w:rsidRPr="000F7F7A">
        <w:rPr>
          <w:color w:val="222222"/>
          <w:highlight w:val="white"/>
          <w:lang w:val="en-GB"/>
        </w:rPr>
        <w:t xml:space="preserve">.doi: </w:t>
      </w:r>
      <w:hyperlink r:id="rId29">
        <w:r w:rsidRPr="000F7F7A">
          <w:rPr>
            <w:color w:val="1155CC"/>
            <w:u w:val="single"/>
            <w:lang w:val="en-GB"/>
          </w:rPr>
          <w:t>https://doi.org/10.29392/001c.72089</w:t>
        </w:r>
      </w:hyperlink>
    </w:p>
    <w:p w14:paraId="46169BB5" w14:textId="77777777" w:rsidR="000F7F7A" w:rsidRPr="000F7F7A" w:rsidRDefault="000F7F7A">
      <w:pPr>
        <w:rPr>
          <w:lang w:val="en-GB"/>
        </w:rPr>
      </w:pPr>
      <w:r w:rsidRPr="000F7F7A">
        <w:rPr>
          <w:color w:val="222222"/>
          <w:highlight w:val="white"/>
          <w:lang w:val="en-GB"/>
        </w:rPr>
        <w:t xml:space="preserve">Lindhout, P. and Reniers, G., (2022). The “Transparency for Safety” triangle: Developing a smart transparency framework to achieve a safety learning community. </w:t>
      </w:r>
      <w:r w:rsidRPr="000F7F7A">
        <w:rPr>
          <w:i/>
          <w:iCs/>
          <w:color w:val="222222"/>
          <w:highlight w:val="white"/>
          <w:lang w:val="en-GB"/>
        </w:rPr>
        <w:t>International journal of environmental research and public health</w:t>
      </w:r>
      <w:r w:rsidRPr="000F7F7A">
        <w:rPr>
          <w:color w:val="222222"/>
          <w:highlight w:val="white"/>
          <w:lang w:val="en-GB"/>
        </w:rPr>
        <w:t xml:space="preserve">, </w:t>
      </w:r>
      <w:r w:rsidRPr="000F7F7A">
        <w:rPr>
          <w:i/>
          <w:iCs/>
          <w:color w:val="222222"/>
          <w:highlight w:val="white"/>
          <w:lang w:val="en-GB"/>
        </w:rPr>
        <w:t>19</w:t>
      </w:r>
      <w:r w:rsidRPr="000F7F7A">
        <w:rPr>
          <w:color w:val="222222"/>
          <w:highlight w:val="white"/>
          <w:lang w:val="en-GB"/>
        </w:rPr>
        <w:t xml:space="preserve">(19), p.12037.doi: </w:t>
      </w:r>
      <w:hyperlink r:id="rId30">
        <w:r w:rsidRPr="000F7F7A">
          <w:rPr>
            <w:color w:val="1155CC"/>
            <w:u w:val="single"/>
            <w:lang w:val="en-GB"/>
          </w:rPr>
          <w:t>https://doi.org/10.3390/ijerph191912037</w:t>
        </w:r>
      </w:hyperlink>
    </w:p>
    <w:p w14:paraId="6C605388" w14:textId="77777777" w:rsidR="000F7F7A" w:rsidRPr="000F7F7A" w:rsidRDefault="000F7F7A">
      <w:pPr>
        <w:rPr>
          <w:lang w:val="en-GB"/>
        </w:rPr>
      </w:pPr>
      <w:r w:rsidRPr="000F7F7A">
        <w:rPr>
          <w:color w:val="222222"/>
          <w:highlight w:val="white"/>
          <w:lang w:val="en-GB"/>
        </w:rPr>
        <w:t xml:space="preserve">Nacu, A.G., Constantin, D.A. and </w:t>
      </w:r>
      <w:proofErr w:type="spellStart"/>
      <w:r w:rsidRPr="000F7F7A">
        <w:rPr>
          <w:color w:val="222222"/>
          <w:highlight w:val="white"/>
          <w:lang w:val="en-GB"/>
        </w:rPr>
        <w:t>Rogozea</w:t>
      </w:r>
      <w:proofErr w:type="spellEnd"/>
      <w:r w:rsidRPr="000F7F7A">
        <w:rPr>
          <w:color w:val="222222"/>
          <w:highlight w:val="white"/>
          <w:lang w:val="en-GB"/>
        </w:rPr>
        <w:t xml:space="preserve">, L.M., (2025), November. Ethical Dilemmas and Legal Responsibilities in Patient Care: An Analysis of Hospital Safety. In </w:t>
      </w:r>
      <w:r w:rsidRPr="000F7F7A">
        <w:rPr>
          <w:i/>
          <w:iCs/>
          <w:color w:val="222222"/>
          <w:highlight w:val="white"/>
          <w:lang w:val="en-GB"/>
        </w:rPr>
        <w:t>Healthcare</w:t>
      </w:r>
      <w:r w:rsidRPr="000F7F7A">
        <w:rPr>
          <w:color w:val="222222"/>
          <w:highlight w:val="white"/>
          <w:lang w:val="en-GB"/>
        </w:rPr>
        <w:t xml:space="preserve"> (Vol. 13, No. 21, p. 2800). </w:t>
      </w:r>
      <w:proofErr w:type="spellStart"/>
      <w:r w:rsidRPr="000F7F7A">
        <w:rPr>
          <w:color w:val="222222"/>
          <w:highlight w:val="white"/>
          <w:lang w:val="en-GB"/>
        </w:rPr>
        <w:t>MDPI.doi</w:t>
      </w:r>
      <w:proofErr w:type="spellEnd"/>
      <w:r w:rsidRPr="000F7F7A">
        <w:rPr>
          <w:color w:val="222222"/>
          <w:highlight w:val="white"/>
          <w:lang w:val="en-GB"/>
        </w:rPr>
        <w:t xml:space="preserve">: </w:t>
      </w:r>
      <w:hyperlink r:id="rId31">
        <w:r w:rsidRPr="000F7F7A">
          <w:rPr>
            <w:color w:val="1155CC"/>
            <w:u w:val="single"/>
            <w:lang w:val="en-GB"/>
          </w:rPr>
          <w:t>https://doi.org/10.3390/healthcare13212800</w:t>
        </w:r>
      </w:hyperlink>
    </w:p>
    <w:p w14:paraId="46717979" w14:textId="77777777" w:rsidR="000F7F7A" w:rsidRPr="000F7F7A" w:rsidRDefault="000F7F7A">
      <w:pPr>
        <w:rPr>
          <w:lang w:val="en-GB"/>
        </w:rPr>
      </w:pPr>
      <w:r w:rsidRPr="000F7F7A">
        <w:rPr>
          <w:color w:val="222222"/>
          <w:highlight w:val="white"/>
          <w:lang w:val="en-GB"/>
        </w:rPr>
        <w:t xml:space="preserve">Okai, E., Fair, F. and Soltani, H., (2024). Neonatal transport practices and effectiveness of the use of low‐cost interventions on outcomes of transported neonates in Sub‐Saharan Africa: A systematic review and narrative synthesis. </w:t>
      </w:r>
      <w:r w:rsidRPr="000F7F7A">
        <w:rPr>
          <w:i/>
          <w:iCs/>
          <w:color w:val="222222"/>
          <w:highlight w:val="white"/>
          <w:lang w:val="en-GB"/>
        </w:rPr>
        <w:t>Health Science Reports</w:t>
      </w:r>
      <w:r w:rsidRPr="000F7F7A">
        <w:rPr>
          <w:color w:val="222222"/>
          <w:highlight w:val="white"/>
          <w:lang w:val="en-GB"/>
        </w:rPr>
        <w:t xml:space="preserve">, </w:t>
      </w:r>
      <w:r w:rsidRPr="000F7F7A">
        <w:rPr>
          <w:i/>
          <w:iCs/>
          <w:color w:val="222222"/>
          <w:highlight w:val="white"/>
          <w:lang w:val="en-GB"/>
        </w:rPr>
        <w:t>7</w:t>
      </w:r>
      <w:r w:rsidRPr="000F7F7A">
        <w:rPr>
          <w:color w:val="222222"/>
          <w:highlight w:val="white"/>
          <w:lang w:val="en-GB"/>
        </w:rPr>
        <w:t xml:space="preserve">(3), </w:t>
      </w:r>
      <w:proofErr w:type="gramStart"/>
      <w:r w:rsidRPr="000F7F7A">
        <w:rPr>
          <w:color w:val="222222"/>
          <w:highlight w:val="white"/>
          <w:lang w:val="en-GB"/>
        </w:rPr>
        <w:t>p.e</w:t>
      </w:r>
      <w:proofErr w:type="gramEnd"/>
      <w:r w:rsidRPr="000F7F7A">
        <w:rPr>
          <w:color w:val="222222"/>
          <w:highlight w:val="white"/>
          <w:lang w:val="en-GB"/>
        </w:rPr>
        <w:t>1938doi</w:t>
      </w:r>
      <w:proofErr w:type="gramStart"/>
      <w:r w:rsidRPr="000F7F7A">
        <w:rPr>
          <w:color w:val="222222"/>
          <w:highlight w:val="white"/>
          <w:lang w:val="en-GB"/>
        </w:rPr>
        <w:t>: .</w:t>
      </w:r>
      <w:proofErr w:type="gramEnd"/>
      <w:r>
        <w:fldChar w:fldCharType="begin"/>
      </w:r>
      <w:r>
        <w:instrText>HYPERLINK "https://doi.org/10.1002/hsr2.1938" \h</w:instrText>
      </w:r>
      <w:r>
        <w:fldChar w:fldCharType="separate"/>
      </w:r>
      <w:r w:rsidRPr="000F7F7A">
        <w:rPr>
          <w:color w:val="1155CC"/>
          <w:u w:val="single"/>
          <w:lang w:val="en-GB"/>
        </w:rPr>
        <w:t>https://doi.org/10.1002/hsr2.1938</w:t>
      </w:r>
      <w:r>
        <w:fldChar w:fldCharType="end"/>
      </w:r>
    </w:p>
    <w:p w14:paraId="0A4DF48C" w14:textId="77777777" w:rsidR="000F7F7A" w:rsidRPr="000F7F7A" w:rsidRDefault="000F7F7A">
      <w:pPr>
        <w:rPr>
          <w:lang w:val="en-GB"/>
        </w:rPr>
      </w:pPr>
      <w:r w:rsidRPr="000F7F7A">
        <w:rPr>
          <w:color w:val="222222"/>
          <w:highlight w:val="white"/>
          <w:lang w:val="en-GB"/>
        </w:rPr>
        <w:lastRenderedPageBreak/>
        <w:t xml:space="preserve">Porter, J.E., Dabkowski, E., Smith, W., Fernando, A. and Seaward, L., (2025). An analysis of systemic incident investigation methodologies applied in serious injury or fatality events: A rapid systematic review. </w:t>
      </w:r>
      <w:r w:rsidRPr="000F7F7A">
        <w:rPr>
          <w:i/>
          <w:iCs/>
          <w:color w:val="222222"/>
          <w:highlight w:val="white"/>
          <w:lang w:val="en-GB"/>
        </w:rPr>
        <w:t>Public Health in Practice</w:t>
      </w:r>
      <w:r w:rsidRPr="000F7F7A">
        <w:rPr>
          <w:color w:val="222222"/>
          <w:highlight w:val="white"/>
          <w:lang w:val="en-GB"/>
        </w:rPr>
        <w:t xml:space="preserve">, p.100598.doi: </w:t>
      </w:r>
      <w:hyperlink r:id="rId32">
        <w:r w:rsidRPr="000F7F7A">
          <w:rPr>
            <w:color w:val="1155CC"/>
            <w:u w:val="single"/>
            <w:lang w:val="en-GB"/>
          </w:rPr>
          <w:t>https://doi.org/10.1016/j.puhip.2025.100598</w:t>
        </w:r>
      </w:hyperlink>
    </w:p>
    <w:p w14:paraId="6BAB4D50" w14:textId="77777777" w:rsidR="000F7F7A" w:rsidRPr="000F7F7A" w:rsidRDefault="000F7F7A">
      <w:pPr>
        <w:rPr>
          <w:lang w:val="en-GB"/>
        </w:rPr>
      </w:pPr>
      <w:r w:rsidRPr="000F7F7A">
        <w:rPr>
          <w:color w:val="222222"/>
          <w:highlight w:val="white"/>
          <w:lang w:val="en-GB"/>
        </w:rPr>
        <w:t xml:space="preserve">Raboin, K., Ellis, D., Nichols, G., Hughes, M., Brimacombe, M. and Rubin, K., (2024). Advancing newborn screening long-term follow-up: Integration of Epic-based registries, dashboards, and efficient workflows. </w:t>
      </w:r>
      <w:r w:rsidRPr="000F7F7A">
        <w:rPr>
          <w:i/>
          <w:iCs/>
          <w:color w:val="222222"/>
          <w:highlight w:val="white"/>
          <w:lang w:val="en-GB"/>
        </w:rPr>
        <w:t>International Journal of Neonatal Screening</w:t>
      </w:r>
      <w:r w:rsidRPr="000F7F7A">
        <w:rPr>
          <w:color w:val="222222"/>
          <w:highlight w:val="white"/>
          <w:lang w:val="en-GB"/>
        </w:rPr>
        <w:t xml:space="preserve">, </w:t>
      </w:r>
      <w:r w:rsidRPr="000F7F7A">
        <w:rPr>
          <w:i/>
          <w:iCs/>
          <w:color w:val="222222"/>
          <w:highlight w:val="white"/>
          <w:lang w:val="en-GB"/>
        </w:rPr>
        <w:t>10</w:t>
      </w:r>
      <w:r w:rsidRPr="000F7F7A">
        <w:rPr>
          <w:color w:val="222222"/>
          <w:highlight w:val="white"/>
          <w:lang w:val="en-GB"/>
        </w:rPr>
        <w:t xml:space="preserve">(2), p.27.doi: </w:t>
      </w:r>
      <w:hyperlink r:id="rId33">
        <w:r w:rsidRPr="000F7F7A">
          <w:rPr>
            <w:color w:val="1155CC"/>
            <w:u w:val="single"/>
            <w:lang w:val="en-GB"/>
          </w:rPr>
          <w:t>https://doi.org/10.3390/ijns10020027</w:t>
        </w:r>
      </w:hyperlink>
    </w:p>
    <w:p w14:paraId="25C1E795" w14:textId="77777777" w:rsidR="000F7F7A" w:rsidRPr="000F7F7A" w:rsidRDefault="000F7F7A">
      <w:pPr>
        <w:rPr>
          <w:lang w:val="en-GB"/>
        </w:rPr>
      </w:pPr>
      <w:r w:rsidRPr="00CB1121">
        <w:rPr>
          <w:color w:val="222222"/>
          <w:highlight w:val="white"/>
          <w:lang w:val="sv-SE"/>
        </w:rPr>
        <w:t xml:space="preserve">Rahi, A.F., Johansson, J., Fagerström, A. and Blomkvist, M., (2022). </w:t>
      </w:r>
      <w:r w:rsidRPr="000F7F7A">
        <w:rPr>
          <w:color w:val="222222"/>
          <w:highlight w:val="white"/>
          <w:lang w:val="en-GB"/>
        </w:rPr>
        <w:t xml:space="preserve">Sustainability reporting and management control system: A structured literature review. </w:t>
      </w:r>
      <w:r w:rsidRPr="000F7F7A">
        <w:rPr>
          <w:i/>
          <w:iCs/>
          <w:color w:val="222222"/>
          <w:highlight w:val="white"/>
          <w:lang w:val="en-GB"/>
        </w:rPr>
        <w:t>Journal of Risk and Financial Management</w:t>
      </w:r>
      <w:r w:rsidRPr="000F7F7A">
        <w:rPr>
          <w:color w:val="222222"/>
          <w:highlight w:val="white"/>
          <w:lang w:val="en-GB"/>
        </w:rPr>
        <w:t xml:space="preserve">, </w:t>
      </w:r>
      <w:r w:rsidRPr="000F7F7A">
        <w:rPr>
          <w:i/>
          <w:iCs/>
          <w:color w:val="222222"/>
          <w:highlight w:val="white"/>
          <w:lang w:val="en-GB"/>
        </w:rPr>
        <w:t>15</w:t>
      </w:r>
      <w:r w:rsidRPr="000F7F7A">
        <w:rPr>
          <w:color w:val="222222"/>
          <w:highlight w:val="white"/>
          <w:lang w:val="en-GB"/>
        </w:rPr>
        <w:t xml:space="preserve">(12), p.562.doi: </w:t>
      </w:r>
      <w:hyperlink r:id="rId34">
        <w:r w:rsidRPr="000F7F7A">
          <w:rPr>
            <w:color w:val="1155CC"/>
            <w:u w:val="single"/>
            <w:lang w:val="en-GB"/>
          </w:rPr>
          <w:t>https://doi.org/10.3390/jrfm15120562</w:t>
        </w:r>
      </w:hyperlink>
    </w:p>
    <w:p w14:paraId="1ADDF9CD" w14:textId="77777777" w:rsidR="000F7F7A" w:rsidRPr="000F7F7A" w:rsidRDefault="000F7F7A">
      <w:pPr>
        <w:rPr>
          <w:lang w:val="en-GB"/>
        </w:rPr>
      </w:pPr>
      <w:r w:rsidRPr="000F7F7A">
        <w:rPr>
          <w:color w:val="222222"/>
          <w:highlight w:val="white"/>
          <w:lang w:val="en-GB"/>
        </w:rPr>
        <w:t xml:space="preserve">Reader, T.W., (2022). ‘Stakeholder safety communication: patient and family reports on safety risks in </w:t>
      </w:r>
      <w:proofErr w:type="gramStart"/>
      <w:r w:rsidRPr="000F7F7A">
        <w:rPr>
          <w:color w:val="222222"/>
          <w:highlight w:val="white"/>
          <w:lang w:val="en-GB"/>
        </w:rPr>
        <w:t>hospitals’</w:t>
      </w:r>
      <w:proofErr w:type="gramEnd"/>
      <w:r w:rsidRPr="000F7F7A">
        <w:rPr>
          <w:color w:val="222222"/>
          <w:highlight w:val="white"/>
          <w:lang w:val="en-GB"/>
        </w:rPr>
        <w:t xml:space="preserve">. </w:t>
      </w:r>
      <w:r w:rsidRPr="000F7F7A">
        <w:rPr>
          <w:i/>
          <w:iCs/>
          <w:color w:val="222222"/>
          <w:highlight w:val="white"/>
          <w:lang w:val="en-GB"/>
        </w:rPr>
        <w:t>Journal of Risk Research</w:t>
      </w:r>
      <w:r w:rsidRPr="000F7F7A">
        <w:rPr>
          <w:color w:val="222222"/>
          <w:highlight w:val="white"/>
          <w:lang w:val="en-GB"/>
        </w:rPr>
        <w:t xml:space="preserve">, </w:t>
      </w:r>
      <w:r w:rsidRPr="000F7F7A">
        <w:rPr>
          <w:i/>
          <w:iCs/>
          <w:color w:val="222222"/>
          <w:highlight w:val="white"/>
          <w:lang w:val="en-GB"/>
        </w:rPr>
        <w:t>25</w:t>
      </w:r>
      <w:r w:rsidRPr="000F7F7A">
        <w:rPr>
          <w:color w:val="222222"/>
          <w:highlight w:val="white"/>
          <w:lang w:val="en-GB"/>
        </w:rPr>
        <w:t xml:space="preserve">(7), pp.807-824.doi: </w:t>
      </w:r>
      <w:hyperlink r:id="rId35">
        <w:r w:rsidRPr="000F7F7A">
          <w:rPr>
            <w:color w:val="1155CC"/>
            <w:u w:val="single"/>
            <w:lang w:val="en-GB"/>
          </w:rPr>
          <w:t>https://doi.org/10.1080/13669877.2022.2061036</w:t>
        </w:r>
      </w:hyperlink>
    </w:p>
    <w:p w14:paraId="50C4E990" w14:textId="77777777" w:rsidR="000F7F7A" w:rsidRPr="000F7F7A" w:rsidRDefault="000F7F7A">
      <w:pPr>
        <w:rPr>
          <w:lang w:val="en-GB"/>
        </w:rPr>
      </w:pPr>
      <w:r w:rsidRPr="000F7F7A">
        <w:rPr>
          <w:color w:val="222222"/>
          <w:highlight w:val="white"/>
          <w:lang w:val="en-GB"/>
        </w:rPr>
        <w:t xml:space="preserve">Sirrs, C., (2024). ‘The moment of patient safety: Iatrogenic injury, clinical error and cultures of healthcare in the NHS’. </w:t>
      </w:r>
      <w:r w:rsidRPr="000F7F7A">
        <w:rPr>
          <w:i/>
          <w:iCs/>
          <w:color w:val="222222"/>
          <w:highlight w:val="white"/>
          <w:lang w:val="en-GB"/>
        </w:rPr>
        <w:t>Social History of Medicine</w:t>
      </w:r>
      <w:r w:rsidRPr="000F7F7A">
        <w:rPr>
          <w:color w:val="222222"/>
          <w:highlight w:val="white"/>
          <w:lang w:val="en-GB"/>
        </w:rPr>
        <w:t xml:space="preserve">, </w:t>
      </w:r>
      <w:r w:rsidRPr="000F7F7A">
        <w:rPr>
          <w:i/>
          <w:iCs/>
          <w:color w:val="222222"/>
          <w:highlight w:val="white"/>
          <w:lang w:val="en-GB"/>
        </w:rPr>
        <w:t>37</w:t>
      </w:r>
      <w:r w:rsidRPr="000F7F7A">
        <w:rPr>
          <w:color w:val="222222"/>
          <w:highlight w:val="white"/>
          <w:lang w:val="en-GB"/>
        </w:rPr>
        <w:t xml:space="preserve">(1), pp.93-115.doi: </w:t>
      </w:r>
      <w:hyperlink r:id="rId36">
        <w:r w:rsidRPr="000F7F7A">
          <w:rPr>
            <w:color w:val="1155CC"/>
            <w:u w:val="single"/>
            <w:lang w:val="en-GB"/>
          </w:rPr>
          <w:t>https://doi.org/10.1093/shm/hkad089</w:t>
        </w:r>
      </w:hyperlink>
    </w:p>
    <w:p w14:paraId="2D412D14" w14:textId="77777777" w:rsidR="000F7F7A" w:rsidRPr="000F7F7A" w:rsidRDefault="000F7F7A">
      <w:pPr>
        <w:rPr>
          <w:lang w:val="en-GB"/>
        </w:rPr>
      </w:pPr>
      <w:r w:rsidRPr="000F7F7A">
        <w:rPr>
          <w:color w:val="222222"/>
          <w:highlight w:val="white"/>
          <w:lang w:val="en-GB"/>
        </w:rPr>
        <w:t xml:space="preserve">Sutton, E., Ibrahim, M., Plath, W., Booth, L., Sujan, M., McCulloch, P. and Mackintosh, N., (2025). Understanding the enablers and barriers to implementing a patient-led escalation system: a qualitative study. </w:t>
      </w:r>
      <w:r w:rsidRPr="000F7F7A">
        <w:rPr>
          <w:i/>
          <w:iCs/>
          <w:color w:val="222222"/>
          <w:highlight w:val="white"/>
          <w:lang w:val="en-GB"/>
        </w:rPr>
        <w:t>BMJ Quality &amp; Safety</w:t>
      </w:r>
      <w:r w:rsidRPr="000F7F7A">
        <w:rPr>
          <w:color w:val="222222"/>
          <w:highlight w:val="white"/>
          <w:lang w:val="en-GB"/>
        </w:rPr>
        <w:t xml:space="preserve">, </w:t>
      </w:r>
      <w:r w:rsidRPr="000F7F7A">
        <w:rPr>
          <w:i/>
          <w:iCs/>
          <w:color w:val="222222"/>
          <w:highlight w:val="white"/>
          <w:lang w:val="en-GB"/>
        </w:rPr>
        <w:t>34</w:t>
      </w:r>
      <w:r w:rsidRPr="000F7F7A">
        <w:rPr>
          <w:color w:val="222222"/>
          <w:highlight w:val="white"/>
          <w:lang w:val="en-GB"/>
        </w:rPr>
        <w:t xml:space="preserve">(1), pp.18-27.doi: </w:t>
      </w:r>
      <w:hyperlink r:id="rId37">
        <w:r w:rsidRPr="000F7F7A">
          <w:rPr>
            <w:color w:val="1155CC"/>
            <w:u w:val="single"/>
            <w:lang w:val="en-GB"/>
          </w:rPr>
          <w:t>https://doi.org/10.1136/bmjqs-2024-017132</w:t>
        </w:r>
      </w:hyperlink>
    </w:p>
    <w:p w14:paraId="386B2418" w14:textId="77777777" w:rsidR="000F7F7A" w:rsidRPr="000F7F7A" w:rsidRDefault="000F7F7A">
      <w:pPr>
        <w:rPr>
          <w:lang w:val="en-GB"/>
        </w:rPr>
      </w:pPr>
      <w:proofErr w:type="spellStart"/>
      <w:r w:rsidRPr="000F7F7A">
        <w:rPr>
          <w:color w:val="222222"/>
          <w:highlight w:val="white"/>
          <w:lang w:val="en-GB"/>
        </w:rPr>
        <w:t>Tenkorang</w:t>
      </w:r>
      <w:proofErr w:type="spellEnd"/>
      <w:r w:rsidRPr="000F7F7A">
        <w:rPr>
          <w:color w:val="222222"/>
          <w:highlight w:val="white"/>
          <w:lang w:val="en-GB"/>
        </w:rPr>
        <w:t xml:space="preserve">-Twum, D., </w:t>
      </w:r>
      <w:proofErr w:type="spellStart"/>
      <w:r w:rsidRPr="000F7F7A">
        <w:rPr>
          <w:color w:val="222222"/>
          <w:highlight w:val="white"/>
          <w:lang w:val="en-GB"/>
        </w:rPr>
        <w:t>Atibila</w:t>
      </w:r>
      <w:proofErr w:type="spellEnd"/>
      <w:r w:rsidRPr="000F7F7A">
        <w:rPr>
          <w:color w:val="222222"/>
          <w:highlight w:val="white"/>
          <w:lang w:val="en-GB"/>
        </w:rPr>
        <w:t xml:space="preserve">, F. and </w:t>
      </w:r>
      <w:proofErr w:type="spellStart"/>
      <w:r w:rsidRPr="000F7F7A">
        <w:rPr>
          <w:color w:val="222222"/>
          <w:highlight w:val="white"/>
          <w:lang w:val="en-GB"/>
        </w:rPr>
        <w:t>Gyapong</w:t>
      </w:r>
      <w:proofErr w:type="spellEnd"/>
      <w:r w:rsidRPr="000F7F7A">
        <w:rPr>
          <w:color w:val="222222"/>
          <w:highlight w:val="white"/>
          <w:lang w:val="en-GB"/>
        </w:rPr>
        <w:t xml:space="preserve">, P., (2024). ‘Examination of Patient Safety and Experience in Ghanaian Healthcare Facilities’. </w:t>
      </w:r>
      <w:r w:rsidRPr="000F7F7A">
        <w:rPr>
          <w:i/>
          <w:iCs/>
          <w:color w:val="222222"/>
          <w:highlight w:val="white"/>
          <w:lang w:val="en-GB"/>
        </w:rPr>
        <w:t>Ghana Journal of Nursing and Midwifery</w:t>
      </w:r>
      <w:r w:rsidRPr="000F7F7A">
        <w:rPr>
          <w:color w:val="222222"/>
          <w:highlight w:val="white"/>
          <w:lang w:val="en-GB"/>
        </w:rPr>
        <w:t xml:space="preserve">, </w:t>
      </w:r>
      <w:r w:rsidRPr="000F7F7A">
        <w:rPr>
          <w:i/>
          <w:iCs/>
          <w:color w:val="222222"/>
          <w:highlight w:val="white"/>
          <w:lang w:val="en-GB"/>
        </w:rPr>
        <w:t>1</w:t>
      </w:r>
      <w:r w:rsidRPr="000F7F7A">
        <w:rPr>
          <w:color w:val="222222"/>
          <w:highlight w:val="white"/>
          <w:lang w:val="en-GB"/>
        </w:rPr>
        <w:t xml:space="preserve">(2), pp.21-30. </w:t>
      </w:r>
      <w:proofErr w:type="spellStart"/>
      <w:r w:rsidRPr="000F7F7A">
        <w:rPr>
          <w:color w:val="222222"/>
          <w:highlight w:val="white"/>
          <w:lang w:val="en-GB"/>
        </w:rPr>
        <w:t>doi</w:t>
      </w:r>
      <w:proofErr w:type="spellEnd"/>
      <w:r w:rsidRPr="000F7F7A">
        <w:rPr>
          <w:color w:val="222222"/>
          <w:highlight w:val="white"/>
          <w:lang w:val="en-GB"/>
        </w:rPr>
        <w:t xml:space="preserve">:  </w:t>
      </w:r>
      <w:hyperlink r:id="rId38">
        <w:r w:rsidRPr="000F7F7A">
          <w:rPr>
            <w:color w:val="1155CC"/>
            <w:u w:val="single"/>
            <w:lang w:val="en-GB"/>
          </w:rPr>
          <w:t>https://doi.org/10.69600/GJNMID.v01.i02.21-30</w:t>
        </w:r>
      </w:hyperlink>
      <w:r w:rsidRPr="000F7F7A">
        <w:rPr>
          <w:lang w:val="en-GB"/>
        </w:rPr>
        <w:t>.</w:t>
      </w:r>
    </w:p>
    <w:p w14:paraId="01547FAB" w14:textId="77777777" w:rsidR="000F7F7A" w:rsidRPr="000F7F7A" w:rsidRDefault="000F7F7A">
      <w:pPr>
        <w:rPr>
          <w:lang w:val="en-GB"/>
        </w:rPr>
      </w:pPr>
      <w:r w:rsidRPr="000F7F7A">
        <w:rPr>
          <w:color w:val="222222"/>
          <w:highlight w:val="white"/>
          <w:lang w:val="en-GB"/>
        </w:rPr>
        <w:t xml:space="preserve">Wolfe, N., Teeling, S.P., Ward, M., McNamara, M. and Koshy, L., (2021). Operation note transformation: The application of lean six sigma to improve the process of documenting the operation note in a private hospital setting. </w:t>
      </w:r>
      <w:r w:rsidRPr="000F7F7A">
        <w:rPr>
          <w:i/>
          <w:iCs/>
          <w:color w:val="222222"/>
          <w:highlight w:val="white"/>
          <w:lang w:val="en-GB"/>
        </w:rPr>
        <w:t>International journal of environmental research and public health</w:t>
      </w:r>
      <w:r w:rsidRPr="000F7F7A">
        <w:rPr>
          <w:color w:val="222222"/>
          <w:highlight w:val="white"/>
          <w:lang w:val="en-GB"/>
        </w:rPr>
        <w:t xml:space="preserve">, </w:t>
      </w:r>
      <w:r w:rsidRPr="000F7F7A">
        <w:rPr>
          <w:i/>
          <w:iCs/>
          <w:color w:val="222222"/>
          <w:highlight w:val="white"/>
          <w:lang w:val="en-GB"/>
        </w:rPr>
        <w:t>18</w:t>
      </w:r>
      <w:r w:rsidRPr="000F7F7A">
        <w:rPr>
          <w:color w:val="222222"/>
          <w:highlight w:val="white"/>
          <w:lang w:val="en-GB"/>
        </w:rPr>
        <w:t xml:space="preserve">(22), p.12217.doi: </w:t>
      </w:r>
      <w:hyperlink r:id="rId39">
        <w:r w:rsidRPr="000F7F7A">
          <w:rPr>
            <w:color w:val="1155CC"/>
            <w:u w:val="single"/>
            <w:lang w:val="en-GB"/>
          </w:rPr>
          <w:t>https://doi.org/10.3390/ijerph182212217</w:t>
        </w:r>
      </w:hyperlink>
    </w:p>
    <w:p w14:paraId="21B27985" w14:textId="77777777" w:rsidR="000F7F7A" w:rsidRPr="000F7F7A" w:rsidRDefault="000F7F7A">
      <w:pPr>
        <w:rPr>
          <w:lang w:val="en-GB"/>
        </w:rPr>
      </w:pPr>
      <w:r w:rsidRPr="000F7F7A">
        <w:rPr>
          <w:color w:val="222222"/>
          <w:highlight w:val="white"/>
          <w:lang w:val="en-GB"/>
        </w:rPr>
        <w:lastRenderedPageBreak/>
        <w:t xml:space="preserve">Yap, C., Rekowski, J., Ursino, M., Solovyeva, O., Patel, D., </w:t>
      </w:r>
      <w:proofErr w:type="spellStart"/>
      <w:r w:rsidRPr="000F7F7A">
        <w:rPr>
          <w:color w:val="222222"/>
          <w:highlight w:val="white"/>
          <w:lang w:val="en-GB"/>
        </w:rPr>
        <w:t>Dimairo</w:t>
      </w:r>
      <w:proofErr w:type="spellEnd"/>
      <w:r w:rsidRPr="000F7F7A">
        <w:rPr>
          <w:color w:val="222222"/>
          <w:highlight w:val="white"/>
          <w:lang w:val="en-GB"/>
        </w:rPr>
        <w:t xml:space="preserve">, M., Weir, C.J., Chan, A.W., Jaki, T., Mander, A. and Evans, T.R.J., (2023). ‘Enhancing quality and impact of early phase dose-finding clinical trial protocols: SPIRIT Dose-finding Extension (SPIRIT-DEFINE) guidance’. </w:t>
      </w:r>
      <w:proofErr w:type="spellStart"/>
      <w:r w:rsidRPr="000F7F7A">
        <w:rPr>
          <w:i/>
          <w:iCs/>
          <w:color w:val="222222"/>
          <w:highlight w:val="white"/>
          <w:lang w:val="en-GB"/>
        </w:rPr>
        <w:t>bmj</w:t>
      </w:r>
      <w:proofErr w:type="spellEnd"/>
      <w:r w:rsidRPr="000F7F7A">
        <w:rPr>
          <w:color w:val="222222"/>
          <w:highlight w:val="white"/>
          <w:lang w:val="en-GB"/>
        </w:rPr>
        <w:t xml:space="preserve">, </w:t>
      </w:r>
      <w:r w:rsidRPr="000F7F7A">
        <w:rPr>
          <w:i/>
          <w:iCs/>
          <w:color w:val="222222"/>
          <w:highlight w:val="white"/>
          <w:lang w:val="en-GB"/>
        </w:rPr>
        <w:t>383</w:t>
      </w:r>
      <w:r w:rsidRPr="000F7F7A">
        <w:rPr>
          <w:color w:val="222222"/>
          <w:highlight w:val="white"/>
          <w:lang w:val="en-GB"/>
        </w:rPr>
        <w:t xml:space="preserve">.doi: </w:t>
      </w:r>
      <w:hyperlink r:id="rId40">
        <w:r w:rsidRPr="000F7F7A">
          <w:rPr>
            <w:color w:val="1155CC"/>
            <w:u w:val="single"/>
            <w:lang w:val="en-GB"/>
          </w:rPr>
          <w:t>https://doi.org/10.1136/bmj-2023-076386</w:t>
        </w:r>
      </w:hyperlink>
    </w:p>
    <w:p w14:paraId="56ECB836" w14:textId="77777777" w:rsidR="00CD60CF" w:rsidRPr="000F7F7A" w:rsidRDefault="000F7F7A">
      <w:pPr>
        <w:rPr>
          <w:lang w:val="en-GB"/>
        </w:rPr>
      </w:pPr>
      <w:proofErr w:type="spellStart"/>
      <w:r w:rsidRPr="000F7F7A">
        <w:rPr>
          <w:color w:val="222222"/>
          <w:highlight w:val="white"/>
          <w:lang w:val="en-GB"/>
        </w:rPr>
        <w:t>Zaurez</w:t>
      </w:r>
      <w:proofErr w:type="spellEnd"/>
      <w:r w:rsidRPr="000F7F7A">
        <w:rPr>
          <w:color w:val="222222"/>
          <w:highlight w:val="white"/>
          <w:lang w:val="en-GB"/>
        </w:rPr>
        <w:t xml:space="preserve"> Afshar, M. and Hussain Shah, D.M., (2025). ‘Strategic Evaluation Using PESTLE and SWOT Frameworks: Public Sector Perspective’. </w:t>
      </w:r>
      <w:r w:rsidRPr="000F7F7A">
        <w:rPr>
          <w:i/>
          <w:iCs/>
          <w:color w:val="222222"/>
          <w:highlight w:val="white"/>
          <w:lang w:val="en-GB"/>
        </w:rPr>
        <w:t>Mutahir, Strategic Evaluation Using PESTLE and SWOT Frameworks: Public Sector Perspective (February 12, 2025</w:t>
      </w:r>
      <w:proofErr w:type="gramStart"/>
      <w:r w:rsidRPr="000F7F7A">
        <w:rPr>
          <w:i/>
          <w:iCs/>
          <w:color w:val="222222"/>
          <w:highlight w:val="white"/>
          <w:lang w:val="en-GB"/>
        </w:rPr>
        <w:t>)</w:t>
      </w:r>
      <w:r w:rsidRPr="000F7F7A">
        <w:rPr>
          <w:color w:val="222222"/>
          <w:highlight w:val="white"/>
          <w:lang w:val="en-GB"/>
        </w:rPr>
        <w:t>.</w:t>
      </w:r>
      <w:proofErr w:type="spellStart"/>
      <w:r w:rsidRPr="000F7F7A">
        <w:rPr>
          <w:color w:val="222222"/>
          <w:highlight w:val="white"/>
          <w:lang w:val="en-GB"/>
        </w:rPr>
        <w:t>doi</w:t>
      </w:r>
      <w:proofErr w:type="spellEnd"/>
      <w:proofErr w:type="gramEnd"/>
      <w:r w:rsidRPr="000F7F7A">
        <w:rPr>
          <w:color w:val="222222"/>
          <w:highlight w:val="white"/>
          <w:lang w:val="en-GB"/>
        </w:rPr>
        <w:t xml:space="preserve">: </w:t>
      </w:r>
      <w:r w:rsidRPr="000F7F7A">
        <w:rPr>
          <w:color w:val="1155CC"/>
          <w:u w:val="single"/>
          <w:lang w:val="en-GB"/>
        </w:rPr>
        <w:t>https://dx.doi.org/10.2139/ssrn.5141505</w:t>
      </w:r>
    </w:p>
    <w:sectPr w:rsidR="00CD60CF" w:rsidRPr="000F7F7A" w:rsidSect="000F7F7A">
      <w:footerReference w:type="default" r:id="rId41"/>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7FBAE" w14:textId="77777777" w:rsidR="003307D3" w:rsidRDefault="003307D3" w:rsidP="000F7F7A">
      <w:pPr>
        <w:spacing w:after="0" w:line="240" w:lineRule="auto"/>
      </w:pPr>
      <w:r>
        <w:separator/>
      </w:r>
    </w:p>
  </w:endnote>
  <w:endnote w:type="continuationSeparator" w:id="0">
    <w:p w14:paraId="1EA05E3C" w14:textId="77777777" w:rsidR="003307D3" w:rsidRDefault="003307D3" w:rsidP="000F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1FC16DC-58F2-4A2A-8A28-EFBE3BA94313}"/>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2" w:fontKey="{135454A0-6315-419F-AFDC-1B948C4898A4}"/>
  </w:font>
  <w:font w:name="Cambria">
    <w:panose1 w:val="02040503050406030204"/>
    <w:charset w:val="00"/>
    <w:family w:val="roman"/>
    <w:pitch w:val="variable"/>
    <w:sig w:usb0="E00006FF" w:usb1="420024FF" w:usb2="02000000" w:usb3="00000000" w:csb0="0000019F" w:csb1="00000000"/>
    <w:embedRegular r:id="rId3" w:fontKey="{F81EEF28-85A8-4439-8CFC-D26A6E9CFD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1251124"/>
      <w:docPartObj>
        <w:docPartGallery w:val="Page Numbers (Bottom of Page)"/>
        <w:docPartUnique/>
      </w:docPartObj>
    </w:sdtPr>
    <w:sdtContent>
      <w:sdt>
        <w:sdtPr>
          <w:id w:val="-1769616900"/>
          <w:docPartObj>
            <w:docPartGallery w:val="Page Numbers (Top of Page)"/>
            <w:docPartUnique/>
          </w:docPartObj>
        </w:sdtPr>
        <w:sdtContent>
          <w:p w14:paraId="645E8869" w14:textId="77777777" w:rsidR="000F7F7A" w:rsidRDefault="000F7F7A">
            <w:pPr>
              <w:pStyle w:val="Footer"/>
              <w:jc w:val="right"/>
            </w:pPr>
            <w:r>
              <w:t xml:space="preserve">Page </w:t>
            </w:r>
            <w:r>
              <w:rPr>
                <w:b/>
                <w:bCs/>
              </w:rPr>
              <w:fldChar w:fldCharType="begin"/>
            </w:r>
            <w:r>
              <w:rPr>
                <w:b/>
                <w:bCs/>
              </w:rPr>
              <w:instrText xml:space="preserve"> PAGE </w:instrText>
            </w:r>
            <w:r>
              <w:rPr>
                <w:b/>
                <w:bCs/>
              </w:rPr>
              <w:fldChar w:fldCharType="separate"/>
            </w:r>
            <w:r w:rsidR="006D7585">
              <w:rPr>
                <w:b/>
                <w:bCs/>
                <w:noProof/>
              </w:rPr>
              <w:t>20</w:t>
            </w:r>
            <w:r>
              <w:rPr>
                <w:b/>
                <w:bCs/>
              </w:rPr>
              <w:fldChar w:fldCharType="end"/>
            </w:r>
            <w:r>
              <w:t xml:space="preserve"> of </w:t>
            </w:r>
            <w:r>
              <w:rPr>
                <w:b/>
                <w:bCs/>
              </w:rPr>
              <w:fldChar w:fldCharType="begin"/>
            </w:r>
            <w:r>
              <w:rPr>
                <w:b/>
                <w:bCs/>
              </w:rPr>
              <w:instrText xml:space="preserve"> NUMPAGES  </w:instrText>
            </w:r>
            <w:r>
              <w:rPr>
                <w:b/>
                <w:bCs/>
              </w:rPr>
              <w:fldChar w:fldCharType="separate"/>
            </w:r>
            <w:r w:rsidR="006D7585">
              <w:rPr>
                <w:b/>
                <w:bCs/>
                <w:noProof/>
              </w:rPr>
              <w:t>21</w:t>
            </w:r>
            <w:r>
              <w:rPr>
                <w:b/>
                <w:bCs/>
              </w:rPr>
              <w:fldChar w:fldCharType="end"/>
            </w:r>
          </w:p>
        </w:sdtContent>
      </w:sdt>
    </w:sdtContent>
  </w:sdt>
  <w:p w14:paraId="19A40986" w14:textId="77777777" w:rsidR="000F7F7A" w:rsidRDefault="000F7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E177A" w14:textId="77777777" w:rsidR="003307D3" w:rsidRDefault="003307D3" w:rsidP="000F7F7A">
      <w:pPr>
        <w:spacing w:after="0" w:line="240" w:lineRule="auto"/>
      </w:pPr>
      <w:r>
        <w:separator/>
      </w:r>
    </w:p>
  </w:footnote>
  <w:footnote w:type="continuationSeparator" w:id="0">
    <w:p w14:paraId="0CEBCD8A" w14:textId="77777777" w:rsidR="003307D3" w:rsidRDefault="003307D3" w:rsidP="000F7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642D"/>
    <w:multiLevelType w:val="multilevel"/>
    <w:tmpl w:val="D59C6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D846C5"/>
    <w:multiLevelType w:val="multilevel"/>
    <w:tmpl w:val="778CA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2C082F"/>
    <w:multiLevelType w:val="multilevel"/>
    <w:tmpl w:val="6D9211DC"/>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5D958E7"/>
    <w:multiLevelType w:val="multilevel"/>
    <w:tmpl w:val="DBD4D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677EEB"/>
    <w:multiLevelType w:val="multilevel"/>
    <w:tmpl w:val="C1FA2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AF082C"/>
    <w:multiLevelType w:val="multilevel"/>
    <w:tmpl w:val="851CE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8C2520"/>
    <w:multiLevelType w:val="multilevel"/>
    <w:tmpl w:val="09F8B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8B616B"/>
    <w:multiLevelType w:val="multilevel"/>
    <w:tmpl w:val="34EEE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C2674CC"/>
    <w:multiLevelType w:val="multilevel"/>
    <w:tmpl w:val="251C2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0C60B3"/>
    <w:multiLevelType w:val="multilevel"/>
    <w:tmpl w:val="FD02C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040542"/>
    <w:multiLevelType w:val="multilevel"/>
    <w:tmpl w:val="AA18E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2D1139"/>
    <w:multiLevelType w:val="multilevel"/>
    <w:tmpl w:val="F60CC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F694216"/>
    <w:multiLevelType w:val="multilevel"/>
    <w:tmpl w:val="F9E0C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2683248">
    <w:abstractNumId w:val="3"/>
  </w:num>
  <w:num w:numId="2" w16cid:durableId="281419029">
    <w:abstractNumId w:val="8"/>
  </w:num>
  <w:num w:numId="3" w16cid:durableId="2056931676">
    <w:abstractNumId w:val="1"/>
  </w:num>
  <w:num w:numId="4" w16cid:durableId="1027413665">
    <w:abstractNumId w:val="7"/>
  </w:num>
  <w:num w:numId="5" w16cid:durableId="512765402">
    <w:abstractNumId w:val="5"/>
  </w:num>
  <w:num w:numId="6" w16cid:durableId="1279602693">
    <w:abstractNumId w:val="9"/>
  </w:num>
  <w:num w:numId="7" w16cid:durableId="1692562608">
    <w:abstractNumId w:val="10"/>
  </w:num>
  <w:num w:numId="8" w16cid:durableId="1211501253">
    <w:abstractNumId w:val="0"/>
  </w:num>
  <w:num w:numId="9" w16cid:durableId="13653345">
    <w:abstractNumId w:val="12"/>
  </w:num>
  <w:num w:numId="10" w16cid:durableId="1498956411">
    <w:abstractNumId w:val="6"/>
  </w:num>
  <w:num w:numId="11" w16cid:durableId="1605184470">
    <w:abstractNumId w:val="2"/>
  </w:num>
  <w:num w:numId="12" w16cid:durableId="47724409">
    <w:abstractNumId w:val="4"/>
  </w:num>
  <w:num w:numId="13" w16cid:durableId="16557161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0CF"/>
    <w:rsid w:val="000633EC"/>
    <w:rsid w:val="000F4995"/>
    <w:rsid w:val="000F7F7A"/>
    <w:rsid w:val="003307D3"/>
    <w:rsid w:val="004C6BF8"/>
    <w:rsid w:val="00631257"/>
    <w:rsid w:val="006D7585"/>
    <w:rsid w:val="00A329C6"/>
    <w:rsid w:val="00CB1121"/>
    <w:rsid w:val="00CD60CF"/>
    <w:rsid w:val="00EA35CA"/>
    <w:rsid w:val="00EC2086"/>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89C41"/>
  <w15:docId w15:val="{25965860-6F7F-4C6E-848C-31EA16EB9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28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F7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F7A"/>
  </w:style>
  <w:style w:type="paragraph" w:styleId="Footer">
    <w:name w:val="footer"/>
    <w:basedOn w:val="Normal"/>
    <w:link w:val="FooterChar"/>
    <w:uiPriority w:val="99"/>
    <w:unhideWhenUsed/>
    <w:rsid w:val="000F7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F7A"/>
  </w:style>
  <w:style w:type="paragraph" w:styleId="TOCHeading">
    <w:name w:val="TOC Heading"/>
    <w:basedOn w:val="Heading1"/>
    <w:next w:val="Normal"/>
    <w:uiPriority w:val="39"/>
    <w:unhideWhenUsed/>
    <w:qFormat/>
    <w:rsid w:val="000F7F7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F7F7A"/>
    <w:pPr>
      <w:spacing w:after="100"/>
    </w:pPr>
  </w:style>
  <w:style w:type="paragraph" w:styleId="TOC2">
    <w:name w:val="toc 2"/>
    <w:basedOn w:val="Normal"/>
    <w:next w:val="Normal"/>
    <w:autoRedefine/>
    <w:uiPriority w:val="39"/>
    <w:unhideWhenUsed/>
    <w:rsid w:val="000F7F7A"/>
    <w:pPr>
      <w:spacing w:after="100"/>
      <w:ind w:left="240"/>
    </w:pPr>
  </w:style>
  <w:style w:type="paragraph" w:styleId="TOC3">
    <w:name w:val="toc 3"/>
    <w:basedOn w:val="Normal"/>
    <w:next w:val="Normal"/>
    <w:autoRedefine/>
    <w:uiPriority w:val="39"/>
    <w:unhideWhenUsed/>
    <w:rsid w:val="000F7F7A"/>
    <w:pPr>
      <w:spacing w:after="100"/>
      <w:ind w:left="480"/>
    </w:pPr>
  </w:style>
  <w:style w:type="character" w:styleId="Hyperlink">
    <w:name w:val="Hyperlink"/>
    <w:basedOn w:val="DefaultParagraphFont"/>
    <w:uiPriority w:val="99"/>
    <w:unhideWhenUsed/>
    <w:rsid w:val="000F7F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09/ACCESS.2021.3112948" TargetMode="External"/><Relationship Id="rId18" Type="http://schemas.openxmlformats.org/officeDocument/2006/relationships/hyperlink" Target="https://doi.org/10.1016/j.ienj.2024.101508" TargetMode="External"/><Relationship Id="rId26" Type="http://schemas.openxmlformats.org/officeDocument/2006/relationships/hyperlink" Target="https://doi.org/10.1017/lsi.2025.13" TargetMode="External"/><Relationship Id="rId39" Type="http://schemas.openxmlformats.org/officeDocument/2006/relationships/hyperlink" Target="https://doi.org/10.3390/ijerph182212217" TargetMode="External"/><Relationship Id="rId21" Type="http://schemas.openxmlformats.org/officeDocument/2006/relationships/hyperlink" Target="https://doi.org/10.3390/healthcare13070831" TargetMode="External"/><Relationship Id="rId34" Type="http://schemas.openxmlformats.org/officeDocument/2006/relationships/hyperlink" Target="https://doi.org/10.3390/jrfm15120562"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x.doi.org/10.2139/ssrn.5005057" TargetMode="External"/><Relationship Id="rId20" Type="http://schemas.openxmlformats.org/officeDocument/2006/relationships/hyperlink" Target="https://doi.org/10.1142/9789811231384_0001" TargetMode="External"/><Relationship Id="rId29" Type="http://schemas.openxmlformats.org/officeDocument/2006/relationships/hyperlink" Target="https://doi.org/10.29392/001c.72089"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0574/msarr.2024.10.1.0025" TargetMode="External"/><Relationship Id="rId24" Type="http://schemas.openxmlformats.org/officeDocument/2006/relationships/hyperlink" Target="https://doi.org/10.1136/bmj-2024-080944" TargetMode="External"/><Relationship Id="rId32" Type="http://schemas.openxmlformats.org/officeDocument/2006/relationships/hyperlink" Target="https://doi.org/10.1016/j.puhip.2025.100598" TargetMode="External"/><Relationship Id="rId37" Type="http://schemas.openxmlformats.org/officeDocument/2006/relationships/hyperlink" Target="https://doi.org/10.1136/bmjqs-2024-017132" TargetMode="External"/><Relationship Id="rId40" Type="http://schemas.openxmlformats.org/officeDocument/2006/relationships/hyperlink" Target="https://doi.org/10.1136/bmj-2023-076386" TargetMode="External"/><Relationship Id="rId5" Type="http://schemas.openxmlformats.org/officeDocument/2006/relationships/webSettings" Target="webSettings.xml"/><Relationship Id="rId15" Type="http://schemas.openxmlformats.org/officeDocument/2006/relationships/hyperlink" Target="https://doi.org/10.1136/postgradmedj-2021-140463" TargetMode="External"/><Relationship Id="rId23" Type="http://schemas.openxmlformats.org/officeDocument/2006/relationships/hyperlink" Target="https://doi.org/10.1136/bmjqs-2025-019118" TargetMode="External"/><Relationship Id="rId28" Type="http://schemas.openxmlformats.org/officeDocument/2006/relationships/hyperlink" Target="https://doi.org/10.29392/001c.72089" TargetMode="External"/><Relationship Id="rId36" Type="http://schemas.openxmlformats.org/officeDocument/2006/relationships/hyperlink" Target="https://doi.org/10.1093/shm/hkad089" TargetMode="External"/><Relationship Id="rId10" Type="http://schemas.openxmlformats.org/officeDocument/2006/relationships/image" Target="media/image3.png"/><Relationship Id="rId19" Type="http://schemas.openxmlformats.org/officeDocument/2006/relationships/hyperlink" Target="https://doi.org/10.1016/j.jhqr.2022.08.004" TargetMode="External"/><Relationship Id="rId31" Type="http://schemas.openxmlformats.org/officeDocument/2006/relationships/hyperlink" Target="https://doi.org/10.3390/healthcare132128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jcm14041181" TargetMode="External"/><Relationship Id="rId22" Type="http://schemas.openxmlformats.org/officeDocument/2006/relationships/hyperlink" Target="https://doi.org/10.3389/fpsyt.2023.1078797" TargetMode="External"/><Relationship Id="rId27" Type="http://schemas.openxmlformats.org/officeDocument/2006/relationships/hyperlink" Target="https://doi.org/10.1136/jme-2023-109534" TargetMode="External"/><Relationship Id="rId30" Type="http://schemas.openxmlformats.org/officeDocument/2006/relationships/hyperlink" Target="https://doi.org/10.3390/ijerph191912037" TargetMode="External"/><Relationship Id="rId35" Type="http://schemas.openxmlformats.org/officeDocument/2006/relationships/hyperlink" Target="https://doi.org/10.1080/13669877.2022.2061036"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77/11786302231200865" TargetMode="External"/><Relationship Id="rId17" Type="http://schemas.openxmlformats.org/officeDocument/2006/relationships/hyperlink" Target="https://doi.org/10.1016/j.radi.2024.04.025" TargetMode="External"/><Relationship Id="rId25" Type="http://schemas.openxmlformats.org/officeDocument/2006/relationships/hyperlink" Target="https://doi.org/10.3389/fpsyt.2025.1653093" TargetMode="External"/><Relationship Id="rId33" Type="http://schemas.openxmlformats.org/officeDocument/2006/relationships/hyperlink" Target="https://doi.org/10.3390/ijns10020027" TargetMode="External"/><Relationship Id="rId38" Type="http://schemas.openxmlformats.org/officeDocument/2006/relationships/hyperlink" Target="https://doi.org/10.69600/GJNMID.v01.i02.21-3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2D789-951C-45FB-9ECC-4B3EF8E6D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4823</Words>
  <Characters>30196</Characters>
  <Application>Microsoft Office Word</Application>
  <DocSecurity>0</DocSecurity>
  <Lines>529</Lines>
  <Paragraphs>267</Paragraphs>
  <ScaleCrop>false</ScaleCrop>
  <Company/>
  <LinksUpToDate>false</LinksUpToDate>
  <CharactersWithSpaces>34752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17563</cp:lastModifiedBy>
  <cp:revision>4</cp:revision>
  <dcterms:created xsi:type="dcterms:W3CDTF">2025-12-03T10:28:00Z</dcterms:created>
  <dcterms:modified xsi:type="dcterms:W3CDTF">2025-12-04T15:54:00Z</dcterms:modified>
</cp:coreProperties>
</file>