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4727BB" w14:textId="77777777" w:rsidR="002E562E" w:rsidRPr="00CD7748" w:rsidRDefault="002E562E" w:rsidP="002E562E">
      <w:pPr>
        <w:spacing w:line="480" w:lineRule="auto"/>
        <w:ind w:left="720"/>
        <w:jc w:val="both"/>
        <w:rPr>
          <w:b/>
          <w:bCs/>
          <w:sz w:val="24"/>
          <w:szCs w:val="24"/>
          <w:shd w:val="clear" w:color="auto" w:fill="FFFFFF"/>
        </w:rPr>
      </w:pPr>
    </w:p>
    <w:p w14:paraId="7CCBDF76" w14:textId="77777777" w:rsidR="002E562E" w:rsidRPr="00CD7748" w:rsidRDefault="002E562E" w:rsidP="002E562E">
      <w:pPr>
        <w:spacing w:line="480" w:lineRule="auto"/>
        <w:ind w:left="720"/>
        <w:jc w:val="both"/>
        <w:rPr>
          <w:b/>
          <w:bCs/>
          <w:sz w:val="24"/>
          <w:szCs w:val="24"/>
          <w:shd w:val="clear" w:color="auto" w:fill="FFFFFF"/>
        </w:rPr>
      </w:pPr>
    </w:p>
    <w:p w14:paraId="3448AA5A" w14:textId="77777777" w:rsidR="002E562E" w:rsidRPr="00CD7748" w:rsidRDefault="002E562E" w:rsidP="002E562E">
      <w:pPr>
        <w:spacing w:line="480" w:lineRule="auto"/>
        <w:ind w:left="720"/>
        <w:jc w:val="both"/>
        <w:rPr>
          <w:b/>
          <w:bCs/>
          <w:sz w:val="24"/>
          <w:szCs w:val="24"/>
          <w:shd w:val="clear" w:color="auto" w:fill="FFFFFF"/>
        </w:rPr>
      </w:pPr>
    </w:p>
    <w:p w14:paraId="62BC1B88" w14:textId="77777777" w:rsidR="002E562E" w:rsidRPr="00CD7748" w:rsidRDefault="002E562E" w:rsidP="002E562E">
      <w:pPr>
        <w:spacing w:line="480" w:lineRule="auto"/>
        <w:ind w:left="720"/>
        <w:jc w:val="both"/>
        <w:rPr>
          <w:b/>
          <w:bCs/>
          <w:sz w:val="24"/>
          <w:szCs w:val="24"/>
          <w:shd w:val="clear" w:color="auto" w:fill="FFFFFF"/>
        </w:rPr>
      </w:pPr>
    </w:p>
    <w:p w14:paraId="65790C44" w14:textId="77777777" w:rsidR="002E562E" w:rsidRPr="00CD7748" w:rsidRDefault="002E562E" w:rsidP="002E562E">
      <w:pPr>
        <w:spacing w:line="480" w:lineRule="auto"/>
        <w:ind w:left="720"/>
        <w:jc w:val="both"/>
        <w:rPr>
          <w:b/>
          <w:bCs/>
          <w:sz w:val="24"/>
          <w:szCs w:val="24"/>
          <w:shd w:val="clear" w:color="auto" w:fill="FFFFFF"/>
        </w:rPr>
      </w:pPr>
    </w:p>
    <w:p w14:paraId="6FD88110" w14:textId="77777777" w:rsidR="002E562E" w:rsidRPr="00CD7748" w:rsidRDefault="002E562E" w:rsidP="002E562E">
      <w:pPr>
        <w:spacing w:line="480" w:lineRule="auto"/>
        <w:ind w:left="720"/>
        <w:jc w:val="both"/>
        <w:rPr>
          <w:b/>
          <w:bCs/>
          <w:sz w:val="24"/>
          <w:szCs w:val="24"/>
          <w:shd w:val="clear" w:color="auto" w:fill="FFFFFF"/>
        </w:rPr>
      </w:pPr>
    </w:p>
    <w:p w14:paraId="5FDC4663" w14:textId="77777777" w:rsidR="002E562E" w:rsidRPr="00CD7748" w:rsidRDefault="002E562E" w:rsidP="002E562E">
      <w:pPr>
        <w:spacing w:line="480" w:lineRule="auto"/>
        <w:ind w:left="720"/>
        <w:jc w:val="both"/>
        <w:rPr>
          <w:b/>
          <w:bCs/>
          <w:sz w:val="24"/>
          <w:szCs w:val="24"/>
          <w:shd w:val="clear" w:color="auto" w:fill="FFFFFF"/>
        </w:rPr>
      </w:pPr>
    </w:p>
    <w:p w14:paraId="20851C4F" w14:textId="77777777" w:rsidR="002E562E" w:rsidRPr="00CD7748" w:rsidRDefault="002E562E" w:rsidP="002E562E">
      <w:pPr>
        <w:spacing w:line="480" w:lineRule="auto"/>
        <w:ind w:left="720"/>
        <w:jc w:val="both"/>
        <w:rPr>
          <w:b/>
          <w:bCs/>
          <w:sz w:val="24"/>
          <w:szCs w:val="24"/>
          <w:shd w:val="clear" w:color="auto" w:fill="FFFFFF"/>
        </w:rPr>
      </w:pPr>
    </w:p>
    <w:p w14:paraId="2D9BBC19" w14:textId="77777777" w:rsidR="002E562E" w:rsidRPr="00CD7748" w:rsidRDefault="002E562E" w:rsidP="002E562E">
      <w:pPr>
        <w:spacing w:line="480" w:lineRule="auto"/>
        <w:ind w:left="720"/>
        <w:jc w:val="both"/>
        <w:rPr>
          <w:b/>
          <w:bCs/>
          <w:sz w:val="24"/>
          <w:szCs w:val="24"/>
          <w:shd w:val="clear" w:color="auto" w:fill="FFFFFF"/>
        </w:rPr>
      </w:pPr>
    </w:p>
    <w:p w14:paraId="4A8BC3CD" w14:textId="77777777" w:rsidR="002E562E" w:rsidRPr="00CD7748" w:rsidRDefault="002E562E" w:rsidP="002E562E">
      <w:pPr>
        <w:spacing w:line="480" w:lineRule="auto"/>
        <w:ind w:left="720"/>
        <w:jc w:val="center"/>
        <w:rPr>
          <w:b/>
          <w:bCs/>
          <w:sz w:val="24"/>
          <w:szCs w:val="24"/>
          <w:shd w:val="clear" w:color="auto" w:fill="FFFFFF"/>
        </w:rPr>
      </w:pPr>
      <w:r w:rsidRPr="00CD7748">
        <w:rPr>
          <w:b/>
          <w:bCs/>
          <w:sz w:val="24"/>
          <w:szCs w:val="24"/>
          <w:shd w:val="clear" w:color="auto" w:fill="FFFFFF"/>
        </w:rPr>
        <w:t>Critical Analysis of the Extent to which the United Kingdom’s Constitution Allows for Separation between the Judiciary and the Other Branches of State</w:t>
      </w:r>
    </w:p>
    <w:p w14:paraId="6EE37C91" w14:textId="77777777" w:rsidR="002E562E" w:rsidRPr="00CD7748" w:rsidRDefault="002E562E" w:rsidP="002E562E">
      <w:pPr>
        <w:spacing w:after="200" w:line="480" w:lineRule="auto"/>
        <w:jc w:val="both"/>
        <w:rPr>
          <w:b/>
          <w:bCs/>
          <w:sz w:val="24"/>
          <w:szCs w:val="24"/>
          <w:shd w:val="clear" w:color="auto" w:fill="FFFFFF"/>
        </w:rPr>
      </w:pPr>
      <w:r w:rsidRPr="00CD7748">
        <w:rPr>
          <w:b/>
          <w:bCs/>
          <w:sz w:val="24"/>
          <w:szCs w:val="24"/>
          <w:shd w:val="clear" w:color="auto" w:fill="FFFFFF"/>
        </w:rPr>
        <w:br w:type="page"/>
      </w:r>
    </w:p>
    <w:sdt>
      <w:sdtPr>
        <w:rPr>
          <w:rFonts w:ascii="Times New Roman" w:eastAsia="Times New Roman" w:hAnsi="Times New Roman" w:cs="Times New Roman"/>
          <w:b w:val="0"/>
          <w:bCs w:val="0"/>
          <w:color w:val="auto"/>
          <w:sz w:val="24"/>
          <w:szCs w:val="24"/>
          <w:lang w:val="en-GB" w:eastAsia="en-GB"/>
        </w:rPr>
        <w:id w:val="536942201"/>
        <w:docPartObj>
          <w:docPartGallery w:val="Table of Contents"/>
          <w:docPartUnique/>
        </w:docPartObj>
      </w:sdtPr>
      <w:sdtEndPr>
        <w:rPr>
          <w:noProof/>
        </w:rPr>
      </w:sdtEndPr>
      <w:sdtContent>
        <w:p w14:paraId="282EB280" w14:textId="77777777" w:rsidR="002E562E" w:rsidRPr="00CD7748" w:rsidRDefault="002E562E" w:rsidP="002E562E">
          <w:pPr>
            <w:pStyle w:val="TOCHeading"/>
            <w:spacing w:line="480" w:lineRule="auto"/>
            <w:jc w:val="both"/>
            <w:rPr>
              <w:rFonts w:ascii="Times New Roman" w:hAnsi="Times New Roman" w:cs="Times New Roman"/>
              <w:color w:val="auto"/>
              <w:sz w:val="24"/>
              <w:szCs w:val="24"/>
            </w:rPr>
          </w:pPr>
          <w:r w:rsidRPr="00CD7748">
            <w:rPr>
              <w:rFonts w:ascii="Times New Roman" w:hAnsi="Times New Roman" w:cs="Times New Roman"/>
              <w:color w:val="auto"/>
              <w:sz w:val="24"/>
              <w:szCs w:val="24"/>
            </w:rPr>
            <w:t>Table of Contents</w:t>
          </w:r>
        </w:p>
        <w:p w14:paraId="22829AAA" w14:textId="77777777" w:rsidR="002E562E" w:rsidRPr="00CD7748" w:rsidRDefault="002E562E" w:rsidP="002E562E">
          <w:pPr>
            <w:pStyle w:val="TOC1"/>
            <w:tabs>
              <w:tab w:val="right" w:leader="dot" w:pos="9016"/>
            </w:tabs>
            <w:spacing w:line="480" w:lineRule="auto"/>
            <w:jc w:val="both"/>
            <w:rPr>
              <w:rFonts w:eastAsiaTheme="minorEastAsia"/>
              <w:noProof/>
              <w:sz w:val="24"/>
              <w:szCs w:val="24"/>
              <w:lang w:val="en-IN" w:eastAsia="en-IN"/>
            </w:rPr>
          </w:pPr>
          <w:hyperlink w:anchor="_Toc56188535" w:history="1">
            <w:r w:rsidRPr="00CD7748">
              <w:rPr>
                <w:rStyle w:val="Hyperlink"/>
                <w:noProof/>
                <w:sz w:val="24"/>
                <w:szCs w:val="24"/>
              </w:rPr>
              <w:t>Introduction</w:t>
            </w:r>
            <w:r w:rsidRPr="00CD7748">
              <w:rPr>
                <w:noProof/>
                <w:webHidden/>
                <w:sz w:val="24"/>
                <w:szCs w:val="24"/>
              </w:rPr>
              <w:tab/>
            </w:r>
            <w:r w:rsidRPr="00CD7748">
              <w:rPr>
                <w:noProof/>
                <w:webHidden/>
                <w:sz w:val="24"/>
                <w:szCs w:val="24"/>
              </w:rPr>
              <w:fldChar w:fldCharType="begin"/>
            </w:r>
            <w:r w:rsidRPr="00CD7748">
              <w:rPr>
                <w:noProof/>
                <w:webHidden/>
                <w:sz w:val="24"/>
                <w:szCs w:val="24"/>
              </w:rPr>
              <w:instrText xml:space="preserve"> PAGEREF _Toc56188535 \h </w:instrText>
            </w:r>
            <w:r w:rsidRPr="00CD7748">
              <w:rPr>
                <w:noProof/>
                <w:webHidden/>
                <w:sz w:val="24"/>
                <w:szCs w:val="24"/>
              </w:rPr>
            </w:r>
            <w:r w:rsidRPr="00CD7748">
              <w:rPr>
                <w:noProof/>
                <w:webHidden/>
                <w:sz w:val="24"/>
                <w:szCs w:val="24"/>
              </w:rPr>
              <w:fldChar w:fldCharType="separate"/>
            </w:r>
            <w:r w:rsidRPr="00CD7748">
              <w:rPr>
                <w:noProof/>
                <w:webHidden/>
                <w:sz w:val="24"/>
                <w:szCs w:val="24"/>
              </w:rPr>
              <w:t>3</w:t>
            </w:r>
            <w:r w:rsidRPr="00CD7748">
              <w:rPr>
                <w:noProof/>
                <w:webHidden/>
                <w:sz w:val="24"/>
                <w:szCs w:val="24"/>
              </w:rPr>
              <w:fldChar w:fldCharType="end"/>
            </w:r>
          </w:hyperlink>
        </w:p>
        <w:p w14:paraId="07742E26" w14:textId="77777777" w:rsidR="002E562E" w:rsidRPr="00CD7748" w:rsidRDefault="002E562E" w:rsidP="002E562E">
          <w:pPr>
            <w:pStyle w:val="TOC1"/>
            <w:tabs>
              <w:tab w:val="right" w:leader="dot" w:pos="9016"/>
            </w:tabs>
            <w:spacing w:line="480" w:lineRule="auto"/>
            <w:jc w:val="both"/>
            <w:rPr>
              <w:rFonts w:eastAsiaTheme="minorEastAsia"/>
              <w:noProof/>
              <w:sz w:val="24"/>
              <w:szCs w:val="24"/>
              <w:lang w:val="en-IN" w:eastAsia="en-IN"/>
            </w:rPr>
          </w:pPr>
          <w:hyperlink w:anchor="_Toc56188536" w:history="1">
            <w:r w:rsidRPr="00CD7748">
              <w:rPr>
                <w:rStyle w:val="Hyperlink"/>
                <w:noProof/>
                <w:sz w:val="24"/>
                <w:szCs w:val="24"/>
                <w:shd w:val="clear" w:color="auto" w:fill="FFFFFF"/>
              </w:rPr>
              <w:t>Critical Analysis of the Extent to which the United Kingdom’s Constitution Allows for Separation between the Judiciary and the Other Branches of State</w:t>
            </w:r>
            <w:r w:rsidRPr="00CD7748">
              <w:rPr>
                <w:noProof/>
                <w:webHidden/>
                <w:sz w:val="24"/>
                <w:szCs w:val="24"/>
              </w:rPr>
              <w:tab/>
              <w:t>3</w:t>
            </w:r>
          </w:hyperlink>
        </w:p>
        <w:p w14:paraId="0F1B18BC" w14:textId="77777777" w:rsidR="002E562E" w:rsidRPr="00CD7748" w:rsidRDefault="002E562E" w:rsidP="002E562E">
          <w:pPr>
            <w:pStyle w:val="TOC1"/>
            <w:tabs>
              <w:tab w:val="right" w:leader="dot" w:pos="9016"/>
            </w:tabs>
            <w:spacing w:line="480" w:lineRule="auto"/>
            <w:jc w:val="both"/>
            <w:rPr>
              <w:rFonts w:eastAsiaTheme="minorEastAsia"/>
              <w:noProof/>
              <w:sz w:val="24"/>
              <w:szCs w:val="24"/>
              <w:lang w:val="en-IN" w:eastAsia="en-IN"/>
            </w:rPr>
          </w:pPr>
          <w:hyperlink w:anchor="_Toc56188537" w:history="1">
            <w:r w:rsidRPr="00CD7748">
              <w:rPr>
                <w:rStyle w:val="Hyperlink"/>
                <w:noProof/>
                <w:sz w:val="24"/>
                <w:szCs w:val="24"/>
              </w:rPr>
              <w:t>Conclusion</w:t>
            </w:r>
            <w:r w:rsidRPr="00CD7748">
              <w:rPr>
                <w:noProof/>
                <w:webHidden/>
                <w:sz w:val="24"/>
                <w:szCs w:val="24"/>
              </w:rPr>
              <w:tab/>
              <w:t>8</w:t>
            </w:r>
          </w:hyperlink>
        </w:p>
        <w:p w14:paraId="1D90AF3A" w14:textId="77777777" w:rsidR="002E562E" w:rsidRPr="00CD7748" w:rsidRDefault="002E562E" w:rsidP="002E562E">
          <w:pPr>
            <w:pStyle w:val="TOC1"/>
            <w:tabs>
              <w:tab w:val="right" w:leader="dot" w:pos="9016"/>
            </w:tabs>
            <w:spacing w:line="480" w:lineRule="auto"/>
            <w:jc w:val="both"/>
            <w:rPr>
              <w:rFonts w:eastAsiaTheme="minorEastAsia"/>
              <w:noProof/>
              <w:sz w:val="24"/>
              <w:szCs w:val="24"/>
              <w:lang w:val="en-IN" w:eastAsia="en-IN"/>
            </w:rPr>
          </w:pPr>
          <w:hyperlink w:anchor="_Toc56188538" w:history="1">
            <w:r w:rsidRPr="00CD7748">
              <w:rPr>
                <w:rStyle w:val="Hyperlink"/>
                <w:noProof/>
                <w:sz w:val="24"/>
                <w:szCs w:val="24"/>
              </w:rPr>
              <w:t>References</w:t>
            </w:r>
            <w:r w:rsidRPr="00CD7748">
              <w:rPr>
                <w:noProof/>
                <w:webHidden/>
                <w:sz w:val="24"/>
                <w:szCs w:val="24"/>
              </w:rPr>
              <w:tab/>
              <w:t>9</w:t>
            </w:r>
          </w:hyperlink>
        </w:p>
        <w:p w14:paraId="529F101F" w14:textId="77777777" w:rsidR="002E562E" w:rsidRPr="00CD7748" w:rsidRDefault="002E562E" w:rsidP="002E562E">
          <w:pPr>
            <w:spacing w:line="480" w:lineRule="auto"/>
            <w:jc w:val="both"/>
            <w:rPr>
              <w:sz w:val="24"/>
              <w:szCs w:val="24"/>
            </w:rPr>
          </w:pPr>
        </w:p>
      </w:sdtContent>
    </w:sdt>
    <w:p w14:paraId="3B3A5D1D" w14:textId="77777777" w:rsidR="002E562E" w:rsidRPr="00CD7748" w:rsidRDefault="002E562E" w:rsidP="002E562E">
      <w:pPr>
        <w:spacing w:after="200" w:line="480" w:lineRule="auto"/>
        <w:jc w:val="both"/>
        <w:rPr>
          <w:b/>
          <w:bCs/>
          <w:sz w:val="24"/>
          <w:szCs w:val="24"/>
          <w:shd w:val="clear" w:color="auto" w:fill="FFFFFF"/>
        </w:rPr>
      </w:pPr>
    </w:p>
    <w:p w14:paraId="4912F1EF" w14:textId="77777777" w:rsidR="002E562E" w:rsidRPr="00CD7748" w:rsidRDefault="002E562E" w:rsidP="002E562E">
      <w:pPr>
        <w:spacing w:after="200" w:line="480" w:lineRule="auto"/>
        <w:jc w:val="both"/>
        <w:rPr>
          <w:sz w:val="24"/>
          <w:szCs w:val="24"/>
          <w:lang w:val="en-IN" w:eastAsia="en-IN"/>
        </w:rPr>
      </w:pPr>
      <w:r w:rsidRPr="00CD7748">
        <w:rPr>
          <w:b/>
          <w:bCs/>
          <w:sz w:val="24"/>
          <w:szCs w:val="24"/>
          <w:shd w:val="clear" w:color="auto" w:fill="FFFFFF"/>
        </w:rPr>
        <w:br w:type="page"/>
      </w:r>
    </w:p>
    <w:p w14:paraId="76D833D7" w14:textId="77777777" w:rsidR="002E562E" w:rsidRPr="00CD7748" w:rsidRDefault="002E562E" w:rsidP="002E562E">
      <w:pPr>
        <w:pStyle w:val="Heading1"/>
        <w:spacing w:line="480" w:lineRule="auto"/>
        <w:jc w:val="both"/>
        <w:rPr>
          <w:rFonts w:ascii="Times New Roman" w:hAnsi="Times New Roman" w:cs="Times New Roman"/>
          <w:color w:val="auto"/>
          <w:sz w:val="24"/>
          <w:szCs w:val="24"/>
        </w:rPr>
      </w:pPr>
      <w:bookmarkStart w:id="0" w:name="_Toc56188535"/>
      <w:r w:rsidRPr="00CD7748">
        <w:rPr>
          <w:rFonts w:ascii="Times New Roman" w:hAnsi="Times New Roman" w:cs="Times New Roman"/>
          <w:color w:val="auto"/>
          <w:sz w:val="24"/>
          <w:szCs w:val="24"/>
        </w:rPr>
        <w:lastRenderedPageBreak/>
        <w:t>Introduction</w:t>
      </w:r>
      <w:bookmarkEnd w:id="0"/>
    </w:p>
    <w:p w14:paraId="5F49AD06" w14:textId="77777777" w:rsidR="002E562E" w:rsidRDefault="002E562E" w:rsidP="002E562E">
      <w:pPr>
        <w:spacing w:line="480" w:lineRule="auto"/>
        <w:jc w:val="both"/>
        <w:rPr>
          <w:sz w:val="24"/>
          <w:szCs w:val="24"/>
        </w:rPr>
      </w:pPr>
      <w:r w:rsidRPr="00CD7748">
        <w:rPr>
          <w:sz w:val="24"/>
          <w:szCs w:val="24"/>
        </w:rPr>
        <w:t xml:space="preserve">               Judicial independence is a constitutional principle that supports the idea that judges should be allowed to exercise the judicial power without the interference of other authorities such as the states, as well as other large companies or influential individuals of the society. Judicial independence is considered necessary in all kinds of cases, whether it is a civil or a criminal case. In addition, it is crucial to provide judicial independence to the judges to assure fulfilment of duty appropriately by the charges and to assure that no biasness or partiality has been considered in the case. This helps judiciaries in making no misleading or inapp</w:t>
      </w:r>
      <w:r w:rsidRPr="00CD7748">
        <w:rPr>
          <w:bCs/>
          <w:sz w:val="24"/>
          <w:szCs w:val="24"/>
        </w:rPr>
        <w:t>ropriate decision (Courts and Tribunal Judiciary, 2020)</w:t>
      </w:r>
      <w:r w:rsidRPr="00CD7748">
        <w:rPr>
          <w:b/>
          <w:bCs/>
          <w:sz w:val="24"/>
          <w:szCs w:val="24"/>
        </w:rPr>
        <w:t xml:space="preserve">. </w:t>
      </w:r>
      <w:r w:rsidRPr="00CD7748">
        <w:rPr>
          <w:sz w:val="24"/>
          <w:szCs w:val="24"/>
        </w:rPr>
        <w:t>However, the appropriate application of independence by the law and the judges themselves is a matter of discussion. In that context, the essay aims to examine the role and application of judicial independence in the UK by reviewing in detail the constitutional provisions and rights available to judiciaries to ensure separation of power between the judiciary and other state branches. In that respect, the thesis statement has been stated as “Whether the United Kingdom’s constitution allows for separation between the judiciary and the other branches of state to a significant extent or not?”</w:t>
      </w:r>
    </w:p>
    <w:p w14:paraId="287FAB01" w14:textId="77777777" w:rsidR="002E562E" w:rsidRDefault="002E562E" w:rsidP="002E562E">
      <w:pPr>
        <w:spacing w:line="480" w:lineRule="auto"/>
        <w:jc w:val="both"/>
        <w:rPr>
          <w:sz w:val="24"/>
          <w:szCs w:val="24"/>
        </w:rPr>
      </w:pPr>
    </w:p>
    <w:p w14:paraId="44D00773" w14:textId="77777777" w:rsidR="002E562E" w:rsidRDefault="002E562E" w:rsidP="002E562E">
      <w:pPr>
        <w:spacing w:line="480" w:lineRule="auto"/>
        <w:jc w:val="both"/>
        <w:rPr>
          <w:sz w:val="24"/>
          <w:szCs w:val="24"/>
        </w:rPr>
      </w:pPr>
    </w:p>
    <w:p w14:paraId="7BBAA88E" w14:textId="77777777" w:rsidR="002E562E" w:rsidRDefault="002E562E" w:rsidP="002E562E">
      <w:pPr>
        <w:spacing w:line="480" w:lineRule="auto"/>
        <w:jc w:val="both"/>
        <w:rPr>
          <w:sz w:val="24"/>
          <w:szCs w:val="24"/>
        </w:rPr>
      </w:pPr>
    </w:p>
    <w:p w14:paraId="42E1515D" w14:textId="77777777" w:rsidR="002E562E" w:rsidRDefault="002E562E" w:rsidP="002E562E">
      <w:pPr>
        <w:spacing w:line="480" w:lineRule="auto"/>
        <w:jc w:val="both"/>
        <w:rPr>
          <w:sz w:val="24"/>
          <w:szCs w:val="24"/>
        </w:rPr>
      </w:pPr>
    </w:p>
    <w:p w14:paraId="58FB2756" w14:textId="77777777" w:rsidR="002E562E" w:rsidRDefault="002E562E" w:rsidP="002E562E">
      <w:pPr>
        <w:spacing w:line="480" w:lineRule="auto"/>
        <w:jc w:val="both"/>
        <w:rPr>
          <w:sz w:val="24"/>
          <w:szCs w:val="24"/>
        </w:rPr>
      </w:pPr>
    </w:p>
    <w:p w14:paraId="3621042E" w14:textId="77777777" w:rsidR="002E562E" w:rsidRDefault="002E562E" w:rsidP="002E562E">
      <w:pPr>
        <w:spacing w:line="480" w:lineRule="auto"/>
        <w:jc w:val="both"/>
        <w:rPr>
          <w:sz w:val="24"/>
          <w:szCs w:val="24"/>
        </w:rPr>
      </w:pPr>
    </w:p>
    <w:p w14:paraId="2BAA2ECE" w14:textId="77777777" w:rsidR="002E562E" w:rsidRPr="00CD7748" w:rsidRDefault="002E562E" w:rsidP="002E562E">
      <w:pPr>
        <w:spacing w:line="480" w:lineRule="auto"/>
        <w:jc w:val="both"/>
        <w:rPr>
          <w:b/>
          <w:bCs/>
          <w:sz w:val="24"/>
          <w:szCs w:val="24"/>
        </w:rPr>
      </w:pPr>
    </w:p>
    <w:p w14:paraId="3AD2635D" w14:textId="77777777" w:rsidR="002E562E" w:rsidRPr="00CD7748" w:rsidRDefault="002E562E" w:rsidP="002E562E">
      <w:pPr>
        <w:pStyle w:val="Heading1"/>
        <w:spacing w:line="480" w:lineRule="auto"/>
        <w:jc w:val="both"/>
        <w:rPr>
          <w:rFonts w:ascii="Times New Roman" w:hAnsi="Times New Roman" w:cs="Times New Roman"/>
          <w:color w:val="auto"/>
          <w:sz w:val="24"/>
          <w:szCs w:val="24"/>
          <w:shd w:val="clear" w:color="auto" w:fill="FFFFFF"/>
        </w:rPr>
      </w:pPr>
      <w:bookmarkStart w:id="1" w:name="_Toc56188536"/>
      <w:r w:rsidRPr="00CD7748">
        <w:rPr>
          <w:rFonts w:ascii="Times New Roman" w:hAnsi="Times New Roman" w:cs="Times New Roman"/>
          <w:color w:val="auto"/>
          <w:sz w:val="24"/>
          <w:szCs w:val="24"/>
          <w:shd w:val="clear" w:color="auto" w:fill="FFFFFF"/>
        </w:rPr>
        <w:lastRenderedPageBreak/>
        <w:t>Critical Analysis of the Extent to which the United Kingdom’s Constitution Allows for Separation between the Judiciary and the Other Branches of State</w:t>
      </w:r>
      <w:bookmarkEnd w:id="1"/>
    </w:p>
    <w:p w14:paraId="343AA80C" w14:textId="77777777" w:rsidR="002E562E" w:rsidRPr="00CD7748" w:rsidRDefault="002E562E" w:rsidP="002E562E">
      <w:pPr>
        <w:spacing w:line="480" w:lineRule="auto"/>
        <w:jc w:val="both"/>
        <w:rPr>
          <w:sz w:val="24"/>
          <w:szCs w:val="24"/>
        </w:rPr>
      </w:pPr>
      <w:r w:rsidRPr="00CD7748">
        <w:rPr>
          <w:sz w:val="24"/>
          <w:szCs w:val="24"/>
        </w:rPr>
        <w:tab/>
        <w:t xml:space="preserve">The principle of judicial independence has been considered a necessity for fair trials and to ensure that the decisions are taken subject to analysis of the findings of the case and not based on the viewpoint of a powerful party in the case. Judicial independence has been observed to be of high importance in cases linked to the murder of influential personalities, legal matters on powerful people and such other cases involving individuals of powerful families (Hazell, 2015). However, the principal specifically points out that the autonomy provided through the guidelines of judicial independence in no manner suggests that judges have the power to be considered above the law (Judiciary, 2020). This is primarily guided by separation of power which refers to the process of division based on the responsibilities of government into different branches </w:t>
      </w:r>
      <w:proofErr w:type="gramStart"/>
      <w:r w:rsidRPr="00CD7748">
        <w:rPr>
          <w:sz w:val="24"/>
          <w:szCs w:val="24"/>
        </w:rPr>
        <w:t>so as to</w:t>
      </w:r>
      <w:proofErr w:type="gramEnd"/>
      <w:r w:rsidRPr="00CD7748">
        <w:rPr>
          <w:sz w:val="24"/>
          <w:szCs w:val="24"/>
        </w:rPr>
        <w:t xml:space="preserve"> restrict any one particular branch from exercising a considerable control in comparison to other branches. In that context, the government has been divided into legislative executive and judicial branches. In this regard, the theory of separation of powers has postulated to build an idea of individual freedom to the different </w:t>
      </w:r>
      <w:r>
        <w:rPr>
          <w:sz w:val="24"/>
          <w:szCs w:val="24"/>
        </w:rPr>
        <w:t>departm</w:t>
      </w:r>
      <w:r w:rsidRPr="00CD7748">
        <w:rPr>
          <w:sz w:val="24"/>
          <w:szCs w:val="24"/>
        </w:rPr>
        <w:t xml:space="preserve">ents. At the same time, the main objective of the separation of powers is to prevent the abuse of power as distributed within various branches of the government. It helps the government to act in their boundaries and assures that all the branches keep an eye on each other so that misuse of power can be reduced (NCSL, 2019). </w:t>
      </w:r>
    </w:p>
    <w:p w14:paraId="494DB637" w14:textId="77777777" w:rsidR="002E562E" w:rsidRPr="00CD7748" w:rsidRDefault="002E562E" w:rsidP="002E562E">
      <w:pPr>
        <w:spacing w:line="480" w:lineRule="auto"/>
        <w:jc w:val="both"/>
        <w:rPr>
          <w:sz w:val="24"/>
          <w:szCs w:val="24"/>
        </w:rPr>
      </w:pPr>
      <w:r w:rsidRPr="00CD7748">
        <w:rPr>
          <w:sz w:val="24"/>
          <w:szCs w:val="24"/>
        </w:rPr>
        <w:tab/>
      </w:r>
      <w:r w:rsidRPr="00CD7748">
        <w:rPr>
          <w:color w:val="222222"/>
          <w:sz w:val="24"/>
          <w:szCs w:val="24"/>
          <w:lang w:val="en-IN" w:eastAsia="en-IN"/>
        </w:rPr>
        <w:t>Different acts, as well as rules and code of conduct in the UK law, have been helpful in trying to preserve the separation of powers between the judiciary and other branches of the state</w:t>
      </w:r>
      <w:r>
        <w:rPr>
          <w:color w:val="222222"/>
          <w:sz w:val="24"/>
          <w:szCs w:val="24"/>
          <w:lang w:val="en-IN" w:eastAsia="en-IN"/>
        </w:rPr>
        <w:t>,</w:t>
      </w:r>
      <w:r w:rsidRPr="00CD7748">
        <w:rPr>
          <w:color w:val="222222"/>
          <w:sz w:val="24"/>
          <w:szCs w:val="24"/>
          <w:lang w:val="en-IN" w:eastAsia="en-IN"/>
        </w:rPr>
        <w:t xml:space="preserve"> and in implementing judicial independence in the law of the country. Constitutional Reform Act 2005</w:t>
      </w:r>
      <w:r>
        <w:rPr>
          <w:color w:val="222222"/>
          <w:sz w:val="24"/>
          <w:szCs w:val="24"/>
          <w:lang w:val="en-IN" w:eastAsia="en-IN"/>
        </w:rPr>
        <w:t xml:space="preserve"> (CRA 2005)</w:t>
      </w:r>
      <w:r w:rsidRPr="00CD7748">
        <w:rPr>
          <w:color w:val="222222"/>
          <w:sz w:val="24"/>
          <w:szCs w:val="24"/>
          <w:lang w:val="en-IN" w:eastAsia="en-IN"/>
        </w:rPr>
        <w:t xml:space="preserve">, for instance, has impacted the separation of powers by replacing the role of Lord Chancellor which </w:t>
      </w:r>
      <w:proofErr w:type="gramStart"/>
      <w:r w:rsidRPr="00CD7748">
        <w:rPr>
          <w:color w:val="222222"/>
          <w:sz w:val="24"/>
          <w:szCs w:val="24"/>
          <w:lang w:val="en-IN" w:eastAsia="en-IN"/>
        </w:rPr>
        <w:t>was considered to be</w:t>
      </w:r>
      <w:proofErr w:type="gramEnd"/>
      <w:r w:rsidRPr="00CD7748">
        <w:rPr>
          <w:color w:val="222222"/>
          <w:sz w:val="24"/>
          <w:szCs w:val="24"/>
          <w:lang w:val="en-IN" w:eastAsia="en-IN"/>
        </w:rPr>
        <w:t xml:space="preserve"> the head of the judiciary by another post of Lord Chief Justice and has also appointed Judicial Appointments Commission to help </w:t>
      </w:r>
      <w:r w:rsidRPr="00CD7748">
        <w:rPr>
          <w:color w:val="222222"/>
          <w:sz w:val="24"/>
          <w:szCs w:val="24"/>
          <w:lang w:val="en-IN" w:eastAsia="en-IN"/>
        </w:rPr>
        <w:lastRenderedPageBreak/>
        <w:t xml:space="preserve">establish a separation of power (Courts and Tribunal Judiciary. 2020a). This has led to a division of power between the executive and the judiciary. In the context of UK, the old framework of law chancellor </w:t>
      </w:r>
      <w:proofErr w:type="gramStart"/>
      <w:r w:rsidRPr="00CD7748">
        <w:rPr>
          <w:color w:val="222222"/>
          <w:sz w:val="24"/>
          <w:szCs w:val="24"/>
          <w:lang w:val="en-IN" w:eastAsia="en-IN"/>
        </w:rPr>
        <w:t>was considered to be</w:t>
      </w:r>
      <w:proofErr w:type="gramEnd"/>
      <w:r w:rsidRPr="00CD7748">
        <w:rPr>
          <w:color w:val="222222"/>
          <w:sz w:val="24"/>
          <w:szCs w:val="24"/>
          <w:lang w:val="en-IN" w:eastAsia="en-IN"/>
        </w:rPr>
        <w:t xml:space="preserve"> informal and because of regular meetings between the Lord Chancellor and other judges</w:t>
      </w:r>
      <w:r>
        <w:rPr>
          <w:color w:val="222222"/>
          <w:sz w:val="24"/>
          <w:szCs w:val="24"/>
          <w:lang w:val="en-IN" w:eastAsia="en-IN"/>
        </w:rPr>
        <w:t>,</w:t>
      </w:r>
      <w:r w:rsidRPr="00CD7748">
        <w:rPr>
          <w:color w:val="222222"/>
          <w:sz w:val="24"/>
          <w:szCs w:val="24"/>
          <w:lang w:val="en-IN" w:eastAsia="en-IN"/>
        </w:rPr>
        <w:t xml:space="preserve"> the judicial independence was supposed to be significantly negatively affected. In that context, the Constitutional Reform Act 2005 was able to implement a formal structure that could handle the relationships in a more formal manner and help separate the duties, responsibilities and powers of different branches (Hazell, 2015). In this manner, the duty has been furthered on Lord Chancellor along with other ministers to uphold the principle of judicial independence through the appointment of judges by the Judicial Appointments Commission.</w:t>
      </w:r>
    </w:p>
    <w:p w14:paraId="45543E5C" w14:textId="77777777" w:rsidR="002E562E" w:rsidRPr="00CD7748" w:rsidRDefault="002E562E" w:rsidP="002E562E">
      <w:pPr>
        <w:spacing w:line="480" w:lineRule="auto"/>
        <w:jc w:val="both"/>
        <w:rPr>
          <w:sz w:val="24"/>
          <w:szCs w:val="24"/>
        </w:rPr>
      </w:pPr>
      <w:r w:rsidRPr="00CD7748">
        <w:rPr>
          <w:sz w:val="24"/>
          <w:szCs w:val="24"/>
        </w:rPr>
        <w:tab/>
        <w:t xml:space="preserve">In the case of </w:t>
      </w:r>
      <w:r w:rsidRPr="004613CE">
        <w:rPr>
          <w:rStyle w:val="Emphasis"/>
          <w:bCs/>
          <w:color w:val="0E101A"/>
          <w:sz w:val="24"/>
          <w:szCs w:val="24"/>
        </w:rPr>
        <w:t xml:space="preserve">Stafford </w:t>
      </w:r>
      <w:proofErr w:type="gramStart"/>
      <w:r w:rsidRPr="004613CE">
        <w:rPr>
          <w:rStyle w:val="Emphasis"/>
          <w:bCs/>
          <w:color w:val="0E101A"/>
          <w:sz w:val="24"/>
          <w:szCs w:val="24"/>
        </w:rPr>
        <w:t>v</w:t>
      </w:r>
      <w:r w:rsidRPr="004613CE">
        <w:rPr>
          <w:sz w:val="24"/>
          <w:szCs w:val="24"/>
        </w:rPr>
        <w:t>.</w:t>
      </w:r>
      <w:proofErr w:type="gramEnd"/>
      <w:r w:rsidRPr="004613CE">
        <w:rPr>
          <w:sz w:val="24"/>
          <w:szCs w:val="24"/>
        </w:rPr>
        <w:t> </w:t>
      </w:r>
      <w:r w:rsidRPr="004613CE">
        <w:rPr>
          <w:rStyle w:val="Emphasis"/>
          <w:bCs/>
          <w:color w:val="0E101A"/>
          <w:sz w:val="24"/>
          <w:szCs w:val="24"/>
        </w:rPr>
        <w:t>the United Kingdom</w:t>
      </w:r>
      <w:r w:rsidRPr="004613CE">
        <w:rPr>
          <w:sz w:val="24"/>
          <w:szCs w:val="24"/>
        </w:rPr>
        <w:t> [</w:t>
      </w:r>
      <w:r w:rsidRPr="004613CE">
        <w:rPr>
          <w:rStyle w:val="Emphasis"/>
          <w:bCs/>
          <w:color w:val="0E101A"/>
          <w:sz w:val="24"/>
          <w:szCs w:val="24"/>
        </w:rPr>
        <w:t>2002</w:t>
      </w:r>
      <w:r w:rsidRPr="004613CE">
        <w:rPr>
          <w:sz w:val="24"/>
          <w:szCs w:val="24"/>
        </w:rPr>
        <w:t>] 35,</w:t>
      </w:r>
      <w:r w:rsidRPr="00CD7748">
        <w:rPr>
          <w:sz w:val="24"/>
          <w:szCs w:val="24"/>
        </w:rPr>
        <w:t xml:space="preserve"> an applicant who was a resident of South Africa was convicted of murder; </w:t>
      </w:r>
      <w:r>
        <w:rPr>
          <w:sz w:val="24"/>
          <w:szCs w:val="24"/>
        </w:rPr>
        <w:t>and</w:t>
      </w:r>
      <w:r w:rsidRPr="00CD7748">
        <w:rPr>
          <w:sz w:val="24"/>
          <w:szCs w:val="24"/>
        </w:rPr>
        <w:t xml:space="preserve">, arrested due to possession of a false passport in the UK and was left to go because of the recommendation of the Board for a further review. It is considered that this further review was agreed due to the representation of the Board. However, with further review and through the hearing of the secretary of state, the Board recommendation was refused, and the applicant was required to be sent to prison for two years </w:t>
      </w:r>
      <w:r>
        <w:rPr>
          <w:sz w:val="24"/>
          <w:szCs w:val="24"/>
        </w:rPr>
        <w:t>o</w:t>
      </w:r>
      <w:r w:rsidRPr="00CD7748">
        <w:rPr>
          <w:sz w:val="24"/>
          <w:szCs w:val="24"/>
        </w:rPr>
        <w:t xml:space="preserve">n the open condition. This shows a further development on the separation of powers and judicial interdependence of the judiciary. This case shows that independence of the judicial member from the executive is necessary to assure fairness in the light of the given circumstances and </w:t>
      </w:r>
      <w:r>
        <w:rPr>
          <w:sz w:val="24"/>
          <w:szCs w:val="24"/>
        </w:rPr>
        <w:t>for assuring that</w:t>
      </w:r>
      <w:r w:rsidRPr="00CD7748">
        <w:rPr>
          <w:sz w:val="24"/>
          <w:szCs w:val="24"/>
        </w:rPr>
        <w:t xml:space="preserve"> an appropriate analysis by the superior authority </w:t>
      </w:r>
      <w:r>
        <w:rPr>
          <w:sz w:val="24"/>
          <w:szCs w:val="24"/>
        </w:rPr>
        <w:t xml:space="preserve">is undertaken </w:t>
      </w:r>
      <w:r w:rsidRPr="00CD7748">
        <w:rPr>
          <w:sz w:val="24"/>
          <w:szCs w:val="24"/>
        </w:rPr>
        <w:t xml:space="preserve">without the interference of states and other branches of government (ECHR, 2002). Contrastingly, the misuse of power of the judges has also been ascertained in the case of </w:t>
      </w:r>
      <w:r w:rsidRPr="008A6F85">
        <w:rPr>
          <w:i/>
          <w:iCs/>
          <w:sz w:val="24"/>
          <w:szCs w:val="24"/>
        </w:rPr>
        <w:t xml:space="preserve">A and others v Secretary of State for the Home Department </w:t>
      </w:r>
      <w:r w:rsidRPr="00CD7748">
        <w:rPr>
          <w:sz w:val="24"/>
          <w:szCs w:val="24"/>
        </w:rPr>
        <w:t>[2004] UKHL 56, the Lord’s gave a ruling that sufficient detail in association with the allegations was required and that they should be disclosed to the suspects</w:t>
      </w:r>
      <w:r>
        <w:rPr>
          <w:sz w:val="24"/>
          <w:szCs w:val="24"/>
        </w:rPr>
        <w:t>,</w:t>
      </w:r>
      <w:r w:rsidRPr="00CD7748">
        <w:rPr>
          <w:sz w:val="24"/>
          <w:szCs w:val="24"/>
        </w:rPr>
        <w:t xml:space="preserve"> </w:t>
      </w:r>
      <w:proofErr w:type="gramStart"/>
      <w:r w:rsidRPr="00CD7748">
        <w:rPr>
          <w:sz w:val="24"/>
          <w:szCs w:val="24"/>
        </w:rPr>
        <w:t>so as to</w:t>
      </w:r>
      <w:proofErr w:type="gramEnd"/>
      <w:r w:rsidRPr="00CD7748">
        <w:rPr>
          <w:sz w:val="24"/>
          <w:szCs w:val="24"/>
        </w:rPr>
        <w:t xml:space="preserve"> enable the court to give effective instructions to the respective </w:t>
      </w:r>
      <w:r w:rsidRPr="00CD7748">
        <w:rPr>
          <w:sz w:val="24"/>
          <w:szCs w:val="24"/>
        </w:rPr>
        <w:lastRenderedPageBreak/>
        <w:t>advocates in representing the cases and for the judges to review them. In this case, however, it was assessed that the judges did not implement independent oversight to the case</w:t>
      </w:r>
      <w:r>
        <w:rPr>
          <w:sz w:val="24"/>
          <w:szCs w:val="24"/>
        </w:rPr>
        <w:t>,</w:t>
      </w:r>
      <w:r w:rsidRPr="00CD7748">
        <w:rPr>
          <w:sz w:val="24"/>
          <w:szCs w:val="24"/>
        </w:rPr>
        <w:t xml:space="preserve"> and simultaneously did not take an appropriate concern of the seriousness of the matter in making assumptions and giving out rulings in favour of the public protection and to respect the persons’ private life. This case scenario points out the issues of judicial independence in the judges and system of UK</w:t>
      </w:r>
      <w:r>
        <w:rPr>
          <w:sz w:val="24"/>
          <w:szCs w:val="24"/>
        </w:rPr>
        <w:t xml:space="preserve"> and that the judiciary was not able to exercise judicial independence due to the ineffective set up linked with separation of power</w:t>
      </w:r>
      <w:r w:rsidRPr="00CD7748">
        <w:rPr>
          <w:sz w:val="24"/>
          <w:szCs w:val="24"/>
        </w:rPr>
        <w:t xml:space="preserve"> </w:t>
      </w:r>
      <w:r>
        <w:rPr>
          <w:sz w:val="24"/>
          <w:szCs w:val="24"/>
        </w:rPr>
        <w:t>and because of the inability to apply independent oversight</w:t>
      </w:r>
      <w:r w:rsidRPr="00CD7748">
        <w:rPr>
          <w:sz w:val="24"/>
          <w:szCs w:val="24"/>
        </w:rPr>
        <w:t xml:space="preserve"> (Alexander, 2005).</w:t>
      </w:r>
    </w:p>
    <w:p w14:paraId="4BE93C38" w14:textId="77777777" w:rsidR="002E562E" w:rsidRPr="00CD7748" w:rsidRDefault="002E562E" w:rsidP="002E562E">
      <w:pPr>
        <w:shd w:val="clear" w:color="auto" w:fill="FFFFFF"/>
        <w:spacing w:line="480" w:lineRule="auto"/>
        <w:jc w:val="both"/>
        <w:rPr>
          <w:color w:val="222222"/>
          <w:sz w:val="24"/>
          <w:szCs w:val="24"/>
          <w:lang w:val="en-IN" w:eastAsia="en-IN"/>
        </w:rPr>
      </w:pPr>
      <w:r w:rsidRPr="00CD7748">
        <w:rPr>
          <w:sz w:val="24"/>
          <w:szCs w:val="24"/>
        </w:rPr>
        <w:tab/>
      </w:r>
      <w:r w:rsidRPr="00CD7748">
        <w:rPr>
          <w:color w:val="222222"/>
          <w:sz w:val="24"/>
          <w:szCs w:val="24"/>
          <w:shd w:val="clear" w:color="auto" w:fill="FFFFFF"/>
        </w:rPr>
        <w:t xml:space="preserve">The </w:t>
      </w:r>
      <w:r>
        <w:rPr>
          <w:color w:val="222222"/>
          <w:sz w:val="24"/>
          <w:szCs w:val="24"/>
          <w:shd w:val="clear" w:color="auto" w:fill="FFFFFF"/>
        </w:rPr>
        <w:t>R</w:t>
      </w:r>
      <w:r w:rsidRPr="00CD7748">
        <w:rPr>
          <w:color w:val="222222"/>
          <w:sz w:val="24"/>
          <w:szCs w:val="24"/>
          <w:shd w:val="clear" w:color="auto" w:fill="FFFFFF"/>
        </w:rPr>
        <w:t xml:space="preserve">ule of </w:t>
      </w:r>
      <w:r>
        <w:rPr>
          <w:color w:val="222222"/>
          <w:sz w:val="24"/>
          <w:szCs w:val="24"/>
          <w:shd w:val="clear" w:color="auto" w:fill="FFFFFF"/>
        </w:rPr>
        <w:t>L</w:t>
      </w:r>
      <w:r w:rsidRPr="00CD7748">
        <w:rPr>
          <w:color w:val="222222"/>
          <w:sz w:val="24"/>
          <w:szCs w:val="24"/>
          <w:shd w:val="clear" w:color="auto" w:fill="FFFFFF"/>
        </w:rPr>
        <w:t>aw refers to the fundamental doctrine</w:t>
      </w:r>
      <w:r>
        <w:rPr>
          <w:color w:val="222222"/>
          <w:sz w:val="24"/>
          <w:szCs w:val="24"/>
          <w:shd w:val="clear" w:color="auto" w:fill="FFFFFF"/>
        </w:rPr>
        <w:t>,</w:t>
      </w:r>
      <w:r w:rsidRPr="00CD7748">
        <w:rPr>
          <w:color w:val="222222"/>
          <w:sz w:val="24"/>
          <w:szCs w:val="24"/>
          <w:shd w:val="clear" w:color="auto" w:fill="FFFFFF"/>
        </w:rPr>
        <w:t xml:space="preserve"> which gives guidelines that an individual must submit to the law. It provides that no individual is above the law and that law applies to </w:t>
      </w:r>
      <w:proofErr w:type="gramStart"/>
      <w:r w:rsidRPr="00CD7748">
        <w:rPr>
          <w:color w:val="222222"/>
          <w:sz w:val="24"/>
          <w:szCs w:val="24"/>
          <w:shd w:val="clear" w:color="auto" w:fill="FFFFFF"/>
        </w:rPr>
        <w:t>each individual</w:t>
      </w:r>
      <w:proofErr w:type="gramEnd"/>
      <w:r w:rsidRPr="00CD7748">
        <w:rPr>
          <w:color w:val="222222"/>
          <w:sz w:val="24"/>
          <w:szCs w:val="24"/>
          <w:shd w:val="clear" w:color="auto" w:fill="FFFFFF"/>
        </w:rPr>
        <w:t xml:space="preserve"> in the UK. The </w:t>
      </w:r>
      <w:r>
        <w:rPr>
          <w:color w:val="222222"/>
          <w:sz w:val="24"/>
          <w:szCs w:val="24"/>
          <w:shd w:val="clear" w:color="auto" w:fill="FFFFFF"/>
        </w:rPr>
        <w:t>Rule of Law</w:t>
      </w:r>
      <w:r w:rsidRPr="00CD7748">
        <w:rPr>
          <w:color w:val="222222"/>
          <w:sz w:val="24"/>
          <w:szCs w:val="24"/>
          <w:shd w:val="clear" w:color="auto" w:fill="FFFFFF"/>
        </w:rPr>
        <w:t xml:space="preserve"> has been implemented along with parliamentary sovereignty rulings, which helps in defining the guidelines for the unwritten constitution. The UK Constitution itself favours the separation of power and judicial independence through various acts such as the </w:t>
      </w:r>
      <w:r>
        <w:rPr>
          <w:color w:val="222222"/>
          <w:sz w:val="24"/>
          <w:szCs w:val="24"/>
          <w:shd w:val="clear" w:color="auto" w:fill="FFFFFF"/>
        </w:rPr>
        <w:t>Rule of Law</w:t>
      </w:r>
      <w:r w:rsidRPr="00CD7748">
        <w:rPr>
          <w:color w:val="222222"/>
          <w:sz w:val="24"/>
          <w:szCs w:val="24"/>
          <w:shd w:val="clear" w:color="auto" w:fill="FFFFFF"/>
        </w:rPr>
        <w:t xml:space="preserve">. The </w:t>
      </w:r>
      <w:r>
        <w:rPr>
          <w:color w:val="222222"/>
          <w:sz w:val="24"/>
          <w:szCs w:val="24"/>
          <w:shd w:val="clear" w:color="auto" w:fill="FFFFFF"/>
        </w:rPr>
        <w:t>Rule of Law</w:t>
      </w:r>
      <w:r w:rsidRPr="00CD7748">
        <w:rPr>
          <w:color w:val="222222"/>
          <w:sz w:val="24"/>
          <w:szCs w:val="24"/>
          <w:shd w:val="clear" w:color="auto" w:fill="FFFFFF"/>
        </w:rPr>
        <w:t xml:space="preserve"> provides for legal certainty and establishes a legal framework to be followed by the authorities and judges regardless of their position. It also strictly </w:t>
      </w:r>
      <w:proofErr w:type="gramStart"/>
      <w:r>
        <w:rPr>
          <w:color w:val="222222"/>
          <w:sz w:val="24"/>
          <w:szCs w:val="24"/>
          <w:shd w:val="clear" w:color="auto" w:fill="FFFFFF"/>
        </w:rPr>
        <w:t>govern</w:t>
      </w:r>
      <w:proofErr w:type="gramEnd"/>
      <w:r w:rsidRPr="00CD7748">
        <w:rPr>
          <w:color w:val="222222"/>
          <w:sz w:val="24"/>
          <w:szCs w:val="24"/>
          <w:shd w:val="clear" w:color="auto" w:fill="FFFFFF"/>
        </w:rPr>
        <w:t xml:space="preserve"> adherence to fairness in following laws and procedures, to prevent unfair discrimination and enforcement through impartial decision making by the judges (Laver, n.d.). In the case of the UK, judicial independence has been observed to be a priority element of modern constitutionalism. Constitutionalism as inclusive of laws, regulations and code of conduct helps in limiting the arbitrary exercise of power</w:t>
      </w:r>
      <w:r>
        <w:rPr>
          <w:color w:val="222222"/>
          <w:sz w:val="24"/>
          <w:szCs w:val="24"/>
          <w:shd w:val="clear" w:color="auto" w:fill="FFFFFF"/>
        </w:rPr>
        <w:t>,</w:t>
      </w:r>
      <w:r w:rsidRPr="00CD7748">
        <w:rPr>
          <w:color w:val="222222"/>
          <w:sz w:val="24"/>
          <w:szCs w:val="24"/>
          <w:shd w:val="clear" w:color="auto" w:fill="FFFFFF"/>
        </w:rPr>
        <w:t xml:space="preserve"> while also ensuring that it is legally accountable. At the same time, it also ensures that the law is the supreme power and the other powers given to the authorities are only an extension of the law. The </w:t>
      </w:r>
      <w:r>
        <w:rPr>
          <w:color w:val="222222"/>
          <w:sz w:val="24"/>
          <w:szCs w:val="24"/>
          <w:shd w:val="clear" w:color="auto" w:fill="FFFFFF"/>
        </w:rPr>
        <w:t>Rule of Law</w:t>
      </w:r>
      <w:r w:rsidRPr="00CD7748">
        <w:rPr>
          <w:color w:val="222222"/>
          <w:sz w:val="24"/>
          <w:szCs w:val="24"/>
          <w:shd w:val="clear" w:color="auto" w:fill="FFFFFF"/>
        </w:rPr>
        <w:t xml:space="preserve"> similarly includes the aspect of judicial independence in the manner that it implies an independent and impartial exercise of powers by the judiciary and even in adjudicating the function of independent decision-making (UNODC, n.d.). The </w:t>
      </w:r>
      <w:r>
        <w:rPr>
          <w:color w:val="222222"/>
          <w:sz w:val="24"/>
          <w:szCs w:val="24"/>
          <w:shd w:val="clear" w:color="auto" w:fill="FFFFFF"/>
        </w:rPr>
        <w:t>Rule of Law</w:t>
      </w:r>
      <w:r w:rsidRPr="00CD7748">
        <w:rPr>
          <w:color w:val="222222"/>
          <w:sz w:val="24"/>
          <w:szCs w:val="24"/>
          <w:shd w:val="clear" w:color="auto" w:fill="FFFFFF"/>
        </w:rPr>
        <w:t xml:space="preserve"> </w:t>
      </w:r>
      <w:r w:rsidRPr="00CD7748">
        <w:rPr>
          <w:color w:val="222222"/>
          <w:sz w:val="24"/>
          <w:szCs w:val="24"/>
          <w:shd w:val="clear" w:color="auto" w:fill="FFFFFF"/>
        </w:rPr>
        <w:lastRenderedPageBreak/>
        <w:t>states explicitly that judicial independence should be impartially exercised by the judiciary thereby keeping an impartial check on the performance of public functions and the duty of the judiciary (Laver, n.d.).</w:t>
      </w:r>
    </w:p>
    <w:p w14:paraId="4DB8004B" w14:textId="77777777" w:rsidR="002E562E" w:rsidRPr="00CD7748" w:rsidRDefault="002E562E" w:rsidP="002E562E">
      <w:pPr>
        <w:shd w:val="clear" w:color="auto" w:fill="FFFFFF"/>
        <w:spacing w:line="480" w:lineRule="auto"/>
        <w:jc w:val="both"/>
        <w:rPr>
          <w:color w:val="222222"/>
          <w:sz w:val="24"/>
          <w:szCs w:val="24"/>
          <w:shd w:val="clear" w:color="auto" w:fill="FFFFFF"/>
        </w:rPr>
      </w:pPr>
      <w:r w:rsidRPr="00CD7748">
        <w:rPr>
          <w:sz w:val="24"/>
          <w:szCs w:val="24"/>
        </w:rPr>
        <w:t>           </w:t>
      </w:r>
      <w:proofErr w:type="gramStart"/>
      <w:r w:rsidRPr="00CD7748">
        <w:rPr>
          <w:color w:val="222222"/>
          <w:sz w:val="24"/>
          <w:szCs w:val="24"/>
          <w:shd w:val="clear" w:color="auto" w:fill="FFFFFF"/>
        </w:rPr>
        <w:t>Both of these</w:t>
      </w:r>
      <w:proofErr w:type="gramEnd"/>
      <w:r w:rsidRPr="00CD7748">
        <w:rPr>
          <w:color w:val="222222"/>
          <w:sz w:val="24"/>
          <w:szCs w:val="24"/>
          <w:shd w:val="clear" w:color="auto" w:fill="FFFFFF"/>
        </w:rPr>
        <w:t xml:space="preserve"> constitution provisions of the </w:t>
      </w:r>
      <w:r>
        <w:rPr>
          <w:color w:val="222222"/>
          <w:sz w:val="24"/>
          <w:szCs w:val="24"/>
          <w:shd w:val="clear" w:color="auto" w:fill="FFFFFF"/>
        </w:rPr>
        <w:t>Rule of Law</w:t>
      </w:r>
      <w:r w:rsidRPr="00CD7748">
        <w:rPr>
          <w:color w:val="222222"/>
          <w:sz w:val="24"/>
          <w:szCs w:val="24"/>
          <w:shd w:val="clear" w:color="auto" w:fill="FFFFFF"/>
        </w:rPr>
        <w:t xml:space="preserve"> and </w:t>
      </w:r>
      <w:r>
        <w:rPr>
          <w:color w:val="222222"/>
          <w:sz w:val="24"/>
          <w:szCs w:val="24"/>
          <w:shd w:val="clear" w:color="auto" w:fill="FFFFFF"/>
        </w:rPr>
        <w:t xml:space="preserve">parliamentary </w:t>
      </w:r>
      <w:r w:rsidRPr="00CD7748">
        <w:rPr>
          <w:color w:val="222222"/>
          <w:sz w:val="24"/>
          <w:szCs w:val="24"/>
          <w:shd w:val="clear" w:color="auto" w:fill="FFFFFF"/>
        </w:rPr>
        <w:t xml:space="preserve">sovereignty restrict the interdependence of different authorities in making decisions and favour fair trials. Based on the basic principles of the independence of the judiciary, the judiciary is supposed to act </w:t>
      </w:r>
      <w:proofErr w:type="gramStart"/>
      <w:r w:rsidRPr="00CD7748">
        <w:rPr>
          <w:color w:val="222222"/>
          <w:sz w:val="24"/>
          <w:szCs w:val="24"/>
          <w:shd w:val="clear" w:color="auto" w:fill="FFFFFF"/>
        </w:rPr>
        <w:t>on the basis of</w:t>
      </w:r>
      <w:proofErr w:type="gramEnd"/>
      <w:r w:rsidRPr="00CD7748">
        <w:rPr>
          <w:color w:val="222222"/>
          <w:sz w:val="24"/>
          <w:szCs w:val="24"/>
          <w:shd w:val="clear" w:color="auto" w:fill="FFFFFF"/>
        </w:rPr>
        <w:t xml:space="preserve"> facts in alignment with the principles of law and necessarily without the force of an improper influence, pressure or threat of favour in any manner. The basic principle also states explicitly that impartiality to the dignity of an individual </w:t>
      </w:r>
      <w:proofErr w:type="gramStart"/>
      <w:r w:rsidRPr="00CD7748">
        <w:rPr>
          <w:color w:val="222222"/>
          <w:sz w:val="24"/>
          <w:szCs w:val="24"/>
          <w:shd w:val="clear" w:color="auto" w:fill="FFFFFF"/>
        </w:rPr>
        <w:t>is considered to be</w:t>
      </w:r>
      <w:proofErr w:type="gramEnd"/>
      <w:r w:rsidRPr="00CD7748">
        <w:rPr>
          <w:color w:val="222222"/>
          <w:sz w:val="24"/>
          <w:szCs w:val="24"/>
          <w:shd w:val="clear" w:color="auto" w:fill="FFFFFF"/>
        </w:rPr>
        <w:t xml:space="preserve"> a judicial dependency and will be considered discrimination (UN, 2009). The </w:t>
      </w:r>
      <w:r>
        <w:rPr>
          <w:color w:val="222222"/>
          <w:sz w:val="24"/>
          <w:szCs w:val="24"/>
          <w:shd w:val="clear" w:color="auto" w:fill="FFFFFF"/>
        </w:rPr>
        <w:t>Rule of Law</w:t>
      </w:r>
      <w:r w:rsidRPr="00CD7748">
        <w:rPr>
          <w:color w:val="222222"/>
          <w:sz w:val="24"/>
          <w:szCs w:val="24"/>
          <w:shd w:val="clear" w:color="auto" w:fill="FFFFFF"/>
        </w:rPr>
        <w:t xml:space="preserve"> has helped in establishing judicial independence and separation of power in the UK, for instance, in the case of </w:t>
      </w:r>
      <w:r w:rsidRPr="00CD7748">
        <w:rPr>
          <w:i/>
          <w:iCs/>
          <w:color w:val="222222"/>
          <w:sz w:val="24"/>
          <w:szCs w:val="24"/>
          <w:shd w:val="clear" w:color="auto" w:fill="FFFFFF"/>
        </w:rPr>
        <w:t xml:space="preserve">Entick v Carrington </w:t>
      </w:r>
      <w:r>
        <w:rPr>
          <w:i/>
          <w:iCs/>
          <w:color w:val="222222"/>
          <w:sz w:val="24"/>
          <w:szCs w:val="24"/>
          <w:shd w:val="clear" w:color="auto" w:fill="FFFFFF"/>
        </w:rPr>
        <w:t>[</w:t>
      </w:r>
      <w:r w:rsidRPr="00CD7748">
        <w:rPr>
          <w:i/>
          <w:iCs/>
          <w:color w:val="222222"/>
          <w:sz w:val="24"/>
          <w:szCs w:val="24"/>
          <w:shd w:val="clear" w:color="auto" w:fill="FFFFFF"/>
        </w:rPr>
        <w:t>1765</w:t>
      </w:r>
      <w:r>
        <w:rPr>
          <w:i/>
          <w:iCs/>
          <w:color w:val="222222"/>
          <w:sz w:val="24"/>
          <w:szCs w:val="24"/>
          <w:shd w:val="clear" w:color="auto" w:fill="FFFFFF"/>
        </w:rPr>
        <w:t>]</w:t>
      </w:r>
      <w:r w:rsidRPr="00CD7748">
        <w:rPr>
          <w:i/>
          <w:iCs/>
          <w:color w:val="222222"/>
          <w:sz w:val="24"/>
          <w:szCs w:val="24"/>
          <w:shd w:val="clear" w:color="auto" w:fill="FFFFFF"/>
        </w:rPr>
        <w:t xml:space="preserve"> 19 St Tr 1030,</w:t>
      </w:r>
      <w:r w:rsidRPr="00CD7748">
        <w:rPr>
          <w:color w:val="222222"/>
          <w:sz w:val="24"/>
          <w:szCs w:val="24"/>
          <w:shd w:val="clear" w:color="auto" w:fill="FFFFFF"/>
        </w:rPr>
        <w:t xml:space="preserve"> the police </w:t>
      </w:r>
      <w:proofErr w:type="gramStart"/>
      <w:r w:rsidRPr="00CD7748">
        <w:rPr>
          <w:color w:val="222222"/>
          <w:sz w:val="24"/>
          <w:szCs w:val="24"/>
          <w:shd w:val="clear" w:color="auto" w:fill="FFFFFF"/>
        </w:rPr>
        <w:t>were allowed to</w:t>
      </w:r>
      <w:proofErr w:type="gramEnd"/>
      <w:r w:rsidRPr="00CD7748">
        <w:rPr>
          <w:color w:val="222222"/>
          <w:sz w:val="24"/>
          <w:szCs w:val="24"/>
          <w:shd w:val="clear" w:color="auto" w:fill="FFFFFF"/>
        </w:rPr>
        <w:t xml:space="preserve"> seize the property on the basis of the show in the house of a person’s private property on lawful authority and through the issue of a warrant. In addition, it was ruled out in the case that a person is eligible to keep the security of their personal belongings until it has been proven that the law has been broken (Laver, n.d.). This also implies that judicial independence is prevalent in the political structure of the state and that judicial independence is exercised in a manner favourable to prevent the exertion of influence in dealing with cases in the UK (UNODC, n.d.). </w:t>
      </w:r>
    </w:p>
    <w:p w14:paraId="26F00FD2" w14:textId="77777777" w:rsidR="002E562E" w:rsidRDefault="002E562E" w:rsidP="002E562E">
      <w:pPr>
        <w:spacing w:line="480" w:lineRule="auto"/>
        <w:jc w:val="both"/>
        <w:rPr>
          <w:sz w:val="24"/>
          <w:szCs w:val="24"/>
        </w:rPr>
      </w:pPr>
      <w:r w:rsidRPr="00CD7748">
        <w:rPr>
          <w:sz w:val="24"/>
          <w:szCs w:val="24"/>
        </w:rPr>
        <w:t xml:space="preserve">           Another constitution linked with separation of power and judicial independence is The Crime and Courts Act 2013</w:t>
      </w:r>
      <w:r>
        <w:rPr>
          <w:sz w:val="24"/>
          <w:szCs w:val="24"/>
        </w:rPr>
        <w:t xml:space="preserve"> (CCA 2013)</w:t>
      </w:r>
      <w:r w:rsidRPr="00CD7748">
        <w:rPr>
          <w:sz w:val="24"/>
          <w:szCs w:val="24"/>
        </w:rPr>
        <w:t xml:space="preserve">. It has helped </w:t>
      </w:r>
      <w:r>
        <w:rPr>
          <w:sz w:val="24"/>
          <w:szCs w:val="24"/>
        </w:rPr>
        <w:t xml:space="preserve">to </w:t>
      </w:r>
      <w:r w:rsidRPr="00CD7748">
        <w:rPr>
          <w:sz w:val="24"/>
          <w:szCs w:val="24"/>
        </w:rPr>
        <w:t xml:space="preserve">establish judicial independence in the UK. The </w:t>
      </w:r>
      <w:r>
        <w:rPr>
          <w:sz w:val="24"/>
          <w:szCs w:val="24"/>
        </w:rPr>
        <w:t>CCA</w:t>
      </w:r>
      <w:r w:rsidRPr="00CD7748">
        <w:rPr>
          <w:sz w:val="24"/>
          <w:szCs w:val="24"/>
        </w:rPr>
        <w:t xml:space="preserve"> 2013 is a relatively new constitutional law that has helped in bringing efficiency in the reduction of crime function of the law in the UK. In addition </w:t>
      </w:r>
      <w:r>
        <w:rPr>
          <w:sz w:val="24"/>
          <w:szCs w:val="24"/>
        </w:rPr>
        <w:t xml:space="preserve">to this, </w:t>
      </w:r>
      <w:r w:rsidRPr="00CD7748">
        <w:rPr>
          <w:sz w:val="24"/>
          <w:szCs w:val="24"/>
        </w:rPr>
        <w:t>it aims to carry out activities that will be helpful in combating and organising crime-related cases</w:t>
      </w:r>
      <w:r>
        <w:rPr>
          <w:sz w:val="24"/>
          <w:szCs w:val="24"/>
        </w:rPr>
        <w:t>,</w:t>
      </w:r>
      <w:r w:rsidRPr="00CD7748">
        <w:rPr>
          <w:sz w:val="24"/>
          <w:szCs w:val="24"/>
        </w:rPr>
        <w:t xml:space="preserve"> as well as in the reduction of crime and mitigating the consequences of crime. This Act also includes a counter-terrorism provisioning that helps in conferring and removing such activities in the </w:t>
      </w:r>
      <w:r w:rsidRPr="00CD7748">
        <w:rPr>
          <w:sz w:val="24"/>
          <w:szCs w:val="24"/>
        </w:rPr>
        <w:lastRenderedPageBreak/>
        <w:t>country that can lead to terrorism (</w:t>
      </w:r>
      <w:proofErr w:type="spellStart"/>
      <w:r w:rsidRPr="00CD7748">
        <w:rPr>
          <w:sz w:val="24"/>
          <w:szCs w:val="24"/>
        </w:rPr>
        <w:t>Wipo</w:t>
      </w:r>
      <w:proofErr w:type="spellEnd"/>
      <w:r w:rsidRPr="00CD7748">
        <w:rPr>
          <w:sz w:val="24"/>
          <w:szCs w:val="24"/>
        </w:rPr>
        <w:t xml:space="preserve">, 2013). However, at the same time, most substantially, it has been ascertained that an independent judiciary is essential in such scenarios to assure that decisions in the field of crime is undertaken by an in-depth analysis and by following the procedures as expected for a personal evaluation </w:t>
      </w:r>
      <w:r>
        <w:rPr>
          <w:sz w:val="24"/>
          <w:szCs w:val="24"/>
        </w:rPr>
        <w:t>by</w:t>
      </w:r>
      <w:r w:rsidRPr="00CD7748">
        <w:rPr>
          <w:sz w:val="24"/>
          <w:szCs w:val="24"/>
        </w:rPr>
        <w:t xml:space="preserve"> the judge. This required the integration of Crime and Courts Bill with CRA 2005, which has helped in judicial appointments and judicial independence of CRA 2005 has also been considered for that effect. The entire process of appointing judges in the CCA 2013 is based on judicial independence legislation from CRA 2005 (Delaney, 2016). In that perspective, it has been analysed that CCA 2013 has also helped </w:t>
      </w:r>
      <w:r>
        <w:rPr>
          <w:sz w:val="24"/>
          <w:szCs w:val="24"/>
        </w:rPr>
        <w:t xml:space="preserve">to </w:t>
      </w:r>
      <w:r w:rsidRPr="00CD7748">
        <w:rPr>
          <w:sz w:val="24"/>
          <w:szCs w:val="24"/>
        </w:rPr>
        <w:t>further the scope of judicial independence in the UK.</w:t>
      </w:r>
    </w:p>
    <w:p w14:paraId="629BA535" w14:textId="77777777" w:rsidR="002E562E" w:rsidRDefault="002E562E" w:rsidP="002E562E">
      <w:pPr>
        <w:spacing w:line="480" w:lineRule="auto"/>
        <w:jc w:val="both"/>
        <w:rPr>
          <w:sz w:val="24"/>
          <w:szCs w:val="24"/>
        </w:rPr>
      </w:pPr>
    </w:p>
    <w:p w14:paraId="081DCBC2" w14:textId="77777777" w:rsidR="002E562E" w:rsidRDefault="002E562E" w:rsidP="002E562E">
      <w:pPr>
        <w:spacing w:line="480" w:lineRule="auto"/>
        <w:jc w:val="both"/>
        <w:rPr>
          <w:sz w:val="24"/>
          <w:szCs w:val="24"/>
        </w:rPr>
      </w:pPr>
    </w:p>
    <w:p w14:paraId="7A1E7B5C" w14:textId="77777777" w:rsidR="002E562E" w:rsidRDefault="002E562E" w:rsidP="002E562E">
      <w:pPr>
        <w:spacing w:line="480" w:lineRule="auto"/>
        <w:jc w:val="both"/>
        <w:rPr>
          <w:sz w:val="24"/>
          <w:szCs w:val="24"/>
        </w:rPr>
      </w:pPr>
    </w:p>
    <w:p w14:paraId="7E6F66DD" w14:textId="77777777" w:rsidR="002E562E" w:rsidRDefault="002E562E" w:rsidP="002E562E">
      <w:pPr>
        <w:spacing w:line="480" w:lineRule="auto"/>
        <w:jc w:val="both"/>
        <w:rPr>
          <w:sz w:val="24"/>
          <w:szCs w:val="24"/>
        </w:rPr>
      </w:pPr>
    </w:p>
    <w:p w14:paraId="12CA229A" w14:textId="77777777" w:rsidR="002E562E" w:rsidRDefault="002E562E" w:rsidP="002E562E">
      <w:pPr>
        <w:spacing w:line="480" w:lineRule="auto"/>
        <w:jc w:val="both"/>
        <w:rPr>
          <w:sz w:val="24"/>
          <w:szCs w:val="24"/>
        </w:rPr>
      </w:pPr>
    </w:p>
    <w:p w14:paraId="6F9E1A3A" w14:textId="77777777" w:rsidR="002E562E" w:rsidRDefault="002E562E" w:rsidP="002E562E">
      <w:pPr>
        <w:spacing w:line="480" w:lineRule="auto"/>
        <w:jc w:val="both"/>
        <w:rPr>
          <w:sz w:val="24"/>
          <w:szCs w:val="24"/>
        </w:rPr>
      </w:pPr>
    </w:p>
    <w:p w14:paraId="1F610A53" w14:textId="77777777" w:rsidR="002E562E" w:rsidRDefault="002E562E" w:rsidP="002E562E">
      <w:pPr>
        <w:spacing w:line="480" w:lineRule="auto"/>
        <w:jc w:val="both"/>
        <w:rPr>
          <w:sz w:val="24"/>
          <w:szCs w:val="24"/>
        </w:rPr>
      </w:pPr>
    </w:p>
    <w:p w14:paraId="68D5D151" w14:textId="77777777" w:rsidR="002E562E" w:rsidRDefault="002E562E" w:rsidP="002E562E">
      <w:pPr>
        <w:spacing w:line="480" w:lineRule="auto"/>
        <w:jc w:val="both"/>
        <w:rPr>
          <w:sz w:val="24"/>
          <w:szCs w:val="24"/>
        </w:rPr>
      </w:pPr>
    </w:p>
    <w:p w14:paraId="6DCBEEFC" w14:textId="77777777" w:rsidR="002E562E" w:rsidRDefault="002E562E" w:rsidP="002E562E">
      <w:pPr>
        <w:spacing w:line="480" w:lineRule="auto"/>
        <w:jc w:val="both"/>
        <w:rPr>
          <w:sz w:val="24"/>
          <w:szCs w:val="24"/>
        </w:rPr>
      </w:pPr>
    </w:p>
    <w:p w14:paraId="439C1C3A" w14:textId="77777777" w:rsidR="002E562E" w:rsidRDefault="002E562E" w:rsidP="002E562E">
      <w:pPr>
        <w:spacing w:line="480" w:lineRule="auto"/>
        <w:jc w:val="both"/>
        <w:rPr>
          <w:sz w:val="24"/>
          <w:szCs w:val="24"/>
        </w:rPr>
      </w:pPr>
    </w:p>
    <w:p w14:paraId="56F3BF73" w14:textId="77777777" w:rsidR="002E562E" w:rsidRDefault="002E562E" w:rsidP="002E562E">
      <w:pPr>
        <w:spacing w:line="480" w:lineRule="auto"/>
        <w:jc w:val="both"/>
        <w:rPr>
          <w:sz w:val="24"/>
          <w:szCs w:val="24"/>
        </w:rPr>
      </w:pPr>
    </w:p>
    <w:p w14:paraId="60048B92" w14:textId="77777777" w:rsidR="002E562E" w:rsidRDefault="002E562E" w:rsidP="002E562E">
      <w:pPr>
        <w:spacing w:line="480" w:lineRule="auto"/>
        <w:jc w:val="both"/>
        <w:rPr>
          <w:sz w:val="24"/>
          <w:szCs w:val="24"/>
        </w:rPr>
      </w:pPr>
    </w:p>
    <w:p w14:paraId="296B565A" w14:textId="77777777" w:rsidR="002E562E" w:rsidRPr="00CD7748" w:rsidRDefault="002E562E" w:rsidP="002E562E">
      <w:pPr>
        <w:spacing w:line="480" w:lineRule="auto"/>
        <w:jc w:val="both"/>
        <w:rPr>
          <w:sz w:val="24"/>
          <w:szCs w:val="24"/>
          <w:highlight w:val="yellow"/>
        </w:rPr>
      </w:pPr>
    </w:p>
    <w:p w14:paraId="15DC8D45" w14:textId="77777777" w:rsidR="002E562E" w:rsidRPr="00CD7748" w:rsidRDefault="002E562E" w:rsidP="002E562E">
      <w:pPr>
        <w:pStyle w:val="Heading1"/>
        <w:spacing w:line="480" w:lineRule="auto"/>
        <w:jc w:val="both"/>
        <w:rPr>
          <w:rFonts w:ascii="Times New Roman" w:hAnsi="Times New Roman" w:cs="Times New Roman"/>
          <w:color w:val="auto"/>
          <w:sz w:val="24"/>
          <w:szCs w:val="24"/>
        </w:rPr>
      </w:pPr>
      <w:bookmarkStart w:id="2" w:name="_Toc56188537"/>
      <w:r w:rsidRPr="00CD7748">
        <w:rPr>
          <w:rFonts w:ascii="Times New Roman" w:hAnsi="Times New Roman" w:cs="Times New Roman"/>
          <w:color w:val="auto"/>
          <w:sz w:val="24"/>
          <w:szCs w:val="24"/>
        </w:rPr>
        <w:lastRenderedPageBreak/>
        <w:t>Conclusion</w:t>
      </w:r>
      <w:bookmarkEnd w:id="2"/>
      <w:r w:rsidRPr="00CD7748">
        <w:rPr>
          <w:rFonts w:ascii="Times New Roman" w:hAnsi="Times New Roman" w:cs="Times New Roman"/>
          <w:color w:val="auto"/>
          <w:sz w:val="24"/>
          <w:szCs w:val="24"/>
        </w:rPr>
        <w:t xml:space="preserve"> </w:t>
      </w:r>
    </w:p>
    <w:p w14:paraId="492449FC" w14:textId="77777777" w:rsidR="002E562E" w:rsidRPr="00CD7748" w:rsidRDefault="002E562E" w:rsidP="002E562E">
      <w:pPr>
        <w:spacing w:line="480" w:lineRule="auto"/>
        <w:jc w:val="both"/>
        <w:rPr>
          <w:sz w:val="24"/>
          <w:szCs w:val="24"/>
        </w:rPr>
      </w:pPr>
      <w:r w:rsidRPr="00CD7748">
        <w:rPr>
          <w:sz w:val="24"/>
          <w:szCs w:val="24"/>
        </w:rPr>
        <w:t xml:space="preserve">           The essay on the United Kingdom’s Constitution associated with separation between the judiciary and other branches of the state has concluded that judicial independence is indeed an essential requirement for the law of a country. Separation of judiciary from different branches and states legislations is vital to assure fairness, impartiality and for the judiciary to apply personal judgements based on shreds of evidence. The essay also concludes that different provisions </w:t>
      </w:r>
      <w:r>
        <w:rPr>
          <w:sz w:val="24"/>
          <w:szCs w:val="24"/>
        </w:rPr>
        <w:t xml:space="preserve">such as the Rule of Law </w:t>
      </w:r>
      <w:r w:rsidRPr="00CD7748">
        <w:rPr>
          <w:sz w:val="24"/>
          <w:szCs w:val="24"/>
        </w:rPr>
        <w:t xml:space="preserve">in the constitution of the UK itself have ascertained the importance and inclusion of judicial independence and for separation between the judiciary and the other branches of the state for the efficiency of decision making by the judiciary as examined in the case of Stafford v the UK. The Constitutional Reform Act 2005 and </w:t>
      </w:r>
      <w:r>
        <w:rPr>
          <w:sz w:val="24"/>
          <w:szCs w:val="24"/>
        </w:rPr>
        <w:t>t</w:t>
      </w:r>
      <w:r w:rsidRPr="00CD7748">
        <w:rPr>
          <w:sz w:val="24"/>
          <w:szCs w:val="24"/>
        </w:rPr>
        <w:t xml:space="preserve">he Crime and Courts Act 2013 have both deeply included and ascertained the importance of the use of judicial independence in decision making and even in guidelines for decision-making. Even different doctrines such as the </w:t>
      </w:r>
      <w:r>
        <w:rPr>
          <w:sz w:val="24"/>
          <w:szCs w:val="24"/>
        </w:rPr>
        <w:t>Rule of Law</w:t>
      </w:r>
      <w:r w:rsidRPr="00CD7748">
        <w:rPr>
          <w:sz w:val="24"/>
          <w:szCs w:val="24"/>
        </w:rPr>
        <w:t xml:space="preserve"> in alignment with parliamentary sovereignty have been assessed to be in favour of judicial independence and include the provision of separation of power in the principles. In that respect, the thesis statement can be restated as “the United Kingdom’s constitution allows for separation between the judiciary and the other branches of state to a large extent.” </w:t>
      </w:r>
      <w:r w:rsidRPr="00CD7748">
        <w:rPr>
          <w:sz w:val="24"/>
          <w:szCs w:val="24"/>
        </w:rPr>
        <w:br w:type="page"/>
      </w:r>
    </w:p>
    <w:p w14:paraId="1037320D" w14:textId="77777777" w:rsidR="002E562E" w:rsidRPr="00CD7748" w:rsidRDefault="002E562E" w:rsidP="002E562E">
      <w:pPr>
        <w:pStyle w:val="Heading1"/>
        <w:spacing w:line="480" w:lineRule="auto"/>
        <w:jc w:val="both"/>
        <w:rPr>
          <w:rFonts w:ascii="Times New Roman" w:hAnsi="Times New Roman" w:cs="Times New Roman"/>
          <w:color w:val="auto"/>
          <w:sz w:val="24"/>
          <w:szCs w:val="24"/>
        </w:rPr>
      </w:pPr>
      <w:bookmarkStart w:id="3" w:name="_Toc56188538"/>
      <w:r w:rsidRPr="00CD7748">
        <w:rPr>
          <w:rFonts w:ascii="Times New Roman" w:hAnsi="Times New Roman" w:cs="Times New Roman"/>
          <w:color w:val="auto"/>
          <w:sz w:val="24"/>
          <w:szCs w:val="24"/>
        </w:rPr>
        <w:lastRenderedPageBreak/>
        <w:t>References</w:t>
      </w:r>
      <w:bookmarkEnd w:id="3"/>
    </w:p>
    <w:p w14:paraId="3087C69C" w14:textId="77777777" w:rsidR="002E562E" w:rsidRPr="00CD7748" w:rsidRDefault="002E562E" w:rsidP="002E562E">
      <w:pPr>
        <w:spacing w:line="480" w:lineRule="auto"/>
        <w:ind w:left="567" w:hanging="567"/>
        <w:jc w:val="both"/>
        <w:rPr>
          <w:b/>
          <w:color w:val="222222"/>
          <w:sz w:val="24"/>
          <w:szCs w:val="24"/>
          <w:shd w:val="clear" w:color="auto" w:fill="FFFFFF"/>
        </w:rPr>
      </w:pPr>
      <w:r w:rsidRPr="00CD7748">
        <w:rPr>
          <w:b/>
          <w:color w:val="222222"/>
          <w:sz w:val="24"/>
          <w:szCs w:val="24"/>
          <w:shd w:val="clear" w:color="auto" w:fill="FFFFFF"/>
        </w:rPr>
        <w:t>Primary Sources</w:t>
      </w:r>
    </w:p>
    <w:p w14:paraId="63DB16C0" w14:textId="77777777" w:rsidR="002E562E" w:rsidRPr="00CD7748" w:rsidRDefault="002E562E" w:rsidP="002E562E">
      <w:pPr>
        <w:spacing w:line="480" w:lineRule="auto"/>
        <w:ind w:left="567" w:hanging="567"/>
        <w:jc w:val="both"/>
        <w:rPr>
          <w:color w:val="222222"/>
          <w:sz w:val="24"/>
          <w:szCs w:val="24"/>
          <w:shd w:val="clear" w:color="auto" w:fill="FFFFFF"/>
        </w:rPr>
      </w:pPr>
      <w:proofErr w:type="gramStart"/>
      <w:r w:rsidRPr="00CD7748">
        <w:rPr>
          <w:color w:val="222222"/>
          <w:sz w:val="24"/>
          <w:szCs w:val="24"/>
          <w:shd w:val="clear" w:color="auto" w:fill="FFFFFF"/>
        </w:rPr>
        <w:t>A and</w:t>
      </w:r>
      <w:proofErr w:type="gramEnd"/>
      <w:r w:rsidRPr="00CD7748">
        <w:rPr>
          <w:color w:val="222222"/>
          <w:sz w:val="24"/>
          <w:szCs w:val="24"/>
          <w:shd w:val="clear" w:color="auto" w:fill="FFFFFF"/>
        </w:rPr>
        <w:t xml:space="preserve"> others v Secretary of State for the Home Department [2004] UKHL 56</w:t>
      </w:r>
    </w:p>
    <w:p w14:paraId="6704B9E9" w14:textId="77777777" w:rsidR="002E562E" w:rsidRPr="00CD7748" w:rsidRDefault="002E562E" w:rsidP="002E562E">
      <w:pPr>
        <w:spacing w:line="480" w:lineRule="auto"/>
        <w:ind w:left="567" w:hanging="567"/>
        <w:jc w:val="both"/>
        <w:rPr>
          <w:color w:val="222222"/>
          <w:sz w:val="24"/>
          <w:szCs w:val="24"/>
          <w:shd w:val="clear" w:color="auto" w:fill="FFFFFF"/>
        </w:rPr>
      </w:pPr>
      <w:r w:rsidRPr="00CD7748">
        <w:rPr>
          <w:color w:val="222222"/>
          <w:sz w:val="24"/>
          <w:szCs w:val="24"/>
          <w:shd w:val="clear" w:color="auto" w:fill="FFFFFF"/>
        </w:rPr>
        <w:t>Entick v Carrington (1765) 19 St Tr 1030</w:t>
      </w:r>
    </w:p>
    <w:p w14:paraId="3B5D0AA5" w14:textId="77777777" w:rsidR="002E562E" w:rsidRPr="00CD7748" w:rsidRDefault="002E562E" w:rsidP="002E562E">
      <w:pPr>
        <w:spacing w:line="480" w:lineRule="auto"/>
        <w:ind w:left="567" w:hanging="567"/>
        <w:jc w:val="both"/>
        <w:rPr>
          <w:color w:val="222222"/>
          <w:sz w:val="24"/>
          <w:szCs w:val="24"/>
          <w:shd w:val="clear" w:color="auto" w:fill="FFFFFF"/>
        </w:rPr>
      </w:pPr>
      <w:r w:rsidRPr="00CD7748">
        <w:rPr>
          <w:color w:val="222222"/>
          <w:sz w:val="24"/>
          <w:szCs w:val="24"/>
        </w:rPr>
        <w:t>Stafford v</w:t>
      </w:r>
      <w:r w:rsidRPr="00CD7748">
        <w:rPr>
          <w:color w:val="222222"/>
          <w:sz w:val="24"/>
          <w:szCs w:val="24"/>
          <w:shd w:val="clear" w:color="auto" w:fill="FFFFFF"/>
        </w:rPr>
        <w:t>. </w:t>
      </w:r>
      <w:r w:rsidRPr="00CD7748">
        <w:rPr>
          <w:color w:val="222222"/>
          <w:sz w:val="24"/>
          <w:szCs w:val="24"/>
        </w:rPr>
        <w:t>United Kingdom</w:t>
      </w:r>
      <w:r w:rsidRPr="00CD7748">
        <w:rPr>
          <w:color w:val="222222"/>
          <w:sz w:val="24"/>
          <w:szCs w:val="24"/>
          <w:shd w:val="clear" w:color="auto" w:fill="FFFFFF"/>
        </w:rPr>
        <w:t> (</w:t>
      </w:r>
      <w:r w:rsidRPr="00CD7748">
        <w:rPr>
          <w:color w:val="222222"/>
          <w:sz w:val="24"/>
          <w:szCs w:val="24"/>
        </w:rPr>
        <w:t>2002</w:t>
      </w:r>
      <w:r w:rsidRPr="00CD7748">
        <w:rPr>
          <w:color w:val="222222"/>
          <w:sz w:val="24"/>
          <w:szCs w:val="24"/>
          <w:shd w:val="clear" w:color="auto" w:fill="FFFFFF"/>
        </w:rPr>
        <w:t>) 35</w:t>
      </w:r>
    </w:p>
    <w:p w14:paraId="7B6E1E1A" w14:textId="77777777" w:rsidR="002E562E" w:rsidRPr="00CD7748" w:rsidRDefault="002E562E" w:rsidP="002E562E">
      <w:pPr>
        <w:spacing w:line="480" w:lineRule="auto"/>
        <w:ind w:left="567" w:hanging="567"/>
        <w:jc w:val="both"/>
        <w:rPr>
          <w:b/>
          <w:color w:val="222222"/>
          <w:sz w:val="24"/>
          <w:szCs w:val="24"/>
          <w:shd w:val="clear" w:color="auto" w:fill="FFFFFF"/>
        </w:rPr>
      </w:pPr>
      <w:r w:rsidRPr="00CD7748">
        <w:rPr>
          <w:b/>
          <w:color w:val="222222"/>
          <w:sz w:val="24"/>
          <w:szCs w:val="24"/>
          <w:shd w:val="clear" w:color="auto" w:fill="FFFFFF"/>
        </w:rPr>
        <w:t>Secondary Sources</w:t>
      </w:r>
    </w:p>
    <w:p w14:paraId="4A85B432" w14:textId="77777777" w:rsidR="002E562E" w:rsidRPr="00CD7748" w:rsidRDefault="002E562E" w:rsidP="002E562E">
      <w:pPr>
        <w:spacing w:line="480" w:lineRule="auto"/>
        <w:ind w:left="567" w:hanging="567"/>
        <w:jc w:val="both"/>
        <w:rPr>
          <w:color w:val="222222"/>
          <w:sz w:val="24"/>
          <w:szCs w:val="24"/>
          <w:shd w:val="clear" w:color="auto" w:fill="FFFFFF"/>
        </w:rPr>
      </w:pPr>
      <w:r w:rsidRPr="00CD7748">
        <w:rPr>
          <w:color w:val="222222"/>
          <w:sz w:val="24"/>
          <w:szCs w:val="24"/>
          <w:shd w:val="clear" w:color="auto" w:fill="FFFFFF"/>
        </w:rPr>
        <w:t>Alexander, K. 2005. Evidence obtained by torture. </w:t>
      </w:r>
      <w:r w:rsidRPr="00CD7748">
        <w:rPr>
          <w:i/>
          <w:iCs/>
          <w:color w:val="222222"/>
          <w:sz w:val="24"/>
          <w:szCs w:val="24"/>
          <w:shd w:val="clear" w:color="auto" w:fill="FFFFFF"/>
        </w:rPr>
        <w:t>Amicus Curiae</w:t>
      </w:r>
      <w:r w:rsidRPr="00CD7748">
        <w:rPr>
          <w:color w:val="222222"/>
          <w:sz w:val="24"/>
          <w:szCs w:val="24"/>
          <w:shd w:val="clear" w:color="auto" w:fill="FFFFFF"/>
        </w:rPr>
        <w:t> </w:t>
      </w:r>
      <w:r w:rsidRPr="00CD7748">
        <w:rPr>
          <w:i/>
          <w:iCs/>
          <w:color w:val="222222"/>
          <w:sz w:val="24"/>
          <w:szCs w:val="24"/>
          <w:shd w:val="clear" w:color="auto" w:fill="FFFFFF"/>
        </w:rPr>
        <w:t>2005</w:t>
      </w:r>
      <w:r w:rsidRPr="00CD7748">
        <w:rPr>
          <w:color w:val="222222"/>
          <w:sz w:val="24"/>
          <w:szCs w:val="24"/>
          <w:shd w:val="clear" w:color="auto" w:fill="FFFFFF"/>
        </w:rPr>
        <w:t>(62), pp. 1-2.</w:t>
      </w:r>
    </w:p>
    <w:p w14:paraId="065EB99C" w14:textId="77777777" w:rsidR="002E562E" w:rsidRPr="00CD7748" w:rsidRDefault="002E562E" w:rsidP="002E562E">
      <w:pPr>
        <w:spacing w:line="480" w:lineRule="auto"/>
        <w:ind w:left="567" w:hanging="567"/>
        <w:jc w:val="both"/>
        <w:rPr>
          <w:color w:val="222222"/>
          <w:sz w:val="24"/>
          <w:szCs w:val="24"/>
          <w:shd w:val="clear" w:color="auto" w:fill="FFFFFF"/>
        </w:rPr>
      </w:pPr>
      <w:r w:rsidRPr="00CD7748">
        <w:rPr>
          <w:color w:val="222222"/>
          <w:sz w:val="24"/>
          <w:szCs w:val="24"/>
          <w:shd w:val="clear" w:color="auto" w:fill="FFFFFF"/>
        </w:rPr>
        <w:t>Courts and Tribunal Judiciary. 2020. Independence. [Online]. Available at:</w:t>
      </w:r>
      <w:r w:rsidRPr="00CD7748">
        <w:rPr>
          <w:sz w:val="24"/>
          <w:szCs w:val="24"/>
        </w:rPr>
        <w:t xml:space="preserve"> </w:t>
      </w:r>
      <w:hyperlink r:id="rId4" w:history="1">
        <w:r w:rsidRPr="00CD7748">
          <w:rPr>
            <w:rStyle w:val="Hyperlink"/>
            <w:sz w:val="24"/>
            <w:szCs w:val="24"/>
            <w:shd w:val="clear" w:color="auto" w:fill="FFFFFF"/>
          </w:rPr>
          <w:t>https://www.judiciary.uk/about-the-judiciary/the-judiciary-the-government-and-the-constitution/jud-acc-ind/independence/</w:t>
        </w:r>
      </w:hyperlink>
      <w:r w:rsidRPr="00CD7748">
        <w:rPr>
          <w:color w:val="222222"/>
          <w:sz w:val="24"/>
          <w:szCs w:val="24"/>
          <w:shd w:val="clear" w:color="auto" w:fill="FFFFFF"/>
        </w:rPr>
        <w:t xml:space="preserve"> [Accessed </w:t>
      </w:r>
      <w:proofErr w:type="gramStart"/>
      <w:r w:rsidRPr="00CD7748">
        <w:rPr>
          <w:color w:val="222222"/>
          <w:sz w:val="24"/>
          <w:szCs w:val="24"/>
          <w:shd w:val="clear" w:color="auto" w:fill="FFFFFF"/>
        </w:rPr>
        <w:t>on:</w:t>
      </w:r>
      <w:proofErr w:type="gramEnd"/>
      <w:r w:rsidRPr="00CD7748">
        <w:rPr>
          <w:color w:val="222222"/>
          <w:sz w:val="24"/>
          <w:szCs w:val="24"/>
          <w:shd w:val="clear" w:color="auto" w:fill="FFFFFF"/>
        </w:rPr>
        <w:t xml:space="preserve"> 13 November 2020].</w:t>
      </w:r>
    </w:p>
    <w:p w14:paraId="7B03482C" w14:textId="77777777" w:rsidR="002E562E" w:rsidRPr="00CD7748" w:rsidRDefault="002E562E" w:rsidP="002E562E">
      <w:pPr>
        <w:spacing w:line="480" w:lineRule="auto"/>
        <w:ind w:left="567" w:hanging="567"/>
        <w:jc w:val="both"/>
        <w:rPr>
          <w:color w:val="222222"/>
          <w:sz w:val="24"/>
          <w:szCs w:val="24"/>
          <w:shd w:val="clear" w:color="auto" w:fill="FFFFFF"/>
        </w:rPr>
      </w:pPr>
      <w:r w:rsidRPr="00CD7748">
        <w:rPr>
          <w:color w:val="222222"/>
          <w:sz w:val="24"/>
          <w:szCs w:val="24"/>
          <w:shd w:val="clear" w:color="auto" w:fill="FFFFFF"/>
        </w:rPr>
        <w:t>Courts and Tribunal Judiciary.</w:t>
      </w:r>
      <w:r w:rsidRPr="00811D15">
        <w:rPr>
          <w:sz w:val="24"/>
          <w:szCs w:val="24"/>
          <w:shd w:val="clear" w:color="auto" w:fill="FFFFFF"/>
        </w:rPr>
        <w:t xml:space="preserve"> 2020a. </w:t>
      </w:r>
      <w:r w:rsidRPr="00811D15">
        <w:rPr>
          <w:bCs/>
          <w:sz w:val="24"/>
          <w:szCs w:val="24"/>
        </w:rPr>
        <w:t>Constitutional Reform.</w:t>
      </w:r>
      <w:r w:rsidRPr="00811D15">
        <w:rPr>
          <w:b/>
          <w:bCs/>
          <w:sz w:val="24"/>
          <w:szCs w:val="24"/>
        </w:rPr>
        <w:t xml:space="preserve"> </w:t>
      </w:r>
      <w:r w:rsidRPr="00CD7748">
        <w:rPr>
          <w:color w:val="222222"/>
          <w:sz w:val="24"/>
          <w:szCs w:val="24"/>
          <w:shd w:val="clear" w:color="auto" w:fill="FFFFFF"/>
        </w:rPr>
        <w:t xml:space="preserve">[Online]. Available at: </w:t>
      </w:r>
      <w:hyperlink r:id="rId5" w:history="1">
        <w:r w:rsidRPr="00CD7748">
          <w:rPr>
            <w:rStyle w:val="Hyperlink"/>
            <w:sz w:val="24"/>
            <w:szCs w:val="24"/>
          </w:rPr>
          <w:t>https://www.judiciary.uk/about-the-judiciary/the-judiciary-the-governmet-and-the-constitution/constitutional-reform/</w:t>
        </w:r>
      </w:hyperlink>
      <w:r w:rsidRPr="00CD7748">
        <w:rPr>
          <w:sz w:val="24"/>
          <w:szCs w:val="24"/>
        </w:rPr>
        <w:t xml:space="preserve"> </w:t>
      </w:r>
      <w:r w:rsidRPr="00CD7748">
        <w:rPr>
          <w:color w:val="222222"/>
          <w:sz w:val="24"/>
          <w:szCs w:val="24"/>
          <w:shd w:val="clear" w:color="auto" w:fill="FFFFFF"/>
        </w:rPr>
        <w:t xml:space="preserve">[Accessed </w:t>
      </w:r>
      <w:proofErr w:type="gramStart"/>
      <w:r w:rsidRPr="00CD7748">
        <w:rPr>
          <w:color w:val="222222"/>
          <w:sz w:val="24"/>
          <w:szCs w:val="24"/>
          <w:shd w:val="clear" w:color="auto" w:fill="FFFFFF"/>
        </w:rPr>
        <w:t>on:</w:t>
      </w:r>
      <w:proofErr w:type="gramEnd"/>
      <w:r w:rsidRPr="00CD7748">
        <w:rPr>
          <w:color w:val="222222"/>
          <w:sz w:val="24"/>
          <w:szCs w:val="24"/>
          <w:shd w:val="clear" w:color="auto" w:fill="FFFFFF"/>
        </w:rPr>
        <w:t xml:space="preserve"> 13 November 2020].</w:t>
      </w:r>
    </w:p>
    <w:p w14:paraId="47F4AA28" w14:textId="77777777" w:rsidR="002E562E" w:rsidRPr="00CD7748" w:rsidRDefault="002E562E" w:rsidP="002E562E">
      <w:pPr>
        <w:spacing w:line="480" w:lineRule="auto"/>
        <w:ind w:left="567" w:hanging="567"/>
        <w:jc w:val="both"/>
        <w:rPr>
          <w:sz w:val="24"/>
          <w:szCs w:val="24"/>
        </w:rPr>
      </w:pPr>
      <w:r w:rsidRPr="00CD7748">
        <w:rPr>
          <w:color w:val="222222"/>
          <w:sz w:val="24"/>
          <w:szCs w:val="24"/>
          <w:shd w:val="clear" w:color="auto" w:fill="FFFFFF"/>
        </w:rPr>
        <w:t>Delaney, E. 2016. Searching for constitutional meaning in institutional design: The debate over judicial appointments in the United Kingdom. </w:t>
      </w:r>
      <w:r w:rsidRPr="00CD7748">
        <w:rPr>
          <w:i/>
          <w:iCs/>
          <w:color w:val="222222"/>
          <w:sz w:val="24"/>
          <w:szCs w:val="24"/>
          <w:shd w:val="clear" w:color="auto" w:fill="FFFFFF"/>
        </w:rPr>
        <w:t>International Journal of Constitutional Law</w:t>
      </w:r>
      <w:r w:rsidRPr="00CD7748">
        <w:rPr>
          <w:color w:val="222222"/>
          <w:sz w:val="24"/>
          <w:szCs w:val="24"/>
          <w:shd w:val="clear" w:color="auto" w:fill="FFFFFF"/>
        </w:rPr>
        <w:t> </w:t>
      </w:r>
      <w:r w:rsidRPr="00CD7748">
        <w:rPr>
          <w:iCs/>
          <w:color w:val="222222"/>
          <w:sz w:val="24"/>
          <w:szCs w:val="24"/>
          <w:shd w:val="clear" w:color="auto" w:fill="FFFFFF"/>
        </w:rPr>
        <w:t>14</w:t>
      </w:r>
      <w:r w:rsidRPr="00CD7748">
        <w:rPr>
          <w:color w:val="222222"/>
          <w:sz w:val="24"/>
          <w:szCs w:val="24"/>
          <w:shd w:val="clear" w:color="auto" w:fill="FFFFFF"/>
        </w:rPr>
        <w:t>(3), pp. 752-768.</w:t>
      </w:r>
    </w:p>
    <w:p w14:paraId="1030A936" w14:textId="77777777" w:rsidR="002E562E" w:rsidRPr="00CD7748" w:rsidRDefault="002E562E" w:rsidP="002E562E">
      <w:pPr>
        <w:spacing w:line="480" w:lineRule="auto"/>
        <w:ind w:left="567" w:hanging="567"/>
        <w:jc w:val="both"/>
        <w:rPr>
          <w:color w:val="222222"/>
          <w:sz w:val="24"/>
          <w:szCs w:val="24"/>
          <w:shd w:val="clear" w:color="auto" w:fill="FFFFFF"/>
        </w:rPr>
      </w:pPr>
      <w:r w:rsidRPr="00CD7748">
        <w:rPr>
          <w:sz w:val="24"/>
          <w:szCs w:val="24"/>
        </w:rPr>
        <w:t xml:space="preserve">ECHR. 2002. Case </w:t>
      </w:r>
      <w:proofErr w:type="gramStart"/>
      <w:r w:rsidRPr="00CD7748">
        <w:rPr>
          <w:sz w:val="24"/>
          <w:szCs w:val="24"/>
        </w:rPr>
        <w:t>Of</w:t>
      </w:r>
      <w:proofErr w:type="gramEnd"/>
      <w:r w:rsidRPr="00CD7748">
        <w:rPr>
          <w:sz w:val="24"/>
          <w:szCs w:val="24"/>
        </w:rPr>
        <w:t xml:space="preserve"> Stafford V. The United Kingdom. </w:t>
      </w:r>
      <w:r w:rsidRPr="00CD7748">
        <w:rPr>
          <w:color w:val="222222"/>
          <w:sz w:val="24"/>
          <w:szCs w:val="24"/>
          <w:shd w:val="clear" w:color="auto" w:fill="FFFFFF"/>
        </w:rPr>
        <w:t xml:space="preserve">[Online]. Available at: </w:t>
      </w:r>
      <w:hyperlink r:id="rId6" w:history="1">
        <w:r w:rsidRPr="00CD7748">
          <w:rPr>
            <w:rStyle w:val="Hyperlink"/>
            <w:sz w:val="24"/>
            <w:szCs w:val="24"/>
          </w:rPr>
          <w:t>http://hudoc.echr.coe.int/app/conversion/pdf/?library=ECHR&amp;id=001-60486&amp;filename=001-60486.pdf</w:t>
        </w:r>
      </w:hyperlink>
      <w:r w:rsidRPr="00CD7748">
        <w:rPr>
          <w:sz w:val="24"/>
          <w:szCs w:val="24"/>
        </w:rPr>
        <w:t xml:space="preserve"> </w:t>
      </w:r>
      <w:r w:rsidRPr="00CD7748">
        <w:rPr>
          <w:color w:val="222222"/>
          <w:sz w:val="24"/>
          <w:szCs w:val="24"/>
          <w:shd w:val="clear" w:color="auto" w:fill="FFFFFF"/>
        </w:rPr>
        <w:t xml:space="preserve">[Accessed </w:t>
      </w:r>
      <w:proofErr w:type="gramStart"/>
      <w:r w:rsidRPr="00CD7748">
        <w:rPr>
          <w:color w:val="222222"/>
          <w:sz w:val="24"/>
          <w:szCs w:val="24"/>
          <w:shd w:val="clear" w:color="auto" w:fill="FFFFFF"/>
        </w:rPr>
        <w:t>on:</w:t>
      </w:r>
      <w:proofErr w:type="gramEnd"/>
      <w:r w:rsidRPr="00CD7748">
        <w:rPr>
          <w:color w:val="222222"/>
          <w:sz w:val="24"/>
          <w:szCs w:val="24"/>
          <w:shd w:val="clear" w:color="auto" w:fill="FFFFFF"/>
        </w:rPr>
        <w:t xml:space="preserve"> 13 November 2020].</w:t>
      </w:r>
    </w:p>
    <w:p w14:paraId="35D82694" w14:textId="77777777" w:rsidR="002E562E" w:rsidRPr="00CD7748" w:rsidRDefault="002E562E" w:rsidP="002E562E">
      <w:pPr>
        <w:spacing w:line="480" w:lineRule="auto"/>
        <w:ind w:left="567" w:hanging="567"/>
        <w:jc w:val="both"/>
        <w:rPr>
          <w:color w:val="222222"/>
          <w:sz w:val="24"/>
          <w:szCs w:val="24"/>
          <w:shd w:val="clear" w:color="auto" w:fill="FFFFFF"/>
        </w:rPr>
      </w:pPr>
      <w:r w:rsidRPr="00CD7748">
        <w:rPr>
          <w:color w:val="222222"/>
          <w:sz w:val="24"/>
          <w:szCs w:val="24"/>
          <w:shd w:val="clear" w:color="auto" w:fill="FFFFFF"/>
        </w:rPr>
        <w:t>Hazell, R.J.D. 2015. Judicial independence and accountability in the UK have both emerged stronger as a result of the Constitutional Reform Act 2005. </w:t>
      </w:r>
      <w:r w:rsidRPr="00CD7748">
        <w:rPr>
          <w:i/>
          <w:iCs/>
          <w:color w:val="222222"/>
          <w:sz w:val="24"/>
          <w:szCs w:val="24"/>
          <w:shd w:val="clear" w:color="auto" w:fill="FFFFFF"/>
        </w:rPr>
        <w:t>Public Law</w:t>
      </w:r>
      <w:r w:rsidRPr="00CD7748">
        <w:rPr>
          <w:color w:val="222222"/>
          <w:sz w:val="24"/>
          <w:szCs w:val="24"/>
          <w:shd w:val="clear" w:color="auto" w:fill="FFFFFF"/>
        </w:rPr>
        <w:t xml:space="preserve">, pp. 198-206. </w:t>
      </w:r>
    </w:p>
    <w:p w14:paraId="404CCAD1" w14:textId="77777777" w:rsidR="002E562E" w:rsidRPr="00CD7748" w:rsidRDefault="002E562E" w:rsidP="002E562E">
      <w:pPr>
        <w:spacing w:line="480" w:lineRule="auto"/>
        <w:ind w:left="567" w:hanging="567"/>
        <w:jc w:val="both"/>
        <w:rPr>
          <w:color w:val="222222"/>
          <w:sz w:val="24"/>
          <w:szCs w:val="24"/>
          <w:shd w:val="clear" w:color="auto" w:fill="FFFFFF"/>
        </w:rPr>
      </w:pPr>
      <w:r w:rsidRPr="00CD7748">
        <w:rPr>
          <w:color w:val="222222"/>
          <w:sz w:val="24"/>
          <w:szCs w:val="24"/>
          <w:shd w:val="clear" w:color="auto" w:fill="FFFFFF"/>
        </w:rPr>
        <w:t xml:space="preserve">Laver, N. n.d. The </w:t>
      </w:r>
      <w:r>
        <w:rPr>
          <w:color w:val="222222"/>
          <w:sz w:val="24"/>
          <w:szCs w:val="24"/>
          <w:shd w:val="clear" w:color="auto" w:fill="FFFFFF"/>
        </w:rPr>
        <w:t>Rule of Law</w:t>
      </w:r>
      <w:r w:rsidRPr="00CD7748">
        <w:rPr>
          <w:color w:val="222222"/>
          <w:sz w:val="24"/>
          <w:szCs w:val="24"/>
          <w:shd w:val="clear" w:color="auto" w:fill="FFFFFF"/>
        </w:rPr>
        <w:t xml:space="preserve"> in the UK. [Online]. Available at: </w:t>
      </w:r>
      <w:hyperlink r:id="rId7" w:history="1">
        <w:r w:rsidRPr="00CD7748">
          <w:rPr>
            <w:rStyle w:val="Hyperlink"/>
            <w:sz w:val="24"/>
            <w:szCs w:val="24"/>
            <w:shd w:val="clear" w:color="auto" w:fill="FFFFFF"/>
          </w:rPr>
          <w:t>https://www.inbrief.co.uk/legal-system/the-rule-of-law/</w:t>
        </w:r>
      </w:hyperlink>
      <w:r w:rsidRPr="00CD7748">
        <w:rPr>
          <w:color w:val="222222"/>
          <w:sz w:val="24"/>
          <w:szCs w:val="24"/>
          <w:shd w:val="clear" w:color="auto" w:fill="FFFFFF"/>
        </w:rPr>
        <w:t xml:space="preserve"> [Accessed </w:t>
      </w:r>
      <w:proofErr w:type="gramStart"/>
      <w:r w:rsidRPr="00CD7748">
        <w:rPr>
          <w:color w:val="222222"/>
          <w:sz w:val="24"/>
          <w:szCs w:val="24"/>
          <w:shd w:val="clear" w:color="auto" w:fill="FFFFFF"/>
        </w:rPr>
        <w:t>on:</w:t>
      </w:r>
      <w:proofErr w:type="gramEnd"/>
      <w:r w:rsidRPr="00CD7748">
        <w:rPr>
          <w:color w:val="222222"/>
          <w:sz w:val="24"/>
          <w:szCs w:val="24"/>
          <w:shd w:val="clear" w:color="auto" w:fill="FFFFFF"/>
        </w:rPr>
        <w:t xml:space="preserve"> 13 November 2020].</w:t>
      </w:r>
    </w:p>
    <w:p w14:paraId="4C97F447" w14:textId="77777777" w:rsidR="00652F60" w:rsidRDefault="00652F60"/>
    <w:sectPr w:rsidR="00652F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62E"/>
    <w:rsid w:val="002E562E"/>
    <w:rsid w:val="00652F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03CF3"/>
  <w15:chartTrackingRefBased/>
  <w15:docId w15:val="{38BC91D5-0B05-45FF-8532-A55F3D298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62E"/>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2E562E"/>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562E"/>
    <w:rPr>
      <w:rFonts w:asciiTheme="majorHAnsi" w:eastAsiaTheme="majorEastAsia" w:hAnsiTheme="majorHAnsi" w:cstheme="majorBidi"/>
      <w:b/>
      <w:bCs/>
      <w:color w:val="2F5496" w:themeColor="accent1" w:themeShade="BF"/>
      <w:sz w:val="28"/>
      <w:szCs w:val="28"/>
      <w:lang w:eastAsia="en-GB"/>
    </w:rPr>
  </w:style>
  <w:style w:type="paragraph" w:styleId="TOCHeading">
    <w:name w:val="TOC Heading"/>
    <w:basedOn w:val="Heading1"/>
    <w:next w:val="Normal"/>
    <w:uiPriority w:val="39"/>
    <w:semiHidden/>
    <w:unhideWhenUsed/>
    <w:qFormat/>
    <w:rsid w:val="002E562E"/>
    <w:pPr>
      <w:spacing w:line="276" w:lineRule="auto"/>
      <w:outlineLvl w:val="9"/>
    </w:pPr>
    <w:rPr>
      <w:lang w:val="en-US" w:eastAsia="ja-JP"/>
    </w:rPr>
  </w:style>
  <w:style w:type="paragraph" w:styleId="TOC1">
    <w:name w:val="toc 1"/>
    <w:basedOn w:val="Normal"/>
    <w:next w:val="Normal"/>
    <w:autoRedefine/>
    <w:uiPriority w:val="39"/>
    <w:unhideWhenUsed/>
    <w:rsid w:val="002E562E"/>
    <w:pPr>
      <w:spacing w:after="100"/>
    </w:pPr>
  </w:style>
  <w:style w:type="character" w:styleId="Hyperlink">
    <w:name w:val="Hyperlink"/>
    <w:basedOn w:val="DefaultParagraphFont"/>
    <w:uiPriority w:val="99"/>
    <w:unhideWhenUsed/>
    <w:rsid w:val="002E562E"/>
    <w:rPr>
      <w:color w:val="0563C1" w:themeColor="hyperlink"/>
      <w:u w:val="single"/>
    </w:rPr>
  </w:style>
  <w:style w:type="character" w:styleId="Emphasis">
    <w:name w:val="Emphasis"/>
    <w:basedOn w:val="DefaultParagraphFont"/>
    <w:uiPriority w:val="20"/>
    <w:qFormat/>
    <w:rsid w:val="002E562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about:blan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about:blank" TargetMode="External"/><Relationship Id="rId5" Type="http://schemas.openxmlformats.org/officeDocument/2006/relationships/hyperlink" Target="about:blank" TargetMode="External"/><Relationship Id="rId4" Type="http://schemas.openxmlformats.org/officeDocument/2006/relationships/hyperlink" Target="about:blank"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2203</Words>
  <Characters>12562</Characters>
  <Application>Microsoft Office Word</Application>
  <DocSecurity>0</DocSecurity>
  <Lines>104</Lines>
  <Paragraphs>29</Paragraphs>
  <ScaleCrop>false</ScaleCrop>
  <Company/>
  <LinksUpToDate>false</LinksUpToDate>
  <CharactersWithSpaces>14736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1</cp:revision>
  <dcterms:created xsi:type="dcterms:W3CDTF">2020-11-25T10:08:00Z</dcterms:created>
  <dcterms:modified xsi:type="dcterms:W3CDTF">2020-11-25T10:09:00Z</dcterms:modified>
</cp:coreProperties>
</file>