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4485E0" w14:textId="77777777" w:rsidR="00F22462" w:rsidRDefault="00F22462" w:rsidP="00F22462">
      <w:pPr>
        <w:autoSpaceDE w:val="0"/>
        <w:autoSpaceDN w:val="0"/>
        <w:adjustRightInd w:val="0"/>
        <w:spacing w:line="360" w:lineRule="auto"/>
        <w:ind w:right="0"/>
        <w:contextualSpacing/>
        <w:jc w:val="center"/>
        <w:rPr>
          <w:sz w:val="28"/>
          <w:szCs w:val="23"/>
        </w:rPr>
      </w:pPr>
      <w:r w:rsidRPr="00F22462">
        <w:rPr>
          <w:sz w:val="28"/>
          <w:szCs w:val="23"/>
        </w:rPr>
        <w:t>When Push Comes to Shove: What Was the "Othismos" of Hoplite Combat?</w:t>
      </w:r>
    </w:p>
    <w:p w14:paraId="1565A0A4" w14:textId="422DB98F" w:rsidR="001E75C2" w:rsidRDefault="00F22462" w:rsidP="00F22462">
      <w:pPr>
        <w:autoSpaceDE w:val="0"/>
        <w:autoSpaceDN w:val="0"/>
        <w:adjustRightInd w:val="0"/>
        <w:spacing w:line="360" w:lineRule="auto"/>
        <w:ind w:right="0"/>
        <w:contextualSpacing/>
        <w:jc w:val="center"/>
        <w:rPr>
          <w:sz w:val="28"/>
          <w:szCs w:val="23"/>
        </w:rPr>
      </w:pPr>
      <w:r>
        <w:rPr>
          <w:sz w:val="28"/>
          <w:szCs w:val="23"/>
        </w:rPr>
        <w:t xml:space="preserve">By Christopher A. Matthew. A Reply. </w:t>
      </w:r>
    </w:p>
    <w:p w14:paraId="6F348421" w14:textId="1FA3F4B4" w:rsidR="00F22462" w:rsidRDefault="008D5879" w:rsidP="00F22462">
      <w:pPr>
        <w:autoSpaceDE w:val="0"/>
        <w:autoSpaceDN w:val="0"/>
        <w:adjustRightInd w:val="0"/>
        <w:spacing w:line="360" w:lineRule="auto"/>
        <w:ind w:right="0"/>
        <w:contextualSpacing/>
        <w:rPr>
          <w:szCs w:val="23"/>
        </w:rPr>
      </w:pPr>
      <w:r>
        <w:rPr>
          <w:szCs w:val="23"/>
        </w:rPr>
        <w:t xml:space="preserve">The mechanics of hoplite </w:t>
      </w:r>
      <w:r w:rsidR="00A30DC5">
        <w:rPr>
          <w:szCs w:val="23"/>
        </w:rPr>
        <w:t xml:space="preserve">warfare have long been the subject of academic discussions. </w:t>
      </w:r>
      <w:r w:rsidR="0027288B">
        <w:rPr>
          <w:szCs w:val="23"/>
        </w:rPr>
        <w:t xml:space="preserve">The lack of detailed contemporary descriptions of the method of the clashing of large phalanxes, a problem when considering any aspect of Archaic and Greek warfare, is exacerbated by the technical nature of combat throughout history. The word </w:t>
      </w:r>
      <w:r w:rsidR="0027288B" w:rsidRPr="0027288B">
        <w:rPr>
          <w:i/>
          <w:szCs w:val="23"/>
        </w:rPr>
        <w:t>othismos</w:t>
      </w:r>
      <w:r w:rsidR="0027288B">
        <w:rPr>
          <w:szCs w:val="23"/>
        </w:rPr>
        <w:t xml:space="preserve"> frequently appears in texts which follow battles of these periods - yet poses another issue when studying Greek battles. The definition of this word</w:t>
      </w:r>
      <w:r w:rsidR="007D32A7">
        <w:rPr>
          <w:szCs w:val="23"/>
        </w:rPr>
        <w:t xml:space="preserve">, although commonly rendered as </w:t>
      </w:r>
      <w:r w:rsidR="007D32A7" w:rsidRPr="009B0ABA">
        <w:rPr>
          <w:i/>
          <w:szCs w:val="23"/>
        </w:rPr>
        <w:t>to push</w:t>
      </w:r>
      <w:r w:rsidR="007D32A7">
        <w:rPr>
          <w:szCs w:val="23"/>
        </w:rPr>
        <w:t>,</w:t>
      </w:r>
      <w:r w:rsidR="0027288B">
        <w:rPr>
          <w:szCs w:val="23"/>
        </w:rPr>
        <w:t xml:space="preserve"> can vary wildly in translation </w:t>
      </w:r>
      <w:r w:rsidR="007D32A7">
        <w:rPr>
          <w:szCs w:val="23"/>
        </w:rPr>
        <w:t>and</w:t>
      </w:r>
      <w:r w:rsidR="0027288B">
        <w:rPr>
          <w:szCs w:val="23"/>
        </w:rPr>
        <w:t xml:space="preserve"> usage;</w:t>
      </w:r>
      <w:r w:rsidR="007D32A7">
        <w:rPr>
          <w:szCs w:val="23"/>
        </w:rPr>
        <w:t xml:space="preserve"> from</w:t>
      </w:r>
      <w:r w:rsidR="0027288B">
        <w:rPr>
          <w:szCs w:val="23"/>
        </w:rPr>
        <w:t xml:space="preserve"> Homer</w:t>
      </w:r>
      <w:r w:rsidR="007D32A7">
        <w:rPr>
          <w:szCs w:val="23"/>
        </w:rPr>
        <w:t>’s imagining of Sisyphus thrusting his stone towards the top of his hill</w:t>
      </w:r>
      <w:r w:rsidR="00C873ED">
        <w:rPr>
          <w:szCs w:val="23"/>
        </w:rPr>
        <w:t xml:space="preserve">, </w:t>
      </w:r>
      <w:r w:rsidR="007D32A7">
        <w:rPr>
          <w:szCs w:val="23"/>
        </w:rPr>
        <w:t>to Pausanias’ depiction of men physically pushing ‘one another into the water’.</w:t>
      </w:r>
      <w:r w:rsidR="007D32A7">
        <w:rPr>
          <w:rStyle w:val="FootnoteReference"/>
          <w:szCs w:val="23"/>
        </w:rPr>
        <w:footnoteReference w:id="1"/>
      </w:r>
      <w:r w:rsidR="00C8043C">
        <w:rPr>
          <w:szCs w:val="23"/>
        </w:rPr>
        <w:t xml:space="preserve"> This </w:t>
      </w:r>
      <w:r w:rsidR="00231582">
        <w:rPr>
          <w:szCs w:val="23"/>
        </w:rPr>
        <w:t xml:space="preserve">lack of a concrete definition for the term has led to </w:t>
      </w:r>
      <w:r w:rsidR="00013EA6">
        <w:rPr>
          <w:szCs w:val="23"/>
        </w:rPr>
        <w:t>a debate surrounding its usage in ancient texts – in particular whether it denotes a physical</w:t>
      </w:r>
      <w:r w:rsidR="00EC471D">
        <w:rPr>
          <w:szCs w:val="23"/>
        </w:rPr>
        <w:t xml:space="preserve"> push, with men shoving back</w:t>
      </w:r>
      <w:r w:rsidR="00831068">
        <w:rPr>
          <w:szCs w:val="23"/>
        </w:rPr>
        <w:t xml:space="preserve"> their opponents</w:t>
      </w:r>
      <w:r w:rsidR="00EC471D">
        <w:rPr>
          <w:szCs w:val="23"/>
        </w:rPr>
        <w:t>, or a more figurative term used to describe concerted efforts to force movement on the battlefield as a whole. The objective of providing a definition, on either side, is the subject of much scholarship</w:t>
      </w:r>
      <w:r w:rsidR="0066036E">
        <w:rPr>
          <w:szCs w:val="23"/>
        </w:rPr>
        <w:t xml:space="preserve">, and with that objective in mind </w:t>
      </w:r>
      <w:r w:rsidR="001F7189">
        <w:rPr>
          <w:szCs w:val="23"/>
        </w:rPr>
        <w:t xml:space="preserve">the </w:t>
      </w:r>
      <w:r w:rsidR="0066036E">
        <w:rPr>
          <w:szCs w:val="23"/>
        </w:rPr>
        <w:t xml:space="preserve">many </w:t>
      </w:r>
      <w:r w:rsidR="001F7189">
        <w:rPr>
          <w:szCs w:val="23"/>
        </w:rPr>
        <w:t xml:space="preserve">translations of these texts further bring this into a debate surrounding the interpretation of the use of the word </w:t>
      </w:r>
      <w:r w:rsidR="001F7189" w:rsidRPr="0047762E">
        <w:rPr>
          <w:i/>
          <w:szCs w:val="23"/>
        </w:rPr>
        <w:t>othismos</w:t>
      </w:r>
      <w:r w:rsidR="001F7189">
        <w:rPr>
          <w:szCs w:val="23"/>
        </w:rPr>
        <w:t>.</w:t>
      </w:r>
      <w:r w:rsidR="00C15C04">
        <w:rPr>
          <w:szCs w:val="23"/>
        </w:rPr>
        <w:t xml:space="preserve"> </w:t>
      </w:r>
      <w:r w:rsidR="00D07BDD">
        <w:rPr>
          <w:szCs w:val="23"/>
        </w:rPr>
        <w:t xml:space="preserve">Christopher A. Matthew’s contribution to this pantheon of discussion is the article </w:t>
      </w:r>
      <w:r w:rsidR="00D07BDD">
        <w:rPr>
          <w:i/>
          <w:szCs w:val="23"/>
        </w:rPr>
        <w:t>When Push Comes to Shove: What Was the Othismos of Hoplite Combat</w:t>
      </w:r>
      <w:r w:rsidR="00D07BDD">
        <w:rPr>
          <w:szCs w:val="23"/>
        </w:rPr>
        <w:t xml:space="preserve"> – and his summation</w:t>
      </w:r>
      <w:r w:rsidR="00421250">
        <w:rPr>
          <w:szCs w:val="23"/>
        </w:rPr>
        <w:t xml:space="preserve"> </w:t>
      </w:r>
      <w:r w:rsidR="00D07BDD">
        <w:rPr>
          <w:szCs w:val="23"/>
        </w:rPr>
        <w:t xml:space="preserve">is that of the middle ground. Matthews throughout aims to strike a balance between the literal and figurative interpretations: </w:t>
      </w:r>
      <w:r w:rsidR="001B4664">
        <w:rPr>
          <w:szCs w:val="23"/>
        </w:rPr>
        <w:t xml:space="preserve">the strength and legitimacy of </w:t>
      </w:r>
      <w:r w:rsidR="00D07BDD">
        <w:rPr>
          <w:szCs w:val="23"/>
        </w:rPr>
        <w:t xml:space="preserve">this balance therefore will be examined </w:t>
      </w:r>
      <w:r w:rsidR="001B4664">
        <w:rPr>
          <w:szCs w:val="23"/>
        </w:rPr>
        <w:t>in</w:t>
      </w:r>
      <w:r w:rsidR="00E87A1D">
        <w:rPr>
          <w:szCs w:val="23"/>
        </w:rPr>
        <w:t xml:space="preserve"> this reply</w:t>
      </w:r>
      <w:r w:rsidR="005D1D88">
        <w:rPr>
          <w:szCs w:val="23"/>
        </w:rPr>
        <w:t>.</w:t>
      </w:r>
    </w:p>
    <w:p w14:paraId="314F32F9" w14:textId="1032FA32" w:rsidR="00A20ACB" w:rsidRDefault="00A20ACB" w:rsidP="00F22462">
      <w:pPr>
        <w:autoSpaceDE w:val="0"/>
        <w:autoSpaceDN w:val="0"/>
        <w:adjustRightInd w:val="0"/>
        <w:spacing w:line="360" w:lineRule="auto"/>
        <w:ind w:right="0"/>
        <w:contextualSpacing/>
        <w:rPr>
          <w:szCs w:val="23"/>
        </w:rPr>
      </w:pPr>
    </w:p>
    <w:p w14:paraId="60B62CE6" w14:textId="7C0DD416" w:rsidR="00775BC4" w:rsidRDefault="00E87A1D" w:rsidP="00F22462">
      <w:pPr>
        <w:autoSpaceDE w:val="0"/>
        <w:autoSpaceDN w:val="0"/>
        <w:adjustRightInd w:val="0"/>
        <w:spacing w:line="360" w:lineRule="auto"/>
        <w:ind w:right="0"/>
        <w:contextualSpacing/>
        <w:rPr>
          <w:szCs w:val="23"/>
        </w:rPr>
      </w:pPr>
      <w:r>
        <w:rPr>
          <w:szCs w:val="23"/>
        </w:rPr>
        <w:t xml:space="preserve">The first element </w:t>
      </w:r>
      <w:r w:rsidR="00F44CF3">
        <w:rPr>
          <w:szCs w:val="23"/>
        </w:rPr>
        <w:t>in</w:t>
      </w:r>
      <w:r>
        <w:rPr>
          <w:szCs w:val="23"/>
        </w:rPr>
        <w:t xml:space="preserve"> this reply</w:t>
      </w:r>
      <w:r w:rsidR="002970A0">
        <w:rPr>
          <w:szCs w:val="23"/>
        </w:rPr>
        <w:t xml:space="preserve"> to Matthew</w:t>
      </w:r>
      <w:r w:rsidR="007F1AA1">
        <w:rPr>
          <w:szCs w:val="23"/>
        </w:rPr>
        <w:t>’</w:t>
      </w:r>
      <w:r w:rsidR="00A270DA">
        <w:rPr>
          <w:szCs w:val="23"/>
        </w:rPr>
        <w:t>s</w:t>
      </w:r>
      <w:r w:rsidR="002970A0">
        <w:rPr>
          <w:szCs w:val="23"/>
        </w:rPr>
        <w:t xml:space="preserve"> article</w:t>
      </w:r>
      <w:r w:rsidR="003F0FDD">
        <w:rPr>
          <w:szCs w:val="23"/>
        </w:rPr>
        <w:t xml:space="preserve"> must be </w:t>
      </w:r>
      <w:r w:rsidR="007F1AA1">
        <w:rPr>
          <w:szCs w:val="23"/>
        </w:rPr>
        <w:t>a summary of his work and findings, along with examining the evidence used.</w:t>
      </w:r>
      <w:r w:rsidR="00EF77A5">
        <w:rPr>
          <w:szCs w:val="23"/>
        </w:rPr>
        <w:t xml:space="preserve"> </w:t>
      </w:r>
      <w:r w:rsidR="00775BC4">
        <w:rPr>
          <w:szCs w:val="23"/>
        </w:rPr>
        <w:t xml:space="preserve">He begins the piece with an observation that the </w:t>
      </w:r>
      <w:r w:rsidR="00A71A07">
        <w:rPr>
          <w:szCs w:val="23"/>
        </w:rPr>
        <w:t>partisan nature of the academic discourse is clear evidence that the nature of hoplite warfare is ‘far from comprehensively understood by modern scholars’</w:t>
      </w:r>
      <w:r w:rsidR="008211AB">
        <w:rPr>
          <w:szCs w:val="23"/>
        </w:rPr>
        <w:t xml:space="preserve">, </w:t>
      </w:r>
      <w:r w:rsidR="00A71A07">
        <w:rPr>
          <w:szCs w:val="23"/>
        </w:rPr>
        <w:t>before stating th</w:t>
      </w:r>
      <w:r w:rsidR="00F030FB">
        <w:rPr>
          <w:szCs w:val="23"/>
        </w:rPr>
        <w:t>at</w:t>
      </w:r>
      <w:r w:rsidR="00A71A07">
        <w:rPr>
          <w:szCs w:val="23"/>
        </w:rPr>
        <w:t xml:space="preserve"> his approach to the debate shall be guided by the two forms of </w:t>
      </w:r>
      <w:r w:rsidR="008211AB">
        <w:rPr>
          <w:szCs w:val="23"/>
        </w:rPr>
        <w:t>evidence available – the terminology used by ancient authors, and the understood mechanics of hoplite combat</w:t>
      </w:r>
      <w:r w:rsidR="008C6DCC">
        <w:rPr>
          <w:szCs w:val="23"/>
        </w:rPr>
        <w:t>.</w:t>
      </w:r>
      <w:r w:rsidR="008C6DCC">
        <w:rPr>
          <w:rStyle w:val="FootnoteReference"/>
          <w:szCs w:val="23"/>
        </w:rPr>
        <w:footnoteReference w:id="2"/>
      </w:r>
      <w:r w:rsidR="00F95703">
        <w:rPr>
          <w:szCs w:val="23"/>
        </w:rPr>
        <w:t xml:space="preserve"> </w:t>
      </w:r>
    </w:p>
    <w:p w14:paraId="54E6607F" w14:textId="4556F9B3" w:rsidR="006B0ECD" w:rsidRDefault="00EF77A5" w:rsidP="00F22462">
      <w:pPr>
        <w:autoSpaceDE w:val="0"/>
        <w:autoSpaceDN w:val="0"/>
        <w:adjustRightInd w:val="0"/>
        <w:spacing w:line="360" w:lineRule="auto"/>
        <w:ind w:right="0"/>
        <w:contextualSpacing/>
        <w:rPr>
          <w:szCs w:val="23"/>
        </w:rPr>
      </w:pPr>
      <w:r>
        <w:rPr>
          <w:szCs w:val="23"/>
        </w:rPr>
        <w:lastRenderedPageBreak/>
        <w:t>Matthew</w:t>
      </w:r>
      <w:r w:rsidR="00E36A69">
        <w:rPr>
          <w:szCs w:val="23"/>
        </w:rPr>
        <w:t xml:space="preserve"> begins </w:t>
      </w:r>
      <w:r w:rsidR="00626B37">
        <w:rPr>
          <w:szCs w:val="23"/>
        </w:rPr>
        <w:t xml:space="preserve">by making the statement that literary evidence for the idea of a physical collision, the literal </w:t>
      </w:r>
      <w:r w:rsidR="00626B37">
        <w:rPr>
          <w:i/>
          <w:szCs w:val="23"/>
        </w:rPr>
        <w:t>othismos</w:t>
      </w:r>
      <w:r w:rsidR="00626B37">
        <w:rPr>
          <w:szCs w:val="23"/>
        </w:rPr>
        <w:t>, is lacking. This is</w:t>
      </w:r>
      <w:r w:rsidR="000F4898">
        <w:rPr>
          <w:szCs w:val="23"/>
        </w:rPr>
        <w:t xml:space="preserve"> due to the fact that</w:t>
      </w:r>
      <w:r w:rsidR="00626B37">
        <w:rPr>
          <w:szCs w:val="23"/>
        </w:rPr>
        <w:t xml:space="preserve"> the </w:t>
      </w:r>
      <w:r w:rsidR="00647C93">
        <w:rPr>
          <w:szCs w:val="23"/>
        </w:rPr>
        <w:t xml:space="preserve">multiple </w:t>
      </w:r>
      <w:r w:rsidR="00626B37">
        <w:rPr>
          <w:szCs w:val="23"/>
        </w:rPr>
        <w:t>phrase</w:t>
      </w:r>
      <w:r w:rsidR="000F4898">
        <w:rPr>
          <w:szCs w:val="23"/>
        </w:rPr>
        <w:t>s</w:t>
      </w:r>
      <w:r w:rsidR="00626B37">
        <w:rPr>
          <w:szCs w:val="23"/>
        </w:rPr>
        <w:t xml:space="preserve"> </w:t>
      </w:r>
      <w:r w:rsidR="00647C93">
        <w:rPr>
          <w:szCs w:val="23"/>
        </w:rPr>
        <w:t xml:space="preserve">which are </w:t>
      </w:r>
      <w:r w:rsidR="00626B37">
        <w:rPr>
          <w:szCs w:val="23"/>
        </w:rPr>
        <w:t xml:space="preserve">often translated </w:t>
      </w:r>
      <w:r w:rsidR="000F4898">
        <w:rPr>
          <w:szCs w:val="23"/>
        </w:rPr>
        <w:t xml:space="preserve">as “shield against shield” have two </w:t>
      </w:r>
      <w:r w:rsidR="0069762A">
        <w:rPr>
          <w:szCs w:val="23"/>
        </w:rPr>
        <w:t>fu</w:t>
      </w:r>
      <w:r w:rsidR="00382724">
        <w:rPr>
          <w:szCs w:val="23"/>
        </w:rPr>
        <w:t>n</w:t>
      </w:r>
      <w:r w:rsidR="0069762A">
        <w:rPr>
          <w:szCs w:val="23"/>
        </w:rPr>
        <w:t>ctions</w:t>
      </w:r>
      <w:r w:rsidR="00AD2F98">
        <w:rPr>
          <w:szCs w:val="23"/>
        </w:rPr>
        <w:t xml:space="preserve"> dependent on the author and situation:</w:t>
      </w:r>
      <w:r w:rsidR="000F4898">
        <w:rPr>
          <w:szCs w:val="23"/>
        </w:rPr>
        <w:t xml:space="preserve"> to describe the action of two blocks of men actually </w:t>
      </w:r>
      <w:r w:rsidR="00AD2F98">
        <w:rPr>
          <w:szCs w:val="23"/>
        </w:rPr>
        <w:t>colliding</w:t>
      </w:r>
      <w:r w:rsidR="000F4898">
        <w:rPr>
          <w:szCs w:val="23"/>
        </w:rPr>
        <w:t xml:space="preserve">, such as in Aristophanes’ </w:t>
      </w:r>
      <w:r w:rsidR="000F4898">
        <w:rPr>
          <w:i/>
          <w:szCs w:val="23"/>
        </w:rPr>
        <w:t>Peace</w:t>
      </w:r>
      <w:r w:rsidR="00826A31">
        <w:rPr>
          <w:szCs w:val="23"/>
        </w:rPr>
        <w:t xml:space="preserve"> </w:t>
      </w:r>
      <w:r w:rsidR="00AD2F98">
        <w:rPr>
          <w:szCs w:val="23"/>
        </w:rPr>
        <w:t>when the clashing of shields is mentioned; and to describe</w:t>
      </w:r>
      <w:r w:rsidR="008A2D13">
        <w:rPr>
          <w:szCs w:val="23"/>
        </w:rPr>
        <w:t xml:space="preserve"> a close order shield wall, which in many examples is used to describe soldiers waiting for battle</w:t>
      </w:r>
      <w:r w:rsidR="003F00CF">
        <w:rPr>
          <w:szCs w:val="23"/>
        </w:rPr>
        <w:t xml:space="preserve"> </w:t>
      </w:r>
      <w:r w:rsidR="00C02158">
        <w:rPr>
          <w:szCs w:val="23"/>
        </w:rPr>
        <w:t>–</w:t>
      </w:r>
      <w:r w:rsidR="003F00CF">
        <w:rPr>
          <w:szCs w:val="23"/>
        </w:rPr>
        <w:t xml:space="preserve"> </w:t>
      </w:r>
      <w:r w:rsidR="004768EC">
        <w:rPr>
          <w:szCs w:val="23"/>
        </w:rPr>
        <w:t>the phrase mentioned</w:t>
      </w:r>
      <w:r w:rsidR="00C02158">
        <w:rPr>
          <w:szCs w:val="23"/>
        </w:rPr>
        <w:t xml:space="preserve"> </w:t>
      </w:r>
      <w:r w:rsidR="003F00CF">
        <w:rPr>
          <w:szCs w:val="23"/>
        </w:rPr>
        <w:t>therefore cannot be attributed to combat</w:t>
      </w:r>
      <w:r w:rsidR="008A2D13">
        <w:rPr>
          <w:szCs w:val="23"/>
        </w:rPr>
        <w:t>.</w:t>
      </w:r>
      <w:r w:rsidR="008A2D13">
        <w:rPr>
          <w:rStyle w:val="FootnoteReference"/>
          <w:szCs w:val="23"/>
        </w:rPr>
        <w:footnoteReference w:id="3"/>
      </w:r>
      <w:r w:rsidR="00063A00">
        <w:rPr>
          <w:szCs w:val="23"/>
        </w:rPr>
        <w:t xml:space="preserve"> </w:t>
      </w:r>
      <w:r w:rsidR="00882A4D">
        <w:rPr>
          <w:szCs w:val="23"/>
        </w:rPr>
        <w:t xml:space="preserve">There is also reference made to several instances of men engaging at ‘spear </w:t>
      </w:r>
      <w:r w:rsidR="00FD793B">
        <w:rPr>
          <w:szCs w:val="23"/>
        </w:rPr>
        <w:t>thrust</w:t>
      </w:r>
      <w:r w:rsidR="00882A4D">
        <w:rPr>
          <w:szCs w:val="23"/>
        </w:rPr>
        <w:t>’,</w:t>
      </w:r>
      <w:r w:rsidR="00274A73">
        <w:rPr>
          <w:rStyle w:val="FootnoteReference"/>
          <w:szCs w:val="23"/>
        </w:rPr>
        <w:footnoteReference w:id="4"/>
      </w:r>
      <w:r w:rsidR="00882A4D">
        <w:rPr>
          <w:szCs w:val="23"/>
        </w:rPr>
        <w:t xml:space="preserve"> </w:t>
      </w:r>
      <w:r w:rsidR="00B5358D">
        <w:rPr>
          <w:szCs w:val="23"/>
        </w:rPr>
        <w:t>mentioned in</w:t>
      </w:r>
      <w:r w:rsidR="00882A4D">
        <w:rPr>
          <w:szCs w:val="23"/>
        </w:rPr>
        <w:t xml:space="preserve"> Xenophon</w:t>
      </w:r>
      <w:r w:rsidR="00D13044">
        <w:rPr>
          <w:szCs w:val="23"/>
        </w:rPr>
        <w:t xml:space="preserve">. </w:t>
      </w:r>
      <w:r w:rsidR="0029312C">
        <w:rPr>
          <w:szCs w:val="23"/>
        </w:rPr>
        <w:t>Matthew</w:t>
      </w:r>
      <w:r w:rsidR="00D13044">
        <w:rPr>
          <w:szCs w:val="23"/>
        </w:rPr>
        <w:t xml:space="preserve"> t</w:t>
      </w:r>
      <w:r w:rsidR="00DE6B2B">
        <w:rPr>
          <w:szCs w:val="23"/>
        </w:rPr>
        <w:t>hen makes a</w:t>
      </w:r>
      <w:r w:rsidR="00FC3817">
        <w:rPr>
          <w:szCs w:val="23"/>
        </w:rPr>
        <w:t xml:space="preserve"> </w:t>
      </w:r>
      <w:r w:rsidR="00DE6B2B">
        <w:rPr>
          <w:szCs w:val="23"/>
        </w:rPr>
        <w:t xml:space="preserve">brief case for the </w:t>
      </w:r>
      <w:r w:rsidR="00450216">
        <w:rPr>
          <w:szCs w:val="23"/>
        </w:rPr>
        <w:t xml:space="preserve">literal </w:t>
      </w:r>
      <w:r w:rsidR="00DE6B2B">
        <w:rPr>
          <w:i/>
          <w:szCs w:val="23"/>
        </w:rPr>
        <w:t>othismos</w:t>
      </w:r>
      <w:r w:rsidR="00274A73">
        <w:rPr>
          <w:szCs w:val="23"/>
        </w:rPr>
        <w:t>, using passages of Thucydides, Xenophon, and Plutarch in support</w:t>
      </w:r>
      <w:r w:rsidR="00EE409B">
        <w:rPr>
          <w:szCs w:val="23"/>
        </w:rPr>
        <w:t xml:space="preserve"> – yet proceeds to apply a figurative interpretation of the word to the examples given</w:t>
      </w:r>
      <w:r w:rsidR="00274A73">
        <w:rPr>
          <w:szCs w:val="23"/>
        </w:rPr>
        <w:t>.</w:t>
      </w:r>
      <w:r w:rsidR="00D13044">
        <w:rPr>
          <w:szCs w:val="23"/>
        </w:rPr>
        <w:t xml:space="preserve"> </w:t>
      </w:r>
      <w:r w:rsidR="00EA6C36">
        <w:rPr>
          <w:szCs w:val="23"/>
        </w:rPr>
        <w:t xml:space="preserve"> </w:t>
      </w:r>
      <w:r w:rsidR="00FD793B">
        <w:rPr>
          <w:szCs w:val="23"/>
        </w:rPr>
        <w:t xml:space="preserve">His </w:t>
      </w:r>
      <w:r w:rsidR="000D5A3D">
        <w:rPr>
          <w:szCs w:val="23"/>
        </w:rPr>
        <w:t xml:space="preserve">discussion then moves to </w:t>
      </w:r>
      <w:r w:rsidR="00044749">
        <w:rPr>
          <w:szCs w:val="23"/>
        </w:rPr>
        <w:t xml:space="preserve">the ambiguous </w:t>
      </w:r>
      <w:r w:rsidR="00450216">
        <w:rPr>
          <w:szCs w:val="23"/>
        </w:rPr>
        <w:t>nature of the term’s definition. For this</w:t>
      </w:r>
      <w:r w:rsidR="00FC49CB">
        <w:rPr>
          <w:szCs w:val="23"/>
        </w:rPr>
        <w:t>, more is drawn from Thucydides, specifically from Books 4 and 7, and Herodotus, in a</w:t>
      </w:r>
      <w:r w:rsidR="0064776B">
        <w:rPr>
          <w:szCs w:val="23"/>
        </w:rPr>
        <w:t xml:space="preserve">n examination of the use of the word as a manner of ‘driving’ an opponent back, or gaining ground at the point of the spear, all suggestive of a word </w:t>
      </w:r>
      <w:r w:rsidR="00881E23">
        <w:rPr>
          <w:szCs w:val="23"/>
        </w:rPr>
        <w:t>in a</w:t>
      </w:r>
      <w:r w:rsidR="0064776B">
        <w:rPr>
          <w:szCs w:val="23"/>
        </w:rPr>
        <w:t xml:space="preserve"> more figurative sense.</w:t>
      </w:r>
      <w:r w:rsidR="00881E23">
        <w:rPr>
          <w:rStyle w:val="FootnoteReference"/>
          <w:szCs w:val="23"/>
        </w:rPr>
        <w:footnoteReference w:id="5"/>
      </w:r>
      <w:r w:rsidR="008339FD">
        <w:rPr>
          <w:szCs w:val="23"/>
        </w:rPr>
        <w:t xml:space="preserve"> </w:t>
      </w:r>
      <w:r w:rsidR="00BB4FF1">
        <w:rPr>
          <w:szCs w:val="23"/>
        </w:rPr>
        <w:t xml:space="preserve">The conclusion of </w:t>
      </w:r>
      <w:r w:rsidR="007423DB">
        <w:rPr>
          <w:szCs w:val="23"/>
        </w:rPr>
        <w:t>t</w:t>
      </w:r>
      <w:r w:rsidR="00BB4FF1">
        <w:rPr>
          <w:szCs w:val="23"/>
        </w:rPr>
        <w:t>his segment examining the literary sources judges that neither side of the debate – literal or otherwise – always apply, and that context is required when considering each use of the word.</w:t>
      </w:r>
    </w:p>
    <w:p w14:paraId="1D1D4963" w14:textId="087B6E98" w:rsidR="00636FA3" w:rsidRDefault="00636FA3" w:rsidP="006B5E3A">
      <w:pPr>
        <w:autoSpaceDE w:val="0"/>
        <w:autoSpaceDN w:val="0"/>
        <w:adjustRightInd w:val="0"/>
        <w:spacing w:line="360" w:lineRule="auto"/>
        <w:ind w:right="0" w:firstLine="720"/>
        <w:contextualSpacing/>
        <w:rPr>
          <w:szCs w:val="23"/>
        </w:rPr>
      </w:pPr>
      <w:r>
        <w:rPr>
          <w:szCs w:val="23"/>
        </w:rPr>
        <w:t xml:space="preserve">The then much </w:t>
      </w:r>
      <w:r w:rsidR="00114ADC">
        <w:rPr>
          <w:szCs w:val="23"/>
        </w:rPr>
        <w:t xml:space="preserve">larger </w:t>
      </w:r>
      <w:r w:rsidR="00415960">
        <w:rPr>
          <w:szCs w:val="23"/>
        </w:rPr>
        <w:t xml:space="preserve">section of </w:t>
      </w:r>
      <w:r w:rsidR="00177A4B">
        <w:rPr>
          <w:szCs w:val="23"/>
        </w:rPr>
        <w:t xml:space="preserve">Matthew’s </w:t>
      </w:r>
      <w:r w:rsidR="00523100">
        <w:rPr>
          <w:szCs w:val="23"/>
        </w:rPr>
        <w:t>article</w:t>
      </w:r>
      <w:r w:rsidR="00415960">
        <w:rPr>
          <w:szCs w:val="23"/>
        </w:rPr>
        <w:t xml:space="preserve"> is the use of </w:t>
      </w:r>
      <w:r w:rsidR="0014748C">
        <w:rPr>
          <w:szCs w:val="23"/>
        </w:rPr>
        <w:t xml:space="preserve">art, in conjunction with a study of reconstruction and biomechanics, to explore how hoplites would </w:t>
      </w:r>
      <w:r w:rsidR="00A269E5">
        <w:rPr>
          <w:szCs w:val="23"/>
        </w:rPr>
        <w:t xml:space="preserve">actually </w:t>
      </w:r>
      <w:r w:rsidR="0014748C">
        <w:rPr>
          <w:szCs w:val="23"/>
        </w:rPr>
        <w:t>engage in combat</w:t>
      </w:r>
      <w:r w:rsidR="007F7D9E">
        <w:rPr>
          <w:szCs w:val="23"/>
        </w:rPr>
        <w:t xml:space="preserve">. </w:t>
      </w:r>
      <w:r w:rsidR="000E45E6">
        <w:rPr>
          <w:szCs w:val="23"/>
        </w:rPr>
        <w:t>He</w:t>
      </w:r>
      <w:r w:rsidR="007F7D9E">
        <w:rPr>
          <w:szCs w:val="23"/>
        </w:rPr>
        <w:t xml:space="preserve"> </w:t>
      </w:r>
      <w:r w:rsidR="00A65372">
        <w:rPr>
          <w:szCs w:val="23"/>
        </w:rPr>
        <w:t>begins with</w:t>
      </w:r>
      <w:r w:rsidR="00432A7C">
        <w:rPr>
          <w:szCs w:val="23"/>
        </w:rPr>
        <w:t xml:space="preserve"> </w:t>
      </w:r>
      <w:r w:rsidR="005B4A53">
        <w:rPr>
          <w:szCs w:val="23"/>
        </w:rPr>
        <w:t>a discussion of the two major methods of gripping the hoplite spear, overhead and underarm</w:t>
      </w:r>
      <w:r w:rsidR="00A65372">
        <w:rPr>
          <w:szCs w:val="23"/>
        </w:rPr>
        <w:t>,</w:t>
      </w:r>
      <w:r w:rsidR="005B4A53">
        <w:rPr>
          <w:szCs w:val="23"/>
        </w:rPr>
        <w:t xml:space="preserve"> as exemplified </w:t>
      </w:r>
      <w:r w:rsidR="00A65372">
        <w:rPr>
          <w:szCs w:val="23"/>
        </w:rPr>
        <w:t>o</w:t>
      </w:r>
      <w:r w:rsidR="005B4A53">
        <w:rPr>
          <w:szCs w:val="23"/>
        </w:rPr>
        <w:t xml:space="preserve">n many </w:t>
      </w:r>
      <w:r w:rsidR="00A65372">
        <w:rPr>
          <w:szCs w:val="23"/>
        </w:rPr>
        <w:t>amphorae.</w:t>
      </w:r>
      <w:r w:rsidR="005B4A53">
        <w:rPr>
          <w:rStyle w:val="FootnoteReference"/>
          <w:szCs w:val="23"/>
        </w:rPr>
        <w:footnoteReference w:id="6"/>
      </w:r>
      <w:r w:rsidR="005B4A53">
        <w:rPr>
          <w:szCs w:val="23"/>
        </w:rPr>
        <w:t xml:space="preserve"> </w:t>
      </w:r>
      <w:r w:rsidR="00A65372">
        <w:rPr>
          <w:szCs w:val="23"/>
        </w:rPr>
        <w:t>This briefly explores the problems surrounding the interpretation of these images</w:t>
      </w:r>
      <w:r w:rsidR="00F65122">
        <w:rPr>
          <w:szCs w:val="23"/>
        </w:rPr>
        <w:t>:</w:t>
      </w:r>
      <w:r w:rsidR="00A65372">
        <w:rPr>
          <w:szCs w:val="23"/>
        </w:rPr>
        <w:t xml:space="preserve"> the lack of the counter balance, the length of the spear, and the way the warriors depicted hold their weapons </w:t>
      </w:r>
      <w:r w:rsidR="00F13BAC">
        <w:rPr>
          <w:szCs w:val="23"/>
        </w:rPr>
        <w:t xml:space="preserve">are all important </w:t>
      </w:r>
      <w:r w:rsidR="009B6BD2">
        <w:rPr>
          <w:szCs w:val="23"/>
        </w:rPr>
        <w:t xml:space="preserve">factors in a physical </w:t>
      </w:r>
      <w:r w:rsidR="009B6BD2">
        <w:rPr>
          <w:i/>
          <w:szCs w:val="23"/>
        </w:rPr>
        <w:t>othismos</w:t>
      </w:r>
      <w:r w:rsidR="007C6EDF">
        <w:rPr>
          <w:szCs w:val="23"/>
        </w:rPr>
        <w:t xml:space="preserve"> being possible.</w:t>
      </w:r>
      <w:r w:rsidR="00941C1B">
        <w:rPr>
          <w:szCs w:val="23"/>
        </w:rPr>
        <w:t xml:space="preserve"> </w:t>
      </w:r>
      <w:r w:rsidR="00275612">
        <w:rPr>
          <w:szCs w:val="23"/>
        </w:rPr>
        <w:t xml:space="preserve">This is then followed by </w:t>
      </w:r>
      <w:r w:rsidR="004813F1">
        <w:rPr>
          <w:szCs w:val="23"/>
        </w:rPr>
        <w:t xml:space="preserve">an analysis of the formations </w:t>
      </w:r>
      <w:r w:rsidR="00151936">
        <w:rPr>
          <w:szCs w:val="23"/>
        </w:rPr>
        <w:t xml:space="preserve">described by the literary figures, and the featuring of several photos of reenactors demonstrating both the formations and mechanics of wielding a spear. </w:t>
      </w:r>
      <w:r w:rsidR="004E4342">
        <w:rPr>
          <w:szCs w:val="23"/>
        </w:rPr>
        <w:t xml:space="preserve">A catalogue </w:t>
      </w:r>
      <w:r w:rsidR="00FF4CA9">
        <w:rPr>
          <w:szCs w:val="23"/>
        </w:rPr>
        <w:t xml:space="preserve">of </w:t>
      </w:r>
      <w:r w:rsidR="000917ED">
        <w:rPr>
          <w:szCs w:val="23"/>
        </w:rPr>
        <w:t xml:space="preserve">battles in which </w:t>
      </w:r>
      <w:r w:rsidR="007E0E2F">
        <w:rPr>
          <w:szCs w:val="23"/>
        </w:rPr>
        <w:t>hoplites engaged in looser and closer order formations complete his engagement with the literary sources – before Matthew concludes that in close order formatio</w:t>
      </w:r>
      <w:r w:rsidR="006708B4">
        <w:rPr>
          <w:szCs w:val="23"/>
        </w:rPr>
        <w:t>n</w:t>
      </w:r>
      <w:r w:rsidR="007E0E2F">
        <w:rPr>
          <w:szCs w:val="23"/>
        </w:rPr>
        <w:t xml:space="preserve"> the </w:t>
      </w:r>
      <w:r w:rsidR="007E0E2F" w:rsidRPr="00D84ECA">
        <w:rPr>
          <w:i/>
          <w:szCs w:val="23"/>
        </w:rPr>
        <w:lastRenderedPageBreak/>
        <w:t>othismos</w:t>
      </w:r>
      <w:r w:rsidR="007E0E2F">
        <w:rPr>
          <w:szCs w:val="23"/>
        </w:rPr>
        <w:t xml:space="preserve"> would have been conducted at the ‘deadly “no man’s land” of spear range’, whilst in a</w:t>
      </w:r>
      <w:r w:rsidR="00C477D0">
        <w:rPr>
          <w:szCs w:val="23"/>
        </w:rPr>
        <w:t>n intermediate formation a mass push would have been more plausible.</w:t>
      </w:r>
      <w:r w:rsidR="000E35CB">
        <w:rPr>
          <w:rStyle w:val="FootnoteReference"/>
          <w:szCs w:val="23"/>
        </w:rPr>
        <w:footnoteReference w:id="7"/>
      </w:r>
      <w:r w:rsidR="00C477D0">
        <w:rPr>
          <w:szCs w:val="23"/>
        </w:rPr>
        <w:t xml:space="preserve"> </w:t>
      </w:r>
      <w:r w:rsidR="000B0A52">
        <w:rPr>
          <w:szCs w:val="23"/>
        </w:rPr>
        <w:t xml:space="preserve">In short, </w:t>
      </w:r>
      <w:r w:rsidR="007A58E7">
        <w:rPr>
          <w:szCs w:val="23"/>
        </w:rPr>
        <w:t xml:space="preserve">Christopher </w:t>
      </w:r>
      <w:r w:rsidR="000B0A52">
        <w:rPr>
          <w:szCs w:val="23"/>
        </w:rPr>
        <w:t>Matthew</w:t>
      </w:r>
      <w:r w:rsidR="007A58E7">
        <w:rPr>
          <w:szCs w:val="23"/>
        </w:rPr>
        <w:t xml:space="preserve"> has taken the middle ground</w:t>
      </w:r>
      <w:r w:rsidR="000E35CB">
        <w:rPr>
          <w:szCs w:val="23"/>
        </w:rPr>
        <w:t xml:space="preserve">, with the comment that </w:t>
      </w:r>
      <w:r w:rsidR="007E100F">
        <w:rPr>
          <w:szCs w:val="23"/>
        </w:rPr>
        <w:t>neither side (literal or figurative) can be totally correct, and that the definition should be revised for each instance.</w:t>
      </w:r>
    </w:p>
    <w:p w14:paraId="7C3FDE54" w14:textId="1CF88B14" w:rsidR="00BD316C" w:rsidRDefault="00BD316C" w:rsidP="00F22462">
      <w:pPr>
        <w:autoSpaceDE w:val="0"/>
        <w:autoSpaceDN w:val="0"/>
        <w:adjustRightInd w:val="0"/>
        <w:spacing w:line="360" w:lineRule="auto"/>
        <w:ind w:right="0"/>
        <w:contextualSpacing/>
        <w:rPr>
          <w:szCs w:val="23"/>
        </w:rPr>
      </w:pPr>
    </w:p>
    <w:p w14:paraId="1B90B583" w14:textId="37EF63B0" w:rsidR="002416AF" w:rsidRDefault="00BD316C" w:rsidP="003931E5">
      <w:pPr>
        <w:autoSpaceDE w:val="0"/>
        <w:autoSpaceDN w:val="0"/>
        <w:adjustRightInd w:val="0"/>
        <w:spacing w:line="360" w:lineRule="auto"/>
        <w:ind w:right="0"/>
        <w:contextualSpacing/>
        <w:rPr>
          <w:szCs w:val="23"/>
        </w:rPr>
      </w:pPr>
      <w:r>
        <w:rPr>
          <w:szCs w:val="23"/>
        </w:rPr>
        <w:t>Whilst some would seek to denigrate such an argument</w:t>
      </w:r>
      <w:r w:rsidR="000D4950">
        <w:rPr>
          <w:szCs w:val="23"/>
        </w:rPr>
        <w:t xml:space="preserve">, it must be understood that there are examples </w:t>
      </w:r>
      <w:r w:rsidR="00194132">
        <w:rPr>
          <w:szCs w:val="23"/>
        </w:rPr>
        <w:t>throughout history of the figurative translation of othismos.</w:t>
      </w:r>
      <w:r w:rsidR="00B47DF0">
        <w:rPr>
          <w:szCs w:val="23"/>
        </w:rPr>
        <w:t xml:space="preserve"> </w:t>
      </w:r>
      <w:r w:rsidR="003C6825">
        <w:rPr>
          <w:szCs w:val="23"/>
        </w:rPr>
        <w:t xml:space="preserve">For example, accounts of the Battle of Waterloo often mention that the </w:t>
      </w:r>
      <w:r w:rsidR="00537007">
        <w:rPr>
          <w:szCs w:val="23"/>
        </w:rPr>
        <w:t>Prussians ‘pressed</w:t>
      </w:r>
      <w:r w:rsidR="003C6825">
        <w:rPr>
          <w:szCs w:val="23"/>
        </w:rPr>
        <w:t xml:space="preserve">’ </w:t>
      </w:r>
      <w:r w:rsidR="00537007">
        <w:rPr>
          <w:szCs w:val="23"/>
        </w:rPr>
        <w:t xml:space="preserve">the French </w:t>
      </w:r>
      <w:r w:rsidR="003C6825">
        <w:rPr>
          <w:szCs w:val="23"/>
        </w:rPr>
        <w:t>out of their positions in Plancenoit, despite the fact that this cannot refer to a physical action.</w:t>
      </w:r>
      <w:r w:rsidR="003F2391">
        <w:rPr>
          <w:rStyle w:val="FootnoteReference"/>
          <w:szCs w:val="23"/>
        </w:rPr>
        <w:footnoteReference w:id="8"/>
      </w:r>
      <w:r w:rsidR="003C6825">
        <w:rPr>
          <w:szCs w:val="23"/>
        </w:rPr>
        <w:t xml:space="preserve"> </w:t>
      </w:r>
      <w:r w:rsidR="006C7A35">
        <w:rPr>
          <w:szCs w:val="23"/>
        </w:rPr>
        <w:t xml:space="preserve">Likewise, </w:t>
      </w:r>
      <w:r w:rsidR="00AF4C17">
        <w:rPr>
          <w:szCs w:val="23"/>
        </w:rPr>
        <w:t xml:space="preserve">there are identifiable examples in several ancient texts which </w:t>
      </w:r>
      <w:r w:rsidR="00153DA4">
        <w:rPr>
          <w:szCs w:val="23"/>
        </w:rPr>
        <w:t xml:space="preserve">must be treated as evidence of a more figurative </w:t>
      </w:r>
      <w:r w:rsidR="00153DA4">
        <w:rPr>
          <w:i/>
          <w:szCs w:val="23"/>
        </w:rPr>
        <w:t>othismos</w:t>
      </w:r>
      <w:r w:rsidR="00153DA4">
        <w:rPr>
          <w:szCs w:val="23"/>
        </w:rPr>
        <w:t>.</w:t>
      </w:r>
      <w:r w:rsidR="002416AF">
        <w:rPr>
          <w:szCs w:val="23"/>
        </w:rPr>
        <w:t xml:space="preserve"> </w:t>
      </w:r>
      <w:r w:rsidR="00A22053">
        <w:rPr>
          <w:szCs w:val="23"/>
        </w:rPr>
        <w:t xml:space="preserve">There is frequent reference made to being at spear range, as in this extract from the </w:t>
      </w:r>
      <w:r w:rsidR="00A22053">
        <w:rPr>
          <w:i/>
          <w:szCs w:val="23"/>
        </w:rPr>
        <w:t>Hellenika</w:t>
      </w:r>
      <w:r w:rsidR="00A22053">
        <w:rPr>
          <w:szCs w:val="23"/>
        </w:rPr>
        <w:t xml:space="preserve">: </w:t>
      </w:r>
      <w:r w:rsidR="00EA34F3">
        <w:rPr>
          <w:szCs w:val="23"/>
        </w:rPr>
        <w:t>‘a</w:t>
      </w:r>
      <w:r w:rsidR="00EA34F3" w:rsidRPr="00EA34F3">
        <w:rPr>
          <w:szCs w:val="23"/>
        </w:rPr>
        <w:t>nd when Archidamus led the advance, only a few of the enemy waited till his men came within spear-thrust</w:t>
      </w:r>
      <w:r w:rsidR="00EA34F3">
        <w:rPr>
          <w:szCs w:val="23"/>
        </w:rPr>
        <w:t>’.</w:t>
      </w:r>
      <w:r w:rsidR="00EA34F3">
        <w:rPr>
          <w:rStyle w:val="FootnoteReference"/>
          <w:szCs w:val="23"/>
        </w:rPr>
        <w:footnoteReference w:id="9"/>
      </w:r>
      <w:r w:rsidR="00B5337D">
        <w:rPr>
          <w:szCs w:val="23"/>
        </w:rPr>
        <w:t xml:space="preserve"> </w:t>
      </w:r>
      <w:r w:rsidR="00862158">
        <w:rPr>
          <w:szCs w:val="23"/>
        </w:rPr>
        <w:t xml:space="preserve">Peter Krentz notes that </w:t>
      </w:r>
      <w:r w:rsidR="00A14E13">
        <w:rPr>
          <w:szCs w:val="23"/>
        </w:rPr>
        <w:t xml:space="preserve">even </w:t>
      </w:r>
      <w:r w:rsidR="00862158">
        <w:rPr>
          <w:szCs w:val="23"/>
        </w:rPr>
        <w:t>Xenophon when describes a fictional battle, he clearly states the advantage that ‘strong and long’ spears give</w:t>
      </w:r>
      <w:r w:rsidR="00A14E13">
        <w:rPr>
          <w:szCs w:val="23"/>
        </w:rPr>
        <w:t>s</w:t>
      </w:r>
      <w:r w:rsidR="00862158">
        <w:rPr>
          <w:szCs w:val="23"/>
        </w:rPr>
        <w:t xml:space="preserve"> the Egyptians </w:t>
      </w:r>
      <w:r w:rsidR="00A14E13">
        <w:rPr>
          <w:szCs w:val="23"/>
        </w:rPr>
        <w:t xml:space="preserve">– with the observation that if said advantage is to be gained from a longer weapon, then </w:t>
      </w:r>
      <w:r w:rsidR="005F4C10">
        <w:rPr>
          <w:szCs w:val="23"/>
        </w:rPr>
        <w:t>the rear ranks must have given the front ranks the room to level their spears</w:t>
      </w:r>
      <w:r w:rsidR="00862158">
        <w:rPr>
          <w:szCs w:val="23"/>
        </w:rPr>
        <w:t>.</w:t>
      </w:r>
      <w:r w:rsidR="007C75C1">
        <w:rPr>
          <w:rStyle w:val="FootnoteReference"/>
          <w:szCs w:val="23"/>
        </w:rPr>
        <w:footnoteReference w:id="10"/>
      </w:r>
      <w:r w:rsidR="00AE482C">
        <w:rPr>
          <w:szCs w:val="23"/>
        </w:rPr>
        <w:t xml:space="preserve"> This specification for engagement at the far end of spear reach corresponds well with the evidence Matthew presents in relation to the reconstructions. An overhead grip </w:t>
      </w:r>
      <w:r w:rsidR="00B94A65">
        <w:rPr>
          <w:szCs w:val="23"/>
        </w:rPr>
        <w:t>allows hoplites to thrust over the top of their shields, and to gain a far but practicable reach with which to attack their enemy.</w:t>
      </w:r>
      <w:r w:rsidR="00B91D8A">
        <w:rPr>
          <w:szCs w:val="23"/>
        </w:rPr>
        <w:t xml:space="preserve"> </w:t>
      </w:r>
    </w:p>
    <w:p w14:paraId="24CAA236" w14:textId="662A2A12" w:rsidR="00492B53" w:rsidRDefault="00995BF8" w:rsidP="003931E5">
      <w:pPr>
        <w:autoSpaceDE w:val="0"/>
        <w:autoSpaceDN w:val="0"/>
        <w:adjustRightInd w:val="0"/>
        <w:spacing w:line="360" w:lineRule="auto"/>
        <w:ind w:right="0"/>
        <w:contextualSpacing/>
        <w:rPr>
          <w:szCs w:val="23"/>
        </w:rPr>
      </w:pPr>
      <w:r>
        <w:rPr>
          <w:szCs w:val="23"/>
        </w:rPr>
        <w:t>F</w:t>
      </w:r>
      <w:r w:rsidR="00087076">
        <w:rPr>
          <w:szCs w:val="23"/>
        </w:rPr>
        <w:t>urthermore</w:t>
      </w:r>
      <w:r>
        <w:rPr>
          <w:szCs w:val="23"/>
        </w:rPr>
        <w:t xml:space="preserve">, at spear range one can conceivably still maintain </w:t>
      </w:r>
      <w:r w:rsidR="006451BF">
        <w:rPr>
          <w:szCs w:val="23"/>
        </w:rPr>
        <w:t>an offensive capability</w:t>
      </w:r>
      <w:r>
        <w:rPr>
          <w:szCs w:val="23"/>
        </w:rPr>
        <w:t xml:space="preserve"> upon one’s opponent. </w:t>
      </w:r>
      <w:r w:rsidR="003931E5">
        <w:rPr>
          <w:szCs w:val="23"/>
        </w:rPr>
        <w:t xml:space="preserve">In Thucydides’ Book 4, he remarks that </w:t>
      </w:r>
      <w:r w:rsidR="009803D2">
        <w:rPr>
          <w:szCs w:val="23"/>
        </w:rPr>
        <w:t>‘</w:t>
      </w:r>
      <w:r w:rsidR="003931E5" w:rsidRPr="003931E5">
        <w:rPr>
          <w:szCs w:val="23"/>
        </w:rPr>
        <w:t>on the right, where the Thebans were, they got the better of the</w:t>
      </w:r>
      <w:r w:rsidR="003931E5">
        <w:rPr>
          <w:szCs w:val="23"/>
        </w:rPr>
        <w:t xml:space="preserve"> </w:t>
      </w:r>
      <w:r w:rsidR="003931E5" w:rsidRPr="003931E5">
        <w:rPr>
          <w:szCs w:val="23"/>
        </w:rPr>
        <w:t>Athenians, pushing them back step by step at first and keeping</w:t>
      </w:r>
      <w:r w:rsidR="006451BF">
        <w:rPr>
          <w:szCs w:val="23"/>
        </w:rPr>
        <w:t xml:space="preserve"> </w:t>
      </w:r>
      <w:r w:rsidR="003931E5" w:rsidRPr="003931E5">
        <w:rPr>
          <w:szCs w:val="23"/>
        </w:rPr>
        <w:t>up their pressure.</w:t>
      </w:r>
      <w:r w:rsidR="009803D2">
        <w:rPr>
          <w:szCs w:val="23"/>
        </w:rPr>
        <w:t>’</w:t>
      </w:r>
      <w:r w:rsidR="00E27CC7">
        <w:rPr>
          <w:rStyle w:val="FootnoteReference"/>
          <w:szCs w:val="23"/>
        </w:rPr>
        <w:footnoteReference w:id="11"/>
      </w:r>
      <w:r w:rsidR="00C84770">
        <w:rPr>
          <w:szCs w:val="23"/>
        </w:rPr>
        <w:t xml:space="preserve"> Many other translations use the word </w:t>
      </w:r>
      <w:r w:rsidR="00C84770" w:rsidRPr="00C84770">
        <w:rPr>
          <w:i/>
          <w:szCs w:val="23"/>
        </w:rPr>
        <w:t>shoving</w:t>
      </w:r>
      <w:r w:rsidR="00C84770">
        <w:rPr>
          <w:szCs w:val="23"/>
        </w:rPr>
        <w:t xml:space="preserve">, in place of </w:t>
      </w:r>
      <w:r w:rsidR="00C84770">
        <w:rPr>
          <w:i/>
          <w:szCs w:val="23"/>
        </w:rPr>
        <w:t>pushing</w:t>
      </w:r>
      <w:r w:rsidR="00C84770">
        <w:rPr>
          <w:szCs w:val="23"/>
        </w:rPr>
        <w:t xml:space="preserve">, </w:t>
      </w:r>
      <w:r w:rsidR="002632DB">
        <w:rPr>
          <w:szCs w:val="23"/>
        </w:rPr>
        <w:t>however this would make Pagondas noticing</w:t>
      </w:r>
      <w:r w:rsidR="00A14938">
        <w:rPr>
          <w:szCs w:val="23"/>
        </w:rPr>
        <w:t xml:space="preserve"> this movement of the</w:t>
      </w:r>
      <w:r w:rsidR="00936C68">
        <w:rPr>
          <w:szCs w:val="23"/>
        </w:rPr>
        <w:t>se troops in the next line</w:t>
      </w:r>
      <w:r w:rsidR="00A14938">
        <w:rPr>
          <w:szCs w:val="23"/>
        </w:rPr>
        <w:t xml:space="preserve"> more unlikely </w:t>
      </w:r>
      <w:r w:rsidR="00744E87">
        <w:rPr>
          <w:szCs w:val="23"/>
        </w:rPr>
        <w:t>–</w:t>
      </w:r>
      <w:r w:rsidR="00A14938">
        <w:rPr>
          <w:szCs w:val="23"/>
        </w:rPr>
        <w:t xml:space="preserve"> </w:t>
      </w:r>
      <w:r w:rsidR="003000FC">
        <w:rPr>
          <w:szCs w:val="23"/>
        </w:rPr>
        <w:t>soldiers</w:t>
      </w:r>
      <w:r w:rsidR="00744E87">
        <w:rPr>
          <w:szCs w:val="23"/>
        </w:rPr>
        <w:t xml:space="preserve"> in close </w:t>
      </w:r>
      <w:r w:rsidR="001F5AFA">
        <w:rPr>
          <w:szCs w:val="23"/>
        </w:rPr>
        <w:t xml:space="preserve">formation </w:t>
      </w:r>
      <w:r w:rsidR="00744E87">
        <w:rPr>
          <w:szCs w:val="23"/>
        </w:rPr>
        <w:t xml:space="preserve">would move slowly, if being pushed physically step by step, as opposed to a steady </w:t>
      </w:r>
      <w:r w:rsidR="00F419D8">
        <w:rPr>
          <w:szCs w:val="23"/>
        </w:rPr>
        <w:t xml:space="preserve">maintenance of attacks forcing a block of men </w:t>
      </w:r>
      <w:r w:rsidR="00F419D8">
        <w:rPr>
          <w:szCs w:val="23"/>
        </w:rPr>
        <w:lastRenderedPageBreak/>
        <w:t xml:space="preserve">rearward. </w:t>
      </w:r>
      <w:r w:rsidR="00577067">
        <w:rPr>
          <w:szCs w:val="23"/>
        </w:rPr>
        <w:t>Thucydides uses this image again</w:t>
      </w:r>
      <w:r w:rsidR="002549A2">
        <w:rPr>
          <w:szCs w:val="23"/>
        </w:rPr>
        <w:t>, when</w:t>
      </w:r>
      <w:r w:rsidR="00A55A8F">
        <w:rPr>
          <w:szCs w:val="23"/>
        </w:rPr>
        <w:t xml:space="preserve"> in Book 2</w:t>
      </w:r>
      <w:r w:rsidR="002549A2">
        <w:rPr>
          <w:szCs w:val="23"/>
        </w:rPr>
        <w:t xml:space="preserve"> he</w:t>
      </w:r>
      <w:r w:rsidR="00A55A8F">
        <w:rPr>
          <w:szCs w:val="23"/>
        </w:rPr>
        <w:t xml:space="preserve"> mentio</w:t>
      </w:r>
      <w:r w:rsidR="002549A2">
        <w:rPr>
          <w:szCs w:val="23"/>
        </w:rPr>
        <w:t>ns</w:t>
      </w:r>
      <w:r w:rsidR="00A55A8F">
        <w:rPr>
          <w:szCs w:val="23"/>
        </w:rPr>
        <w:t xml:space="preserve"> that a formation was ‘seen to give way’</w:t>
      </w:r>
      <w:r w:rsidR="00A526E3">
        <w:rPr>
          <w:szCs w:val="23"/>
        </w:rPr>
        <w:t>.</w:t>
      </w:r>
      <w:r w:rsidR="00A55A8F">
        <w:rPr>
          <w:rStyle w:val="FootnoteReference"/>
          <w:szCs w:val="23"/>
        </w:rPr>
        <w:footnoteReference w:id="12"/>
      </w:r>
      <w:r w:rsidR="00B41D85">
        <w:rPr>
          <w:szCs w:val="23"/>
        </w:rPr>
        <w:t xml:space="preserve"> </w:t>
      </w:r>
      <w:r w:rsidR="00761036">
        <w:rPr>
          <w:szCs w:val="23"/>
        </w:rPr>
        <w:t xml:space="preserve">If these men were packed in close, the giving way of a formation would have to be profound to be remarking </w:t>
      </w:r>
      <w:r w:rsidR="00A80DCE">
        <w:rPr>
          <w:szCs w:val="23"/>
        </w:rPr>
        <w:t>on and</w:t>
      </w:r>
      <w:r w:rsidR="00761036">
        <w:rPr>
          <w:szCs w:val="23"/>
        </w:rPr>
        <w:t xml:space="preserve"> would cause a greater collapse of the larger battle line. </w:t>
      </w:r>
      <w:r w:rsidR="00322B76">
        <w:rPr>
          <w:szCs w:val="23"/>
        </w:rPr>
        <w:t xml:space="preserve">Since neither applies in this instance, </w:t>
      </w:r>
      <w:r w:rsidR="000235FD">
        <w:rPr>
          <w:szCs w:val="23"/>
        </w:rPr>
        <w:t>those engaged in combat must be at a further range – most likely at spear length.</w:t>
      </w:r>
    </w:p>
    <w:p w14:paraId="6E7E1642" w14:textId="0706DECC" w:rsidR="00441D9E" w:rsidRDefault="00F40D17" w:rsidP="003931E5">
      <w:pPr>
        <w:autoSpaceDE w:val="0"/>
        <w:autoSpaceDN w:val="0"/>
        <w:adjustRightInd w:val="0"/>
        <w:spacing w:line="360" w:lineRule="auto"/>
        <w:ind w:right="0"/>
        <w:contextualSpacing/>
        <w:rPr>
          <w:szCs w:val="23"/>
        </w:rPr>
      </w:pPr>
      <w:r>
        <w:rPr>
          <w:szCs w:val="23"/>
        </w:rPr>
        <w:t>It is also important to look for e</w:t>
      </w:r>
      <w:r w:rsidR="0062737E">
        <w:rPr>
          <w:szCs w:val="23"/>
        </w:rPr>
        <w:t>vidence</w:t>
      </w:r>
      <w:r>
        <w:rPr>
          <w:szCs w:val="23"/>
        </w:rPr>
        <w:t xml:space="preserve"> in non-military texts</w:t>
      </w:r>
      <w:r w:rsidR="00B43E5A">
        <w:rPr>
          <w:szCs w:val="23"/>
        </w:rPr>
        <w:t xml:space="preserve"> of a non-physical </w:t>
      </w:r>
      <w:r w:rsidR="00B43E5A">
        <w:rPr>
          <w:i/>
          <w:szCs w:val="23"/>
        </w:rPr>
        <w:t>othismos</w:t>
      </w:r>
      <w:r>
        <w:rPr>
          <w:szCs w:val="23"/>
        </w:rPr>
        <w:t xml:space="preserve">, as Hans van Wees </w:t>
      </w:r>
      <w:r w:rsidR="00723E9A">
        <w:rPr>
          <w:szCs w:val="23"/>
        </w:rPr>
        <w:t>does by using</w:t>
      </w:r>
      <w:r>
        <w:rPr>
          <w:szCs w:val="23"/>
        </w:rPr>
        <w:t xml:space="preserve"> Plato’s description of a war dance</w:t>
      </w:r>
      <w:r w:rsidR="007F1EA9">
        <w:rPr>
          <w:szCs w:val="23"/>
        </w:rPr>
        <w:t>:</w:t>
      </w:r>
    </w:p>
    <w:p w14:paraId="099A1C32" w14:textId="77777777" w:rsidR="00032CFF" w:rsidRDefault="00032CFF" w:rsidP="003931E5">
      <w:pPr>
        <w:autoSpaceDE w:val="0"/>
        <w:autoSpaceDN w:val="0"/>
        <w:adjustRightInd w:val="0"/>
        <w:spacing w:line="360" w:lineRule="auto"/>
        <w:ind w:right="0"/>
        <w:contextualSpacing/>
        <w:rPr>
          <w:szCs w:val="23"/>
        </w:rPr>
      </w:pPr>
    </w:p>
    <w:p w14:paraId="4B5FF8AE" w14:textId="7947C3DF" w:rsidR="00F40D17" w:rsidRDefault="00544697" w:rsidP="00D14F1D">
      <w:pPr>
        <w:autoSpaceDE w:val="0"/>
        <w:autoSpaceDN w:val="0"/>
        <w:adjustRightInd w:val="0"/>
        <w:spacing w:line="360" w:lineRule="auto"/>
        <w:ind w:left="851" w:right="804"/>
        <w:contextualSpacing/>
        <w:jc w:val="left"/>
        <w:rPr>
          <w:sz w:val="22"/>
          <w:szCs w:val="23"/>
        </w:rPr>
      </w:pPr>
      <w:r>
        <w:rPr>
          <w:sz w:val="22"/>
          <w:szCs w:val="23"/>
        </w:rPr>
        <w:t>E</w:t>
      </w:r>
      <w:r w:rsidR="00441D9E" w:rsidRPr="00441D9E">
        <w:rPr>
          <w:sz w:val="22"/>
          <w:szCs w:val="23"/>
        </w:rPr>
        <w:t>luding all kinds of blows and shots by swervings and duckings and side-leaps upward or crouching; and also the opposite kinds of motion, which lead to active postures of offence, when it strives to represent the movements involved in shooting with bows or darts, and blows of every description.</w:t>
      </w:r>
      <w:r w:rsidR="0020263B">
        <w:rPr>
          <w:rStyle w:val="FootnoteReference"/>
          <w:sz w:val="22"/>
          <w:szCs w:val="23"/>
        </w:rPr>
        <w:footnoteReference w:id="13"/>
      </w:r>
      <w:r w:rsidR="007E2993">
        <w:rPr>
          <w:sz w:val="22"/>
          <w:szCs w:val="23"/>
        </w:rPr>
        <w:t xml:space="preserve"> </w:t>
      </w:r>
    </w:p>
    <w:p w14:paraId="280DCFFD" w14:textId="77777777" w:rsidR="00032CFF" w:rsidRDefault="00032CFF" w:rsidP="00441D9E">
      <w:pPr>
        <w:autoSpaceDE w:val="0"/>
        <w:autoSpaceDN w:val="0"/>
        <w:adjustRightInd w:val="0"/>
        <w:spacing w:line="360" w:lineRule="auto"/>
        <w:ind w:left="1134" w:right="1088"/>
        <w:contextualSpacing/>
        <w:jc w:val="left"/>
        <w:rPr>
          <w:sz w:val="22"/>
          <w:szCs w:val="23"/>
        </w:rPr>
      </w:pPr>
    </w:p>
    <w:p w14:paraId="49A493AE" w14:textId="4E684F58" w:rsidR="00441D9E" w:rsidRDefault="0020263B" w:rsidP="00441D9E">
      <w:pPr>
        <w:autoSpaceDE w:val="0"/>
        <w:autoSpaceDN w:val="0"/>
        <w:adjustRightInd w:val="0"/>
        <w:spacing w:line="360" w:lineRule="auto"/>
        <w:ind w:right="-46"/>
        <w:contextualSpacing/>
        <w:jc w:val="left"/>
        <w:rPr>
          <w:szCs w:val="23"/>
        </w:rPr>
      </w:pPr>
      <w:r>
        <w:rPr>
          <w:szCs w:val="23"/>
        </w:rPr>
        <w:t>These dances mimic actual combat, and so the above</w:t>
      </w:r>
      <w:r w:rsidR="00572D05">
        <w:rPr>
          <w:szCs w:val="23"/>
        </w:rPr>
        <w:t xml:space="preserve"> depiction of </w:t>
      </w:r>
      <w:r w:rsidR="00A906B6">
        <w:rPr>
          <w:szCs w:val="23"/>
        </w:rPr>
        <w:t xml:space="preserve">dodging in and out of </w:t>
      </w:r>
      <w:r w:rsidR="00DC1160">
        <w:rPr>
          <w:szCs w:val="23"/>
        </w:rPr>
        <w:t>weapon distance implies, as va</w:t>
      </w:r>
      <w:r w:rsidR="00463756">
        <w:rPr>
          <w:szCs w:val="23"/>
        </w:rPr>
        <w:t>n</w:t>
      </w:r>
      <w:r w:rsidR="00DC1160">
        <w:rPr>
          <w:szCs w:val="23"/>
        </w:rPr>
        <w:t xml:space="preserve"> Wees observes</w:t>
      </w:r>
      <w:r w:rsidR="00417918">
        <w:rPr>
          <w:szCs w:val="23"/>
        </w:rPr>
        <w:t xml:space="preserve">, </w:t>
      </w:r>
      <w:r w:rsidR="009D3774">
        <w:rPr>
          <w:szCs w:val="23"/>
        </w:rPr>
        <w:t xml:space="preserve">a </w:t>
      </w:r>
      <w:r w:rsidR="00417918">
        <w:rPr>
          <w:szCs w:val="23"/>
        </w:rPr>
        <w:t>correlat</w:t>
      </w:r>
      <w:r w:rsidR="009D3774">
        <w:rPr>
          <w:szCs w:val="23"/>
        </w:rPr>
        <w:t>ion</w:t>
      </w:r>
      <w:r w:rsidR="00417918">
        <w:rPr>
          <w:szCs w:val="23"/>
        </w:rPr>
        <w:t xml:space="preserve"> </w:t>
      </w:r>
      <w:r w:rsidR="009D3774">
        <w:rPr>
          <w:szCs w:val="23"/>
        </w:rPr>
        <w:t xml:space="preserve">between this </w:t>
      </w:r>
      <w:r w:rsidR="007A74B0">
        <w:rPr>
          <w:szCs w:val="23"/>
        </w:rPr>
        <w:t>performance</w:t>
      </w:r>
      <w:r w:rsidR="009D3774">
        <w:rPr>
          <w:szCs w:val="23"/>
        </w:rPr>
        <w:t xml:space="preserve"> and reality of</w:t>
      </w:r>
      <w:r w:rsidR="00417918">
        <w:rPr>
          <w:szCs w:val="23"/>
        </w:rPr>
        <w:t xml:space="preserve"> the space required in actual battle to fight.</w:t>
      </w:r>
      <w:r w:rsidR="00A10689">
        <w:rPr>
          <w:szCs w:val="23"/>
        </w:rPr>
        <w:t xml:space="preserve"> How can an actual shoving match take place if each warrior requires the room to leap to the side, or to execute any sort of blow with their spear?</w:t>
      </w:r>
    </w:p>
    <w:p w14:paraId="5A4931B2" w14:textId="45046F9A" w:rsidR="00871C82" w:rsidRDefault="00871C82" w:rsidP="00441D9E">
      <w:pPr>
        <w:autoSpaceDE w:val="0"/>
        <w:autoSpaceDN w:val="0"/>
        <w:adjustRightInd w:val="0"/>
        <w:spacing w:line="360" w:lineRule="auto"/>
        <w:ind w:right="-46"/>
        <w:contextualSpacing/>
        <w:jc w:val="left"/>
        <w:rPr>
          <w:szCs w:val="23"/>
        </w:rPr>
      </w:pPr>
    </w:p>
    <w:p w14:paraId="563A3D09" w14:textId="3F2337DC" w:rsidR="00871C82" w:rsidRDefault="00B8372A" w:rsidP="009E1B8F">
      <w:pPr>
        <w:autoSpaceDE w:val="0"/>
        <w:autoSpaceDN w:val="0"/>
        <w:adjustRightInd w:val="0"/>
        <w:spacing w:line="360" w:lineRule="auto"/>
        <w:ind w:right="-46"/>
        <w:contextualSpacing/>
        <w:jc w:val="left"/>
        <w:rPr>
          <w:szCs w:val="23"/>
        </w:rPr>
      </w:pPr>
      <w:r>
        <w:rPr>
          <w:szCs w:val="23"/>
        </w:rPr>
        <w:t>Yet</w:t>
      </w:r>
      <w:r w:rsidR="00A10689">
        <w:rPr>
          <w:szCs w:val="23"/>
        </w:rPr>
        <w:t xml:space="preserve"> for many years the traditional view of a phy</w:t>
      </w:r>
      <w:r w:rsidR="00273746">
        <w:rPr>
          <w:szCs w:val="23"/>
        </w:rPr>
        <w:t xml:space="preserve">sical </w:t>
      </w:r>
      <w:r w:rsidR="00273746">
        <w:rPr>
          <w:i/>
          <w:szCs w:val="23"/>
        </w:rPr>
        <w:t>othismos</w:t>
      </w:r>
      <w:r w:rsidR="00273746">
        <w:rPr>
          <w:szCs w:val="23"/>
        </w:rPr>
        <w:t xml:space="preserve"> was dominant, and for good reason. </w:t>
      </w:r>
      <w:r w:rsidR="008B6FFD">
        <w:rPr>
          <w:szCs w:val="23"/>
        </w:rPr>
        <w:t xml:space="preserve">There is much evidence throughout the sources available to suggest </w:t>
      </w:r>
      <w:r w:rsidR="005523F4">
        <w:rPr>
          <w:szCs w:val="23"/>
        </w:rPr>
        <w:t xml:space="preserve">that hoplite warfare was primarily composed of </w:t>
      </w:r>
      <w:r w:rsidR="006B5DCE">
        <w:rPr>
          <w:szCs w:val="23"/>
        </w:rPr>
        <w:t>two close order formations</w:t>
      </w:r>
      <w:r w:rsidR="00C25B4C">
        <w:rPr>
          <w:szCs w:val="23"/>
        </w:rPr>
        <w:t xml:space="preserve"> engaging in a pushing contest, to force the other backwards</w:t>
      </w:r>
      <w:r w:rsidR="00DD61F6">
        <w:rPr>
          <w:szCs w:val="23"/>
        </w:rPr>
        <w:t xml:space="preserve">. </w:t>
      </w:r>
      <w:r w:rsidR="00C0696B">
        <w:rPr>
          <w:szCs w:val="23"/>
        </w:rPr>
        <w:t xml:space="preserve">This overwhelming amount of literary </w:t>
      </w:r>
      <w:r w:rsidR="00E26832">
        <w:rPr>
          <w:szCs w:val="23"/>
        </w:rPr>
        <w:t>description</w:t>
      </w:r>
      <w:r w:rsidR="00C0696B">
        <w:rPr>
          <w:szCs w:val="23"/>
        </w:rPr>
        <w:t>, however,</w:t>
      </w:r>
      <w:r w:rsidR="00AB7997">
        <w:rPr>
          <w:szCs w:val="23"/>
        </w:rPr>
        <w:t xml:space="preserve"> </w:t>
      </w:r>
      <w:r w:rsidR="004F2891">
        <w:rPr>
          <w:szCs w:val="23"/>
        </w:rPr>
        <w:t xml:space="preserve">is </w:t>
      </w:r>
      <w:r w:rsidR="00AB7997">
        <w:rPr>
          <w:szCs w:val="23"/>
        </w:rPr>
        <w:t>put at risk by</w:t>
      </w:r>
      <w:r w:rsidR="00F30091">
        <w:rPr>
          <w:szCs w:val="23"/>
        </w:rPr>
        <w:t xml:space="preserve"> the image of the 20</w:t>
      </w:r>
      <w:r w:rsidR="00F30091" w:rsidRPr="00F30091">
        <w:rPr>
          <w:szCs w:val="23"/>
          <w:vertAlign w:val="superscript"/>
        </w:rPr>
        <w:t>th</w:t>
      </w:r>
      <w:r w:rsidR="00F30091">
        <w:rPr>
          <w:szCs w:val="23"/>
        </w:rPr>
        <w:t xml:space="preserve"> century ‘rugby scrum’</w:t>
      </w:r>
      <w:r w:rsidR="009E1B8F">
        <w:rPr>
          <w:szCs w:val="23"/>
        </w:rPr>
        <w:t xml:space="preserve"> </w:t>
      </w:r>
      <w:r w:rsidR="009E1B8F">
        <w:rPr>
          <w:i/>
          <w:szCs w:val="23"/>
        </w:rPr>
        <w:t>othismos</w:t>
      </w:r>
      <w:r w:rsidR="009E1B8F">
        <w:rPr>
          <w:szCs w:val="23"/>
        </w:rPr>
        <w:t xml:space="preserve">, and so arguments for a more literal interpretation </w:t>
      </w:r>
      <w:r w:rsidR="0081735F">
        <w:rPr>
          <w:szCs w:val="23"/>
        </w:rPr>
        <w:t>are</w:t>
      </w:r>
      <w:r w:rsidR="009E1B8F">
        <w:rPr>
          <w:szCs w:val="23"/>
        </w:rPr>
        <w:t xml:space="preserve"> dismissed for two reasons</w:t>
      </w:r>
      <w:r w:rsidR="0081735F">
        <w:rPr>
          <w:szCs w:val="23"/>
        </w:rPr>
        <w:t>, despite the simple rebuttals</w:t>
      </w:r>
      <w:r w:rsidR="009E1B8F">
        <w:rPr>
          <w:szCs w:val="23"/>
        </w:rPr>
        <w:t>.</w:t>
      </w:r>
    </w:p>
    <w:p w14:paraId="02816E0D" w14:textId="00818F15" w:rsidR="00F976F8" w:rsidRDefault="0081735F" w:rsidP="009E1B8F">
      <w:pPr>
        <w:autoSpaceDE w:val="0"/>
        <w:autoSpaceDN w:val="0"/>
        <w:adjustRightInd w:val="0"/>
        <w:spacing w:line="360" w:lineRule="auto"/>
        <w:ind w:right="-46"/>
        <w:contextualSpacing/>
        <w:jc w:val="left"/>
        <w:rPr>
          <w:szCs w:val="23"/>
        </w:rPr>
      </w:pPr>
      <w:r>
        <w:rPr>
          <w:szCs w:val="23"/>
        </w:rPr>
        <w:t>The first</w:t>
      </w:r>
      <w:r w:rsidR="002F7945">
        <w:rPr>
          <w:szCs w:val="23"/>
        </w:rPr>
        <w:t xml:space="preserve"> reason is, as van Wees states, </w:t>
      </w:r>
      <w:r w:rsidR="00854DC5">
        <w:rPr>
          <w:szCs w:val="23"/>
        </w:rPr>
        <w:t xml:space="preserve">that if </w:t>
      </w:r>
      <w:r w:rsidR="00B55776">
        <w:rPr>
          <w:szCs w:val="23"/>
        </w:rPr>
        <w:t>it is supposed that battles were largely decided by sheer pushing power</w:t>
      </w:r>
      <w:r w:rsidR="00CC62D7">
        <w:rPr>
          <w:szCs w:val="23"/>
        </w:rPr>
        <w:t xml:space="preserve">, </w:t>
      </w:r>
      <w:r w:rsidR="00145353">
        <w:rPr>
          <w:szCs w:val="23"/>
        </w:rPr>
        <w:t>then the sheer weight of numbers present at battles should be the deciding factor.</w:t>
      </w:r>
      <w:r w:rsidR="00CA4961">
        <w:rPr>
          <w:rStyle w:val="FootnoteReference"/>
          <w:szCs w:val="23"/>
        </w:rPr>
        <w:footnoteReference w:id="14"/>
      </w:r>
      <w:r w:rsidR="009A1B29">
        <w:rPr>
          <w:szCs w:val="23"/>
        </w:rPr>
        <w:t xml:space="preserve"> The example given is from </w:t>
      </w:r>
      <w:r w:rsidR="003C0FF3">
        <w:rPr>
          <w:szCs w:val="23"/>
        </w:rPr>
        <w:t>Xenophon’s</w:t>
      </w:r>
      <w:r w:rsidR="009A1B29">
        <w:rPr>
          <w:szCs w:val="23"/>
        </w:rPr>
        <w:t xml:space="preserve"> </w:t>
      </w:r>
      <w:r w:rsidR="009A1B29">
        <w:rPr>
          <w:i/>
          <w:szCs w:val="23"/>
        </w:rPr>
        <w:t>Hellenika</w:t>
      </w:r>
      <w:r w:rsidR="009A1B29">
        <w:rPr>
          <w:szCs w:val="23"/>
        </w:rPr>
        <w:t xml:space="preserve"> – whereupon 50 ranks of </w:t>
      </w:r>
      <w:r w:rsidR="009A1B29">
        <w:rPr>
          <w:szCs w:val="23"/>
        </w:rPr>
        <w:lastRenderedPageBreak/>
        <w:t>Theban warriors are pushed</w:t>
      </w:r>
      <w:r w:rsidR="003C0FF3">
        <w:rPr>
          <w:szCs w:val="23"/>
        </w:rPr>
        <w:t xml:space="preserve"> back and defeated by </w:t>
      </w:r>
      <w:r w:rsidR="003A2C5A">
        <w:rPr>
          <w:szCs w:val="23"/>
        </w:rPr>
        <w:t>12 ranks of Spartans</w:t>
      </w:r>
      <w:r w:rsidR="00514845">
        <w:rPr>
          <w:szCs w:val="23"/>
        </w:rPr>
        <w:t>.</w:t>
      </w:r>
      <w:r w:rsidR="001E722A">
        <w:rPr>
          <w:rStyle w:val="FootnoteReference"/>
          <w:szCs w:val="23"/>
        </w:rPr>
        <w:footnoteReference w:id="15"/>
      </w:r>
      <w:r w:rsidR="003A2C5A">
        <w:rPr>
          <w:szCs w:val="23"/>
        </w:rPr>
        <w:t xml:space="preserve"> Van Wees</w:t>
      </w:r>
      <w:r w:rsidR="001C641A">
        <w:rPr>
          <w:szCs w:val="23"/>
        </w:rPr>
        <w:t xml:space="preserve">’ analysis concludes that the physical </w:t>
      </w:r>
      <w:r w:rsidR="001C641A">
        <w:rPr>
          <w:i/>
          <w:szCs w:val="23"/>
        </w:rPr>
        <w:t>othismos</w:t>
      </w:r>
      <w:r w:rsidR="001C641A">
        <w:rPr>
          <w:szCs w:val="23"/>
        </w:rPr>
        <w:t xml:space="preserve"> cannot </w:t>
      </w:r>
      <w:r w:rsidR="00E1337E">
        <w:rPr>
          <w:szCs w:val="23"/>
        </w:rPr>
        <w:t xml:space="preserve">therefore have taken place. It must be argued that this completely </w:t>
      </w:r>
      <w:r w:rsidR="00024A00">
        <w:rPr>
          <w:szCs w:val="23"/>
        </w:rPr>
        <w:t>ignores the facts we are given about Spartan martial prowess</w:t>
      </w:r>
      <w:r w:rsidR="00BE4C60">
        <w:rPr>
          <w:szCs w:val="23"/>
        </w:rPr>
        <w:t xml:space="preserve"> compared to the other city-states</w:t>
      </w:r>
      <w:r w:rsidR="00DE4798">
        <w:rPr>
          <w:szCs w:val="23"/>
        </w:rPr>
        <w:t>:</w:t>
      </w:r>
      <w:r w:rsidR="00024A00">
        <w:rPr>
          <w:szCs w:val="23"/>
        </w:rPr>
        <w:t xml:space="preserve"> that the Spartans march to the sound of the flutes, giving their formations a coherent unified step</w:t>
      </w:r>
      <w:r w:rsidR="00DE4798">
        <w:rPr>
          <w:szCs w:val="23"/>
        </w:rPr>
        <w:t>;</w:t>
      </w:r>
      <w:r w:rsidR="002C4334">
        <w:rPr>
          <w:szCs w:val="23"/>
        </w:rPr>
        <w:t xml:space="preserve"> and that many other poleis </w:t>
      </w:r>
      <w:r w:rsidR="00BE4C60">
        <w:rPr>
          <w:szCs w:val="23"/>
        </w:rPr>
        <w:t xml:space="preserve">did not </w:t>
      </w:r>
      <w:r w:rsidR="00DE4798">
        <w:rPr>
          <w:szCs w:val="23"/>
        </w:rPr>
        <w:t xml:space="preserve">provide state training on the same level as the Spartans, </w:t>
      </w:r>
      <w:r w:rsidR="0084795E">
        <w:rPr>
          <w:szCs w:val="23"/>
        </w:rPr>
        <w:t xml:space="preserve">leading to a </w:t>
      </w:r>
      <w:r w:rsidR="00320BA5">
        <w:rPr>
          <w:szCs w:val="23"/>
        </w:rPr>
        <w:t>potential lack o</w:t>
      </w:r>
      <w:r w:rsidR="004B1D56">
        <w:rPr>
          <w:szCs w:val="23"/>
        </w:rPr>
        <w:t>f order amongst enemy formations.</w:t>
      </w:r>
      <w:r w:rsidR="008203D5">
        <w:rPr>
          <w:rStyle w:val="FootnoteReference"/>
          <w:szCs w:val="23"/>
        </w:rPr>
        <w:footnoteReference w:id="16"/>
      </w:r>
      <w:r w:rsidR="002B4148">
        <w:rPr>
          <w:szCs w:val="23"/>
        </w:rPr>
        <w:t xml:space="preserve"> The second </w:t>
      </w:r>
      <w:r w:rsidR="00C3323E">
        <w:rPr>
          <w:szCs w:val="23"/>
        </w:rPr>
        <w:t xml:space="preserve">reason for </w:t>
      </w:r>
      <w:r w:rsidR="002B4148">
        <w:rPr>
          <w:szCs w:val="23"/>
        </w:rPr>
        <w:t xml:space="preserve">dismissal is that </w:t>
      </w:r>
      <w:r w:rsidR="008C7D8E">
        <w:rPr>
          <w:szCs w:val="23"/>
        </w:rPr>
        <w:t xml:space="preserve">the </w:t>
      </w:r>
      <w:r w:rsidR="008C7D8E">
        <w:rPr>
          <w:i/>
          <w:szCs w:val="23"/>
        </w:rPr>
        <w:t>othismos</w:t>
      </w:r>
      <w:r w:rsidR="008C7D8E">
        <w:rPr>
          <w:szCs w:val="23"/>
        </w:rPr>
        <w:t xml:space="preserve"> is often applied to naval engagements, where logically the battle cannot consist of ships just shunting each other over the waves.</w:t>
      </w:r>
      <w:r w:rsidR="002A319A">
        <w:rPr>
          <w:szCs w:val="23"/>
        </w:rPr>
        <w:t xml:space="preserve"> </w:t>
      </w:r>
      <w:r w:rsidR="00414F90">
        <w:rPr>
          <w:szCs w:val="23"/>
        </w:rPr>
        <w:t>This does not, however, take into account that the strategy in naval warfare was to ‘</w:t>
      </w:r>
      <w:r w:rsidR="00414F90" w:rsidRPr="00414F90">
        <w:rPr>
          <w:szCs w:val="23"/>
        </w:rPr>
        <w:t>break with their firm and thick beaks the hollow and infirm foreparts of the galleys of their enemies'</w:t>
      </w:r>
      <w:r w:rsidR="00414F90">
        <w:rPr>
          <w:rStyle w:val="FootnoteReference"/>
          <w:szCs w:val="23"/>
        </w:rPr>
        <w:footnoteReference w:id="17"/>
      </w:r>
      <w:r w:rsidR="00414F90">
        <w:rPr>
          <w:szCs w:val="23"/>
        </w:rPr>
        <w:t xml:space="preserve"> </w:t>
      </w:r>
      <w:r w:rsidR="00B003F2">
        <w:rPr>
          <w:szCs w:val="23"/>
        </w:rPr>
        <w:t>–</w:t>
      </w:r>
      <w:r w:rsidR="0092093D">
        <w:rPr>
          <w:szCs w:val="23"/>
        </w:rPr>
        <w:t xml:space="preserve"> </w:t>
      </w:r>
      <w:r w:rsidR="00B003F2">
        <w:rPr>
          <w:szCs w:val="23"/>
        </w:rPr>
        <w:t xml:space="preserve">actual contact must therefore have been a staple of conflict at sea, and </w:t>
      </w:r>
      <w:r w:rsidR="00840F78">
        <w:rPr>
          <w:szCs w:val="23"/>
        </w:rPr>
        <w:t>it</w:t>
      </w:r>
      <w:r w:rsidR="00302936">
        <w:rPr>
          <w:szCs w:val="23"/>
        </w:rPr>
        <w:t xml:space="preserve"> </w:t>
      </w:r>
      <w:r w:rsidR="00840F78">
        <w:rPr>
          <w:szCs w:val="23"/>
        </w:rPr>
        <w:t>must be concluded that the push would therefore be an entirely reasonable description of these collisions.</w:t>
      </w:r>
      <w:r w:rsidR="009903C7">
        <w:rPr>
          <w:szCs w:val="23"/>
        </w:rPr>
        <w:t xml:space="preserve"> </w:t>
      </w:r>
    </w:p>
    <w:p w14:paraId="50AE2766" w14:textId="49E99643" w:rsidR="003A29D3" w:rsidRDefault="009903C7" w:rsidP="009E1B8F">
      <w:pPr>
        <w:autoSpaceDE w:val="0"/>
        <w:autoSpaceDN w:val="0"/>
        <w:adjustRightInd w:val="0"/>
        <w:spacing w:line="360" w:lineRule="auto"/>
        <w:ind w:right="-46"/>
        <w:contextualSpacing/>
        <w:jc w:val="left"/>
        <w:rPr>
          <w:szCs w:val="23"/>
        </w:rPr>
      </w:pPr>
      <w:r>
        <w:rPr>
          <w:szCs w:val="23"/>
        </w:rPr>
        <w:t xml:space="preserve">With that </w:t>
      </w:r>
      <w:r w:rsidR="00C03D53">
        <w:rPr>
          <w:szCs w:val="23"/>
        </w:rPr>
        <w:t>understood</w:t>
      </w:r>
      <w:r w:rsidR="001D4FED">
        <w:rPr>
          <w:szCs w:val="23"/>
        </w:rPr>
        <w:t xml:space="preserve">, an examination of the </w:t>
      </w:r>
      <w:r w:rsidR="007C6957">
        <w:rPr>
          <w:szCs w:val="23"/>
        </w:rPr>
        <w:t xml:space="preserve">literary sources is necessary to an </w:t>
      </w:r>
      <w:r w:rsidR="00761772">
        <w:rPr>
          <w:szCs w:val="23"/>
        </w:rPr>
        <w:t>assessment</w:t>
      </w:r>
      <w:r w:rsidR="007C6957">
        <w:rPr>
          <w:szCs w:val="23"/>
        </w:rPr>
        <w:t xml:space="preserve"> of the physical </w:t>
      </w:r>
      <w:r w:rsidR="007C6957">
        <w:rPr>
          <w:i/>
          <w:szCs w:val="23"/>
        </w:rPr>
        <w:t>othismos</w:t>
      </w:r>
      <w:r w:rsidR="007C6957">
        <w:rPr>
          <w:szCs w:val="23"/>
        </w:rPr>
        <w:t xml:space="preserve">. </w:t>
      </w:r>
      <w:r w:rsidR="001C6205">
        <w:rPr>
          <w:szCs w:val="23"/>
        </w:rPr>
        <w:t>This is a</w:t>
      </w:r>
      <w:r w:rsidR="007C6957">
        <w:rPr>
          <w:szCs w:val="23"/>
        </w:rPr>
        <w:t xml:space="preserve">n examination that Matthew fails to adequately </w:t>
      </w:r>
      <w:r w:rsidR="00AA6EC2">
        <w:rPr>
          <w:szCs w:val="23"/>
        </w:rPr>
        <w:t>perform</w:t>
      </w:r>
      <w:r w:rsidR="005F0B36">
        <w:rPr>
          <w:szCs w:val="23"/>
        </w:rPr>
        <w:t xml:space="preserve">, due to </w:t>
      </w:r>
      <w:r w:rsidR="00977794">
        <w:rPr>
          <w:szCs w:val="23"/>
        </w:rPr>
        <w:t xml:space="preserve">absence of many examples </w:t>
      </w:r>
      <w:r w:rsidR="009D6B59">
        <w:rPr>
          <w:szCs w:val="23"/>
        </w:rPr>
        <w:t xml:space="preserve">of hoplite combat </w:t>
      </w:r>
      <w:r w:rsidR="00977794">
        <w:rPr>
          <w:szCs w:val="23"/>
        </w:rPr>
        <w:t>which require a literal interpretation</w:t>
      </w:r>
      <w:r w:rsidR="008E28EA">
        <w:rPr>
          <w:szCs w:val="23"/>
        </w:rPr>
        <w:t xml:space="preserve"> of the </w:t>
      </w:r>
      <w:r w:rsidR="008E28EA">
        <w:rPr>
          <w:i/>
          <w:szCs w:val="23"/>
        </w:rPr>
        <w:t>othismos</w:t>
      </w:r>
      <w:r w:rsidR="008E28EA">
        <w:rPr>
          <w:szCs w:val="23"/>
        </w:rPr>
        <w:t>.</w:t>
      </w:r>
      <w:r w:rsidR="00C16588">
        <w:rPr>
          <w:szCs w:val="23"/>
        </w:rPr>
        <w:t xml:space="preserve"> The first is the use of the wording </w:t>
      </w:r>
      <w:r w:rsidR="00534DBB">
        <w:rPr>
          <w:szCs w:val="23"/>
        </w:rPr>
        <w:t>“</w:t>
      </w:r>
      <w:r w:rsidR="00C16588">
        <w:rPr>
          <w:szCs w:val="23"/>
        </w:rPr>
        <w:t>hand to hand</w:t>
      </w:r>
      <w:r w:rsidR="00534DBB">
        <w:rPr>
          <w:szCs w:val="23"/>
        </w:rPr>
        <w:t>”, or similar,</w:t>
      </w:r>
      <w:r w:rsidR="00C16588">
        <w:rPr>
          <w:szCs w:val="23"/>
        </w:rPr>
        <w:t xml:space="preserve"> in reference to the style of combat. </w:t>
      </w:r>
      <w:r w:rsidR="00534DBB">
        <w:rPr>
          <w:szCs w:val="23"/>
        </w:rPr>
        <w:t>Both Thucydides and Herodotus both use this wording when explaining the clash of troops: the former during the engagement at Solygeia explains in Crawley’s translation that the battle was ‘fought throughout hand to hand’, and in</w:t>
      </w:r>
      <w:r w:rsidR="00AB1823">
        <w:rPr>
          <w:szCs w:val="23"/>
        </w:rPr>
        <w:t xml:space="preserve"> Hobbes</w:t>
      </w:r>
      <w:r w:rsidR="00534DBB">
        <w:rPr>
          <w:szCs w:val="23"/>
        </w:rPr>
        <w:t>’ translation that the battle was ‘hot and at hand-strokes’</w:t>
      </w:r>
      <w:r w:rsidR="005E56D4">
        <w:rPr>
          <w:rStyle w:val="FootnoteReference"/>
          <w:szCs w:val="23"/>
        </w:rPr>
        <w:footnoteReference w:id="18"/>
      </w:r>
      <w:r w:rsidR="00534DBB">
        <w:rPr>
          <w:szCs w:val="23"/>
        </w:rPr>
        <w:t xml:space="preserve">; the latter details how the Spartans and Persians </w:t>
      </w:r>
      <w:r w:rsidR="00AB1823">
        <w:rPr>
          <w:szCs w:val="23"/>
        </w:rPr>
        <w:t xml:space="preserve">‘came to blows </w:t>
      </w:r>
      <w:r w:rsidR="00534DBB">
        <w:rPr>
          <w:szCs w:val="23"/>
        </w:rPr>
        <w:t>at close quarters’</w:t>
      </w:r>
      <w:r w:rsidR="00AB1823">
        <w:rPr>
          <w:szCs w:val="23"/>
        </w:rPr>
        <w:t xml:space="preserve"> around the Temple of Demeter</w:t>
      </w:r>
      <w:r w:rsidR="003258DF">
        <w:rPr>
          <w:szCs w:val="23"/>
        </w:rPr>
        <w:t xml:space="preserve"> after the ‘fence of shields’ had fallen</w:t>
      </w:r>
      <w:r w:rsidR="00AB1823">
        <w:rPr>
          <w:szCs w:val="23"/>
        </w:rPr>
        <w:t>.</w:t>
      </w:r>
      <w:r w:rsidR="00AB1823">
        <w:rPr>
          <w:rStyle w:val="FootnoteReference"/>
          <w:szCs w:val="23"/>
        </w:rPr>
        <w:footnoteReference w:id="19"/>
      </w:r>
      <w:r w:rsidR="006463D1">
        <w:rPr>
          <w:szCs w:val="23"/>
        </w:rPr>
        <w:t xml:space="preserve"> Luginbill raises this second example in his discussion of the </w:t>
      </w:r>
      <w:r w:rsidR="006463D1">
        <w:rPr>
          <w:i/>
          <w:szCs w:val="23"/>
        </w:rPr>
        <w:t>othismos</w:t>
      </w:r>
      <w:r w:rsidR="006463D1">
        <w:rPr>
          <w:szCs w:val="23"/>
        </w:rPr>
        <w:t xml:space="preserve"> being a tactic used </w:t>
      </w:r>
      <w:r w:rsidR="008B2653">
        <w:rPr>
          <w:szCs w:val="23"/>
        </w:rPr>
        <w:t xml:space="preserve">by a formation, as a phase during the battle – and therefore whilst not a direct argument for </w:t>
      </w:r>
      <w:r w:rsidR="00520C1F">
        <w:rPr>
          <w:szCs w:val="23"/>
        </w:rPr>
        <w:t>the</w:t>
      </w:r>
      <w:r w:rsidR="008B2653">
        <w:rPr>
          <w:szCs w:val="23"/>
        </w:rPr>
        <w:t xml:space="preserve"> </w:t>
      </w:r>
      <w:r w:rsidR="008B2653">
        <w:rPr>
          <w:i/>
          <w:szCs w:val="23"/>
        </w:rPr>
        <w:t>othismos</w:t>
      </w:r>
      <w:r w:rsidR="00520C1F">
        <w:rPr>
          <w:i/>
          <w:szCs w:val="23"/>
        </w:rPr>
        <w:t xml:space="preserve"> </w:t>
      </w:r>
      <w:r w:rsidR="00520C1F">
        <w:rPr>
          <w:szCs w:val="23"/>
        </w:rPr>
        <w:t>being the entire battle</w:t>
      </w:r>
      <w:r w:rsidR="008B2653">
        <w:rPr>
          <w:szCs w:val="23"/>
        </w:rPr>
        <w:t>, this would mean that the word is still used in a literal way</w:t>
      </w:r>
      <w:r w:rsidR="00533A14">
        <w:rPr>
          <w:szCs w:val="23"/>
        </w:rPr>
        <w:t xml:space="preserve"> to describe how the two sides fought.</w:t>
      </w:r>
      <w:r w:rsidR="00181C36">
        <w:rPr>
          <w:rStyle w:val="FootnoteReference"/>
          <w:szCs w:val="23"/>
        </w:rPr>
        <w:footnoteReference w:id="20"/>
      </w:r>
      <w:r w:rsidR="003A29D3">
        <w:rPr>
          <w:szCs w:val="23"/>
        </w:rPr>
        <w:t xml:space="preserve"> </w:t>
      </w:r>
    </w:p>
    <w:p w14:paraId="355A5F2E" w14:textId="77777777" w:rsidR="00295D6B" w:rsidRDefault="003A29D3" w:rsidP="00295D6B">
      <w:pPr>
        <w:autoSpaceDE w:val="0"/>
        <w:autoSpaceDN w:val="0"/>
        <w:adjustRightInd w:val="0"/>
        <w:spacing w:line="360" w:lineRule="auto"/>
        <w:ind w:right="-46" w:firstLine="720"/>
        <w:contextualSpacing/>
        <w:jc w:val="left"/>
        <w:rPr>
          <w:szCs w:val="23"/>
        </w:rPr>
      </w:pPr>
      <w:r>
        <w:rPr>
          <w:szCs w:val="23"/>
        </w:rPr>
        <w:lastRenderedPageBreak/>
        <w:t xml:space="preserve">The next examples to consider are those concerning </w:t>
      </w:r>
      <w:r w:rsidR="00B8452E">
        <w:rPr>
          <w:szCs w:val="23"/>
        </w:rPr>
        <w:t xml:space="preserve">the charge into battle. </w:t>
      </w:r>
      <w:r w:rsidR="00D73D3D">
        <w:rPr>
          <w:szCs w:val="23"/>
        </w:rPr>
        <w:t>Thucydides, Xenophon, and Herodotus all detail how troops would close at a run,</w:t>
      </w:r>
      <w:r w:rsidR="00AD3D02">
        <w:rPr>
          <w:szCs w:val="23"/>
        </w:rPr>
        <w:t xml:space="preserve"> and </w:t>
      </w:r>
      <w:r w:rsidR="00D73D3D">
        <w:rPr>
          <w:szCs w:val="23"/>
        </w:rPr>
        <w:t xml:space="preserve">then </w:t>
      </w:r>
      <w:r w:rsidR="00AD3D02">
        <w:rPr>
          <w:szCs w:val="23"/>
        </w:rPr>
        <w:t>into a clash of arms.</w:t>
      </w:r>
      <w:r w:rsidR="00946011">
        <w:rPr>
          <w:szCs w:val="23"/>
        </w:rPr>
        <w:t xml:space="preserve"> In particular, the Thucydidian </w:t>
      </w:r>
      <w:r w:rsidR="00FA41C6">
        <w:rPr>
          <w:szCs w:val="23"/>
        </w:rPr>
        <w:t>description of the Battle of Delium</w:t>
      </w:r>
      <w:r w:rsidR="0087315A">
        <w:rPr>
          <w:szCs w:val="23"/>
        </w:rPr>
        <w:t xml:space="preserve"> which states that the Athenians and the Boetians were</w:t>
      </w:r>
      <w:r w:rsidR="00FA41C6" w:rsidRPr="00FA41C6">
        <w:rPr>
          <w:szCs w:val="23"/>
        </w:rPr>
        <w:t xml:space="preserve"> </w:t>
      </w:r>
      <w:r w:rsidR="0087315A">
        <w:rPr>
          <w:szCs w:val="23"/>
        </w:rPr>
        <w:t>‘</w:t>
      </w:r>
      <w:r w:rsidR="00FA41C6" w:rsidRPr="00FA41C6">
        <w:rPr>
          <w:szCs w:val="23"/>
        </w:rPr>
        <w:t>closing at a ru</w:t>
      </w:r>
      <w:r w:rsidR="0087315A">
        <w:rPr>
          <w:szCs w:val="23"/>
        </w:rPr>
        <w:t>n’.</w:t>
      </w:r>
      <w:r w:rsidR="0087315A">
        <w:rPr>
          <w:rStyle w:val="FootnoteReference"/>
          <w:szCs w:val="23"/>
        </w:rPr>
        <w:footnoteReference w:id="21"/>
      </w:r>
      <w:r w:rsidR="00886599">
        <w:rPr>
          <w:szCs w:val="23"/>
        </w:rPr>
        <w:t xml:space="preserve"> This</w:t>
      </w:r>
      <w:r w:rsidR="009450B2">
        <w:rPr>
          <w:szCs w:val="23"/>
        </w:rPr>
        <w:t xml:space="preserve"> is often used to dismiss the possibility of </w:t>
      </w:r>
      <w:r w:rsidR="002020A7">
        <w:rPr>
          <w:szCs w:val="23"/>
        </w:rPr>
        <w:t xml:space="preserve">any semblance of a pushing action, for the soldiers would be approaching too quickly to actually push each other. </w:t>
      </w:r>
      <w:r w:rsidR="00E05382">
        <w:rPr>
          <w:szCs w:val="23"/>
        </w:rPr>
        <w:t>In fact, Matthew mentions Delium as an explicit example that since the attack is made at the run, the engaging sides could not operate in anything better than an intermediate formation.</w:t>
      </w:r>
      <w:r w:rsidR="00E05382">
        <w:rPr>
          <w:rStyle w:val="FootnoteReference"/>
          <w:szCs w:val="23"/>
        </w:rPr>
        <w:footnoteReference w:id="22"/>
      </w:r>
      <w:r w:rsidR="00E05382">
        <w:rPr>
          <w:szCs w:val="23"/>
        </w:rPr>
        <w:t xml:space="preserve"> </w:t>
      </w:r>
      <w:r w:rsidR="00E134ED">
        <w:rPr>
          <w:szCs w:val="23"/>
        </w:rPr>
        <w:t>However, the text later mentions the troops engaging ‘shield against shield’, and then describes how when other soldiers dropped back from the main battle line, those at the front were ‘surrounded in a narrow space’.</w:t>
      </w:r>
      <w:r w:rsidR="00A62CE3">
        <w:rPr>
          <w:rStyle w:val="FootnoteReference"/>
          <w:szCs w:val="23"/>
        </w:rPr>
        <w:footnoteReference w:id="23"/>
      </w:r>
      <w:r w:rsidR="00FB5D24">
        <w:rPr>
          <w:szCs w:val="23"/>
        </w:rPr>
        <w:t xml:space="preserve"> This situation, of fighting in with shields resting against each other is possible in a looser formation, as Matthew suggests in </w:t>
      </w:r>
      <w:r w:rsidR="001110F0" w:rsidRPr="001110F0">
        <w:rPr>
          <w:i/>
          <w:szCs w:val="23"/>
        </w:rPr>
        <w:t>F</w:t>
      </w:r>
      <w:r w:rsidR="00FB5D24" w:rsidRPr="001110F0">
        <w:rPr>
          <w:i/>
          <w:szCs w:val="23"/>
        </w:rPr>
        <w:t xml:space="preserve">igure </w:t>
      </w:r>
      <w:r w:rsidR="001110F0" w:rsidRPr="001110F0">
        <w:rPr>
          <w:i/>
          <w:szCs w:val="23"/>
        </w:rPr>
        <w:t>8</w:t>
      </w:r>
      <w:r w:rsidR="00C5105F">
        <w:rPr>
          <w:szCs w:val="23"/>
        </w:rPr>
        <w:t xml:space="preserve"> of his article</w:t>
      </w:r>
      <w:r w:rsidR="008D12F3">
        <w:rPr>
          <w:szCs w:val="23"/>
        </w:rPr>
        <w:t>, yet anything other than a dense pack of hoplites would not form the narrow space which is then</w:t>
      </w:r>
      <w:r w:rsidR="0095607B">
        <w:rPr>
          <w:szCs w:val="23"/>
        </w:rPr>
        <w:t xml:space="preserve"> later</w:t>
      </w:r>
      <w:r w:rsidR="008D12F3">
        <w:rPr>
          <w:szCs w:val="23"/>
        </w:rPr>
        <w:t xml:space="preserve"> discussed.</w:t>
      </w:r>
      <w:r w:rsidR="00C5105F">
        <w:rPr>
          <w:rStyle w:val="FootnoteReference"/>
          <w:szCs w:val="23"/>
        </w:rPr>
        <w:footnoteReference w:id="24"/>
      </w:r>
      <w:r w:rsidR="008D12F3">
        <w:rPr>
          <w:szCs w:val="23"/>
        </w:rPr>
        <w:t xml:space="preserve"> </w:t>
      </w:r>
      <w:r w:rsidR="00420E5D">
        <w:rPr>
          <w:szCs w:val="23"/>
        </w:rPr>
        <w:t xml:space="preserve">Herodotus also writes about </w:t>
      </w:r>
      <w:r w:rsidR="00DB79EF">
        <w:rPr>
          <w:szCs w:val="23"/>
        </w:rPr>
        <w:t xml:space="preserve">a </w:t>
      </w:r>
      <w:r w:rsidR="00371C88">
        <w:rPr>
          <w:szCs w:val="23"/>
        </w:rPr>
        <w:t>faster paced charge</w:t>
      </w:r>
      <w:r w:rsidR="008C47A0">
        <w:rPr>
          <w:szCs w:val="23"/>
        </w:rPr>
        <w:t xml:space="preserve">, which should still be interpreted as an </w:t>
      </w:r>
      <w:r w:rsidR="008C47A0" w:rsidRPr="008C47A0">
        <w:rPr>
          <w:i/>
          <w:szCs w:val="23"/>
        </w:rPr>
        <w:t>othismos</w:t>
      </w:r>
      <w:r w:rsidR="00BF1C53">
        <w:rPr>
          <w:szCs w:val="23"/>
        </w:rPr>
        <w:t xml:space="preserve"> – ‘</w:t>
      </w:r>
      <w:r w:rsidR="00A9120A">
        <w:rPr>
          <w:szCs w:val="23"/>
        </w:rPr>
        <w:t>[the Greeks]</w:t>
      </w:r>
      <w:r w:rsidR="00BF1C53" w:rsidRPr="00BF1C53">
        <w:rPr>
          <w:szCs w:val="23"/>
        </w:rPr>
        <w:t xml:space="preserve"> charged forward and pushed their way through the wicker shields, falling upon the Persians in a mass</w:t>
      </w:r>
      <w:r w:rsidR="00BF1C53">
        <w:rPr>
          <w:szCs w:val="23"/>
        </w:rPr>
        <w:t>’.</w:t>
      </w:r>
      <w:r w:rsidR="00BF1C53">
        <w:rPr>
          <w:rStyle w:val="FootnoteReference"/>
          <w:szCs w:val="23"/>
        </w:rPr>
        <w:footnoteReference w:id="25"/>
      </w:r>
      <w:r w:rsidR="003E060C">
        <w:rPr>
          <w:szCs w:val="23"/>
        </w:rPr>
        <w:t xml:space="preserve"> In another translation, this is rendered as ‘they charged altogether’, as opposed to ‘pushed their way through’</w:t>
      </w:r>
      <w:r w:rsidR="003E060C">
        <w:rPr>
          <w:rStyle w:val="FootnoteReference"/>
          <w:szCs w:val="23"/>
        </w:rPr>
        <w:footnoteReference w:id="26"/>
      </w:r>
      <w:r w:rsidR="00991FAC">
        <w:rPr>
          <w:szCs w:val="23"/>
        </w:rPr>
        <w:t xml:space="preserve">, and likewise gives the impression of a moving formation of men who, upon reaching their target, </w:t>
      </w:r>
      <w:r w:rsidR="0040179A">
        <w:rPr>
          <w:szCs w:val="23"/>
        </w:rPr>
        <w:t xml:space="preserve">physically force their way through. </w:t>
      </w:r>
      <w:r w:rsidR="009523C7">
        <w:rPr>
          <w:szCs w:val="23"/>
        </w:rPr>
        <w:t xml:space="preserve">Xenophon makes another addition to this subject when, in the </w:t>
      </w:r>
      <w:r w:rsidR="009523C7">
        <w:rPr>
          <w:i/>
          <w:szCs w:val="23"/>
        </w:rPr>
        <w:t xml:space="preserve">Hellenika, </w:t>
      </w:r>
      <w:r w:rsidR="009523C7">
        <w:rPr>
          <w:szCs w:val="23"/>
        </w:rPr>
        <w:t xml:space="preserve">he </w:t>
      </w:r>
      <w:r w:rsidR="00702CF0">
        <w:rPr>
          <w:szCs w:val="23"/>
        </w:rPr>
        <w:t xml:space="preserve">describes in graphic detail how </w:t>
      </w:r>
      <w:r w:rsidR="005C57FB">
        <w:rPr>
          <w:szCs w:val="23"/>
        </w:rPr>
        <w:t>the Spartans at Coronea</w:t>
      </w:r>
      <w:r w:rsidR="00702CF0">
        <w:rPr>
          <w:szCs w:val="23"/>
        </w:rPr>
        <w:t xml:space="preserve"> ‘c</w:t>
      </w:r>
      <w:r w:rsidR="00702CF0" w:rsidRPr="00702CF0">
        <w:rPr>
          <w:szCs w:val="23"/>
        </w:rPr>
        <w:t>rashed against the Thebans front to front; and setting shields against shields they shoved, fought, killed</w:t>
      </w:r>
      <w:r w:rsidR="00702CF0">
        <w:rPr>
          <w:szCs w:val="23"/>
        </w:rPr>
        <w:t>’</w:t>
      </w:r>
      <w:r w:rsidR="00702CF0">
        <w:rPr>
          <w:rStyle w:val="FootnoteReference"/>
          <w:szCs w:val="23"/>
        </w:rPr>
        <w:footnoteReference w:id="27"/>
      </w:r>
      <w:r w:rsidR="00C46028">
        <w:rPr>
          <w:szCs w:val="23"/>
        </w:rPr>
        <w:t xml:space="preserve"> </w:t>
      </w:r>
      <w:r w:rsidR="0074494D">
        <w:rPr>
          <w:szCs w:val="23"/>
        </w:rPr>
        <w:t>–</w:t>
      </w:r>
      <w:r w:rsidR="00C46028">
        <w:rPr>
          <w:szCs w:val="23"/>
        </w:rPr>
        <w:t xml:space="preserve"> </w:t>
      </w:r>
      <w:r w:rsidR="0074494D">
        <w:rPr>
          <w:szCs w:val="23"/>
        </w:rPr>
        <w:t xml:space="preserve">this contains both a reference to a faster charge, and a physical shoving. </w:t>
      </w:r>
      <w:r w:rsidR="005C57FB">
        <w:rPr>
          <w:szCs w:val="23"/>
        </w:rPr>
        <w:t xml:space="preserve">Matthew </w:t>
      </w:r>
      <w:r w:rsidR="007151D2">
        <w:rPr>
          <w:szCs w:val="23"/>
        </w:rPr>
        <w:t xml:space="preserve">regards this formation as being at intermediate order, and therefore unable to engage in the </w:t>
      </w:r>
      <w:r w:rsidR="007151D2">
        <w:rPr>
          <w:i/>
          <w:szCs w:val="23"/>
        </w:rPr>
        <w:t>othismos</w:t>
      </w:r>
      <w:r w:rsidR="007151D2">
        <w:rPr>
          <w:szCs w:val="23"/>
        </w:rPr>
        <w:t>.</w:t>
      </w:r>
    </w:p>
    <w:p w14:paraId="60F73EB5" w14:textId="77777777" w:rsidR="00295D6B" w:rsidRDefault="00295D6B" w:rsidP="00295D6B">
      <w:pPr>
        <w:autoSpaceDE w:val="0"/>
        <w:autoSpaceDN w:val="0"/>
        <w:adjustRightInd w:val="0"/>
        <w:spacing w:line="360" w:lineRule="auto"/>
        <w:ind w:right="-46"/>
        <w:contextualSpacing/>
        <w:jc w:val="left"/>
        <w:rPr>
          <w:szCs w:val="23"/>
        </w:rPr>
      </w:pPr>
    </w:p>
    <w:p w14:paraId="1706CF20" w14:textId="03AF72A3" w:rsidR="00EA4F60" w:rsidRDefault="0032631B" w:rsidP="00295D6B">
      <w:pPr>
        <w:autoSpaceDE w:val="0"/>
        <w:autoSpaceDN w:val="0"/>
        <w:adjustRightInd w:val="0"/>
        <w:spacing w:line="360" w:lineRule="auto"/>
        <w:ind w:right="-46"/>
        <w:contextualSpacing/>
        <w:jc w:val="left"/>
        <w:rPr>
          <w:szCs w:val="23"/>
        </w:rPr>
      </w:pPr>
      <w:r>
        <w:rPr>
          <w:szCs w:val="23"/>
        </w:rPr>
        <w:t xml:space="preserve">The other main subject of contention when considering the possibility of the </w:t>
      </w:r>
      <w:r>
        <w:rPr>
          <w:i/>
          <w:szCs w:val="23"/>
        </w:rPr>
        <w:t>othismos</w:t>
      </w:r>
      <w:r>
        <w:rPr>
          <w:szCs w:val="23"/>
        </w:rPr>
        <w:t xml:space="preserve"> is that</w:t>
      </w:r>
      <w:r w:rsidR="00465EDA">
        <w:rPr>
          <w:szCs w:val="23"/>
        </w:rPr>
        <w:t>, as mentioned previously</w:t>
      </w:r>
      <w:r w:rsidR="00150A65">
        <w:rPr>
          <w:szCs w:val="23"/>
        </w:rPr>
        <w:t>,</w:t>
      </w:r>
      <w:r>
        <w:rPr>
          <w:szCs w:val="23"/>
        </w:rPr>
        <w:t xml:space="preserve"> </w:t>
      </w:r>
      <w:r w:rsidR="008C17E3">
        <w:rPr>
          <w:szCs w:val="23"/>
        </w:rPr>
        <w:t xml:space="preserve">several texts make mention to the soldiers involved engaging </w:t>
      </w:r>
      <w:r w:rsidR="008C17E3">
        <w:rPr>
          <w:szCs w:val="23"/>
        </w:rPr>
        <w:lastRenderedPageBreak/>
        <w:t xml:space="preserve">in combat at </w:t>
      </w:r>
      <w:r w:rsidR="002E3C9C">
        <w:rPr>
          <w:szCs w:val="23"/>
        </w:rPr>
        <w:t xml:space="preserve">specifically </w:t>
      </w:r>
      <w:r w:rsidR="00397ADA">
        <w:rPr>
          <w:szCs w:val="23"/>
        </w:rPr>
        <w:t>spear range</w:t>
      </w:r>
      <w:r w:rsidR="008C17E3">
        <w:rPr>
          <w:szCs w:val="23"/>
        </w:rPr>
        <w:t>.</w:t>
      </w:r>
      <w:r w:rsidR="00C4077C">
        <w:rPr>
          <w:szCs w:val="23"/>
        </w:rPr>
        <w:t xml:space="preserve"> </w:t>
      </w:r>
      <w:r w:rsidR="002E3C9C">
        <w:rPr>
          <w:szCs w:val="23"/>
        </w:rPr>
        <w:t>Matthew does not directly address</w:t>
      </w:r>
      <w:r w:rsidR="00BC73D6">
        <w:rPr>
          <w:szCs w:val="23"/>
        </w:rPr>
        <w:t xml:space="preserve"> this issue: that if the authors specify </w:t>
      </w:r>
      <w:r w:rsidR="00AA54D4">
        <w:rPr>
          <w:szCs w:val="23"/>
        </w:rPr>
        <w:t xml:space="preserve">being at the </w:t>
      </w:r>
      <w:r w:rsidR="00CB7F1D">
        <w:rPr>
          <w:szCs w:val="23"/>
        </w:rPr>
        <w:t>two</w:t>
      </w:r>
      <w:r w:rsidR="00435924">
        <w:rPr>
          <w:szCs w:val="23"/>
        </w:rPr>
        <w:t>-</w:t>
      </w:r>
      <w:r w:rsidR="00CB7F1D">
        <w:rPr>
          <w:szCs w:val="23"/>
        </w:rPr>
        <w:t>metre</w:t>
      </w:r>
      <w:r w:rsidR="00AA54D4">
        <w:rPr>
          <w:szCs w:val="23"/>
        </w:rPr>
        <w:t xml:space="preserve"> distance which spears </w:t>
      </w:r>
      <w:r w:rsidR="007A2A9F">
        <w:rPr>
          <w:szCs w:val="23"/>
        </w:rPr>
        <w:t xml:space="preserve">create, </w:t>
      </w:r>
      <w:r w:rsidR="009C1C4D">
        <w:rPr>
          <w:szCs w:val="23"/>
        </w:rPr>
        <w:t>then it implies</w:t>
      </w:r>
      <w:r w:rsidR="00697A87">
        <w:rPr>
          <w:szCs w:val="23"/>
        </w:rPr>
        <w:t xml:space="preserve"> that most combat was not at this distance. In </w:t>
      </w:r>
      <w:r w:rsidR="00435924">
        <w:rPr>
          <w:szCs w:val="23"/>
        </w:rPr>
        <w:t>t</w:t>
      </w:r>
      <w:r w:rsidR="009B4CBC">
        <w:rPr>
          <w:szCs w:val="23"/>
        </w:rPr>
        <w:t xml:space="preserve">he </w:t>
      </w:r>
      <w:r w:rsidR="009B4CBC">
        <w:rPr>
          <w:i/>
          <w:szCs w:val="23"/>
        </w:rPr>
        <w:t>Hellenika</w:t>
      </w:r>
      <w:r w:rsidR="00697A87">
        <w:rPr>
          <w:szCs w:val="23"/>
        </w:rPr>
        <w:t>, Xenophon states that ‘o</w:t>
      </w:r>
      <w:r w:rsidR="00697A87" w:rsidRPr="00697A87">
        <w:rPr>
          <w:szCs w:val="23"/>
        </w:rPr>
        <w:t>nly a few of the enemy waited till his men came within spear-thrust'</w:t>
      </w:r>
      <w:r w:rsidR="00697A87">
        <w:rPr>
          <w:szCs w:val="23"/>
        </w:rPr>
        <w:t xml:space="preserve"> – yet earlier the </w:t>
      </w:r>
      <w:r w:rsidR="000837AB">
        <w:rPr>
          <w:szCs w:val="23"/>
        </w:rPr>
        <w:t>text</w:t>
      </w:r>
      <w:r w:rsidR="00697A87">
        <w:rPr>
          <w:szCs w:val="23"/>
        </w:rPr>
        <w:t xml:space="preserve"> is clear in his descriptions of ‘close assault’.</w:t>
      </w:r>
      <w:r w:rsidR="00697A87">
        <w:rPr>
          <w:rStyle w:val="FootnoteReference"/>
          <w:szCs w:val="23"/>
        </w:rPr>
        <w:footnoteReference w:id="28"/>
      </w:r>
      <w:r w:rsidR="00D40581">
        <w:rPr>
          <w:szCs w:val="23"/>
        </w:rPr>
        <w:t xml:space="preserve"> In this vein, </w:t>
      </w:r>
      <w:r w:rsidR="00D4219E">
        <w:rPr>
          <w:szCs w:val="23"/>
        </w:rPr>
        <w:t>Thucydides spends several lines detailing, as Hornblower observes, an explanation for the standard</w:t>
      </w:r>
      <w:r w:rsidR="008457D5">
        <w:rPr>
          <w:szCs w:val="23"/>
        </w:rPr>
        <w:t xml:space="preserve"> </w:t>
      </w:r>
      <w:r w:rsidR="00F56133">
        <w:rPr>
          <w:szCs w:val="23"/>
        </w:rPr>
        <w:t>engagement procedure for hoplite armies</w:t>
      </w:r>
      <w:r w:rsidR="002D5FBD">
        <w:rPr>
          <w:szCs w:val="23"/>
        </w:rPr>
        <w:t xml:space="preserve">. </w:t>
      </w:r>
      <w:r w:rsidR="00972A50">
        <w:rPr>
          <w:szCs w:val="23"/>
        </w:rPr>
        <w:t>The fact that ‘all armies…are liable to push their right wing…every soldier individually fears for his exposed side’</w:t>
      </w:r>
      <w:r w:rsidR="00972A50">
        <w:rPr>
          <w:rStyle w:val="FootnoteReference"/>
          <w:szCs w:val="23"/>
        </w:rPr>
        <w:footnoteReference w:id="29"/>
      </w:r>
      <w:r w:rsidR="00A23647">
        <w:rPr>
          <w:szCs w:val="23"/>
        </w:rPr>
        <w:t xml:space="preserve"> is presented as normal</w:t>
      </w:r>
      <w:r w:rsidR="00014265">
        <w:rPr>
          <w:szCs w:val="23"/>
        </w:rPr>
        <w:t>, allows us to understand that these formations would engage in a formation so tight that each man was protected by his neighbour completely.</w:t>
      </w:r>
      <w:r w:rsidR="00B72796">
        <w:rPr>
          <w:szCs w:val="23"/>
        </w:rPr>
        <w:t xml:space="preserve"> </w:t>
      </w:r>
      <w:r w:rsidR="001E01DF">
        <w:rPr>
          <w:szCs w:val="23"/>
        </w:rPr>
        <w:t xml:space="preserve">The </w:t>
      </w:r>
      <w:r w:rsidR="003A6247">
        <w:rPr>
          <w:szCs w:val="23"/>
        </w:rPr>
        <w:t>point of interest</w:t>
      </w:r>
      <w:r w:rsidR="001E01DF">
        <w:rPr>
          <w:szCs w:val="23"/>
        </w:rPr>
        <w:t xml:space="preserve"> </w:t>
      </w:r>
      <w:r w:rsidR="003A6247">
        <w:rPr>
          <w:szCs w:val="23"/>
        </w:rPr>
        <w:t xml:space="preserve">Hornblower makes plain is that </w:t>
      </w:r>
      <w:r w:rsidR="00323515">
        <w:rPr>
          <w:szCs w:val="23"/>
        </w:rPr>
        <w:t>Thucydides wants the reader to know that this is the normal method for warfare of the time</w:t>
      </w:r>
      <w:r w:rsidR="00F417F7">
        <w:rPr>
          <w:szCs w:val="23"/>
        </w:rPr>
        <w:t xml:space="preserve">, and </w:t>
      </w:r>
      <w:r w:rsidR="002B5C79">
        <w:rPr>
          <w:szCs w:val="23"/>
        </w:rPr>
        <w:t xml:space="preserve">that </w:t>
      </w:r>
      <w:r w:rsidR="005D54B9">
        <w:rPr>
          <w:szCs w:val="23"/>
        </w:rPr>
        <w:t>anything else is atypical.</w:t>
      </w:r>
      <w:r w:rsidR="00D8007C">
        <w:rPr>
          <w:rStyle w:val="FootnoteReference"/>
          <w:szCs w:val="23"/>
        </w:rPr>
        <w:footnoteReference w:id="30"/>
      </w:r>
      <w:r w:rsidR="00AD2F73">
        <w:rPr>
          <w:szCs w:val="23"/>
        </w:rPr>
        <w:t xml:space="preserve"> If the two armies are that close, then use of a spear won’t be possible: the </w:t>
      </w:r>
      <w:r w:rsidR="00AD2F73" w:rsidRPr="003E2C5C">
        <w:rPr>
          <w:i/>
          <w:szCs w:val="23"/>
        </w:rPr>
        <w:t>othismos</w:t>
      </w:r>
      <w:r w:rsidR="00AD2F73">
        <w:rPr>
          <w:szCs w:val="23"/>
        </w:rPr>
        <w:t xml:space="preserve"> is the most logical way for formations in this manner to engage in combat</w:t>
      </w:r>
      <w:r w:rsidR="00EA3F06">
        <w:rPr>
          <w:szCs w:val="23"/>
        </w:rPr>
        <w:t>.</w:t>
      </w:r>
    </w:p>
    <w:p w14:paraId="5A93E3C4" w14:textId="7695C8B1" w:rsidR="00864DE9" w:rsidRDefault="00864DE9" w:rsidP="0032631B">
      <w:pPr>
        <w:autoSpaceDE w:val="0"/>
        <w:autoSpaceDN w:val="0"/>
        <w:adjustRightInd w:val="0"/>
        <w:spacing w:line="360" w:lineRule="auto"/>
        <w:ind w:right="-46"/>
        <w:contextualSpacing/>
        <w:jc w:val="left"/>
        <w:rPr>
          <w:szCs w:val="23"/>
        </w:rPr>
      </w:pPr>
    </w:p>
    <w:p w14:paraId="6B411D1E" w14:textId="187239E0" w:rsidR="00864DE9" w:rsidRDefault="00CD0044" w:rsidP="0032631B">
      <w:pPr>
        <w:autoSpaceDE w:val="0"/>
        <w:autoSpaceDN w:val="0"/>
        <w:adjustRightInd w:val="0"/>
        <w:spacing w:line="360" w:lineRule="auto"/>
        <w:ind w:right="-46"/>
        <w:contextualSpacing/>
        <w:jc w:val="left"/>
        <w:rPr>
          <w:szCs w:val="23"/>
        </w:rPr>
      </w:pPr>
      <w:r>
        <w:rPr>
          <w:szCs w:val="23"/>
        </w:rPr>
        <w:t xml:space="preserve">The </w:t>
      </w:r>
      <w:r>
        <w:rPr>
          <w:i/>
          <w:szCs w:val="23"/>
        </w:rPr>
        <w:t>othismos</w:t>
      </w:r>
      <w:r>
        <w:rPr>
          <w:szCs w:val="23"/>
        </w:rPr>
        <w:t xml:space="preserve"> debate</w:t>
      </w:r>
      <w:r w:rsidR="00E077AE">
        <w:rPr>
          <w:szCs w:val="23"/>
        </w:rPr>
        <w:t xml:space="preserve"> is one which has been a fixture of the study of Greek warfare for over a century now.</w:t>
      </w:r>
      <w:r w:rsidR="00B45C1D">
        <w:rPr>
          <w:szCs w:val="23"/>
        </w:rPr>
        <w:t xml:space="preserve"> </w:t>
      </w:r>
      <w:r w:rsidR="00A97C8E">
        <w:rPr>
          <w:szCs w:val="23"/>
        </w:rPr>
        <w:t>Christopher Matthew’s article is one of the more recent trend towards a nuanced appreciation of the debat</w:t>
      </w:r>
      <w:r w:rsidR="00392E23">
        <w:rPr>
          <w:szCs w:val="23"/>
        </w:rPr>
        <w:t xml:space="preserve">e; </w:t>
      </w:r>
      <w:r w:rsidR="00433EC9">
        <w:rPr>
          <w:szCs w:val="23"/>
        </w:rPr>
        <w:t xml:space="preserve">that neither the literal nor figurative </w:t>
      </w:r>
      <w:r w:rsidR="00877D1B">
        <w:rPr>
          <w:szCs w:val="23"/>
        </w:rPr>
        <w:t xml:space="preserve">interpretations of the Greek wording is ever entirely correct, or entirely appropriate. </w:t>
      </w:r>
      <w:r w:rsidR="00E46FFF">
        <w:rPr>
          <w:szCs w:val="23"/>
        </w:rPr>
        <w:t xml:space="preserve">And whilst this </w:t>
      </w:r>
      <w:r w:rsidR="002E190F">
        <w:rPr>
          <w:szCs w:val="23"/>
        </w:rPr>
        <w:t xml:space="preserve">approach to such a complex historiographical problem may have some validity, it fails to fully analyse every example to which the </w:t>
      </w:r>
      <w:r w:rsidR="002E190F">
        <w:rPr>
          <w:i/>
          <w:szCs w:val="23"/>
        </w:rPr>
        <w:t>othismos</w:t>
      </w:r>
      <w:r w:rsidR="002E190F">
        <w:rPr>
          <w:szCs w:val="23"/>
        </w:rPr>
        <w:t xml:space="preserve"> applies</w:t>
      </w:r>
      <w:r w:rsidR="002262CD">
        <w:rPr>
          <w:szCs w:val="23"/>
        </w:rPr>
        <w:t xml:space="preserve"> – and certainly fails to examine the literary sources </w:t>
      </w:r>
      <w:r w:rsidR="00D84689">
        <w:rPr>
          <w:szCs w:val="23"/>
        </w:rPr>
        <w:t>with</w:t>
      </w:r>
      <w:r w:rsidR="00E72C2E">
        <w:rPr>
          <w:szCs w:val="23"/>
        </w:rPr>
        <w:t xml:space="preserve"> enough scope. </w:t>
      </w:r>
      <w:r w:rsidR="009F560E">
        <w:rPr>
          <w:szCs w:val="23"/>
        </w:rPr>
        <w:t xml:space="preserve">For this reason, </w:t>
      </w:r>
      <w:r w:rsidR="00C5089F">
        <w:rPr>
          <w:szCs w:val="23"/>
        </w:rPr>
        <w:t>“</w:t>
      </w:r>
      <w:r w:rsidR="00C5089F" w:rsidRPr="00C5089F">
        <w:rPr>
          <w:szCs w:val="23"/>
        </w:rPr>
        <w:t>When Push Comes to Shove: What Was The ‘Othismos’ Of Hoplite Combat?</w:t>
      </w:r>
      <w:r w:rsidR="00C5089F">
        <w:rPr>
          <w:szCs w:val="23"/>
        </w:rPr>
        <w:t xml:space="preserve">” brings </w:t>
      </w:r>
      <w:r w:rsidR="00AD07B8">
        <w:rPr>
          <w:szCs w:val="23"/>
        </w:rPr>
        <w:t xml:space="preserve">some new evidence in the way of reconstruction, it does not fully appreciate the breadth of variety of writing, and interpretation, within this scholarly </w:t>
      </w:r>
      <w:r w:rsidR="009051EA">
        <w:rPr>
          <w:szCs w:val="23"/>
        </w:rPr>
        <w:t>debate.</w:t>
      </w:r>
    </w:p>
    <w:p w14:paraId="71231665" w14:textId="6A1F2097" w:rsidR="0057533A" w:rsidRDefault="0057533A" w:rsidP="0032631B">
      <w:pPr>
        <w:autoSpaceDE w:val="0"/>
        <w:autoSpaceDN w:val="0"/>
        <w:adjustRightInd w:val="0"/>
        <w:spacing w:line="360" w:lineRule="auto"/>
        <w:ind w:right="-46"/>
        <w:contextualSpacing/>
        <w:jc w:val="left"/>
        <w:rPr>
          <w:szCs w:val="23"/>
        </w:rPr>
      </w:pPr>
    </w:p>
    <w:p w14:paraId="47324375" w14:textId="6E52A9FB" w:rsidR="0057533A" w:rsidRDefault="0057533A" w:rsidP="0032631B">
      <w:pPr>
        <w:autoSpaceDE w:val="0"/>
        <w:autoSpaceDN w:val="0"/>
        <w:adjustRightInd w:val="0"/>
        <w:spacing w:line="360" w:lineRule="auto"/>
        <w:ind w:right="-46"/>
        <w:contextualSpacing/>
        <w:jc w:val="left"/>
        <w:rPr>
          <w:szCs w:val="23"/>
        </w:rPr>
      </w:pPr>
    </w:p>
    <w:p w14:paraId="744FF126" w14:textId="39E33F75" w:rsidR="0057533A" w:rsidRDefault="0057533A" w:rsidP="0032631B">
      <w:pPr>
        <w:autoSpaceDE w:val="0"/>
        <w:autoSpaceDN w:val="0"/>
        <w:adjustRightInd w:val="0"/>
        <w:spacing w:line="360" w:lineRule="auto"/>
        <w:ind w:right="-46"/>
        <w:contextualSpacing/>
        <w:jc w:val="left"/>
        <w:rPr>
          <w:szCs w:val="23"/>
        </w:rPr>
      </w:pPr>
    </w:p>
    <w:p w14:paraId="5E0640B2" w14:textId="30ECDAA9" w:rsidR="0057533A" w:rsidRDefault="0057533A" w:rsidP="0032631B">
      <w:pPr>
        <w:autoSpaceDE w:val="0"/>
        <w:autoSpaceDN w:val="0"/>
        <w:adjustRightInd w:val="0"/>
        <w:spacing w:line="360" w:lineRule="auto"/>
        <w:ind w:right="-46"/>
        <w:contextualSpacing/>
        <w:jc w:val="left"/>
        <w:rPr>
          <w:szCs w:val="23"/>
        </w:rPr>
      </w:pPr>
    </w:p>
    <w:p w14:paraId="15889F84" w14:textId="77777777" w:rsidR="0073452C" w:rsidRDefault="0073452C" w:rsidP="0073452C">
      <w:pPr>
        <w:autoSpaceDE w:val="0"/>
        <w:autoSpaceDN w:val="0"/>
        <w:adjustRightInd w:val="0"/>
        <w:spacing w:line="360" w:lineRule="auto"/>
        <w:ind w:right="-46"/>
        <w:contextualSpacing/>
        <w:jc w:val="left"/>
        <w:rPr>
          <w:sz w:val="28"/>
          <w:szCs w:val="23"/>
        </w:rPr>
      </w:pPr>
      <w:bookmarkStart w:id="0" w:name="_GoBack"/>
      <w:bookmarkEnd w:id="0"/>
      <w:r>
        <w:rPr>
          <w:sz w:val="28"/>
          <w:szCs w:val="23"/>
        </w:rPr>
        <w:lastRenderedPageBreak/>
        <w:t>Bibliography</w:t>
      </w:r>
    </w:p>
    <w:p w14:paraId="355C44D6" w14:textId="77777777" w:rsidR="0073452C" w:rsidRDefault="0073452C" w:rsidP="0073452C">
      <w:pPr>
        <w:autoSpaceDE w:val="0"/>
        <w:autoSpaceDN w:val="0"/>
        <w:adjustRightInd w:val="0"/>
        <w:spacing w:line="360" w:lineRule="auto"/>
        <w:ind w:right="-46"/>
        <w:contextualSpacing/>
        <w:jc w:val="left"/>
        <w:rPr>
          <w:b/>
          <w:szCs w:val="23"/>
        </w:rPr>
      </w:pPr>
      <w:r>
        <w:rPr>
          <w:b/>
          <w:szCs w:val="23"/>
        </w:rPr>
        <w:t>Ancient Sources</w:t>
      </w:r>
    </w:p>
    <w:p w14:paraId="10F2A4BF" w14:textId="6BA55EEB" w:rsidR="00FB3C2D" w:rsidRPr="00FB3C2D" w:rsidRDefault="00FB3C2D" w:rsidP="0073452C">
      <w:pPr>
        <w:autoSpaceDE w:val="0"/>
        <w:autoSpaceDN w:val="0"/>
        <w:adjustRightInd w:val="0"/>
        <w:spacing w:line="360" w:lineRule="auto"/>
        <w:ind w:right="-46"/>
        <w:contextualSpacing/>
        <w:jc w:val="left"/>
        <w:rPr>
          <w:szCs w:val="23"/>
        </w:rPr>
      </w:pPr>
      <w:r w:rsidRPr="001B4D9B">
        <w:rPr>
          <w:szCs w:val="23"/>
        </w:rPr>
        <w:t>Herodotus</w:t>
      </w:r>
      <w:r>
        <w:rPr>
          <w:szCs w:val="23"/>
        </w:rPr>
        <w:t>,</w:t>
      </w:r>
      <w:r w:rsidRPr="001B4D9B">
        <w:rPr>
          <w:szCs w:val="23"/>
        </w:rPr>
        <w:t xml:space="preserve"> </w:t>
      </w:r>
      <w:r w:rsidRPr="005117E9">
        <w:rPr>
          <w:i/>
          <w:szCs w:val="23"/>
        </w:rPr>
        <w:t>The</w:t>
      </w:r>
      <w:r w:rsidRPr="001B4D9B">
        <w:rPr>
          <w:szCs w:val="23"/>
        </w:rPr>
        <w:t xml:space="preserve"> </w:t>
      </w:r>
      <w:r w:rsidRPr="005117E9">
        <w:rPr>
          <w:i/>
          <w:szCs w:val="23"/>
        </w:rPr>
        <w:t>Histories</w:t>
      </w:r>
      <w:r w:rsidRPr="001B4D9B">
        <w:rPr>
          <w:szCs w:val="23"/>
        </w:rPr>
        <w:t>, A</w:t>
      </w:r>
      <w:r>
        <w:rPr>
          <w:szCs w:val="23"/>
        </w:rPr>
        <w:t xml:space="preserve">. </w:t>
      </w:r>
      <w:r w:rsidRPr="001B4D9B">
        <w:rPr>
          <w:szCs w:val="23"/>
        </w:rPr>
        <w:t>L.</w:t>
      </w:r>
      <w:r>
        <w:rPr>
          <w:szCs w:val="23"/>
        </w:rPr>
        <w:t xml:space="preserve"> </w:t>
      </w:r>
      <w:r w:rsidRPr="001B4D9B">
        <w:rPr>
          <w:szCs w:val="23"/>
        </w:rPr>
        <w:t>Purvis</w:t>
      </w:r>
      <w:r>
        <w:rPr>
          <w:szCs w:val="23"/>
        </w:rPr>
        <w:t xml:space="preserve"> (trans.) 2009</w:t>
      </w:r>
      <w:r w:rsidRPr="001B4D9B">
        <w:rPr>
          <w:szCs w:val="23"/>
        </w:rPr>
        <w:t>. New York: Anchor Books</w:t>
      </w:r>
      <w:r>
        <w:rPr>
          <w:szCs w:val="23"/>
        </w:rPr>
        <w:t>.</w:t>
      </w:r>
    </w:p>
    <w:p w14:paraId="2FC99894" w14:textId="0B3F69DC" w:rsidR="0073452C" w:rsidRPr="00852BF5" w:rsidRDefault="0073452C" w:rsidP="0073452C">
      <w:pPr>
        <w:autoSpaceDE w:val="0"/>
        <w:autoSpaceDN w:val="0"/>
        <w:adjustRightInd w:val="0"/>
        <w:spacing w:line="360" w:lineRule="auto"/>
        <w:ind w:right="-46"/>
        <w:contextualSpacing/>
        <w:jc w:val="left"/>
        <w:rPr>
          <w:szCs w:val="23"/>
        </w:rPr>
      </w:pPr>
      <w:r w:rsidRPr="00852BF5">
        <w:rPr>
          <w:color w:val="000000"/>
        </w:rPr>
        <w:t>Homer</w:t>
      </w:r>
      <w:r w:rsidR="00625DA4">
        <w:rPr>
          <w:color w:val="000000"/>
        </w:rPr>
        <w:t>,</w:t>
      </w:r>
      <w:r w:rsidRPr="00852BF5">
        <w:rPr>
          <w:color w:val="000000"/>
        </w:rPr>
        <w:t xml:space="preserve"> </w:t>
      </w:r>
      <w:r w:rsidRPr="00625DA4">
        <w:rPr>
          <w:i/>
          <w:color w:val="000000"/>
        </w:rPr>
        <w:t>The Odyssey</w:t>
      </w:r>
      <w:r w:rsidR="00625DA4">
        <w:rPr>
          <w:color w:val="000000"/>
        </w:rPr>
        <w:t>,</w:t>
      </w:r>
      <w:r w:rsidRPr="00852BF5">
        <w:rPr>
          <w:color w:val="000000"/>
        </w:rPr>
        <w:t xml:space="preserve"> </w:t>
      </w:r>
      <w:r w:rsidR="00625DA4">
        <w:rPr>
          <w:color w:val="000000"/>
        </w:rPr>
        <w:t xml:space="preserve">S. </w:t>
      </w:r>
      <w:r w:rsidRPr="00852BF5">
        <w:rPr>
          <w:color w:val="000000"/>
        </w:rPr>
        <w:t>Butler</w:t>
      </w:r>
      <w:r w:rsidR="00625DA4">
        <w:rPr>
          <w:color w:val="000000"/>
        </w:rPr>
        <w:t xml:space="preserve"> (trans.)</w:t>
      </w:r>
      <w:r w:rsidRPr="00852BF5">
        <w:rPr>
          <w:color w:val="000000"/>
        </w:rPr>
        <w:t>. T</w:t>
      </w:r>
      <w:r w:rsidR="001446C6">
        <w:rPr>
          <w:color w:val="000000"/>
        </w:rPr>
        <w:t>.</w:t>
      </w:r>
      <w:r w:rsidRPr="00852BF5">
        <w:rPr>
          <w:color w:val="000000"/>
        </w:rPr>
        <w:t xml:space="preserve"> Power and G</w:t>
      </w:r>
      <w:r w:rsidR="001446C6">
        <w:rPr>
          <w:color w:val="000000"/>
        </w:rPr>
        <w:t>.</w:t>
      </w:r>
      <w:r w:rsidRPr="00852BF5">
        <w:rPr>
          <w:color w:val="000000"/>
        </w:rPr>
        <w:t xml:space="preserve"> Nagy</w:t>
      </w:r>
      <w:r w:rsidR="001446C6">
        <w:rPr>
          <w:color w:val="000000"/>
        </w:rPr>
        <w:t xml:space="preserve"> (eds.)</w:t>
      </w:r>
      <w:r w:rsidRPr="00852BF5">
        <w:rPr>
          <w:color w:val="000000"/>
        </w:rPr>
        <w:t xml:space="preserve">. </w:t>
      </w:r>
      <w:r w:rsidR="001446C6">
        <w:rPr>
          <w:color w:val="000000"/>
        </w:rPr>
        <w:t xml:space="preserve">1900. London: </w:t>
      </w:r>
      <w:r w:rsidRPr="00852BF5">
        <w:rPr>
          <w:color w:val="000000"/>
        </w:rPr>
        <w:t>A. C. Fifield</w:t>
      </w:r>
      <w:r w:rsidR="001446C6">
        <w:rPr>
          <w:color w:val="000000"/>
        </w:rPr>
        <w:t>.</w:t>
      </w:r>
    </w:p>
    <w:p w14:paraId="7C048F73" w14:textId="21279C28" w:rsidR="00FB3C2D" w:rsidRPr="00FB3C2D" w:rsidRDefault="00FB3C2D" w:rsidP="001B4D9B">
      <w:pPr>
        <w:autoSpaceDE w:val="0"/>
        <w:autoSpaceDN w:val="0"/>
        <w:adjustRightInd w:val="0"/>
        <w:spacing w:line="360" w:lineRule="auto"/>
        <w:ind w:right="-46"/>
        <w:contextualSpacing/>
        <w:jc w:val="left"/>
        <w:rPr>
          <w:color w:val="000000"/>
        </w:rPr>
      </w:pPr>
      <w:r w:rsidRPr="007E51BB">
        <w:rPr>
          <w:color w:val="000000"/>
        </w:rPr>
        <w:t>Pausanias</w:t>
      </w:r>
      <w:r w:rsidR="001446C6">
        <w:rPr>
          <w:color w:val="000000"/>
        </w:rPr>
        <w:t>,</w:t>
      </w:r>
      <w:r w:rsidRPr="007E51BB">
        <w:rPr>
          <w:color w:val="000000"/>
        </w:rPr>
        <w:t xml:space="preserve"> </w:t>
      </w:r>
      <w:r w:rsidRPr="001446C6">
        <w:rPr>
          <w:i/>
          <w:color w:val="000000"/>
        </w:rPr>
        <w:t>Description of Greece</w:t>
      </w:r>
      <w:r w:rsidR="001446C6">
        <w:rPr>
          <w:i/>
          <w:color w:val="000000"/>
        </w:rPr>
        <w:t>,</w:t>
      </w:r>
      <w:r w:rsidRPr="007E51BB">
        <w:rPr>
          <w:color w:val="000000"/>
        </w:rPr>
        <w:t xml:space="preserve"> W.H.S. Jones and H.A. Ormerod</w:t>
      </w:r>
      <w:r w:rsidR="001446C6">
        <w:rPr>
          <w:color w:val="000000"/>
        </w:rPr>
        <w:t xml:space="preserve"> (trans.)</w:t>
      </w:r>
      <w:r w:rsidRPr="007E51BB">
        <w:rPr>
          <w:color w:val="000000"/>
        </w:rPr>
        <w:t xml:space="preserve">. </w:t>
      </w:r>
      <w:r w:rsidR="001446C6">
        <w:rPr>
          <w:color w:val="000000"/>
        </w:rPr>
        <w:t xml:space="preserve">1918. </w:t>
      </w:r>
      <w:r w:rsidRPr="007E51BB">
        <w:rPr>
          <w:color w:val="000000"/>
        </w:rPr>
        <w:t>Cambridge, MA</w:t>
      </w:r>
      <w:r w:rsidR="001446C6">
        <w:rPr>
          <w:color w:val="000000"/>
        </w:rPr>
        <w:t>:</w:t>
      </w:r>
      <w:r w:rsidRPr="007E51BB">
        <w:rPr>
          <w:color w:val="000000"/>
        </w:rPr>
        <w:t xml:space="preserve"> Harvard University Press</w:t>
      </w:r>
      <w:r w:rsidR="001446C6">
        <w:rPr>
          <w:color w:val="000000"/>
        </w:rPr>
        <w:t>.</w:t>
      </w:r>
    </w:p>
    <w:p w14:paraId="4ACBB3BB" w14:textId="564055B7" w:rsidR="008A75C9" w:rsidRPr="008A75C9" w:rsidRDefault="008A75C9" w:rsidP="001B4D9B">
      <w:pPr>
        <w:autoSpaceDE w:val="0"/>
        <w:autoSpaceDN w:val="0"/>
        <w:adjustRightInd w:val="0"/>
        <w:spacing w:line="360" w:lineRule="auto"/>
        <w:ind w:right="-46"/>
        <w:contextualSpacing/>
        <w:jc w:val="left"/>
        <w:rPr>
          <w:color w:val="000000"/>
        </w:rPr>
      </w:pPr>
      <w:r w:rsidRPr="003D5CAB">
        <w:rPr>
          <w:color w:val="000000"/>
        </w:rPr>
        <w:t>Plato</w:t>
      </w:r>
      <w:r w:rsidR="00070CE0">
        <w:rPr>
          <w:color w:val="000000"/>
        </w:rPr>
        <w:t xml:space="preserve">, </w:t>
      </w:r>
      <w:r w:rsidR="00070CE0">
        <w:rPr>
          <w:i/>
          <w:color w:val="000000"/>
        </w:rPr>
        <w:t>Laws</w:t>
      </w:r>
      <w:r w:rsidRPr="003D5CAB">
        <w:rPr>
          <w:color w:val="000000"/>
        </w:rPr>
        <w:t>, R.G. Bury</w:t>
      </w:r>
      <w:r w:rsidR="00070CE0">
        <w:rPr>
          <w:color w:val="000000"/>
        </w:rPr>
        <w:t xml:space="preserve"> (trans.)</w:t>
      </w:r>
      <w:r w:rsidRPr="003D5CAB">
        <w:rPr>
          <w:color w:val="000000"/>
        </w:rPr>
        <w:t xml:space="preserve">. </w:t>
      </w:r>
      <w:r w:rsidR="00070CE0">
        <w:rPr>
          <w:color w:val="000000"/>
        </w:rPr>
        <w:t xml:space="preserve">1968. </w:t>
      </w:r>
      <w:r w:rsidRPr="003D5CAB">
        <w:rPr>
          <w:color w:val="000000"/>
        </w:rPr>
        <w:t>London</w:t>
      </w:r>
      <w:r w:rsidR="00070CE0">
        <w:rPr>
          <w:color w:val="000000"/>
        </w:rPr>
        <w:t>:</w:t>
      </w:r>
      <w:r w:rsidRPr="003D5CAB">
        <w:rPr>
          <w:color w:val="000000"/>
        </w:rPr>
        <w:t xml:space="preserve"> William Heinemann Ltd. </w:t>
      </w:r>
    </w:p>
    <w:p w14:paraId="278EBA03" w14:textId="6008D7EB" w:rsidR="001B4D9B" w:rsidRDefault="001B4D9B" w:rsidP="001B4D9B">
      <w:pPr>
        <w:autoSpaceDE w:val="0"/>
        <w:autoSpaceDN w:val="0"/>
        <w:adjustRightInd w:val="0"/>
        <w:spacing w:line="360" w:lineRule="auto"/>
        <w:ind w:right="-46"/>
        <w:contextualSpacing/>
        <w:jc w:val="left"/>
        <w:rPr>
          <w:szCs w:val="23"/>
        </w:rPr>
      </w:pPr>
      <w:r w:rsidRPr="001B4D9B">
        <w:rPr>
          <w:szCs w:val="23"/>
        </w:rPr>
        <w:t xml:space="preserve">Thucydides, </w:t>
      </w:r>
      <w:r w:rsidR="005117E9">
        <w:rPr>
          <w:i/>
          <w:szCs w:val="23"/>
        </w:rPr>
        <w:t xml:space="preserve">History of the Peloponnesian </w:t>
      </w:r>
      <w:r w:rsidR="005117E9" w:rsidRPr="005117E9">
        <w:rPr>
          <w:i/>
          <w:szCs w:val="23"/>
        </w:rPr>
        <w:t>War</w:t>
      </w:r>
      <w:r w:rsidR="005117E9">
        <w:rPr>
          <w:szCs w:val="23"/>
        </w:rPr>
        <w:t xml:space="preserve">. R. </w:t>
      </w:r>
      <w:r w:rsidRPr="001B4D9B">
        <w:rPr>
          <w:szCs w:val="23"/>
        </w:rPr>
        <w:t>Crawley</w:t>
      </w:r>
      <w:r w:rsidR="005117E9">
        <w:rPr>
          <w:szCs w:val="23"/>
        </w:rPr>
        <w:t xml:space="preserve"> (trans.). 2008.</w:t>
      </w:r>
      <w:r>
        <w:rPr>
          <w:szCs w:val="23"/>
        </w:rPr>
        <w:t xml:space="preserve"> </w:t>
      </w:r>
      <w:r w:rsidRPr="001B4D9B">
        <w:rPr>
          <w:szCs w:val="23"/>
        </w:rPr>
        <w:t>New York: Free Press</w:t>
      </w:r>
      <w:r w:rsidR="005117E9">
        <w:rPr>
          <w:szCs w:val="23"/>
        </w:rPr>
        <w:t>.</w:t>
      </w:r>
    </w:p>
    <w:p w14:paraId="4E50469F" w14:textId="3B27E09E" w:rsidR="00240268" w:rsidRPr="00240268" w:rsidRDefault="00240268" w:rsidP="001B4D9B">
      <w:pPr>
        <w:autoSpaceDE w:val="0"/>
        <w:autoSpaceDN w:val="0"/>
        <w:adjustRightInd w:val="0"/>
        <w:spacing w:line="360" w:lineRule="auto"/>
        <w:ind w:right="-46"/>
        <w:contextualSpacing/>
        <w:jc w:val="left"/>
        <w:rPr>
          <w:color w:val="000000"/>
        </w:rPr>
      </w:pPr>
      <w:r w:rsidRPr="000665A8">
        <w:rPr>
          <w:color w:val="000000"/>
        </w:rPr>
        <w:t>Thucydides</w:t>
      </w:r>
      <w:r>
        <w:rPr>
          <w:color w:val="000000"/>
        </w:rPr>
        <w:t xml:space="preserve">, </w:t>
      </w:r>
      <w:r>
        <w:rPr>
          <w:i/>
          <w:szCs w:val="23"/>
        </w:rPr>
        <w:t xml:space="preserve">History of the Peloponnesian </w:t>
      </w:r>
      <w:r w:rsidRPr="005117E9">
        <w:rPr>
          <w:i/>
          <w:szCs w:val="23"/>
        </w:rPr>
        <w:t>War</w:t>
      </w:r>
      <w:r>
        <w:rPr>
          <w:i/>
          <w:szCs w:val="23"/>
        </w:rPr>
        <w:t>.</w:t>
      </w:r>
      <w:r w:rsidRPr="000665A8">
        <w:rPr>
          <w:color w:val="000000"/>
        </w:rPr>
        <w:t xml:space="preserve"> T</w:t>
      </w:r>
      <w:r>
        <w:rPr>
          <w:color w:val="000000"/>
        </w:rPr>
        <w:t>.</w:t>
      </w:r>
      <w:r w:rsidRPr="000665A8">
        <w:rPr>
          <w:color w:val="000000"/>
        </w:rPr>
        <w:t xml:space="preserve"> Hobbes</w:t>
      </w:r>
      <w:r>
        <w:rPr>
          <w:color w:val="000000"/>
        </w:rPr>
        <w:t xml:space="preserve"> (</w:t>
      </w:r>
      <w:r w:rsidRPr="000665A8">
        <w:rPr>
          <w:color w:val="000000"/>
        </w:rPr>
        <w:t>trans.</w:t>
      </w:r>
      <w:r>
        <w:rPr>
          <w:color w:val="000000"/>
        </w:rPr>
        <w:t>). 1843.</w:t>
      </w:r>
      <w:r w:rsidRPr="000665A8">
        <w:rPr>
          <w:color w:val="000000"/>
        </w:rPr>
        <w:t xml:space="preserve"> London</w:t>
      </w:r>
      <w:r>
        <w:rPr>
          <w:color w:val="000000"/>
        </w:rPr>
        <w:t>:</w:t>
      </w:r>
      <w:r w:rsidRPr="000665A8">
        <w:rPr>
          <w:color w:val="000000"/>
        </w:rPr>
        <w:t xml:space="preserve"> Bohn</w:t>
      </w:r>
      <w:r>
        <w:rPr>
          <w:color w:val="000000"/>
        </w:rPr>
        <w:t>.</w:t>
      </w:r>
    </w:p>
    <w:p w14:paraId="258617A2" w14:textId="74AE29E3" w:rsidR="00C1018A" w:rsidRPr="005207C8" w:rsidRDefault="00C1018A" w:rsidP="00C1018A">
      <w:pPr>
        <w:autoSpaceDE w:val="0"/>
        <w:autoSpaceDN w:val="0"/>
        <w:adjustRightInd w:val="0"/>
        <w:spacing w:line="360" w:lineRule="auto"/>
        <w:ind w:right="-46"/>
        <w:contextualSpacing/>
        <w:jc w:val="left"/>
        <w:rPr>
          <w:szCs w:val="24"/>
          <w:shd w:val="clear" w:color="auto" w:fill="FFFFFF"/>
        </w:rPr>
      </w:pPr>
      <w:r w:rsidRPr="005207C8">
        <w:rPr>
          <w:rStyle w:val="bibliographicauthorname"/>
          <w:szCs w:val="24"/>
          <w:shd w:val="clear" w:color="auto" w:fill="FFFFFF"/>
        </w:rPr>
        <w:t>Xenophon</w:t>
      </w:r>
      <w:r>
        <w:rPr>
          <w:szCs w:val="24"/>
          <w:shd w:val="clear" w:color="auto" w:fill="FFFFFF"/>
        </w:rPr>
        <w:t>,</w:t>
      </w:r>
      <w:r w:rsidRPr="005207C8">
        <w:rPr>
          <w:szCs w:val="24"/>
          <w:shd w:val="clear" w:color="auto" w:fill="FFFFFF"/>
        </w:rPr>
        <w:t> </w:t>
      </w:r>
      <w:r w:rsidRPr="005207C8">
        <w:rPr>
          <w:i/>
          <w:iCs/>
          <w:szCs w:val="24"/>
          <w:shd w:val="clear" w:color="auto" w:fill="FFFFFF"/>
        </w:rPr>
        <w:t xml:space="preserve">Hellenica, </w:t>
      </w:r>
      <w:r w:rsidRPr="005207C8">
        <w:rPr>
          <w:rStyle w:val="contributorname"/>
          <w:szCs w:val="24"/>
          <w:shd w:val="clear" w:color="auto" w:fill="FFFFFF"/>
        </w:rPr>
        <w:t>C</w:t>
      </w:r>
      <w:r>
        <w:rPr>
          <w:rStyle w:val="contributorname"/>
          <w:szCs w:val="24"/>
          <w:shd w:val="clear" w:color="auto" w:fill="FFFFFF"/>
        </w:rPr>
        <w:t>.</w:t>
      </w:r>
      <w:r w:rsidRPr="005207C8">
        <w:rPr>
          <w:rStyle w:val="contributorname"/>
          <w:szCs w:val="24"/>
          <w:shd w:val="clear" w:color="auto" w:fill="FFFFFF"/>
        </w:rPr>
        <w:t xml:space="preserve"> L. Brownson</w:t>
      </w:r>
      <w:r>
        <w:rPr>
          <w:rStyle w:val="contributorname"/>
          <w:szCs w:val="24"/>
          <w:shd w:val="clear" w:color="auto" w:fill="FFFFFF"/>
        </w:rPr>
        <w:t xml:space="preserve"> (trans.)</w:t>
      </w:r>
      <w:r w:rsidRPr="005207C8">
        <w:rPr>
          <w:rStyle w:val="translators"/>
          <w:szCs w:val="24"/>
          <w:shd w:val="clear" w:color="auto" w:fill="FFFFFF"/>
        </w:rPr>
        <w:t>. </w:t>
      </w:r>
      <w:r>
        <w:rPr>
          <w:szCs w:val="24"/>
          <w:shd w:val="clear" w:color="auto" w:fill="FFFFFF"/>
        </w:rPr>
        <w:t>1918</w:t>
      </w:r>
      <w:r w:rsidRPr="005207C8">
        <w:rPr>
          <w:szCs w:val="24"/>
          <w:shd w:val="clear" w:color="auto" w:fill="FFFFFF"/>
        </w:rPr>
        <w:t>. Cambridge, MA: Harvard University Press</w:t>
      </w:r>
      <w:r>
        <w:rPr>
          <w:szCs w:val="24"/>
          <w:shd w:val="clear" w:color="auto" w:fill="FFFFFF"/>
        </w:rPr>
        <w:t>.</w:t>
      </w:r>
    </w:p>
    <w:p w14:paraId="091C80CE" w14:textId="0E8EA501" w:rsidR="00C1018A" w:rsidRPr="00C1018A" w:rsidRDefault="00C1018A" w:rsidP="001B4D9B">
      <w:pPr>
        <w:autoSpaceDE w:val="0"/>
        <w:autoSpaceDN w:val="0"/>
        <w:adjustRightInd w:val="0"/>
        <w:spacing w:line="360" w:lineRule="auto"/>
        <w:ind w:right="-46"/>
        <w:contextualSpacing/>
        <w:jc w:val="left"/>
        <w:rPr>
          <w:color w:val="000000"/>
        </w:rPr>
      </w:pPr>
      <w:r w:rsidRPr="00B92EE4">
        <w:rPr>
          <w:color w:val="000000"/>
        </w:rPr>
        <w:t xml:space="preserve">Xenophon, </w:t>
      </w:r>
      <w:r w:rsidR="00501292" w:rsidRPr="00501292">
        <w:rPr>
          <w:i/>
          <w:color w:val="000000"/>
        </w:rPr>
        <w:t>Hellenica</w:t>
      </w:r>
      <w:r w:rsidR="00501292">
        <w:rPr>
          <w:color w:val="000000"/>
        </w:rPr>
        <w:t>,</w:t>
      </w:r>
      <w:r w:rsidR="00501292">
        <w:rPr>
          <w:i/>
          <w:color w:val="000000"/>
        </w:rPr>
        <w:t xml:space="preserve"> </w:t>
      </w:r>
      <w:r w:rsidRPr="00B92EE4">
        <w:rPr>
          <w:color w:val="000000"/>
        </w:rPr>
        <w:t>E. C. Marchant</w:t>
      </w:r>
      <w:r w:rsidR="00501292">
        <w:rPr>
          <w:color w:val="000000"/>
        </w:rPr>
        <w:t xml:space="preserve"> (trans.)</w:t>
      </w:r>
      <w:r w:rsidRPr="00B92EE4">
        <w:rPr>
          <w:color w:val="000000"/>
        </w:rPr>
        <w:t xml:space="preserve">. </w:t>
      </w:r>
      <w:r w:rsidR="00501292">
        <w:rPr>
          <w:color w:val="000000"/>
        </w:rPr>
        <w:t xml:space="preserve">1923. </w:t>
      </w:r>
      <w:r w:rsidR="00501292" w:rsidRPr="00B92EE4">
        <w:rPr>
          <w:color w:val="000000"/>
        </w:rPr>
        <w:t>Cambridge, MA</w:t>
      </w:r>
      <w:r w:rsidR="00501292">
        <w:rPr>
          <w:color w:val="000000"/>
        </w:rPr>
        <w:t xml:space="preserve">: </w:t>
      </w:r>
      <w:r w:rsidRPr="00B92EE4">
        <w:rPr>
          <w:color w:val="000000"/>
        </w:rPr>
        <w:t>Harvard University Press</w:t>
      </w:r>
      <w:r w:rsidR="00015001">
        <w:rPr>
          <w:color w:val="000000"/>
        </w:rPr>
        <w:t>.</w:t>
      </w:r>
    </w:p>
    <w:p w14:paraId="7A6143F0" w14:textId="1ED20D34" w:rsidR="00C1018A" w:rsidRPr="00B92EE4" w:rsidRDefault="00C1018A" w:rsidP="001B4D9B">
      <w:pPr>
        <w:autoSpaceDE w:val="0"/>
        <w:autoSpaceDN w:val="0"/>
        <w:adjustRightInd w:val="0"/>
        <w:spacing w:line="360" w:lineRule="auto"/>
        <w:ind w:right="-46"/>
        <w:contextualSpacing/>
        <w:jc w:val="left"/>
        <w:rPr>
          <w:szCs w:val="23"/>
        </w:rPr>
      </w:pPr>
      <w:r w:rsidRPr="001B4D9B">
        <w:rPr>
          <w:szCs w:val="23"/>
        </w:rPr>
        <w:t>Xenophon</w:t>
      </w:r>
      <w:r>
        <w:rPr>
          <w:szCs w:val="23"/>
        </w:rPr>
        <w:t>,</w:t>
      </w:r>
      <w:r w:rsidRPr="001B4D9B">
        <w:rPr>
          <w:szCs w:val="23"/>
        </w:rPr>
        <w:t xml:space="preserve"> </w:t>
      </w:r>
      <w:r w:rsidRPr="00FE3576">
        <w:rPr>
          <w:i/>
          <w:szCs w:val="23"/>
        </w:rPr>
        <w:t>Hellenika</w:t>
      </w:r>
      <w:r w:rsidRPr="001B4D9B">
        <w:rPr>
          <w:szCs w:val="23"/>
        </w:rPr>
        <w:t xml:space="preserve">, </w:t>
      </w:r>
      <w:r>
        <w:rPr>
          <w:szCs w:val="23"/>
        </w:rPr>
        <w:t xml:space="preserve">J. </w:t>
      </w:r>
      <w:r w:rsidRPr="001B4D9B">
        <w:rPr>
          <w:szCs w:val="23"/>
        </w:rPr>
        <w:t>Marincole</w:t>
      </w:r>
      <w:r>
        <w:rPr>
          <w:szCs w:val="23"/>
        </w:rPr>
        <w:t xml:space="preserve"> (trans.).</w:t>
      </w:r>
      <w:r w:rsidRPr="001B4D9B">
        <w:rPr>
          <w:szCs w:val="23"/>
        </w:rPr>
        <w:t xml:space="preserve"> </w:t>
      </w:r>
      <w:r>
        <w:rPr>
          <w:szCs w:val="23"/>
        </w:rPr>
        <w:t>2009</w:t>
      </w:r>
      <w:r w:rsidRPr="001B4D9B">
        <w:rPr>
          <w:szCs w:val="23"/>
        </w:rPr>
        <w:t>. New York: Pantheon Books</w:t>
      </w:r>
      <w:r>
        <w:rPr>
          <w:szCs w:val="23"/>
        </w:rPr>
        <w:t>.</w:t>
      </w:r>
    </w:p>
    <w:p w14:paraId="16DB5742" w14:textId="77777777" w:rsidR="0073452C" w:rsidRPr="0057533A" w:rsidRDefault="0073452C" w:rsidP="0073452C">
      <w:pPr>
        <w:autoSpaceDE w:val="0"/>
        <w:autoSpaceDN w:val="0"/>
        <w:adjustRightInd w:val="0"/>
        <w:spacing w:line="360" w:lineRule="auto"/>
        <w:ind w:right="-46"/>
        <w:contextualSpacing/>
        <w:jc w:val="left"/>
        <w:rPr>
          <w:b/>
          <w:szCs w:val="23"/>
        </w:rPr>
      </w:pPr>
      <w:r>
        <w:rPr>
          <w:b/>
          <w:szCs w:val="23"/>
        </w:rPr>
        <w:t>Modern Scholarship</w:t>
      </w:r>
    </w:p>
    <w:p w14:paraId="2D64589F" w14:textId="3D730E68" w:rsidR="00EC532E" w:rsidRPr="009F3A2E" w:rsidRDefault="009F3A2E" w:rsidP="00EC532E">
      <w:pPr>
        <w:autoSpaceDE w:val="0"/>
        <w:autoSpaceDN w:val="0"/>
        <w:adjustRightInd w:val="0"/>
        <w:spacing w:line="360" w:lineRule="auto"/>
        <w:ind w:right="-46"/>
        <w:contextualSpacing/>
        <w:jc w:val="left"/>
        <w:rPr>
          <w:szCs w:val="23"/>
        </w:rPr>
      </w:pPr>
      <w:r>
        <w:rPr>
          <w:szCs w:val="23"/>
        </w:rPr>
        <w:t>Curtis, J.B. 2007. ‘</w:t>
      </w:r>
      <w:r w:rsidR="00EC532E">
        <w:rPr>
          <w:szCs w:val="23"/>
        </w:rPr>
        <w:t>Hoplites: Problems, Solutions, and Explanations</w:t>
      </w:r>
      <w:r>
        <w:rPr>
          <w:szCs w:val="23"/>
        </w:rPr>
        <w:t xml:space="preserve">’, </w:t>
      </w:r>
      <w:r>
        <w:rPr>
          <w:i/>
          <w:szCs w:val="23"/>
        </w:rPr>
        <w:t>Journal of Undergraduate Studies at Trent</w:t>
      </w:r>
      <w:r>
        <w:rPr>
          <w:szCs w:val="23"/>
        </w:rPr>
        <w:t>, 1, 50-53.</w:t>
      </w:r>
    </w:p>
    <w:p w14:paraId="1004D41E" w14:textId="7B2B94B8" w:rsidR="00EC532E" w:rsidRDefault="00104CD6" w:rsidP="00EC532E">
      <w:pPr>
        <w:autoSpaceDE w:val="0"/>
        <w:autoSpaceDN w:val="0"/>
        <w:adjustRightInd w:val="0"/>
        <w:spacing w:line="360" w:lineRule="auto"/>
        <w:ind w:right="-46"/>
        <w:contextualSpacing/>
        <w:jc w:val="left"/>
        <w:rPr>
          <w:szCs w:val="23"/>
        </w:rPr>
      </w:pPr>
      <w:r>
        <w:rPr>
          <w:szCs w:val="23"/>
        </w:rPr>
        <w:t xml:space="preserve">Hornblower, S. 2010. </w:t>
      </w:r>
      <w:r w:rsidR="00EC532E" w:rsidRPr="00104CD6">
        <w:rPr>
          <w:i/>
          <w:szCs w:val="23"/>
        </w:rPr>
        <w:t xml:space="preserve">A Commentary on Thucydides Vol. </w:t>
      </w:r>
      <w:r>
        <w:rPr>
          <w:i/>
          <w:szCs w:val="23"/>
        </w:rPr>
        <w:t>III: Books 5.25-8.109</w:t>
      </w:r>
      <w:r>
        <w:rPr>
          <w:szCs w:val="23"/>
        </w:rPr>
        <w:t>. Oxford: Oxford University Press.</w:t>
      </w:r>
      <w:r w:rsidR="00EC532E">
        <w:rPr>
          <w:szCs w:val="23"/>
        </w:rPr>
        <w:t xml:space="preserve"> </w:t>
      </w:r>
    </w:p>
    <w:p w14:paraId="098D7A52" w14:textId="6AF256BE" w:rsidR="00EC532E" w:rsidRPr="00A43BE9" w:rsidRDefault="00A43BE9" w:rsidP="00EC532E">
      <w:pPr>
        <w:autoSpaceDE w:val="0"/>
        <w:autoSpaceDN w:val="0"/>
        <w:adjustRightInd w:val="0"/>
        <w:spacing w:line="360" w:lineRule="auto"/>
        <w:ind w:right="-46"/>
        <w:contextualSpacing/>
        <w:jc w:val="left"/>
        <w:rPr>
          <w:szCs w:val="23"/>
        </w:rPr>
      </w:pPr>
      <w:r>
        <w:rPr>
          <w:szCs w:val="23"/>
        </w:rPr>
        <w:t>Krentz, P. 1985. ‘</w:t>
      </w:r>
      <w:r w:rsidR="00EC532E">
        <w:rPr>
          <w:szCs w:val="23"/>
        </w:rPr>
        <w:t>The Nature of Hoplite Battle</w:t>
      </w:r>
      <w:r>
        <w:rPr>
          <w:szCs w:val="23"/>
        </w:rPr>
        <w:t>’</w:t>
      </w:r>
      <w:r w:rsidR="00EC532E">
        <w:rPr>
          <w:szCs w:val="23"/>
        </w:rPr>
        <w:t>,</w:t>
      </w:r>
      <w:r>
        <w:rPr>
          <w:szCs w:val="23"/>
        </w:rPr>
        <w:t xml:space="preserve"> </w:t>
      </w:r>
      <w:r>
        <w:rPr>
          <w:i/>
          <w:szCs w:val="23"/>
        </w:rPr>
        <w:t>Classical Antiquity</w:t>
      </w:r>
      <w:r>
        <w:rPr>
          <w:szCs w:val="23"/>
        </w:rPr>
        <w:t xml:space="preserve"> 4, 1, 50-61.</w:t>
      </w:r>
    </w:p>
    <w:p w14:paraId="3C1910FA" w14:textId="0C064B67" w:rsidR="00EC532E" w:rsidRDefault="00EC532E" w:rsidP="0032631B">
      <w:pPr>
        <w:autoSpaceDE w:val="0"/>
        <w:autoSpaceDN w:val="0"/>
        <w:adjustRightInd w:val="0"/>
        <w:spacing w:line="360" w:lineRule="auto"/>
        <w:ind w:right="-46"/>
        <w:contextualSpacing/>
        <w:jc w:val="left"/>
        <w:rPr>
          <w:szCs w:val="23"/>
        </w:rPr>
      </w:pPr>
      <w:r>
        <w:rPr>
          <w:szCs w:val="23"/>
        </w:rPr>
        <w:t xml:space="preserve">Luginbill, R. D. 1994. ‘Othismos: The Importance of the Mass-Shove in Hoplite Warfare’, </w:t>
      </w:r>
      <w:r>
        <w:rPr>
          <w:i/>
          <w:szCs w:val="23"/>
        </w:rPr>
        <w:t>Phoenix</w:t>
      </w:r>
      <w:r>
        <w:rPr>
          <w:szCs w:val="23"/>
        </w:rPr>
        <w:t xml:space="preserve"> 48, 1, 51-61.</w:t>
      </w:r>
    </w:p>
    <w:p w14:paraId="00AE263A" w14:textId="2D65F948" w:rsidR="0073452C" w:rsidRPr="002204EE" w:rsidRDefault="00FF7D44" w:rsidP="0032631B">
      <w:pPr>
        <w:autoSpaceDE w:val="0"/>
        <w:autoSpaceDN w:val="0"/>
        <w:adjustRightInd w:val="0"/>
        <w:spacing w:line="360" w:lineRule="auto"/>
        <w:ind w:right="-46"/>
        <w:contextualSpacing/>
        <w:jc w:val="left"/>
        <w:rPr>
          <w:i/>
          <w:szCs w:val="23"/>
        </w:rPr>
      </w:pPr>
      <w:r w:rsidRPr="002204EE">
        <w:rPr>
          <w:szCs w:val="23"/>
        </w:rPr>
        <w:t xml:space="preserve">Matthew, C. A. </w:t>
      </w:r>
      <w:r w:rsidR="00313D33">
        <w:rPr>
          <w:szCs w:val="23"/>
        </w:rPr>
        <w:t xml:space="preserve">2009. </w:t>
      </w:r>
      <w:r w:rsidRPr="002204EE">
        <w:rPr>
          <w:szCs w:val="23"/>
        </w:rPr>
        <w:t>‘</w:t>
      </w:r>
      <w:r w:rsidR="003E4F79" w:rsidRPr="002204EE">
        <w:rPr>
          <w:szCs w:val="23"/>
        </w:rPr>
        <w:t>When Push Comes to Shove</w:t>
      </w:r>
      <w:r w:rsidRPr="002204EE">
        <w:rPr>
          <w:szCs w:val="23"/>
        </w:rPr>
        <w:t xml:space="preserve">: What Was The “Othismos” of Hoplite Combat?’, </w:t>
      </w:r>
      <w:r w:rsidRPr="002204EE">
        <w:rPr>
          <w:i/>
          <w:szCs w:val="23"/>
        </w:rPr>
        <w:t>Historia: Zeitshrift für Alte Geshichte</w:t>
      </w:r>
      <w:r w:rsidR="002204EE" w:rsidRPr="002204EE">
        <w:rPr>
          <w:i/>
          <w:szCs w:val="23"/>
        </w:rPr>
        <w:t xml:space="preserve"> </w:t>
      </w:r>
      <w:r w:rsidR="002204EE" w:rsidRPr="002204EE">
        <w:rPr>
          <w:szCs w:val="23"/>
        </w:rPr>
        <w:t>58</w:t>
      </w:r>
      <w:r w:rsidRPr="002204EE">
        <w:rPr>
          <w:i/>
          <w:szCs w:val="23"/>
        </w:rPr>
        <w:t xml:space="preserve">, </w:t>
      </w:r>
      <w:r w:rsidR="002204EE" w:rsidRPr="002204EE">
        <w:rPr>
          <w:rFonts w:cs="Arial"/>
          <w:szCs w:val="24"/>
          <w:shd w:val="clear" w:color="auto" w:fill="FFFFFF"/>
        </w:rPr>
        <w:t>4</w:t>
      </w:r>
      <w:r w:rsidR="00313D33">
        <w:rPr>
          <w:rFonts w:cs="Arial"/>
          <w:szCs w:val="24"/>
          <w:shd w:val="clear" w:color="auto" w:fill="FFFFFF"/>
        </w:rPr>
        <w:t>,</w:t>
      </w:r>
      <w:r w:rsidR="002204EE" w:rsidRPr="002204EE">
        <w:rPr>
          <w:rFonts w:cs="Arial"/>
          <w:szCs w:val="24"/>
          <w:shd w:val="clear" w:color="auto" w:fill="FFFFFF"/>
        </w:rPr>
        <w:t xml:space="preserve"> 395-415.</w:t>
      </w:r>
      <w:r w:rsidR="002204EE" w:rsidRPr="002204EE">
        <w:rPr>
          <w:rFonts w:ascii="Arial" w:hAnsi="Arial" w:cs="Arial"/>
          <w:sz w:val="21"/>
          <w:szCs w:val="21"/>
          <w:shd w:val="clear" w:color="auto" w:fill="FFFFFF"/>
        </w:rPr>
        <w:t> </w:t>
      </w:r>
    </w:p>
    <w:p w14:paraId="78398BA9" w14:textId="2971FE26" w:rsidR="00BD6032" w:rsidRDefault="00BD6032" w:rsidP="0032631B">
      <w:pPr>
        <w:autoSpaceDE w:val="0"/>
        <w:autoSpaceDN w:val="0"/>
        <w:adjustRightInd w:val="0"/>
        <w:spacing w:line="360" w:lineRule="auto"/>
        <w:ind w:right="-46"/>
        <w:contextualSpacing/>
        <w:jc w:val="left"/>
        <w:rPr>
          <w:szCs w:val="23"/>
        </w:rPr>
      </w:pPr>
      <w:r>
        <w:rPr>
          <w:szCs w:val="23"/>
        </w:rPr>
        <w:t>van Wees</w:t>
      </w:r>
      <w:r w:rsidR="005117E9">
        <w:rPr>
          <w:szCs w:val="23"/>
        </w:rPr>
        <w:t xml:space="preserve">, H. 2015. </w:t>
      </w:r>
      <w:r w:rsidR="005117E9" w:rsidRPr="005117E9">
        <w:rPr>
          <w:i/>
          <w:szCs w:val="23"/>
        </w:rPr>
        <w:t>Greek Warfare: Myths and Realities</w:t>
      </w:r>
      <w:r w:rsidR="005117E9">
        <w:rPr>
          <w:szCs w:val="23"/>
        </w:rPr>
        <w:t>. New York: Bloomsbury Academic</w:t>
      </w:r>
    </w:p>
    <w:p w14:paraId="4A78C443" w14:textId="160E2478" w:rsidR="0057533A" w:rsidRDefault="0057533A" w:rsidP="0032631B">
      <w:pPr>
        <w:autoSpaceDE w:val="0"/>
        <w:autoSpaceDN w:val="0"/>
        <w:adjustRightInd w:val="0"/>
        <w:spacing w:line="360" w:lineRule="auto"/>
        <w:ind w:right="-46"/>
        <w:contextualSpacing/>
        <w:jc w:val="left"/>
        <w:rPr>
          <w:szCs w:val="23"/>
        </w:rPr>
      </w:pPr>
    </w:p>
    <w:sectPr w:rsidR="005753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618255" w14:textId="77777777" w:rsidR="00BC1099" w:rsidRDefault="00BC1099" w:rsidP="007D32A7">
      <w:pPr>
        <w:spacing w:after="0" w:line="240" w:lineRule="auto"/>
      </w:pPr>
      <w:r>
        <w:separator/>
      </w:r>
    </w:p>
  </w:endnote>
  <w:endnote w:type="continuationSeparator" w:id="0">
    <w:p w14:paraId="24B13AFC" w14:textId="77777777" w:rsidR="00BC1099" w:rsidRDefault="00BC1099" w:rsidP="007D32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de">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070241" w14:textId="77777777" w:rsidR="00BC1099" w:rsidRDefault="00BC1099" w:rsidP="007D32A7">
      <w:pPr>
        <w:spacing w:after="0" w:line="240" w:lineRule="auto"/>
      </w:pPr>
      <w:r>
        <w:separator/>
      </w:r>
    </w:p>
  </w:footnote>
  <w:footnote w:type="continuationSeparator" w:id="0">
    <w:p w14:paraId="163B5856" w14:textId="77777777" w:rsidR="00BC1099" w:rsidRDefault="00BC1099" w:rsidP="007D32A7">
      <w:pPr>
        <w:spacing w:after="0" w:line="240" w:lineRule="auto"/>
      </w:pPr>
      <w:r>
        <w:continuationSeparator/>
      </w:r>
    </w:p>
  </w:footnote>
  <w:footnote w:id="1">
    <w:p w14:paraId="438ECA74" w14:textId="7765BB2F" w:rsidR="00647C7E" w:rsidRDefault="00647C7E">
      <w:pPr>
        <w:pStyle w:val="FootnoteText"/>
      </w:pPr>
      <w:r>
        <w:rPr>
          <w:rStyle w:val="FootnoteReference"/>
        </w:rPr>
        <w:footnoteRef/>
      </w:r>
      <w:r>
        <w:t xml:space="preserve"> </w:t>
      </w:r>
      <w:r w:rsidRPr="007D32A7">
        <w:t>Hom. Od. 11.</w:t>
      </w:r>
      <w:r>
        <w:t>13</w:t>
      </w:r>
      <w:r w:rsidR="00C873ED">
        <w:t xml:space="preserve"> (</w:t>
      </w:r>
      <w:r w:rsidR="00C873ED">
        <w:rPr>
          <w:szCs w:val="23"/>
        </w:rPr>
        <w:t>trans. Butler)</w:t>
      </w:r>
      <w:r>
        <w:t xml:space="preserve">; </w:t>
      </w:r>
      <w:r w:rsidRPr="007D32A7">
        <w:t>Paus. 3.14.10</w:t>
      </w:r>
      <w:r w:rsidR="00C873ED">
        <w:t xml:space="preserve"> (trans. Jones and Ormerod)</w:t>
      </w:r>
    </w:p>
  </w:footnote>
  <w:footnote w:id="2">
    <w:p w14:paraId="592ECBD4" w14:textId="6B32DDB8" w:rsidR="00647C7E" w:rsidRDefault="00647C7E">
      <w:pPr>
        <w:pStyle w:val="FootnoteText"/>
      </w:pPr>
      <w:r>
        <w:rPr>
          <w:rStyle w:val="FootnoteReference"/>
        </w:rPr>
        <w:footnoteRef/>
      </w:r>
      <w:r>
        <w:t xml:space="preserve"> Matthew 2009: 396</w:t>
      </w:r>
    </w:p>
  </w:footnote>
  <w:footnote w:id="3">
    <w:p w14:paraId="3D8BB226" w14:textId="22A49A75" w:rsidR="00647C7E" w:rsidRDefault="00647C7E">
      <w:pPr>
        <w:pStyle w:val="FootnoteText"/>
      </w:pPr>
      <w:r>
        <w:rPr>
          <w:rStyle w:val="FootnoteReference"/>
        </w:rPr>
        <w:footnoteRef/>
      </w:r>
      <w:r>
        <w:t xml:space="preserve"> </w:t>
      </w:r>
      <w:r w:rsidRPr="008A2D13">
        <w:rPr>
          <w:szCs w:val="14"/>
        </w:rPr>
        <w:t>Ar</w:t>
      </w:r>
      <w:r>
        <w:rPr>
          <w:szCs w:val="14"/>
        </w:rPr>
        <w:t>ist</w:t>
      </w:r>
      <w:r w:rsidRPr="008A2D13">
        <w:rPr>
          <w:szCs w:val="14"/>
        </w:rPr>
        <w:t>. Pax 1274</w:t>
      </w:r>
      <w:r w:rsidR="00826A31">
        <w:rPr>
          <w:szCs w:val="14"/>
        </w:rPr>
        <w:t xml:space="preserve"> (</w:t>
      </w:r>
      <w:r w:rsidR="00826A31">
        <w:rPr>
          <w:szCs w:val="23"/>
        </w:rPr>
        <w:t>trans. O’Neill)</w:t>
      </w:r>
      <w:r w:rsidRPr="008A2D13">
        <w:rPr>
          <w:szCs w:val="14"/>
        </w:rPr>
        <w:t>;</w:t>
      </w:r>
      <w:r>
        <w:rPr>
          <w:szCs w:val="14"/>
        </w:rPr>
        <w:t xml:space="preserve"> Matthew 2009: 397</w:t>
      </w:r>
    </w:p>
  </w:footnote>
  <w:footnote w:id="4">
    <w:p w14:paraId="4B710EF4" w14:textId="689E2F54" w:rsidR="00647C7E" w:rsidRPr="00FD793B" w:rsidRDefault="00647C7E">
      <w:pPr>
        <w:pStyle w:val="FootnoteText"/>
      </w:pPr>
      <w:r w:rsidRPr="00FD793B">
        <w:rPr>
          <w:rStyle w:val="FootnoteReference"/>
        </w:rPr>
        <w:footnoteRef/>
      </w:r>
      <w:r w:rsidRPr="00FD793B">
        <w:t xml:space="preserve"> Xen. Hell. 4.3.17</w:t>
      </w:r>
      <w:r w:rsidR="00006807">
        <w:t xml:space="preserve"> </w:t>
      </w:r>
      <w:r w:rsidR="00006807">
        <w:rPr>
          <w:szCs w:val="23"/>
        </w:rPr>
        <w:t>(trans. Brownson)</w:t>
      </w:r>
    </w:p>
  </w:footnote>
  <w:footnote w:id="5">
    <w:p w14:paraId="41E44825" w14:textId="0A45E60D" w:rsidR="00647C7E" w:rsidRDefault="00647C7E">
      <w:pPr>
        <w:pStyle w:val="FootnoteText"/>
      </w:pPr>
      <w:r>
        <w:rPr>
          <w:rStyle w:val="FootnoteReference"/>
        </w:rPr>
        <w:footnoteRef/>
      </w:r>
      <w:r>
        <w:t xml:space="preserve"> Matthew 2009: 399</w:t>
      </w:r>
    </w:p>
  </w:footnote>
  <w:footnote w:id="6">
    <w:p w14:paraId="1D2B025C" w14:textId="61727D6E" w:rsidR="00647C7E" w:rsidRDefault="00647C7E">
      <w:pPr>
        <w:pStyle w:val="FootnoteText"/>
      </w:pPr>
      <w:r>
        <w:rPr>
          <w:rStyle w:val="FootnoteReference"/>
        </w:rPr>
        <w:footnoteRef/>
      </w:r>
      <w:r>
        <w:t xml:space="preserve"> Ibid.: 401-2</w:t>
      </w:r>
    </w:p>
  </w:footnote>
  <w:footnote w:id="7">
    <w:p w14:paraId="183DCD9B" w14:textId="3F7D24C0" w:rsidR="00647C7E" w:rsidRDefault="00647C7E">
      <w:pPr>
        <w:pStyle w:val="FootnoteText"/>
      </w:pPr>
      <w:r>
        <w:rPr>
          <w:rStyle w:val="FootnoteReference"/>
        </w:rPr>
        <w:footnoteRef/>
      </w:r>
      <w:r>
        <w:t xml:space="preserve"> Ibid. 414.</w:t>
      </w:r>
    </w:p>
  </w:footnote>
  <w:footnote w:id="8">
    <w:p w14:paraId="27EF6C03" w14:textId="6DDDFF28" w:rsidR="00647C7E" w:rsidRDefault="00647C7E">
      <w:pPr>
        <w:pStyle w:val="FootnoteText"/>
      </w:pPr>
      <w:r>
        <w:rPr>
          <w:rStyle w:val="FootnoteReference"/>
        </w:rPr>
        <w:footnoteRef/>
      </w:r>
      <w:r>
        <w:t xml:space="preserve"> </w:t>
      </w:r>
      <w:r w:rsidR="00F53630">
        <w:t>Hofschröer 1999: 124</w:t>
      </w:r>
    </w:p>
  </w:footnote>
  <w:footnote w:id="9">
    <w:p w14:paraId="525D4844" w14:textId="3A4C5F25" w:rsidR="00647C7E" w:rsidRDefault="00647C7E">
      <w:pPr>
        <w:pStyle w:val="FootnoteText"/>
      </w:pPr>
      <w:r>
        <w:rPr>
          <w:rStyle w:val="FootnoteReference"/>
        </w:rPr>
        <w:footnoteRef/>
      </w:r>
      <w:r>
        <w:t xml:space="preserve"> </w:t>
      </w:r>
      <w:r w:rsidRPr="00F37EF3">
        <w:t>Xen. Hell. 7.1.31</w:t>
      </w:r>
      <w:r w:rsidR="008B2F9C">
        <w:t xml:space="preserve"> (trans. Brownson)</w:t>
      </w:r>
    </w:p>
  </w:footnote>
  <w:footnote w:id="10">
    <w:p w14:paraId="32282860" w14:textId="10ECF4D9" w:rsidR="00647C7E" w:rsidRPr="00F02B36" w:rsidRDefault="00647C7E">
      <w:pPr>
        <w:pStyle w:val="FootnoteText"/>
      </w:pPr>
      <w:r>
        <w:rPr>
          <w:rStyle w:val="FootnoteReference"/>
        </w:rPr>
        <w:footnoteRef/>
      </w:r>
      <w:r>
        <w:t xml:space="preserve"> Krentz 1985: 56.</w:t>
      </w:r>
    </w:p>
  </w:footnote>
  <w:footnote w:id="11">
    <w:p w14:paraId="30013B1C" w14:textId="51614D77" w:rsidR="00647C7E" w:rsidRDefault="00647C7E">
      <w:pPr>
        <w:pStyle w:val="FootnoteText"/>
      </w:pPr>
      <w:r>
        <w:rPr>
          <w:rStyle w:val="FootnoteReference"/>
        </w:rPr>
        <w:footnoteRef/>
      </w:r>
      <w:r>
        <w:t xml:space="preserve"> Thuc. 4.96.4</w:t>
      </w:r>
      <w:r w:rsidR="00C14244">
        <w:t xml:space="preserve"> </w:t>
      </w:r>
      <w:r w:rsidR="00C14244">
        <w:rPr>
          <w:szCs w:val="23"/>
        </w:rPr>
        <w:t>(trans. Crawley)</w:t>
      </w:r>
    </w:p>
  </w:footnote>
  <w:footnote w:id="12">
    <w:p w14:paraId="07828C32" w14:textId="7085E44A" w:rsidR="00647C7E" w:rsidRDefault="00647C7E">
      <w:pPr>
        <w:pStyle w:val="FootnoteText"/>
      </w:pPr>
      <w:r>
        <w:rPr>
          <w:rStyle w:val="FootnoteReference"/>
        </w:rPr>
        <w:footnoteRef/>
      </w:r>
      <w:r>
        <w:t xml:space="preserve"> </w:t>
      </w:r>
      <w:r w:rsidRPr="00A55A8F">
        <w:t>Thuc. 2.81.6</w:t>
      </w:r>
      <w:r w:rsidR="00C14244">
        <w:t xml:space="preserve"> </w:t>
      </w:r>
      <w:r w:rsidR="00C14244">
        <w:rPr>
          <w:szCs w:val="23"/>
        </w:rPr>
        <w:t>(trans. Crawley)</w:t>
      </w:r>
    </w:p>
  </w:footnote>
  <w:footnote w:id="13">
    <w:p w14:paraId="20226EB0" w14:textId="7A1B1C93" w:rsidR="00647C7E" w:rsidRDefault="00647C7E">
      <w:pPr>
        <w:pStyle w:val="FootnoteText"/>
      </w:pPr>
      <w:r>
        <w:rPr>
          <w:rStyle w:val="FootnoteReference"/>
        </w:rPr>
        <w:footnoteRef/>
      </w:r>
      <w:r>
        <w:t xml:space="preserve"> </w:t>
      </w:r>
      <w:r w:rsidRPr="00D96EF1">
        <w:t>Pl</w:t>
      </w:r>
      <w:r>
        <w:t>at.</w:t>
      </w:r>
      <w:r w:rsidRPr="00D96EF1">
        <w:t xml:space="preserve"> Laws 815a</w:t>
      </w:r>
      <w:r w:rsidR="00C14244">
        <w:t xml:space="preserve"> </w:t>
      </w:r>
      <w:r w:rsidR="00C14244">
        <w:rPr>
          <w:sz w:val="22"/>
          <w:szCs w:val="23"/>
        </w:rPr>
        <w:t>(trans. Bury)</w:t>
      </w:r>
    </w:p>
  </w:footnote>
  <w:footnote w:id="14">
    <w:p w14:paraId="5A528361" w14:textId="4BC9F86F" w:rsidR="00647C7E" w:rsidRDefault="00647C7E">
      <w:pPr>
        <w:pStyle w:val="FootnoteText"/>
      </w:pPr>
      <w:r>
        <w:rPr>
          <w:rStyle w:val="FootnoteReference"/>
        </w:rPr>
        <w:footnoteRef/>
      </w:r>
      <w:r>
        <w:t xml:space="preserve"> Van Wees 20</w:t>
      </w:r>
      <w:r w:rsidR="005117E9">
        <w:t>15</w:t>
      </w:r>
      <w:r>
        <w:t>: 190</w:t>
      </w:r>
    </w:p>
  </w:footnote>
  <w:footnote w:id="15">
    <w:p w14:paraId="1CBE2DE3" w14:textId="0868ED12" w:rsidR="00647C7E" w:rsidRDefault="00647C7E">
      <w:pPr>
        <w:pStyle w:val="FootnoteText"/>
      </w:pPr>
      <w:r>
        <w:rPr>
          <w:rStyle w:val="FootnoteReference"/>
        </w:rPr>
        <w:footnoteRef/>
      </w:r>
      <w:r>
        <w:t xml:space="preserve"> </w:t>
      </w:r>
      <w:r w:rsidR="00E641DF">
        <w:t xml:space="preserve">Xen. </w:t>
      </w:r>
      <w:r w:rsidRPr="001C641A">
        <w:t>Hell. 6.4.12-14</w:t>
      </w:r>
      <w:r w:rsidR="00C14244">
        <w:t xml:space="preserve"> </w:t>
      </w:r>
      <w:r w:rsidR="00C14244">
        <w:rPr>
          <w:szCs w:val="23"/>
        </w:rPr>
        <w:t>(trans. Marincole)</w:t>
      </w:r>
    </w:p>
  </w:footnote>
  <w:footnote w:id="16">
    <w:p w14:paraId="76E8AEFF" w14:textId="60F8CD64" w:rsidR="00647C7E" w:rsidRDefault="00647C7E">
      <w:pPr>
        <w:pStyle w:val="FootnoteText"/>
      </w:pPr>
      <w:r>
        <w:rPr>
          <w:rStyle w:val="FootnoteReference"/>
        </w:rPr>
        <w:footnoteRef/>
      </w:r>
      <w:r>
        <w:t xml:space="preserve"> </w:t>
      </w:r>
      <w:r w:rsidRPr="00320BA5">
        <w:t>Thuc 5.70</w:t>
      </w:r>
      <w:r>
        <w:t xml:space="preserve">; </w:t>
      </w:r>
      <w:r w:rsidRPr="00320BA5">
        <w:t xml:space="preserve">Xen. </w:t>
      </w:r>
      <w:r>
        <w:t xml:space="preserve">Mem. </w:t>
      </w:r>
      <w:r w:rsidRPr="00320BA5">
        <w:t>3.12.5</w:t>
      </w:r>
      <w:r>
        <w:t xml:space="preserve">; Xen. </w:t>
      </w:r>
      <w:r w:rsidRPr="00320BA5">
        <w:t>Hell. 6.4.1</w:t>
      </w:r>
      <w:r>
        <w:t>4</w:t>
      </w:r>
      <w:r w:rsidR="0022391D">
        <w:t xml:space="preserve"> (trans. Crawley;</w:t>
      </w:r>
      <w:r>
        <w:t xml:space="preserve"> </w:t>
      </w:r>
      <w:r w:rsidR="003F4B9D">
        <w:t xml:space="preserve">Marchant; </w:t>
      </w:r>
      <w:r w:rsidR="00B92EE4">
        <w:t xml:space="preserve">Marincole). </w:t>
      </w:r>
      <w:r>
        <w:t>N.B. In this second reference, it is the Athenian lack of state training, although not specified as Athens. It is safe to assume that this does not just apply to Athens.</w:t>
      </w:r>
    </w:p>
  </w:footnote>
  <w:footnote w:id="17">
    <w:p w14:paraId="130AB2C0" w14:textId="478AC34A" w:rsidR="00647C7E" w:rsidRDefault="00647C7E">
      <w:pPr>
        <w:pStyle w:val="FootnoteText"/>
      </w:pPr>
      <w:r>
        <w:rPr>
          <w:rStyle w:val="FootnoteReference"/>
        </w:rPr>
        <w:footnoteRef/>
      </w:r>
      <w:r>
        <w:t xml:space="preserve"> </w:t>
      </w:r>
      <w:r w:rsidRPr="00414F90">
        <w:t>Thuc. 7.36.3</w:t>
      </w:r>
      <w:r w:rsidR="00591B34">
        <w:t xml:space="preserve"> (trans. Hobbes)</w:t>
      </w:r>
    </w:p>
  </w:footnote>
  <w:footnote w:id="18">
    <w:p w14:paraId="21366747" w14:textId="3DFD5207" w:rsidR="005E56D4" w:rsidRDefault="005E56D4">
      <w:pPr>
        <w:pStyle w:val="FootnoteText"/>
      </w:pPr>
      <w:r>
        <w:rPr>
          <w:rStyle w:val="FootnoteReference"/>
        </w:rPr>
        <w:footnoteRef/>
      </w:r>
      <w:r>
        <w:t xml:space="preserve"> </w:t>
      </w:r>
      <w:r>
        <w:t>Thuc. 4.43.2 (trans. Crawley</w:t>
      </w:r>
      <w:r w:rsidR="00F07F96">
        <w:t>,</w:t>
      </w:r>
      <w:r>
        <w:t xml:space="preserve"> Hobbes</w:t>
      </w:r>
      <w:r>
        <w:t>)</w:t>
      </w:r>
    </w:p>
  </w:footnote>
  <w:footnote w:id="19">
    <w:p w14:paraId="5F499CEA" w14:textId="3B30CFB8" w:rsidR="00647C7E" w:rsidRDefault="00647C7E">
      <w:pPr>
        <w:pStyle w:val="FootnoteText"/>
      </w:pPr>
      <w:r>
        <w:rPr>
          <w:rStyle w:val="FootnoteReference"/>
        </w:rPr>
        <w:footnoteRef/>
      </w:r>
      <w:r w:rsidR="005E56D4">
        <w:t xml:space="preserve"> </w:t>
      </w:r>
      <w:r>
        <w:t xml:space="preserve">Hdt. 9.62 </w:t>
      </w:r>
      <w:r w:rsidR="0066230A">
        <w:t>(trans. Godley)</w:t>
      </w:r>
    </w:p>
  </w:footnote>
  <w:footnote w:id="20">
    <w:p w14:paraId="7A44968D" w14:textId="4108431A" w:rsidR="00647C7E" w:rsidRDefault="00647C7E">
      <w:pPr>
        <w:pStyle w:val="FootnoteText"/>
      </w:pPr>
      <w:r>
        <w:rPr>
          <w:rStyle w:val="FootnoteReference"/>
        </w:rPr>
        <w:footnoteRef/>
      </w:r>
      <w:r>
        <w:t xml:space="preserve"> Luginbill 1994:</w:t>
      </w:r>
      <w:r w:rsidRPr="00222F59">
        <w:t xml:space="preserve"> 54</w:t>
      </w:r>
    </w:p>
  </w:footnote>
  <w:footnote w:id="21">
    <w:p w14:paraId="6233E2E7" w14:textId="26604A56" w:rsidR="00647C7E" w:rsidRDefault="00647C7E">
      <w:pPr>
        <w:pStyle w:val="FootnoteText"/>
      </w:pPr>
      <w:r>
        <w:rPr>
          <w:rStyle w:val="FootnoteReference"/>
        </w:rPr>
        <w:footnoteRef/>
      </w:r>
      <w:r>
        <w:t xml:space="preserve"> </w:t>
      </w:r>
      <w:r w:rsidRPr="00886599">
        <w:t>Thuc. 4.96.1</w:t>
      </w:r>
      <w:r w:rsidR="00316F54">
        <w:t xml:space="preserve"> 9 (trans. Crawley)</w:t>
      </w:r>
    </w:p>
  </w:footnote>
  <w:footnote w:id="22">
    <w:p w14:paraId="13F4ACB6" w14:textId="54DF5D95" w:rsidR="00647C7E" w:rsidRDefault="00647C7E">
      <w:pPr>
        <w:pStyle w:val="FootnoteText"/>
      </w:pPr>
      <w:r>
        <w:rPr>
          <w:rStyle w:val="FootnoteReference"/>
        </w:rPr>
        <w:footnoteRef/>
      </w:r>
      <w:r>
        <w:t xml:space="preserve"> Matthew 2009: 409</w:t>
      </w:r>
    </w:p>
  </w:footnote>
  <w:footnote w:id="23">
    <w:p w14:paraId="12D27ACB" w14:textId="63C82255" w:rsidR="00647C7E" w:rsidRDefault="00647C7E">
      <w:pPr>
        <w:pStyle w:val="FootnoteText"/>
      </w:pPr>
      <w:r>
        <w:rPr>
          <w:rStyle w:val="FootnoteReference"/>
        </w:rPr>
        <w:footnoteRef/>
      </w:r>
      <w:r>
        <w:t xml:space="preserve"> </w:t>
      </w:r>
      <w:r w:rsidRPr="00886599">
        <w:t>Thuc. 4.96.</w:t>
      </w:r>
      <w:r>
        <w:t>2-3</w:t>
      </w:r>
      <w:r w:rsidR="00316F54">
        <w:t xml:space="preserve"> (trans. Crawley)</w:t>
      </w:r>
    </w:p>
  </w:footnote>
  <w:footnote w:id="24">
    <w:p w14:paraId="2DAAA9B4" w14:textId="698DE63B" w:rsidR="00647C7E" w:rsidRDefault="00647C7E">
      <w:pPr>
        <w:pStyle w:val="FootnoteText"/>
      </w:pPr>
      <w:r>
        <w:rPr>
          <w:rStyle w:val="FootnoteReference"/>
        </w:rPr>
        <w:footnoteRef/>
      </w:r>
      <w:r>
        <w:t xml:space="preserve"> Matthew 2009: 409</w:t>
      </w:r>
    </w:p>
  </w:footnote>
  <w:footnote w:id="25">
    <w:p w14:paraId="403AC533" w14:textId="54E483B9" w:rsidR="00647C7E" w:rsidRDefault="00647C7E">
      <w:pPr>
        <w:pStyle w:val="FootnoteText"/>
      </w:pPr>
      <w:r>
        <w:rPr>
          <w:rStyle w:val="FootnoteReference"/>
        </w:rPr>
        <w:footnoteRef/>
      </w:r>
      <w:r>
        <w:t xml:space="preserve"> </w:t>
      </w:r>
      <w:r w:rsidRPr="005A48CC">
        <w:t>Hdt. 9.102.3</w:t>
      </w:r>
      <w:r w:rsidR="00AC7A97">
        <w:t xml:space="preserve"> (trans.</w:t>
      </w:r>
      <w:r>
        <w:t xml:space="preserve"> Purvis</w:t>
      </w:r>
      <w:r w:rsidR="00AC7A97">
        <w:t>)</w:t>
      </w:r>
    </w:p>
  </w:footnote>
  <w:footnote w:id="26">
    <w:p w14:paraId="4070B581" w14:textId="7E299887" w:rsidR="00647C7E" w:rsidRDefault="00647C7E">
      <w:pPr>
        <w:pStyle w:val="FootnoteText"/>
      </w:pPr>
      <w:r>
        <w:rPr>
          <w:rStyle w:val="FootnoteReference"/>
        </w:rPr>
        <w:footnoteRef/>
      </w:r>
      <w:r>
        <w:t xml:space="preserve"> </w:t>
      </w:r>
      <w:r w:rsidRPr="003E060C">
        <w:t>Hdt. 9.102.3</w:t>
      </w:r>
      <w:r w:rsidR="00AC7A97">
        <w:t xml:space="preserve"> (trans. </w:t>
      </w:r>
      <w:r>
        <w:t>Godley</w:t>
      </w:r>
      <w:r w:rsidR="0050131D">
        <w:t>)</w:t>
      </w:r>
    </w:p>
  </w:footnote>
  <w:footnote w:id="27">
    <w:p w14:paraId="43AE2A9E" w14:textId="457EEE5C" w:rsidR="00647C7E" w:rsidRDefault="00647C7E">
      <w:pPr>
        <w:pStyle w:val="FootnoteText"/>
      </w:pPr>
      <w:r>
        <w:rPr>
          <w:rStyle w:val="FootnoteReference"/>
        </w:rPr>
        <w:footnoteRef/>
      </w:r>
      <w:r>
        <w:t xml:space="preserve"> Xen. </w:t>
      </w:r>
      <w:r w:rsidRPr="005319E8">
        <w:t>Hell. 4.3.19</w:t>
      </w:r>
      <w:r w:rsidR="00AC7A97">
        <w:t xml:space="preserve"> (trans.</w:t>
      </w:r>
      <w:r w:rsidR="00671FE2">
        <w:t xml:space="preserve"> Brownson)</w:t>
      </w:r>
    </w:p>
  </w:footnote>
  <w:footnote w:id="28">
    <w:p w14:paraId="553C0B2F" w14:textId="242CD16F" w:rsidR="00647C7E" w:rsidRDefault="00647C7E">
      <w:pPr>
        <w:pStyle w:val="FootnoteText"/>
      </w:pPr>
      <w:r>
        <w:rPr>
          <w:rStyle w:val="FootnoteReference"/>
        </w:rPr>
        <w:footnoteRef/>
      </w:r>
      <w:r>
        <w:t xml:space="preserve"> Xen. </w:t>
      </w:r>
      <w:r w:rsidRPr="00697A87">
        <w:t>Hell 7.1.32</w:t>
      </w:r>
      <w:r>
        <w:t>; Ibid.</w:t>
      </w:r>
      <w:r w:rsidRPr="00697A87">
        <w:t xml:space="preserve"> 1.3.14</w:t>
      </w:r>
      <w:r>
        <w:t>; Ibid. 2.4.34</w:t>
      </w:r>
      <w:r w:rsidR="00A8680C">
        <w:t xml:space="preserve"> (trans. Brownson)</w:t>
      </w:r>
    </w:p>
  </w:footnote>
  <w:footnote w:id="29">
    <w:p w14:paraId="428FAAD3" w14:textId="117EB68A" w:rsidR="00647C7E" w:rsidRDefault="00647C7E">
      <w:pPr>
        <w:pStyle w:val="FootnoteText"/>
      </w:pPr>
      <w:r>
        <w:rPr>
          <w:rStyle w:val="FootnoteReference"/>
        </w:rPr>
        <w:footnoteRef/>
      </w:r>
      <w:r>
        <w:t xml:space="preserve"> Thuc. 5.71.3</w:t>
      </w:r>
      <w:r w:rsidR="004A144C">
        <w:t xml:space="preserve"> (trans. Hornblower)</w:t>
      </w:r>
    </w:p>
  </w:footnote>
  <w:footnote w:id="30">
    <w:p w14:paraId="7D0F7B86" w14:textId="2AC70502" w:rsidR="00647C7E" w:rsidRDefault="00647C7E">
      <w:pPr>
        <w:pStyle w:val="FootnoteText"/>
      </w:pPr>
      <w:r>
        <w:rPr>
          <w:rStyle w:val="FootnoteReference"/>
        </w:rPr>
        <w:footnoteRef/>
      </w:r>
      <w:r>
        <w:t xml:space="preserve"> Hornblower 2010: 187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8A7"/>
    <w:rsid w:val="00006807"/>
    <w:rsid w:val="00013EA6"/>
    <w:rsid w:val="00014265"/>
    <w:rsid w:val="00015001"/>
    <w:rsid w:val="000235FD"/>
    <w:rsid w:val="00024A00"/>
    <w:rsid w:val="00032CFF"/>
    <w:rsid w:val="00042331"/>
    <w:rsid w:val="00044749"/>
    <w:rsid w:val="00057793"/>
    <w:rsid w:val="00061FA5"/>
    <w:rsid w:val="00063A00"/>
    <w:rsid w:val="000665A8"/>
    <w:rsid w:val="00070CE0"/>
    <w:rsid w:val="00071047"/>
    <w:rsid w:val="0008367F"/>
    <w:rsid w:val="000837AB"/>
    <w:rsid w:val="00087076"/>
    <w:rsid w:val="000917ED"/>
    <w:rsid w:val="00092CFA"/>
    <w:rsid w:val="000B0A52"/>
    <w:rsid w:val="000D4950"/>
    <w:rsid w:val="000D5A3D"/>
    <w:rsid w:val="000E35CB"/>
    <w:rsid w:val="000E45E6"/>
    <w:rsid w:val="000E4EBC"/>
    <w:rsid w:val="000F4898"/>
    <w:rsid w:val="00104CD6"/>
    <w:rsid w:val="001110F0"/>
    <w:rsid w:val="00114ADC"/>
    <w:rsid w:val="001446C6"/>
    <w:rsid w:val="00145353"/>
    <w:rsid w:val="0014748C"/>
    <w:rsid w:val="001479F0"/>
    <w:rsid w:val="00150A65"/>
    <w:rsid w:val="00151936"/>
    <w:rsid w:val="00153DA4"/>
    <w:rsid w:val="001736DA"/>
    <w:rsid w:val="00176823"/>
    <w:rsid w:val="00177A4B"/>
    <w:rsid w:val="00181C36"/>
    <w:rsid w:val="0018343E"/>
    <w:rsid w:val="00194132"/>
    <w:rsid w:val="001B4664"/>
    <w:rsid w:val="001B4D9B"/>
    <w:rsid w:val="001B6648"/>
    <w:rsid w:val="001C376E"/>
    <w:rsid w:val="001C6205"/>
    <w:rsid w:val="001C641A"/>
    <w:rsid w:val="001D4FED"/>
    <w:rsid w:val="001E01DF"/>
    <w:rsid w:val="001E3A80"/>
    <w:rsid w:val="001E722A"/>
    <w:rsid w:val="001E75C2"/>
    <w:rsid w:val="001F5AFA"/>
    <w:rsid w:val="001F7189"/>
    <w:rsid w:val="002020A7"/>
    <w:rsid w:val="0020263B"/>
    <w:rsid w:val="002204EE"/>
    <w:rsid w:val="0022130B"/>
    <w:rsid w:val="00222F59"/>
    <w:rsid w:val="0022391D"/>
    <w:rsid w:val="002262CD"/>
    <w:rsid w:val="00231582"/>
    <w:rsid w:val="00240268"/>
    <w:rsid w:val="002416AF"/>
    <w:rsid w:val="00251903"/>
    <w:rsid w:val="002549A2"/>
    <w:rsid w:val="0025513B"/>
    <w:rsid w:val="002632DB"/>
    <w:rsid w:val="0027288B"/>
    <w:rsid w:val="00273746"/>
    <w:rsid w:val="00274A73"/>
    <w:rsid w:val="00275612"/>
    <w:rsid w:val="00276400"/>
    <w:rsid w:val="002817B5"/>
    <w:rsid w:val="0029312C"/>
    <w:rsid w:val="00293743"/>
    <w:rsid w:val="00295D6B"/>
    <w:rsid w:val="002968FF"/>
    <w:rsid w:val="002970A0"/>
    <w:rsid w:val="002A042A"/>
    <w:rsid w:val="002A319A"/>
    <w:rsid w:val="002B4148"/>
    <w:rsid w:val="002B5C79"/>
    <w:rsid w:val="002C4334"/>
    <w:rsid w:val="002D2DFE"/>
    <w:rsid w:val="002D5FBD"/>
    <w:rsid w:val="002E190F"/>
    <w:rsid w:val="002E3C9C"/>
    <w:rsid w:val="002E5BED"/>
    <w:rsid w:val="002F7945"/>
    <w:rsid w:val="003000FC"/>
    <w:rsid w:val="00300F35"/>
    <w:rsid w:val="00302936"/>
    <w:rsid w:val="00304E3E"/>
    <w:rsid w:val="00313D33"/>
    <w:rsid w:val="00316F54"/>
    <w:rsid w:val="00320BA5"/>
    <w:rsid w:val="00322B76"/>
    <w:rsid w:val="00323515"/>
    <w:rsid w:val="003258DF"/>
    <w:rsid w:val="0032631B"/>
    <w:rsid w:val="003643E1"/>
    <w:rsid w:val="00371C88"/>
    <w:rsid w:val="0037487F"/>
    <w:rsid w:val="00382724"/>
    <w:rsid w:val="00392E23"/>
    <w:rsid w:val="003931E5"/>
    <w:rsid w:val="00397ADA"/>
    <w:rsid w:val="003A29D3"/>
    <w:rsid w:val="003A2C5A"/>
    <w:rsid w:val="003A6247"/>
    <w:rsid w:val="003C0FF3"/>
    <w:rsid w:val="003C6825"/>
    <w:rsid w:val="003D2769"/>
    <w:rsid w:val="003D5CAB"/>
    <w:rsid w:val="003E020F"/>
    <w:rsid w:val="003E060C"/>
    <w:rsid w:val="003E2C5C"/>
    <w:rsid w:val="003E4F79"/>
    <w:rsid w:val="003F00CF"/>
    <w:rsid w:val="003F0FDD"/>
    <w:rsid w:val="003F2391"/>
    <w:rsid w:val="003F4B9D"/>
    <w:rsid w:val="0040179A"/>
    <w:rsid w:val="00402FA5"/>
    <w:rsid w:val="00413C9B"/>
    <w:rsid w:val="00414F90"/>
    <w:rsid w:val="00415960"/>
    <w:rsid w:val="00417918"/>
    <w:rsid w:val="00420E5D"/>
    <w:rsid w:val="00421250"/>
    <w:rsid w:val="004244B2"/>
    <w:rsid w:val="00432A7C"/>
    <w:rsid w:val="00433EC9"/>
    <w:rsid w:val="00435924"/>
    <w:rsid w:val="00441D9E"/>
    <w:rsid w:val="00450216"/>
    <w:rsid w:val="00463756"/>
    <w:rsid w:val="00465EDA"/>
    <w:rsid w:val="004768EC"/>
    <w:rsid w:val="0047762E"/>
    <w:rsid w:val="00480A0F"/>
    <w:rsid w:val="004813F1"/>
    <w:rsid w:val="00482A85"/>
    <w:rsid w:val="00492ABF"/>
    <w:rsid w:val="00492B53"/>
    <w:rsid w:val="004A144C"/>
    <w:rsid w:val="004A3DB7"/>
    <w:rsid w:val="004B1D56"/>
    <w:rsid w:val="004E4342"/>
    <w:rsid w:val="004F0892"/>
    <w:rsid w:val="004F2891"/>
    <w:rsid w:val="00501292"/>
    <w:rsid w:val="0050131D"/>
    <w:rsid w:val="005117E9"/>
    <w:rsid w:val="00514845"/>
    <w:rsid w:val="005207C8"/>
    <w:rsid w:val="00520C1F"/>
    <w:rsid w:val="00523100"/>
    <w:rsid w:val="005233C2"/>
    <w:rsid w:val="005319E8"/>
    <w:rsid w:val="00533A14"/>
    <w:rsid w:val="00534DBB"/>
    <w:rsid w:val="00537007"/>
    <w:rsid w:val="00544697"/>
    <w:rsid w:val="005523F4"/>
    <w:rsid w:val="00572D05"/>
    <w:rsid w:val="0057533A"/>
    <w:rsid w:val="00577067"/>
    <w:rsid w:val="005845E4"/>
    <w:rsid w:val="00591B34"/>
    <w:rsid w:val="005A48CC"/>
    <w:rsid w:val="005B4A53"/>
    <w:rsid w:val="005C57FB"/>
    <w:rsid w:val="005C7A5D"/>
    <w:rsid w:val="005D1D88"/>
    <w:rsid w:val="005D531A"/>
    <w:rsid w:val="005D54B9"/>
    <w:rsid w:val="005E2402"/>
    <w:rsid w:val="005E56D4"/>
    <w:rsid w:val="005F0B36"/>
    <w:rsid w:val="005F4C10"/>
    <w:rsid w:val="00625DA4"/>
    <w:rsid w:val="00626B37"/>
    <w:rsid w:val="0062737E"/>
    <w:rsid w:val="00627E92"/>
    <w:rsid w:val="00636FA3"/>
    <w:rsid w:val="006451BF"/>
    <w:rsid w:val="006463D1"/>
    <w:rsid w:val="0064776B"/>
    <w:rsid w:val="00647C7E"/>
    <w:rsid w:val="00647C93"/>
    <w:rsid w:val="00647FB7"/>
    <w:rsid w:val="00650035"/>
    <w:rsid w:val="0066036E"/>
    <w:rsid w:val="0066230A"/>
    <w:rsid w:val="006708B4"/>
    <w:rsid w:val="00671FE2"/>
    <w:rsid w:val="00681C7E"/>
    <w:rsid w:val="00690CC4"/>
    <w:rsid w:val="0069762A"/>
    <w:rsid w:val="00697A87"/>
    <w:rsid w:val="006B0ECD"/>
    <w:rsid w:val="006B5DCE"/>
    <w:rsid w:val="006B5E3A"/>
    <w:rsid w:val="006C7A35"/>
    <w:rsid w:val="006D659D"/>
    <w:rsid w:val="006E709C"/>
    <w:rsid w:val="006F4878"/>
    <w:rsid w:val="0070061C"/>
    <w:rsid w:val="00700D95"/>
    <w:rsid w:val="00702CF0"/>
    <w:rsid w:val="007151D2"/>
    <w:rsid w:val="00720801"/>
    <w:rsid w:val="00723E9A"/>
    <w:rsid w:val="0073452C"/>
    <w:rsid w:val="007377B3"/>
    <w:rsid w:val="007423DB"/>
    <w:rsid w:val="0074494D"/>
    <w:rsid w:val="00744E87"/>
    <w:rsid w:val="007568A7"/>
    <w:rsid w:val="00761036"/>
    <w:rsid w:val="00761772"/>
    <w:rsid w:val="007743CF"/>
    <w:rsid w:val="00775BC4"/>
    <w:rsid w:val="007A2A9F"/>
    <w:rsid w:val="007A58E7"/>
    <w:rsid w:val="007A74B0"/>
    <w:rsid w:val="007B077D"/>
    <w:rsid w:val="007C6957"/>
    <w:rsid w:val="007C6EDF"/>
    <w:rsid w:val="007C75C1"/>
    <w:rsid w:val="007D32A7"/>
    <w:rsid w:val="007D501B"/>
    <w:rsid w:val="007E0E2F"/>
    <w:rsid w:val="007E100F"/>
    <w:rsid w:val="007E1EAA"/>
    <w:rsid w:val="007E2993"/>
    <w:rsid w:val="007E2F0F"/>
    <w:rsid w:val="007E51BB"/>
    <w:rsid w:val="007F1220"/>
    <w:rsid w:val="007F1AA1"/>
    <w:rsid w:val="007F1EA9"/>
    <w:rsid w:val="007F7D9E"/>
    <w:rsid w:val="00816191"/>
    <w:rsid w:val="0081735F"/>
    <w:rsid w:val="00820104"/>
    <w:rsid w:val="008203D5"/>
    <w:rsid w:val="008211AB"/>
    <w:rsid w:val="00824544"/>
    <w:rsid w:val="00826A31"/>
    <w:rsid w:val="00831068"/>
    <w:rsid w:val="008339FD"/>
    <w:rsid w:val="00840B62"/>
    <w:rsid w:val="00840F78"/>
    <w:rsid w:val="008457D5"/>
    <w:rsid w:val="0084795E"/>
    <w:rsid w:val="0085259B"/>
    <w:rsid w:val="00852BF5"/>
    <w:rsid w:val="00854DC5"/>
    <w:rsid w:val="00862158"/>
    <w:rsid w:val="00863FBE"/>
    <w:rsid w:val="00864DE9"/>
    <w:rsid w:val="00865D8F"/>
    <w:rsid w:val="00871C82"/>
    <w:rsid w:val="0087315A"/>
    <w:rsid w:val="00877D1B"/>
    <w:rsid w:val="00881E23"/>
    <w:rsid w:val="00882A4D"/>
    <w:rsid w:val="00886599"/>
    <w:rsid w:val="00895A83"/>
    <w:rsid w:val="008A2D13"/>
    <w:rsid w:val="008A75C9"/>
    <w:rsid w:val="008B2653"/>
    <w:rsid w:val="008B2F9C"/>
    <w:rsid w:val="008B6FFD"/>
    <w:rsid w:val="008C17E3"/>
    <w:rsid w:val="008C47A0"/>
    <w:rsid w:val="008C6DCC"/>
    <w:rsid w:val="008C7D8E"/>
    <w:rsid w:val="008D12F3"/>
    <w:rsid w:val="008D5879"/>
    <w:rsid w:val="008E28EA"/>
    <w:rsid w:val="008E4989"/>
    <w:rsid w:val="00904848"/>
    <w:rsid w:val="009051EA"/>
    <w:rsid w:val="0092093D"/>
    <w:rsid w:val="009266BA"/>
    <w:rsid w:val="00936C68"/>
    <w:rsid w:val="00941C1B"/>
    <w:rsid w:val="009450B2"/>
    <w:rsid w:val="00946011"/>
    <w:rsid w:val="009523C7"/>
    <w:rsid w:val="0095607B"/>
    <w:rsid w:val="00966BCD"/>
    <w:rsid w:val="00972A50"/>
    <w:rsid w:val="00973BE4"/>
    <w:rsid w:val="00977794"/>
    <w:rsid w:val="009803D2"/>
    <w:rsid w:val="00980E84"/>
    <w:rsid w:val="009903C7"/>
    <w:rsid w:val="00991FAC"/>
    <w:rsid w:val="00995BF8"/>
    <w:rsid w:val="009A1B29"/>
    <w:rsid w:val="009A2687"/>
    <w:rsid w:val="009A2A8D"/>
    <w:rsid w:val="009A7127"/>
    <w:rsid w:val="009B0ABA"/>
    <w:rsid w:val="009B4CBC"/>
    <w:rsid w:val="009B6BD2"/>
    <w:rsid w:val="009B715A"/>
    <w:rsid w:val="009C1C4D"/>
    <w:rsid w:val="009D3774"/>
    <w:rsid w:val="009D6B59"/>
    <w:rsid w:val="009E17B3"/>
    <w:rsid w:val="009E1B8F"/>
    <w:rsid w:val="009F234C"/>
    <w:rsid w:val="009F3A2E"/>
    <w:rsid w:val="009F560E"/>
    <w:rsid w:val="00A01A9A"/>
    <w:rsid w:val="00A10689"/>
    <w:rsid w:val="00A14938"/>
    <w:rsid w:val="00A14E13"/>
    <w:rsid w:val="00A20ACB"/>
    <w:rsid w:val="00A22053"/>
    <w:rsid w:val="00A23647"/>
    <w:rsid w:val="00A269E5"/>
    <w:rsid w:val="00A270DA"/>
    <w:rsid w:val="00A30DC5"/>
    <w:rsid w:val="00A34438"/>
    <w:rsid w:val="00A43BE9"/>
    <w:rsid w:val="00A45447"/>
    <w:rsid w:val="00A526E3"/>
    <w:rsid w:val="00A55A8F"/>
    <w:rsid w:val="00A62CE3"/>
    <w:rsid w:val="00A64AA7"/>
    <w:rsid w:val="00A65372"/>
    <w:rsid w:val="00A71A07"/>
    <w:rsid w:val="00A80DCE"/>
    <w:rsid w:val="00A8680C"/>
    <w:rsid w:val="00A906B6"/>
    <w:rsid w:val="00A9120A"/>
    <w:rsid w:val="00A97C8E"/>
    <w:rsid w:val="00AA0B91"/>
    <w:rsid w:val="00AA54D4"/>
    <w:rsid w:val="00AA6EC2"/>
    <w:rsid w:val="00AB1823"/>
    <w:rsid w:val="00AB1C9D"/>
    <w:rsid w:val="00AB300B"/>
    <w:rsid w:val="00AB7997"/>
    <w:rsid w:val="00AC7A97"/>
    <w:rsid w:val="00AD07B8"/>
    <w:rsid w:val="00AD19C6"/>
    <w:rsid w:val="00AD2F73"/>
    <w:rsid w:val="00AD2F98"/>
    <w:rsid w:val="00AD3D02"/>
    <w:rsid w:val="00AE1401"/>
    <w:rsid w:val="00AE482C"/>
    <w:rsid w:val="00AF4C17"/>
    <w:rsid w:val="00B003F2"/>
    <w:rsid w:val="00B14835"/>
    <w:rsid w:val="00B41D85"/>
    <w:rsid w:val="00B43E5A"/>
    <w:rsid w:val="00B45C1D"/>
    <w:rsid w:val="00B47DF0"/>
    <w:rsid w:val="00B51ACC"/>
    <w:rsid w:val="00B5283A"/>
    <w:rsid w:val="00B5337D"/>
    <w:rsid w:val="00B5358D"/>
    <w:rsid w:val="00B55776"/>
    <w:rsid w:val="00B72796"/>
    <w:rsid w:val="00B77CFE"/>
    <w:rsid w:val="00B8372A"/>
    <w:rsid w:val="00B8452E"/>
    <w:rsid w:val="00B91D8A"/>
    <w:rsid w:val="00B92EE4"/>
    <w:rsid w:val="00B94A65"/>
    <w:rsid w:val="00B9782F"/>
    <w:rsid w:val="00BA0C5E"/>
    <w:rsid w:val="00BA7E4F"/>
    <w:rsid w:val="00BB4FF1"/>
    <w:rsid w:val="00BC1099"/>
    <w:rsid w:val="00BC73D6"/>
    <w:rsid w:val="00BD316C"/>
    <w:rsid w:val="00BD6032"/>
    <w:rsid w:val="00BE4C60"/>
    <w:rsid w:val="00BF1C53"/>
    <w:rsid w:val="00BF7667"/>
    <w:rsid w:val="00C02158"/>
    <w:rsid w:val="00C03D53"/>
    <w:rsid w:val="00C0696B"/>
    <w:rsid w:val="00C1018A"/>
    <w:rsid w:val="00C14244"/>
    <w:rsid w:val="00C15C04"/>
    <w:rsid w:val="00C16588"/>
    <w:rsid w:val="00C2551A"/>
    <w:rsid w:val="00C25B4C"/>
    <w:rsid w:val="00C2650C"/>
    <w:rsid w:val="00C3323E"/>
    <w:rsid w:val="00C4077C"/>
    <w:rsid w:val="00C424B1"/>
    <w:rsid w:val="00C46028"/>
    <w:rsid w:val="00C477D0"/>
    <w:rsid w:val="00C5089F"/>
    <w:rsid w:val="00C5105F"/>
    <w:rsid w:val="00C73F6E"/>
    <w:rsid w:val="00C75F40"/>
    <w:rsid w:val="00C8043C"/>
    <w:rsid w:val="00C84770"/>
    <w:rsid w:val="00C857C3"/>
    <w:rsid w:val="00C873ED"/>
    <w:rsid w:val="00C92B27"/>
    <w:rsid w:val="00CA4961"/>
    <w:rsid w:val="00CB7F1D"/>
    <w:rsid w:val="00CC62D7"/>
    <w:rsid w:val="00CD0044"/>
    <w:rsid w:val="00D07BDD"/>
    <w:rsid w:val="00D116B6"/>
    <w:rsid w:val="00D125CD"/>
    <w:rsid w:val="00D13044"/>
    <w:rsid w:val="00D13FD8"/>
    <w:rsid w:val="00D14F1D"/>
    <w:rsid w:val="00D40581"/>
    <w:rsid w:val="00D4219E"/>
    <w:rsid w:val="00D427A9"/>
    <w:rsid w:val="00D44AA1"/>
    <w:rsid w:val="00D73D3D"/>
    <w:rsid w:val="00D76F3B"/>
    <w:rsid w:val="00D8007C"/>
    <w:rsid w:val="00D84689"/>
    <w:rsid w:val="00D84ECA"/>
    <w:rsid w:val="00D92384"/>
    <w:rsid w:val="00D94E9E"/>
    <w:rsid w:val="00D96EF1"/>
    <w:rsid w:val="00DB79EF"/>
    <w:rsid w:val="00DC1160"/>
    <w:rsid w:val="00DD0C1E"/>
    <w:rsid w:val="00DD39EE"/>
    <w:rsid w:val="00DD61F6"/>
    <w:rsid w:val="00DE4798"/>
    <w:rsid w:val="00DE6B2B"/>
    <w:rsid w:val="00E05382"/>
    <w:rsid w:val="00E077AE"/>
    <w:rsid w:val="00E07A02"/>
    <w:rsid w:val="00E1337E"/>
    <w:rsid w:val="00E134ED"/>
    <w:rsid w:val="00E217F2"/>
    <w:rsid w:val="00E26832"/>
    <w:rsid w:val="00E27CC7"/>
    <w:rsid w:val="00E34E20"/>
    <w:rsid w:val="00E36A69"/>
    <w:rsid w:val="00E46FFF"/>
    <w:rsid w:val="00E641DF"/>
    <w:rsid w:val="00E72C2E"/>
    <w:rsid w:val="00E737FF"/>
    <w:rsid w:val="00E743BC"/>
    <w:rsid w:val="00E87A1D"/>
    <w:rsid w:val="00E97A9C"/>
    <w:rsid w:val="00EA34F3"/>
    <w:rsid w:val="00EA3F06"/>
    <w:rsid w:val="00EA4F60"/>
    <w:rsid w:val="00EA6C36"/>
    <w:rsid w:val="00EC471D"/>
    <w:rsid w:val="00EC532E"/>
    <w:rsid w:val="00EC6DD2"/>
    <w:rsid w:val="00EE409B"/>
    <w:rsid w:val="00EE5A6B"/>
    <w:rsid w:val="00EE62F2"/>
    <w:rsid w:val="00EF346E"/>
    <w:rsid w:val="00EF77A5"/>
    <w:rsid w:val="00F02B36"/>
    <w:rsid w:val="00F030FB"/>
    <w:rsid w:val="00F04315"/>
    <w:rsid w:val="00F07F96"/>
    <w:rsid w:val="00F13BAC"/>
    <w:rsid w:val="00F2189B"/>
    <w:rsid w:val="00F22462"/>
    <w:rsid w:val="00F24369"/>
    <w:rsid w:val="00F24B24"/>
    <w:rsid w:val="00F30091"/>
    <w:rsid w:val="00F34BA2"/>
    <w:rsid w:val="00F37EF3"/>
    <w:rsid w:val="00F40D17"/>
    <w:rsid w:val="00F417F7"/>
    <w:rsid w:val="00F419D8"/>
    <w:rsid w:val="00F44CF3"/>
    <w:rsid w:val="00F45058"/>
    <w:rsid w:val="00F46B51"/>
    <w:rsid w:val="00F53630"/>
    <w:rsid w:val="00F56133"/>
    <w:rsid w:val="00F65122"/>
    <w:rsid w:val="00F95703"/>
    <w:rsid w:val="00F976F8"/>
    <w:rsid w:val="00FA41C6"/>
    <w:rsid w:val="00FB3C2D"/>
    <w:rsid w:val="00FB5D24"/>
    <w:rsid w:val="00FC3817"/>
    <w:rsid w:val="00FC49CB"/>
    <w:rsid w:val="00FD4B1C"/>
    <w:rsid w:val="00FD793B"/>
    <w:rsid w:val="00FE3576"/>
    <w:rsid w:val="00FF4CA9"/>
    <w:rsid w:val="00FF7D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DA778"/>
  <w15:chartTrackingRefBased/>
  <w15:docId w15:val="{5185EDAF-96DF-458C-A60C-56F285FAB7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2"/>
        <w:lang w:val="en-GB" w:eastAsia="en-US" w:bidi="ar-SA"/>
      </w:rPr>
    </w:rPrDefault>
    <w:pPrDefault>
      <w:pPr>
        <w:spacing w:after="160" w:line="259" w:lineRule="auto"/>
        <w:ind w:right="96"/>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22462"/>
    <w:pPr>
      <w:autoSpaceDE w:val="0"/>
      <w:autoSpaceDN w:val="0"/>
      <w:adjustRightInd w:val="0"/>
      <w:spacing w:after="0" w:line="240" w:lineRule="auto"/>
      <w:ind w:right="0"/>
      <w:jc w:val="left"/>
    </w:pPr>
    <w:rPr>
      <w:rFonts w:ascii="Code" w:hAnsi="Code" w:cs="Code"/>
      <w:color w:val="000000"/>
      <w:szCs w:val="24"/>
    </w:rPr>
  </w:style>
  <w:style w:type="paragraph" w:styleId="FootnoteText">
    <w:name w:val="footnote text"/>
    <w:basedOn w:val="Normal"/>
    <w:link w:val="FootnoteTextChar"/>
    <w:uiPriority w:val="99"/>
    <w:semiHidden/>
    <w:unhideWhenUsed/>
    <w:rsid w:val="007D32A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D32A7"/>
    <w:rPr>
      <w:sz w:val="20"/>
      <w:szCs w:val="20"/>
    </w:rPr>
  </w:style>
  <w:style w:type="character" w:styleId="FootnoteReference">
    <w:name w:val="footnote reference"/>
    <w:basedOn w:val="DefaultParagraphFont"/>
    <w:uiPriority w:val="99"/>
    <w:semiHidden/>
    <w:unhideWhenUsed/>
    <w:rsid w:val="007D32A7"/>
    <w:rPr>
      <w:vertAlign w:val="superscript"/>
    </w:rPr>
  </w:style>
  <w:style w:type="character" w:customStyle="1" w:styleId="bibliographicauthorname">
    <w:name w:val="bibliographicauthorname"/>
    <w:basedOn w:val="DefaultParagraphFont"/>
    <w:rsid w:val="005207C8"/>
  </w:style>
  <w:style w:type="character" w:customStyle="1" w:styleId="translators">
    <w:name w:val="translators"/>
    <w:basedOn w:val="DefaultParagraphFont"/>
    <w:rsid w:val="005207C8"/>
  </w:style>
  <w:style w:type="character" w:customStyle="1" w:styleId="contributorname">
    <w:name w:val="contributorname"/>
    <w:basedOn w:val="DefaultParagraphFont"/>
    <w:rsid w:val="005207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E20DEB76-3F4D-4338-9F0E-16A07357F9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9317</TotalTime>
  <Pages>8</Pages>
  <Words>2577</Words>
  <Characters>14692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Rory Butcher</dc:creator>
  <cp:keywords/>
  <dc:description/>
  <cp:lastModifiedBy>Rory Butcher</cp:lastModifiedBy>
  <cp:revision>458</cp:revision>
  <dcterms:created xsi:type="dcterms:W3CDTF">2018-02-15T20:44:00Z</dcterms:created>
  <dcterms:modified xsi:type="dcterms:W3CDTF">2018-03-20T22:01:00Z</dcterms:modified>
</cp:coreProperties>
</file>