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AFDB4" w14:textId="6DDCA7AF" w:rsidR="00982DC1" w:rsidRPr="00997EBF" w:rsidRDefault="00982DC1" w:rsidP="00997EBF">
      <w:pPr>
        <w:spacing w:before="120" w:after="120"/>
        <w:rPr>
          <w:rFonts w:ascii="Candara" w:hAnsi="Candara"/>
          <w:b/>
          <w:color w:val="000000" w:themeColor="text1"/>
        </w:rPr>
      </w:pPr>
      <w:r w:rsidRPr="00997EBF">
        <w:rPr>
          <w:rFonts w:ascii="Candara" w:hAnsi="Candara"/>
          <w:b/>
          <w:color w:val="000000" w:themeColor="text1"/>
        </w:rPr>
        <w:t>Introduction</w:t>
      </w:r>
    </w:p>
    <w:p w14:paraId="4519C95A" w14:textId="3B22D20A" w:rsidR="00982DC1" w:rsidRPr="00997EBF" w:rsidRDefault="00344F2F" w:rsidP="00997EBF">
      <w:pPr>
        <w:spacing w:before="120" w:after="120"/>
        <w:rPr>
          <w:rFonts w:ascii="Candara" w:hAnsi="Candara" w:cs="Arial"/>
          <w:color w:val="000000" w:themeColor="text1"/>
        </w:rPr>
      </w:pPr>
      <w:r w:rsidRPr="00997EBF">
        <w:rPr>
          <w:rFonts w:ascii="Candara" w:hAnsi="Candara"/>
          <w:color w:val="000000" w:themeColor="text1"/>
        </w:rPr>
        <w:t xml:space="preserve">The principle of separation of powers has been acknowledged </w:t>
      </w:r>
      <w:r w:rsidR="00A72005" w:rsidRPr="00997EBF">
        <w:rPr>
          <w:rFonts w:ascii="Candara" w:hAnsi="Candara"/>
          <w:color w:val="000000" w:themeColor="text1"/>
        </w:rPr>
        <w:t>as one of the important aspects of the constitution and the rule of the law in the English law.</w:t>
      </w:r>
      <w:r w:rsidR="00DB0CE9" w:rsidRPr="00997EBF">
        <w:rPr>
          <w:rFonts w:ascii="Candara" w:hAnsi="Candara"/>
          <w:color w:val="000000" w:themeColor="text1"/>
        </w:rPr>
        <w:t xml:space="preserve"> For instance,</w:t>
      </w:r>
      <w:r w:rsidR="00A72005" w:rsidRPr="00997EBF">
        <w:rPr>
          <w:rFonts w:ascii="Candara" w:hAnsi="Candara"/>
          <w:color w:val="000000" w:themeColor="text1"/>
        </w:rPr>
        <w:t xml:space="preserve"> </w:t>
      </w:r>
      <w:r w:rsidR="00DB0CE9" w:rsidRPr="00997EBF">
        <w:rPr>
          <w:rStyle w:val="NoneA"/>
          <w:rFonts w:ascii="Candara" w:hAnsi="Candara" w:cs="Arial"/>
          <w:color w:val="000000" w:themeColor="text1"/>
        </w:rPr>
        <w:t>i</w:t>
      </w:r>
      <w:r w:rsidR="00762229" w:rsidRPr="00997EBF">
        <w:rPr>
          <w:rStyle w:val="NoneA"/>
          <w:rFonts w:ascii="Candara" w:hAnsi="Candara" w:cs="Arial"/>
          <w:color w:val="000000" w:themeColor="text1"/>
        </w:rPr>
        <w:t>n</w:t>
      </w:r>
      <w:r w:rsidR="00762229" w:rsidRPr="00997EBF">
        <w:rPr>
          <w:rFonts w:ascii="Candara" w:hAnsi="Candara" w:cs="Arial"/>
          <w:color w:val="000000" w:themeColor="text1"/>
        </w:rPr>
        <w:t xml:space="preserve"> </w:t>
      </w:r>
      <w:r w:rsidR="00762229" w:rsidRPr="00997EBF">
        <w:rPr>
          <w:rFonts w:ascii="Candara" w:hAnsi="Candara" w:cs="Arial"/>
          <w:i/>
          <w:iCs/>
          <w:color w:val="000000" w:themeColor="text1"/>
        </w:rPr>
        <w:t>DPP of Jamaica v Mollison</w:t>
      </w:r>
      <w:r w:rsidR="000B0EBC" w:rsidRPr="00997EBF">
        <w:rPr>
          <w:rFonts w:ascii="Candara" w:hAnsi="Candara" w:cs="Arial"/>
          <w:i/>
          <w:iCs/>
          <w:color w:val="000000" w:themeColor="text1"/>
        </w:rPr>
        <w:t xml:space="preserve"> </w:t>
      </w:r>
      <w:r w:rsidR="00762229" w:rsidRPr="00997EBF">
        <w:rPr>
          <w:rFonts w:ascii="Candara" w:hAnsi="Candara" w:cs="Arial"/>
          <w:iCs/>
          <w:color w:val="000000" w:themeColor="text1"/>
        </w:rPr>
        <w:t xml:space="preserve">the strict separation of powers between the </w:t>
      </w:r>
      <w:r w:rsidR="00762229" w:rsidRPr="00997EBF">
        <w:rPr>
          <w:rFonts w:ascii="Candara" w:hAnsi="Candara" w:cs="Arial"/>
          <w:color w:val="000000" w:themeColor="text1"/>
        </w:rPr>
        <w:t>judiciary and legislature was accepted by the court as one of the important aspects of the English legal system</w:t>
      </w:r>
      <w:r w:rsidR="000B0EBC" w:rsidRPr="00997EBF">
        <w:rPr>
          <w:rFonts w:ascii="Candara" w:hAnsi="Candara" w:cs="Arial"/>
          <w:color w:val="000000" w:themeColor="text1"/>
        </w:rPr>
        <w:t xml:space="preserve"> </w:t>
      </w:r>
      <w:sdt>
        <w:sdtPr>
          <w:rPr>
            <w:rFonts w:ascii="Candara" w:hAnsi="Candara" w:cs="Arial"/>
            <w:color w:val="000000" w:themeColor="text1"/>
          </w:rPr>
          <w:id w:val="56445020"/>
          <w:citation/>
        </w:sdtPr>
        <w:sdtEndPr/>
        <w:sdtContent>
          <w:r w:rsidR="000B0EBC" w:rsidRPr="00997EBF">
            <w:rPr>
              <w:rFonts w:ascii="Candara" w:hAnsi="Candara" w:cs="Arial"/>
              <w:color w:val="000000" w:themeColor="text1"/>
            </w:rPr>
            <w:fldChar w:fldCharType="begin"/>
          </w:r>
          <w:r w:rsidR="000B0EBC" w:rsidRPr="00997EBF">
            <w:rPr>
              <w:rFonts w:ascii="Candara" w:hAnsi="Candara" w:cs="Arial"/>
              <w:color w:val="000000" w:themeColor="text1"/>
              <w:lang w:val="en-US"/>
            </w:rPr>
            <w:instrText xml:space="preserve"> CITATION DPP03 \l 1033 </w:instrText>
          </w:r>
          <w:r w:rsidR="000B0EBC" w:rsidRPr="00997EBF">
            <w:rPr>
              <w:rFonts w:ascii="Candara" w:hAnsi="Candara" w:cs="Arial"/>
              <w:color w:val="000000" w:themeColor="text1"/>
            </w:rPr>
            <w:fldChar w:fldCharType="separate"/>
          </w:r>
          <w:r w:rsidR="000B0EBC" w:rsidRPr="00997EBF">
            <w:rPr>
              <w:rFonts w:ascii="Candara" w:hAnsi="Candara" w:cs="Arial"/>
              <w:noProof/>
              <w:color w:val="000000" w:themeColor="text1"/>
              <w:lang w:val="en-US"/>
            </w:rPr>
            <w:t>(DPP v Mollison [2003] 2 AC, 2003)</w:t>
          </w:r>
          <w:r w:rsidR="000B0EBC" w:rsidRPr="00997EBF">
            <w:rPr>
              <w:rFonts w:ascii="Candara" w:hAnsi="Candara" w:cs="Arial"/>
              <w:color w:val="000000" w:themeColor="text1"/>
            </w:rPr>
            <w:fldChar w:fldCharType="end"/>
          </w:r>
        </w:sdtContent>
      </w:sdt>
      <w:r w:rsidR="00762229" w:rsidRPr="00997EBF">
        <w:rPr>
          <w:rFonts w:ascii="Candara" w:hAnsi="Candara" w:cs="Arial"/>
          <w:color w:val="000000" w:themeColor="text1"/>
        </w:rPr>
        <w:t>.</w:t>
      </w:r>
      <w:r w:rsidR="000B0EBC" w:rsidRPr="00997EBF">
        <w:rPr>
          <w:rFonts w:ascii="Candara" w:hAnsi="Candara" w:cs="Arial"/>
          <w:color w:val="000000" w:themeColor="text1"/>
        </w:rPr>
        <w:t xml:space="preserve"> </w:t>
      </w:r>
      <w:r w:rsidR="00A72005" w:rsidRPr="00997EBF">
        <w:rPr>
          <w:rFonts w:ascii="Candara" w:hAnsi="Candara"/>
          <w:color w:val="000000" w:themeColor="text1"/>
        </w:rPr>
        <w:t xml:space="preserve">With regard to this, the 2006-07 report on Constitution by the </w:t>
      </w:r>
      <w:r w:rsidR="00D72D78" w:rsidRPr="00997EBF">
        <w:rPr>
          <w:rFonts w:ascii="Candara" w:hAnsi="Candara"/>
          <w:color w:val="000000" w:themeColor="text1"/>
        </w:rPr>
        <w:t>Select Committee clearly emphasised that although the character of the relationships has changed because of changes in governance and wider societal change, “</w:t>
      </w:r>
      <w:r w:rsidR="00982DC1" w:rsidRPr="00997EBF">
        <w:rPr>
          <w:rFonts w:ascii="Candara" w:hAnsi="Candara"/>
          <w:color w:val="000000" w:themeColor="text1"/>
        </w:rPr>
        <w:t>Constructive relationships between the three arms of government—the executive, the legislature and the judiciary—are essential to the effective maintenance of the constitution and the rule of law</w:t>
      </w:r>
      <w:r w:rsidR="000B0EBC" w:rsidRPr="00997EBF">
        <w:rPr>
          <w:rFonts w:ascii="Candara" w:hAnsi="Candara"/>
          <w:color w:val="000000" w:themeColor="text1"/>
        </w:rPr>
        <w:t>”</w:t>
      </w:r>
      <w:r w:rsidR="00125207" w:rsidRPr="00997EBF">
        <w:rPr>
          <w:rFonts w:ascii="Candara" w:hAnsi="Candara"/>
          <w:color w:val="000000" w:themeColor="text1"/>
        </w:rPr>
        <w:t xml:space="preserve"> </w:t>
      </w:r>
      <w:sdt>
        <w:sdtPr>
          <w:rPr>
            <w:rFonts w:ascii="Candara" w:hAnsi="Candara"/>
            <w:color w:val="000000" w:themeColor="text1"/>
          </w:rPr>
          <w:id w:val="-1546063756"/>
          <w:citation/>
        </w:sdtPr>
        <w:sdtEndPr/>
        <w:sdtContent>
          <w:r w:rsidR="00125207" w:rsidRPr="00997EBF">
            <w:rPr>
              <w:rFonts w:ascii="Candara" w:hAnsi="Candara"/>
              <w:color w:val="000000" w:themeColor="text1"/>
            </w:rPr>
            <w:fldChar w:fldCharType="begin"/>
          </w:r>
          <w:r w:rsidR="00900C96" w:rsidRPr="00997EBF">
            <w:rPr>
              <w:rFonts w:ascii="Candara" w:hAnsi="Candara"/>
              <w:color w:val="000000" w:themeColor="text1"/>
              <w:lang w:val="en-US"/>
            </w:rPr>
            <w:instrText xml:space="preserve">CITATION Hou07 \p 1 \l 1033 </w:instrText>
          </w:r>
          <w:r w:rsidR="00125207" w:rsidRPr="00997EBF">
            <w:rPr>
              <w:rFonts w:ascii="Candara" w:hAnsi="Candara"/>
              <w:color w:val="000000" w:themeColor="text1"/>
            </w:rPr>
            <w:fldChar w:fldCharType="separate"/>
          </w:r>
          <w:r w:rsidR="00900C96" w:rsidRPr="00997EBF">
            <w:rPr>
              <w:rFonts w:ascii="Candara" w:hAnsi="Candara"/>
              <w:noProof/>
              <w:color w:val="000000" w:themeColor="text1"/>
              <w:lang w:val="en-US"/>
            </w:rPr>
            <w:t>(House of Lords, 2007, p. 1)</w:t>
          </w:r>
          <w:r w:rsidR="00125207" w:rsidRPr="00997EBF">
            <w:rPr>
              <w:rFonts w:ascii="Candara" w:hAnsi="Candara"/>
              <w:color w:val="000000" w:themeColor="text1"/>
            </w:rPr>
            <w:fldChar w:fldCharType="end"/>
          </w:r>
        </w:sdtContent>
      </w:sdt>
      <w:r w:rsidR="00125207" w:rsidRPr="00997EBF">
        <w:rPr>
          <w:rFonts w:ascii="Candara" w:hAnsi="Candara"/>
          <w:color w:val="000000" w:themeColor="text1"/>
        </w:rPr>
        <w:t>.</w:t>
      </w:r>
      <w:r w:rsidR="00982DC1" w:rsidRPr="00997EBF">
        <w:rPr>
          <w:rFonts w:ascii="Candara" w:hAnsi="Candara"/>
          <w:color w:val="000000" w:themeColor="text1"/>
        </w:rPr>
        <w:t xml:space="preserve"> </w:t>
      </w:r>
      <w:r w:rsidR="00900C96" w:rsidRPr="00997EBF">
        <w:rPr>
          <w:rFonts w:ascii="Candara" w:hAnsi="Candara"/>
          <w:color w:val="000000" w:themeColor="text1"/>
        </w:rPr>
        <w:t xml:space="preserve">This essay critically engages with the </w:t>
      </w:r>
      <w:r w:rsidR="00982DC1" w:rsidRPr="00997EBF">
        <w:rPr>
          <w:rFonts w:ascii="Candara" w:hAnsi="Candara"/>
          <w:color w:val="000000" w:themeColor="text1"/>
        </w:rPr>
        <w:t xml:space="preserve">relationship between the Legislature and the Executive </w:t>
      </w:r>
      <w:r w:rsidR="00900C96" w:rsidRPr="00997EBF">
        <w:rPr>
          <w:rFonts w:ascii="Candara" w:hAnsi="Candara"/>
          <w:color w:val="000000" w:themeColor="text1"/>
        </w:rPr>
        <w:t>in the context of how far this reflects the application of</w:t>
      </w:r>
      <w:r w:rsidR="00982DC1" w:rsidRPr="00997EBF">
        <w:rPr>
          <w:rFonts w:ascii="Candara" w:hAnsi="Candara"/>
          <w:color w:val="000000" w:themeColor="text1"/>
        </w:rPr>
        <w:t xml:space="preserve"> the separation of powers theory</w:t>
      </w:r>
      <w:r w:rsidRPr="00997EBF">
        <w:rPr>
          <w:rFonts w:ascii="Candara" w:hAnsi="Candara"/>
          <w:color w:val="000000" w:themeColor="text1"/>
        </w:rPr>
        <w:t xml:space="preserve"> in the UK. </w:t>
      </w:r>
    </w:p>
    <w:p w14:paraId="3D0F08D1" w14:textId="349844B9" w:rsidR="00374CF0" w:rsidRPr="00997EBF" w:rsidRDefault="00480F7E" w:rsidP="00997EBF">
      <w:pPr>
        <w:spacing w:before="120" w:after="120"/>
        <w:rPr>
          <w:rFonts w:ascii="Candara" w:hAnsi="Candara"/>
          <w:b/>
          <w:color w:val="000000" w:themeColor="text1"/>
        </w:rPr>
      </w:pPr>
      <w:r w:rsidRPr="00997EBF">
        <w:rPr>
          <w:rFonts w:ascii="Candara" w:hAnsi="Candara"/>
          <w:b/>
          <w:color w:val="000000" w:themeColor="text1"/>
        </w:rPr>
        <w:t>S</w:t>
      </w:r>
      <w:r w:rsidR="00374CF0" w:rsidRPr="00997EBF">
        <w:rPr>
          <w:rFonts w:ascii="Candara" w:hAnsi="Candara"/>
          <w:b/>
          <w:color w:val="000000" w:themeColor="text1"/>
        </w:rPr>
        <w:t>eparation of powers theory</w:t>
      </w:r>
    </w:p>
    <w:p w14:paraId="35B6B9E7" w14:textId="44DAE819" w:rsidR="00AE5094" w:rsidRPr="00997EBF" w:rsidRDefault="00902C3A" w:rsidP="00997EBF">
      <w:pPr>
        <w:spacing w:before="120" w:after="120"/>
        <w:rPr>
          <w:rFonts w:ascii="Candara" w:hAnsi="Candara"/>
          <w:color w:val="000000" w:themeColor="text1"/>
          <w:lang w:val="en-US"/>
        </w:rPr>
      </w:pPr>
      <w:r w:rsidRPr="00997EBF">
        <w:rPr>
          <w:rFonts w:ascii="Candara" w:hAnsi="Candara"/>
          <w:color w:val="000000" w:themeColor="text1"/>
          <w:lang w:val="en-US"/>
        </w:rPr>
        <w:t>The theory of s</w:t>
      </w:r>
      <w:r w:rsidR="008F6629" w:rsidRPr="00997EBF">
        <w:rPr>
          <w:rFonts w:ascii="Candara" w:hAnsi="Candara"/>
          <w:color w:val="000000" w:themeColor="text1"/>
          <w:lang w:val="en-US"/>
        </w:rPr>
        <w:t xml:space="preserve">eparation of powers </w:t>
      </w:r>
      <w:r w:rsidRPr="00997EBF">
        <w:rPr>
          <w:rFonts w:ascii="Candara" w:hAnsi="Candara"/>
          <w:color w:val="000000" w:themeColor="text1"/>
          <w:lang w:val="en-US"/>
        </w:rPr>
        <w:t>concerns the division of powers between the three organs of the government, namely, the legislature, judiciary, and the executive</w:t>
      </w:r>
      <w:r w:rsidR="00CD0ECA" w:rsidRPr="00997EBF">
        <w:rPr>
          <w:rFonts w:ascii="Candara" w:hAnsi="Candara"/>
          <w:color w:val="000000" w:themeColor="text1"/>
          <w:lang w:val="en-US"/>
        </w:rPr>
        <w:t>, which means that not only are the</w:t>
      </w:r>
      <w:r w:rsidR="008F6629" w:rsidRPr="00997EBF">
        <w:rPr>
          <w:rFonts w:ascii="Candara" w:hAnsi="Candara"/>
          <w:color w:val="000000" w:themeColor="text1"/>
          <w:lang w:val="en-US"/>
        </w:rPr>
        <w:t xml:space="preserve"> functions of the</w:t>
      </w:r>
      <w:r w:rsidR="00CD0ECA" w:rsidRPr="00997EBF">
        <w:rPr>
          <w:rFonts w:ascii="Candara" w:hAnsi="Candara"/>
          <w:color w:val="000000" w:themeColor="text1"/>
          <w:lang w:val="en-US"/>
        </w:rPr>
        <w:t xml:space="preserve"> three</w:t>
      </w:r>
      <w:r w:rsidR="008F6629" w:rsidRPr="00997EBF">
        <w:rPr>
          <w:rFonts w:ascii="Candara" w:hAnsi="Candara"/>
          <w:color w:val="000000" w:themeColor="text1"/>
          <w:lang w:val="en-US"/>
        </w:rPr>
        <w:t xml:space="preserve"> organs </w:t>
      </w:r>
      <w:r w:rsidR="00CD0ECA" w:rsidRPr="00997EBF">
        <w:rPr>
          <w:rFonts w:ascii="Candara" w:hAnsi="Candara"/>
          <w:color w:val="000000" w:themeColor="text1"/>
          <w:lang w:val="en-US"/>
        </w:rPr>
        <w:t xml:space="preserve">separate, but also that one organ </w:t>
      </w:r>
      <w:r w:rsidR="008F6629" w:rsidRPr="00997EBF">
        <w:rPr>
          <w:rFonts w:ascii="Candara" w:hAnsi="Candara"/>
          <w:color w:val="000000" w:themeColor="text1"/>
          <w:lang w:val="en-US"/>
        </w:rPr>
        <w:t xml:space="preserve">cannot interfere </w:t>
      </w:r>
      <w:r w:rsidR="00CD0ECA" w:rsidRPr="00997EBF">
        <w:rPr>
          <w:rFonts w:ascii="Candara" w:hAnsi="Candara"/>
          <w:color w:val="000000" w:themeColor="text1"/>
          <w:lang w:val="en-US"/>
        </w:rPr>
        <w:t>in the domain of the other</w:t>
      </w:r>
      <w:r w:rsidR="008F6629" w:rsidRPr="00997EBF">
        <w:rPr>
          <w:rFonts w:ascii="Candara" w:hAnsi="Candara"/>
          <w:color w:val="000000" w:themeColor="text1"/>
          <w:lang w:val="en-US"/>
        </w:rPr>
        <w:t xml:space="preserve">. </w:t>
      </w:r>
      <w:r w:rsidR="006F3399" w:rsidRPr="00997EBF">
        <w:rPr>
          <w:rFonts w:ascii="Candara" w:hAnsi="Candara"/>
          <w:color w:val="000000" w:themeColor="text1"/>
          <w:lang w:val="en-US"/>
        </w:rPr>
        <w:t xml:space="preserve">Massey has explained the theory of separation of powers in the following manner: first, that the </w:t>
      </w:r>
      <w:r w:rsidR="00AE5094" w:rsidRPr="00997EBF">
        <w:rPr>
          <w:rFonts w:ascii="Candara" w:hAnsi="Candara"/>
        </w:rPr>
        <w:t>same person should not form part of more than one organ</w:t>
      </w:r>
      <w:r w:rsidR="006F3399" w:rsidRPr="00997EBF">
        <w:rPr>
          <w:rFonts w:ascii="Candara" w:hAnsi="Candara"/>
        </w:rPr>
        <w:t xml:space="preserve"> </w:t>
      </w:r>
      <w:r w:rsidR="00AE5094" w:rsidRPr="00997EBF">
        <w:rPr>
          <w:rFonts w:ascii="Candara" w:hAnsi="Candara"/>
        </w:rPr>
        <w:t>of the government</w:t>
      </w:r>
      <w:r w:rsidR="006F3399" w:rsidRPr="00997EBF">
        <w:rPr>
          <w:rFonts w:ascii="Candara" w:hAnsi="Candara"/>
        </w:rPr>
        <w:t>; second, that</w:t>
      </w:r>
      <w:r w:rsidR="00AE5094" w:rsidRPr="00997EBF">
        <w:rPr>
          <w:rFonts w:ascii="Candara" w:hAnsi="Candara"/>
        </w:rPr>
        <w:t xml:space="preserve"> </w:t>
      </w:r>
      <w:r w:rsidR="006F3399" w:rsidRPr="00997EBF">
        <w:rPr>
          <w:rFonts w:ascii="Candara" w:hAnsi="Candara"/>
        </w:rPr>
        <w:t>an</w:t>
      </w:r>
      <w:r w:rsidR="00AE5094" w:rsidRPr="00997EBF">
        <w:rPr>
          <w:rFonts w:ascii="Candara" w:hAnsi="Candara"/>
        </w:rPr>
        <w:t xml:space="preserve"> organ of the government should not interfere with any </w:t>
      </w:r>
      <w:r w:rsidR="006F3399" w:rsidRPr="00997EBF">
        <w:rPr>
          <w:rFonts w:ascii="Candara" w:hAnsi="Candara"/>
        </w:rPr>
        <w:t>another; and third</w:t>
      </w:r>
      <w:r w:rsidR="00AE5094" w:rsidRPr="00997EBF">
        <w:rPr>
          <w:rFonts w:ascii="Candara" w:hAnsi="Candara"/>
        </w:rPr>
        <w:t xml:space="preserve"> </w:t>
      </w:r>
      <w:r w:rsidR="006F3399" w:rsidRPr="00997EBF">
        <w:rPr>
          <w:rFonts w:ascii="Candara" w:hAnsi="Candara"/>
        </w:rPr>
        <w:t xml:space="preserve">an </w:t>
      </w:r>
      <w:r w:rsidR="00AE5094" w:rsidRPr="00997EBF">
        <w:rPr>
          <w:rFonts w:ascii="Candara" w:hAnsi="Candara"/>
        </w:rPr>
        <w:t xml:space="preserve">organ should not exercise the function assigned to </w:t>
      </w:r>
      <w:r w:rsidR="002C0490" w:rsidRPr="00997EBF">
        <w:rPr>
          <w:rFonts w:ascii="Candara" w:hAnsi="Candara"/>
        </w:rPr>
        <w:t xml:space="preserve">another </w:t>
      </w:r>
      <w:sdt>
        <w:sdtPr>
          <w:rPr>
            <w:rFonts w:ascii="Candara" w:hAnsi="Candara"/>
          </w:rPr>
          <w:id w:val="1357468683"/>
          <w:citation/>
        </w:sdtPr>
        <w:sdtEndPr/>
        <w:sdtContent>
          <w:r w:rsidR="002C0490" w:rsidRPr="00997EBF">
            <w:rPr>
              <w:rFonts w:ascii="Candara" w:hAnsi="Candara"/>
            </w:rPr>
            <w:fldChar w:fldCharType="begin"/>
          </w:r>
          <w:r w:rsidR="002C0490" w:rsidRPr="00997EBF">
            <w:rPr>
              <w:rFonts w:ascii="Candara" w:hAnsi="Candara"/>
              <w:lang w:val="en-US"/>
            </w:rPr>
            <w:instrText xml:space="preserve"> CITATION IPM08 \l 1033 </w:instrText>
          </w:r>
          <w:r w:rsidR="002C0490" w:rsidRPr="00997EBF">
            <w:rPr>
              <w:rFonts w:ascii="Candara" w:hAnsi="Candara"/>
            </w:rPr>
            <w:fldChar w:fldCharType="separate"/>
          </w:r>
          <w:r w:rsidR="002C0490" w:rsidRPr="00997EBF">
            <w:rPr>
              <w:rFonts w:ascii="Candara" w:hAnsi="Candara"/>
              <w:noProof/>
              <w:lang w:val="en-US"/>
            </w:rPr>
            <w:t>(Massey, 2008)</w:t>
          </w:r>
          <w:r w:rsidR="002C0490" w:rsidRPr="00997EBF">
            <w:rPr>
              <w:rFonts w:ascii="Candara" w:hAnsi="Candara"/>
            </w:rPr>
            <w:fldChar w:fldCharType="end"/>
          </w:r>
        </w:sdtContent>
      </w:sdt>
      <w:r w:rsidR="00AE5094" w:rsidRPr="00997EBF">
        <w:rPr>
          <w:rFonts w:ascii="Candara" w:hAnsi="Candara"/>
        </w:rPr>
        <w:t>.</w:t>
      </w:r>
    </w:p>
    <w:p w14:paraId="069CD496" w14:textId="1552DD5E" w:rsidR="008F6629" w:rsidRPr="00997EBF" w:rsidRDefault="002A7FC8" w:rsidP="00997EBF">
      <w:pPr>
        <w:spacing w:before="120" w:after="120"/>
        <w:rPr>
          <w:rFonts w:ascii="Candara" w:hAnsi="Candara"/>
          <w:color w:val="000000" w:themeColor="text1"/>
        </w:rPr>
      </w:pPr>
      <w:r w:rsidRPr="00997EBF">
        <w:rPr>
          <w:rFonts w:ascii="Candara" w:hAnsi="Candara"/>
          <w:color w:val="000000" w:themeColor="text1"/>
          <w:lang w:val="en-US"/>
        </w:rPr>
        <w:t xml:space="preserve">It is also significant that in some ways the separation between judiciary and the other two organs is more clearly demarcated than the separation between the legislature and the executive, as is </w:t>
      </w:r>
      <w:r w:rsidR="00BF3265" w:rsidRPr="00997EBF">
        <w:rPr>
          <w:rFonts w:ascii="Candara" w:hAnsi="Candara"/>
          <w:color w:val="000000" w:themeColor="text1"/>
          <w:lang w:val="en-US"/>
        </w:rPr>
        <w:t>reflected in the explanation of the principle given by</w:t>
      </w:r>
      <w:r w:rsidRPr="00997EBF">
        <w:rPr>
          <w:rFonts w:ascii="Candara" w:hAnsi="Candara"/>
          <w:color w:val="000000" w:themeColor="text1"/>
          <w:lang w:val="en-US"/>
        </w:rPr>
        <w:t xml:space="preserve"> </w:t>
      </w:r>
      <w:r w:rsidR="008F6629" w:rsidRPr="00997EBF">
        <w:rPr>
          <w:rFonts w:ascii="Candara" w:hAnsi="Candara"/>
          <w:color w:val="000000" w:themeColor="text1"/>
        </w:rPr>
        <w:t xml:space="preserve">Lord Diplock </w:t>
      </w:r>
      <w:r w:rsidR="00BF3265" w:rsidRPr="00997EBF">
        <w:rPr>
          <w:rFonts w:ascii="Candara" w:hAnsi="Candara"/>
          <w:color w:val="000000" w:themeColor="text1"/>
        </w:rPr>
        <w:t>where he defined separation of powers as a principle by</w:t>
      </w:r>
      <w:r w:rsidR="008F6629" w:rsidRPr="00997EBF">
        <w:rPr>
          <w:rFonts w:ascii="Candara" w:hAnsi="Candara"/>
          <w:color w:val="000000" w:themeColor="text1"/>
        </w:rPr>
        <w:t xml:space="preserve"> which the Parliament makes the law and the judiciary interprets the law</w:t>
      </w:r>
      <w:r w:rsidR="00BF3265" w:rsidRPr="00997EBF">
        <w:rPr>
          <w:rFonts w:ascii="Candara" w:hAnsi="Candara"/>
          <w:color w:val="000000" w:themeColor="text1"/>
        </w:rPr>
        <w:t xml:space="preserve"> </w:t>
      </w:r>
      <w:sdt>
        <w:sdtPr>
          <w:rPr>
            <w:rFonts w:ascii="Candara" w:hAnsi="Candara"/>
            <w:color w:val="000000" w:themeColor="text1"/>
          </w:rPr>
          <w:id w:val="-395356483"/>
          <w:citation/>
        </w:sdtPr>
        <w:sdtEndPr/>
        <w:sdtContent>
          <w:r w:rsidR="00BF3265" w:rsidRPr="00997EBF">
            <w:rPr>
              <w:rFonts w:ascii="Candara" w:hAnsi="Candara"/>
              <w:color w:val="000000" w:themeColor="text1"/>
            </w:rPr>
            <w:fldChar w:fldCharType="begin"/>
          </w:r>
          <w:r w:rsidR="00BF3265" w:rsidRPr="00997EBF">
            <w:rPr>
              <w:rFonts w:ascii="Candara" w:hAnsi="Candara"/>
              <w:color w:val="000000" w:themeColor="text1"/>
              <w:lang w:val="en-US"/>
            </w:rPr>
            <w:instrText xml:space="preserve">CITATION Dup801 \p 157 \l 1033 </w:instrText>
          </w:r>
          <w:r w:rsidR="00BF3265" w:rsidRPr="00997EBF">
            <w:rPr>
              <w:rFonts w:ascii="Candara" w:hAnsi="Candara"/>
              <w:color w:val="000000" w:themeColor="text1"/>
            </w:rPr>
            <w:fldChar w:fldCharType="separate"/>
          </w:r>
          <w:r w:rsidR="00BF3265" w:rsidRPr="00997EBF">
            <w:rPr>
              <w:rFonts w:ascii="Candara" w:hAnsi="Candara"/>
              <w:noProof/>
              <w:color w:val="000000" w:themeColor="text1"/>
              <w:lang w:val="en-US"/>
            </w:rPr>
            <w:t>(Duport Ltd v Sirs [1980] 1 WLR 142, 1980, p. 157)</w:t>
          </w:r>
          <w:r w:rsidR="00BF3265" w:rsidRPr="00997EBF">
            <w:rPr>
              <w:rFonts w:ascii="Candara" w:hAnsi="Candara"/>
              <w:color w:val="000000" w:themeColor="text1"/>
            </w:rPr>
            <w:fldChar w:fldCharType="end"/>
          </w:r>
        </w:sdtContent>
      </w:sdt>
      <w:r w:rsidR="008F6629" w:rsidRPr="00997EBF">
        <w:rPr>
          <w:rFonts w:ascii="Candara" w:hAnsi="Candara"/>
          <w:color w:val="000000" w:themeColor="text1"/>
        </w:rPr>
        <w:t>.</w:t>
      </w:r>
    </w:p>
    <w:p w14:paraId="21D5831F" w14:textId="77777777" w:rsidR="004428C7" w:rsidRPr="00997EBF" w:rsidRDefault="00BF3265" w:rsidP="00997EBF">
      <w:pPr>
        <w:spacing w:before="120" w:after="120"/>
        <w:rPr>
          <w:rFonts w:ascii="Candara" w:hAnsi="Candara"/>
          <w:color w:val="000000" w:themeColor="text1"/>
        </w:rPr>
      </w:pPr>
      <w:r w:rsidRPr="00997EBF">
        <w:rPr>
          <w:rFonts w:ascii="Candara" w:hAnsi="Candara"/>
          <w:color w:val="000000" w:themeColor="text1"/>
          <w:lang w:val="en-US"/>
        </w:rPr>
        <w:t xml:space="preserve">The theory of separation of powers has been related to constitution and considered to be one of the twin constitutional principles (the other being, the rule of law), by Dicey in his work on the English constitutional law </w:t>
      </w:r>
      <w:sdt>
        <w:sdtPr>
          <w:rPr>
            <w:rFonts w:ascii="Candara" w:hAnsi="Candara"/>
            <w:color w:val="000000" w:themeColor="text1"/>
            <w:lang w:val="en-US"/>
          </w:rPr>
          <w:id w:val="1492524791"/>
          <w:citation/>
        </w:sdtPr>
        <w:sdtEndPr/>
        <w:sdtContent>
          <w:r w:rsidRPr="00997EBF">
            <w:rPr>
              <w:rFonts w:ascii="Candara" w:hAnsi="Candara"/>
              <w:color w:val="000000" w:themeColor="text1"/>
              <w:lang w:val="en-US"/>
            </w:rPr>
            <w:fldChar w:fldCharType="begin"/>
          </w:r>
          <w:r w:rsidRPr="00997EBF">
            <w:rPr>
              <w:rFonts w:ascii="Candara" w:hAnsi="Candara"/>
              <w:color w:val="000000" w:themeColor="text1"/>
              <w:lang w:val="en-US"/>
            </w:rPr>
            <w:instrText xml:space="preserve"> CITATION Alb13 \l 1033 </w:instrText>
          </w:r>
          <w:r w:rsidRPr="00997EBF">
            <w:rPr>
              <w:rFonts w:ascii="Candara" w:hAnsi="Candara"/>
              <w:color w:val="000000" w:themeColor="text1"/>
              <w:lang w:val="en-US"/>
            </w:rPr>
            <w:fldChar w:fldCharType="separate"/>
          </w:r>
          <w:r w:rsidRPr="00997EBF">
            <w:rPr>
              <w:rFonts w:ascii="Candara" w:hAnsi="Candara"/>
              <w:noProof/>
              <w:color w:val="000000" w:themeColor="text1"/>
              <w:lang w:val="en-US"/>
            </w:rPr>
            <w:t>(Dicey, 2013)</w:t>
          </w:r>
          <w:r w:rsidRPr="00997EBF">
            <w:rPr>
              <w:rFonts w:ascii="Candara" w:hAnsi="Candara"/>
              <w:color w:val="000000" w:themeColor="text1"/>
              <w:lang w:val="en-US"/>
            </w:rPr>
            <w:fldChar w:fldCharType="end"/>
          </w:r>
        </w:sdtContent>
      </w:sdt>
      <w:r w:rsidRPr="00997EBF">
        <w:rPr>
          <w:rFonts w:ascii="Candara" w:hAnsi="Candara"/>
          <w:color w:val="000000" w:themeColor="text1"/>
          <w:lang w:val="en-US"/>
        </w:rPr>
        <w:t xml:space="preserve">. In that sense, even rule of law and separation of powers are considered to be </w:t>
      </w:r>
      <w:r w:rsidR="00B71744" w:rsidRPr="00997EBF">
        <w:rPr>
          <w:rFonts w:ascii="Candara" w:hAnsi="Candara"/>
          <w:color w:val="000000" w:themeColor="text1"/>
        </w:rPr>
        <w:t>mutually supportive principles</w:t>
      </w:r>
      <w:sdt>
        <w:sdtPr>
          <w:rPr>
            <w:rFonts w:ascii="Candara" w:hAnsi="Candara"/>
            <w:color w:val="000000" w:themeColor="text1"/>
          </w:rPr>
          <w:id w:val="1395161132"/>
          <w:citation/>
        </w:sdtPr>
        <w:sdtEndPr/>
        <w:sdtContent>
          <w:r w:rsidRPr="00997EBF">
            <w:rPr>
              <w:rFonts w:ascii="Candara" w:hAnsi="Candara"/>
              <w:color w:val="000000" w:themeColor="text1"/>
            </w:rPr>
            <w:fldChar w:fldCharType="begin"/>
          </w:r>
          <w:r w:rsidRPr="00997EBF">
            <w:rPr>
              <w:rFonts w:ascii="Candara" w:hAnsi="Candara"/>
              <w:color w:val="000000" w:themeColor="text1"/>
              <w:lang w:val="en-US"/>
            </w:rPr>
            <w:instrText xml:space="preserve"> CITATION Fer111 \l 1033 </w:instrText>
          </w:r>
          <w:r w:rsidRPr="00997EBF">
            <w:rPr>
              <w:rFonts w:ascii="Candara" w:hAnsi="Candara"/>
              <w:color w:val="000000" w:themeColor="text1"/>
            </w:rPr>
            <w:fldChar w:fldCharType="separate"/>
          </w:r>
          <w:r w:rsidRPr="00997EBF">
            <w:rPr>
              <w:rFonts w:ascii="Candara" w:hAnsi="Candara"/>
              <w:noProof/>
              <w:color w:val="000000" w:themeColor="text1"/>
              <w:lang w:val="en-US"/>
            </w:rPr>
            <w:t xml:space="preserve"> (Mount, 2011)</w:t>
          </w:r>
          <w:r w:rsidRPr="00997EBF">
            <w:rPr>
              <w:rFonts w:ascii="Candara" w:hAnsi="Candara"/>
              <w:color w:val="000000" w:themeColor="text1"/>
            </w:rPr>
            <w:fldChar w:fldCharType="end"/>
          </w:r>
        </w:sdtContent>
      </w:sdt>
      <w:r w:rsidR="00B71744" w:rsidRPr="00997EBF">
        <w:rPr>
          <w:rFonts w:ascii="Candara" w:hAnsi="Candara"/>
          <w:color w:val="000000" w:themeColor="text1"/>
        </w:rPr>
        <w:t xml:space="preserve">. </w:t>
      </w:r>
      <w:r w:rsidR="00B15BEB" w:rsidRPr="00997EBF">
        <w:rPr>
          <w:rFonts w:ascii="Candara" w:hAnsi="Candara"/>
          <w:color w:val="000000" w:themeColor="text1"/>
        </w:rPr>
        <w:t xml:space="preserve">The reaffirmation of the significance of the theory of separation of powers </w:t>
      </w:r>
      <w:r w:rsidR="001D4C0E" w:rsidRPr="00997EBF">
        <w:rPr>
          <w:rFonts w:ascii="Candara" w:hAnsi="Candara"/>
          <w:color w:val="000000" w:themeColor="text1"/>
        </w:rPr>
        <w:t xml:space="preserve">to English constitutional law was also made through the </w:t>
      </w:r>
      <w:r w:rsidR="00B07AF7" w:rsidRPr="00997EBF">
        <w:rPr>
          <w:rFonts w:ascii="Candara" w:hAnsi="Candara"/>
          <w:i/>
          <w:color w:val="000000" w:themeColor="text1"/>
          <w:shd w:val="clear" w:color="auto" w:fill="FFFFFF"/>
        </w:rPr>
        <w:t>Constitutional Reforms Act</w:t>
      </w:r>
      <w:r w:rsidR="001D4C0E" w:rsidRPr="00997EBF">
        <w:rPr>
          <w:rFonts w:ascii="Candara" w:hAnsi="Candara"/>
          <w:i/>
          <w:color w:val="000000" w:themeColor="text1"/>
          <w:shd w:val="clear" w:color="auto" w:fill="FFFFFF"/>
        </w:rPr>
        <w:t xml:space="preserve"> </w:t>
      </w:r>
      <w:r w:rsidR="00B07AF7" w:rsidRPr="00997EBF">
        <w:rPr>
          <w:rFonts w:ascii="Candara" w:hAnsi="Candara"/>
          <w:i/>
          <w:color w:val="000000" w:themeColor="text1"/>
          <w:shd w:val="clear" w:color="auto" w:fill="FFFFFF"/>
        </w:rPr>
        <w:t>2005</w:t>
      </w:r>
      <w:r w:rsidR="001D4C0E" w:rsidRPr="00997EBF">
        <w:rPr>
          <w:rFonts w:ascii="Candara" w:hAnsi="Candara"/>
          <w:i/>
          <w:color w:val="000000" w:themeColor="text1"/>
          <w:shd w:val="clear" w:color="auto" w:fill="FFFFFF"/>
        </w:rPr>
        <w:t>,</w:t>
      </w:r>
      <w:r w:rsidR="00B07AF7" w:rsidRPr="00997EBF">
        <w:rPr>
          <w:rFonts w:ascii="Candara" w:hAnsi="Candara"/>
          <w:color w:val="000000" w:themeColor="text1"/>
          <w:shd w:val="clear" w:color="auto" w:fill="FFFFFF"/>
        </w:rPr>
        <w:t xml:space="preserve"> </w:t>
      </w:r>
      <w:r w:rsidR="001D4C0E" w:rsidRPr="00997EBF">
        <w:rPr>
          <w:rFonts w:ascii="Candara" w:hAnsi="Candara"/>
          <w:color w:val="000000" w:themeColor="text1"/>
          <w:shd w:val="clear" w:color="auto" w:fill="FFFFFF"/>
        </w:rPr>
        <w:t xml:space="preserve">with the statute engaging with the </w:t>
      </w:r>
      <w:r w:rsidR="00B07AF7" w:rsidRPr="00997EBF">
        <w:rPr>
          <w:rFonts w:ascii="Candara" w:hAnsi="Candara"/>
          <w:color w:val="000000" w:themeColor="text1"/>
        </w:rPr>
        <w:t xml:space="preserve">principle of separation of powers. </w:t>
      </w:r>
      <w:r w:rsidR="001D4C0E" w:rsidRPr="00997EBF">
        <w:rPr>
          <w:rFonts w:ascii="Candara" w:hAnsi="Candara"/>
          <w:color w:val="000000" w:themeColor="text1"/>
        </w:rPr>
        <w:t xml:space="preserve">The Act made </w:t>
      </w:r>
      <w:r w:rsidR="00B07AF7" w:rsidRPr="00997EBF">
        <w:rPr>
          <w:rFonts w:ascii="Candara" w:hAnsi="Candara"/>
          <w:color w:val="000000" w:themeColor="text1"/>
        </w:rPr>
        <w:t xml:space="preserve">key changes to the </w:t>
      </w:r>
      <w:r w:rsidR="001D4C0E" w:rsidRPr="00997EBF">
        <w:rPr>
          <w:rFonts w:ascii="Candara" w:hAnsi="Candara"/>
          <w:color w:val="000000" w:themeColor="text1"/>
        </w:rPr>
        <w:t>structures of governance with implications for separation of powers.</w:t>
      </w:r>
      <w:r w:rsidR="00B07AF7" w:rsidRPr="00997EBF">
        <w:rPr>
          <w:rFonts w:ascii="Candara" w:hAnsi="Candara"/>
          <w:color w:val="000000" w:themeColor="text1"/>
        </w:rPr>
        <w:t xml:space="preserve"> </w:t>
      </w:r>
    </w:p>
    <w:p w14:paraId="509132E4" w14:textId="63B6BB08" w:rsidR="003B0014" w:rsidRPr="00997EBF" w:rsidRDefault="001D4C0E" w:rsidP="00997EBF">
      <w:pPr>
        <w:spacing w:before="120" w:after="120"/>
        <w:rPr>
          <w:rFonts w:ascii="Candara" w:hAnsi="Candara"/>
          <w:b/>
          <w:color w:val="000000" w:themeColor="text1"/>
          <w:lang w:val="en-US"/>
        </w:rPr>
      </w:pPr>
      <w:r w:rsidRPr="00997EBF">
        <w:rPr>
          <w:rFonts w:ascii="Candara" w:hAnsi="Candara"/>
          <w:color w:val="000000" w:themeColor="text1"/>
        </w:rPr>
        <w:t>Prior to the passage of the</w:t>
      </w:r>
      <w:r w:rsidR="00B07AF7" w:rsidRPr="00997EBF">
        <w:rPr>
          <w:rFonts w:ascii="Candara" w:hAnsi="Candara"/>
          <w:color w:val="000000" w:themeColor="text1"/>
        </w:rPr>
        <w:t xml:space="preserve"> </w:t>
      </w:r>
      <w:r w:rsidRPr="00997EBF">
        <w:rPr>
          <w:rFonts w:ascii="Candara" w:hAnsi="Candara"/>
          <w:i/>
          <w:color w:val="000000" w:themeColor="text1"/>
          <w:shd w:val="clear" w:color="auto" w:fill="FFFFFF"/>
        </w:rPr>
        <w:t xml:space="preserve">Constitutional Reforms Act 2005, </w:t>
      </w:r>
      <w:r w:rsidRPr="00997EBF">
        <w:rPr>
          <w:rFonts w:ascii="Candara" w:hAnsi="Candara"/>
          <w:color w:val="000000" w:themeColor="text1"/>
          <w:shd w:val="clear" w:color="auto" w:fill="FFFFFF"/>
        </w:rPr>
        <w:t xml:space="preserve">the </w:t>
      </w:r>
      <w:r w:rsidR="00B07AF7" w:rsidRPr="00997EBF">
        <w:rPr>
          <w:rFonts w:ascii="Candara" w:hAnsi="Candara"/>
          <w:color w:val="000000" w:themeColor="text1"/>
        </w:rPr>
        <w:t xml:space="preserve">Lord Chancellor part of all three </w:t>
      </w:r>
      <w:r w:rsidRPr="00997EBF">
        <w:rPr>
          <w:rFonts w:ascii="Candara" w:hAnsi="Candara"/>
          <w:color w:val="000000" w:themeColor="text1"/>
        </w:rPr>
        <w:t>organs</w:t>
      </w:r>
      <w:r w:rsidR="00B07AF7" w:rsidRPr="00997EBF">
        <w:rPr>
          <w:rFonts w:ascii="Candara" w:hAnsi="Candara"/>
          <w:color w:val="000000" w:themeColor="text1"/>
        </w:rPr>
        <w:t xml:space="preserve"> of the government</w:t>
      </w:r>
      <w:r w:rsidRPr="00997EBF">
        <w:rPr>
          <w:rFonts w:ascii="Candara" w:hAnsi="Candara"/>
          <w:color w:val="000000" w:themeColor="text1"/>
        </w:rPr>
        <w:t xml:space="preserve"> as </w:t>
      </w:r>
      <w:r w:rsidR="00B07AF7" w:rsidRPr="00997EBF">
        <w:rPr>
          <w:rFonts w:ascii="Candara" w:hAnsi="Candara"/>
          <w:color w:val="000000" w:themeColor="text1"/>
          <w:shd w:val="clear" w:color="auto" w:fill="FFFFFF"/>
        </w:rPr>
        <w:t xml:space="preserve">head of judiciary, member of the cabinet and speaker of the House of Lords. The </w:t>
      </w:r>
      <w:r w:rsidR="00B07AF7" w:rsidRPr="00997EBF">
        <w:rPr>
          <w:rFonts w:ascii="Candara" w:hAnsi="Candara"/>
          <w:i/>
          <w:color w:val="000000" w:themeColor="text1"/>
          <w:shd w:val="clear" w:color="auto" w:fill="FFFFFF"/>
        </w:rPr>
        <w:t>Constitutional Reforms Act 2005</w:t>
      </w:r>
      <w:r w:rsidR="00B07AF7" w:rsidRPr="00997EBF">
        <w:rPr>
          <w:rFonts w:ascii="Candara" w:hAnsi="Candara"/>
          <w:color w:val="000000" w:themeColor="text1"/>
          <w:shd w:val="clear" w:color="auto" w:fill="FFFFFF"/>
        </w:rPr>
        <w:t xml:space="preserve"> abolished Lord Chancellor’s position as head of the judiciary and speaker in the House of Lords</w:t>
      </w:r>
      <w:r w:rsidR="004428C7" w:rsidRPr="00997EBF">
        <w:rPr>
          <w:rFonts w:ascii="Candara" w:hAnsi="Candara"/>
          <w:color w:val="000000" w:themeColor="text1"/>
          <w:shd w:val="clear" w:color="auto" w:fill="FFFFFF"/>
        </w:rPr>
        <w:t xml:space="preserve"> and he remained only in the executive organ of the government. It can be said that these changes lead to the</w:t>
      </w:r>
      <w:r w:rsidR="00B07AF7" w:rsidRPr="00997EBF">
        <w:rPr>
          <w:rFonts w:ascii="Candara" w:hAnsi="Candara"/>
          <w:color w:val="000000" w:themeColor="text1"/>
          <w:shd w:val="clear" w:color="auto" w:fill="FFFFFF"/>
        </w:rPr>
        <w:t xml:space="preserve"> stricter application of the principle of separation of powers.</w:t>
      </w:r>
      <w:r w:rsidR="004428C7" w:rsidRPr="00997EBF">
        <w:rPr>
          <w:rFonts w:ascii="Candara" w:hAnsi="Candara"/>
          <w:color w:val="000000" w:themeColor="text1"/>
          <w:shd w:val="clear" w:color="auto" w:fill="FFFFFF"/>
        </w:rPr>
        <w:t xml:space="preserve"> Furthermore, the </w:t>
      </w:r>
      <w:r w:rsidR="00B07AF7" w:rsidRPr="00997EBF">
        <w:rPr>
          <w:rFonts w:ascii="Candara" w:hAnsi="Candara"/>
          <w:color w:val="000000" w:themeColor="text1"/>
          <w:shd w:val="clear" w:color="auto" w:fill="FFFFFF"/>
        </w:rPr>
        <w:t xml:space="preserve">establishment of the Supreme Court </w:t>
      </w:r>
      <w:r w:rsidR="004428C7" w:rsidRPr="00997EBF">
        <w:rPr>
          <w:rFonts w:ascii="Candara" w:hAnsi="Candara"/>
          <w:color w:val="000000" w:themeColor="text1"/>
          <w:shd w:val="clear" w:color="auto" w:fill="FFFFFF"/>
        </w:rPr>
        <w:t>also cements the stricter application of the theory of separation of powers since</w:t>
      </w:r>
      <w:r w:rsidR="00B07AF7" w:rsidRPr="00997EBF">
        <w:rPr>
          <w:rFonts w:ascii="Candara" w:hAnsi="Candara"/>
          <w:color w:val="000000" w:themeColor="text1"/>
          <w:shd w:val="clear" w:color="auto" w:fill="FFFFFF"/>
        </w:rPr>
        <w:t xml:space="preserve"> the House of Lords</w:t>
      </w:r>
      <w:r w:rsidR="004428C7" w:rsidRPr="00997EBF">
        <w:rPr>
          <w:rFonts w:ascii="Candara" w:hAnsi="Candara"/>
          <w:color w:val="000000" w:themeColor="text1"/>
          <w:shd w:val="clear" w:color="auto" w:fill="FFFFFF"/>
        </w:rPr>
        <w:t xml:space="preserve">’ </w:t>
      </w:r>
      <w:r w:rsidR="00B07AF7" w:rsidRPr="00997EBF">
        <w:rPr>
          <w:rFonts w:ascii="Candara" w:hAnsi="Candara"/>
          <w:color w:val="000000" w:themeColor="text1"/>
          <w:shd w:val="clear" w:color="auto" w:fill="FFFFFF"/>
        </w:rPr>
        <w:t>appellate judicial functions</w:t>
      </w:r>
      <w:r w:rsidR="004428C7" w:rsidRPr="00997EBF">
        <w:rPr>
          <w:rFonts w:ascii="Candara" w:hAnsi="Candara"/>
          <w:color w:val="000000" w:themeColor="text1"/>
          <w:shd w:val="clear" w:color="auto" w:fill="FFFFFF"/>
        </w:rPr>
        <w:t xml:space="preserve"> are now exercised by the highest judicial institution in the UK, in the form of the Supreme Court</w:t>
      </w:r>
      <w:r w:rsidR="00B07AF7" w:rsidRPr="00997EBF">
        <w:rPr>
          <w:rFonts w:ascii="Candara" w:hAnsi="Candara"/>
          <w:color w:val="000000" w:themeColor="text1"/>
          <w:shd w:val="clear" w:color="auto" w:fill="FFFFFF"/>
        </w:rPr>
        <w:t xml:space="preserve">. </w:t>
      </w:r>
      <w:r w:rsidR="004428C7" w:rsidRPr="00997EBF">
        <w:rPr>
          <w:rFonts w:ascii="Candara" w:hAnsi="Candara"/>
          <w:color w:val="000000" w:themeColor="text1"/>
          <w:shd w:val="clear" w:color="auto" w:fill="FFFFFF"/>
        </w:rPr>
        <w:t xml:space="preserve">Clearly, the principle of separation of powers is now more clearly entrenched in the English constitutional law, with the changes made by the </w:t>
      </w:r>
      <w:r w:rsidR="004428C7" w:rsidRPr="00997EBF">
        <w:rPr>
          <w:rFonts w:ascii="Candara" w:hAnsi="Candara"/>
          <w:i/>
          <w:color w:val="000000" w:themeColor="text1"/>
          <w:shd w:val="clear" w:color="auto" w:fill="FFFFFF"/>
        </w:rPr>
        <w:t xml:space="preserve">Constitutional Reforms Act 2005. </w:t>
      </w:r>
      <w:r w:rsidR="004428C7" w:rsidRPr="00997EBF">
        <w:rPr>
          <w:rFonts w:ascii="Candara" w:hAnsi="Candara"/>
          <w:color w:val="000000" w:themeColor="text1"/>
          <w:shd w:val="clear" w:color="auto" w:fill="FFFFFF"/>
        </w:rPr>
        <w:t>However, while th</w:t>
      </w:r>
      <w:r w:rsidR="001845D7" w:rsidRPr="00997EBF">
        <w:rPr>
          <w:rFonts w:ascii="Candara" w:hAnsi="Candara"/>
          <w:color w:val="000000" w:themeColor="text1"/>
          <w:shd w:val="clear" w:color="auto" w:fill="FFFFFF"/>
        </w:rPr>
        <w:t xml:space="preserve">e strict separation of powers is clearly visible in the relations between the legislature and the judiciary and the executive and the judiciary, the same cannot be said of the organisation of the relations between the legislature and the executive. There are social and governance factors why there is less rigid separation of powers between the legislature and the executive, which is why overlap between these organs is more clearly visible. This is discussed in the next section. </w:t>
      </w:r>
    </w:p>
    <w:p w14:paraId="0C27628A" w14:textId="678155C8" w:rsidR="00374CF0" w:rsidRPr="00997EBF" w:rsidRDefault="003B0014" w:rsidP="00997EBF">
      <w:pPr>
        <w:spacing w:before="120" w:after="120"/>
        <w:rPr>
          <w:rFonts w:ascii="Candara" w:hAnsi="Candara"/>
          <w:b/>
          <w:color w:val="000000" w:themeColor="text1"/>
        </w:rPr>
      </w:pPr>
      <w:r w:rsidRPr="00997EBF">
        <w:rPr>
          <w:rFonts w:ascii="Candara" w:hAnsi="Candara"/>
          <w:b/>
          <w:color w:val="000000" w:themeColor="text1"/>
        </w:rPr>
        <w:t>Overlap between l</w:t>
      </w:r>
      <w:r w:rsidR="00374CF0" w:rsidRPr="00997EBF">
        <w:rPr>
          <w:rFonts w:ascii="Candara" w:hAnsi="Candara"/>
          <w:b/>
          <w:color w:val="000000" w:themeColor="text1"/>
        </w:rPr>
        <w:t>egislature and the executive</w:t>
      </w:r>
      <w:r w:rsidRPr="00997EBF">
        <w:rPr>
          <w:rFonts w:ascii="Candara" w:hAnsi="Candara"/>
          <w:b/>
          <w:color w:val="000000" w:themeColor="text1"/>
        </w:rPr>
        <w:t xml:space="preserve"> and </w:t>
      </w:r>
      <w:r w:rsidR="00374CF0" w:rsidRPr="00997EBF">
        <w:rPr>
          <w:rFonts w:ascii="Candara" w:hAnsi="Candara"/>
          <w:b/>
          <w:color w:val="000000" w:themeColor="text1"/>
        </w:rPr>
        <w:t>advantages of such overlaps</w:t>
      </w:r>
    </w:p>
    <w:p w14:paraId="15874191" w14:textId="2A325A29" w:rsidR="00D57FDA" w:rsidRPr="00997EBF" w:rsidRDefault="005B494C" w:rsidP="00997EBF">
      <w:pPr>
        <w:spacing w:before="120" w:after="120"/>
        <w:rPr>
          <w:rFonts w:ascii="Candara" w:hAnsi="Candara"/>
          <w:color w:val="000000" w:themeColor="text1"/>
        </w:rPr>
      </w:pPr>
      <w:r w:rsidRPr="00997EBF">
        <w:rPr>
          <w:rFonts w:ascii="Candara" w:hAnsi="Candara"/>
          <w:color w:val="000000" w:themeColor="text1"/>
        </w:rPr>
        <w:t xml:space="preserve">The argument that the English constitutional law does not have </w:t>
      </w:r>
      <w:r w:rsidR="00762229" w:rsidRPr="00997EBF">
        <w:rPr>
          <w:rFonts w:ascii="Candara" w:hAnsi="Candara"/>
          <w:color w:val="000000" w:themeColor="text1"/>
        </w:rPr>
        <w:t xml:space="preserve">complete separation of powers </w:t>
      </w:r>
      <w:r w:rsidRPr="00997EBF">
        <w:rPr>
          <w:rFonts w:ascii="Candara" w:hAnsi="Candara"/>
          <w:color w:val="000000" w:themeColor="text1"/>
        </w:rPr>
        <w:t>has been made with respect to the ways in which there</w:t>
      </w:r>
      <w:r w:rsidR="00762229" w:rsidRPr="00997EBF">
        <w:rPr>
          <w:rFonts w:ascii="Candara" w:hAnsi="Candara"/>
          <w:color w:val="000000" w:themeColor="text1"/>
        </w:rPr>
        <w:t xml:space="preserve"> is a </w:t>
      </w:r>
      <w:r w:rsidR="00762229" w:rsidRPr="00997EBF">
        <w:rPr>
          <w:rFonts w:ascii="Candara" w:hAnsi="Candara"/>
          <w:color w:val="000000" w:themeColor="text1"/>
          <w:lang w:val="en-US"/>
        </w:rPr>
        <w:t>nearly complete fusion of the executive and legislative powers</w:t>
      </w:r>
      <w:r w:rsidRPr="00997EBF">
        <w:rPr>
          <w:rFonts w:ascii="Candara" w:hAnsi="Candara"/>
          <w:color w:val="000000" w:themeColor="text1"/>
          <w:lang w:val="en-US"/>
        </w:rPr>
        <w:t xml:space="preserve">, as pointed out by Walter Bagehot in his important work on the English constitutional law </w:t>
      </w:r>
      <w:sdt>
        <w:sdtPr>
          <w:rPr>
            <w:rFonts w:ascii="Candara" w:hAnsi="Candara"/>
            <w:color w:val="000000" w:themeColor="text1"/>
            <w:lang w:val="en-US"/>
          </w:rPr>
          <w:id w:val="-178279007"/>
          <w:citation/>
        </w:sdtPr>
        <w:sdtEndPr/>
        <w:sdtContent>
          <w:r w:rsidRPr="00997EBF">
            <w:rPr>
              <w:rFonts w:ascii="Candara" w:hAnsi="Candara"/>
              <w:color w:val="000000" w:themeColor="text1"/>
              <w:lang w:val="en-US"/>
            </w:rPr>
            <w:fldChar w:fldCharType="begin"/>
          </w:r>
          <w:r w:rsidRPr="00997EBF">
            <w:rPr>
              <w:rFonts w:ascii="Candara" w:hAnsi="Candara"/>
              <w:color w:val="000000" w:themeColor="text1"/>
              <w:lang w:val="en-US"/>
            </w:rPr>
            <w:instrText xml:space="preserve"> CITATION Wal671 \l 1033 </w:instrText>
          </w:r>
          <w:r w:rsidRPr="00997EBF">
            <w:rPr>
              <w:rFonts w:ascii="Candara" w:hAnsi="Candara"/>
              <w:color w:val="000000" w:themeColor="text1"/>
              <w:lang w:val="en-US"/>
            </w:rPr>
            <w:fldChar w:fldCharType="separate"/>
          </w:r>
          <w:r w:rsidRPr="00997EBF">
            <w:rPr>
              <w:rFonts w:ascii="Candara" w:hAnsi="Candara"/>
              <w:noProof/>
              <w:color w:val="000000" w:themeColor="text1"/>
              <w:lang w:val="en-US"/>
            </w:rPr>
            <w:t>(Bagehot, 1867)</w:t>
          </w:r>
          <w:r w:rsidRPr="00997EBF">
            <w:rPr>
              <w:rFonts w:ascii="Candara" w:hAnsi="Candara"/>
              <w:color w:val="000000" w:themeColor="text1"/>
              <w:lang w:val="en-US"/>
            </w:rPr>
            <w:fldChar w:fldCharType="end"/>
          </w:r>
        </w:sdtContent>
      </w:sdt>
      <w:r w:rsidR="00762229" w:rsidRPr="00997EBF">
        <w:rPr>
          <w:rFonts w:ascii="Candara" w:hAnsi="Candara"/>
          <w:color w:val="000000" w:themeColor="text1"/>
        </w:rPr>
        <w:t>.</w:t>
      </w:r>
      <w:r w:rsidRPr="00997EBF">
        <w:rPr>
          <w:rFonts w:ascii="Candara" w:hAnsi="Candara"/>
          <w:color w:val="000000" w:themeColor="text1"/>
        </w:rPr>
        <w:t xml:space="preserve"> </w:t>
      </w:r>
      <w:r w:rsidR="00422F3A" w:rsidRPr="00997EBF">
        <w:rPr>
          <w:rFonts w:ascii="Candara" w:hAnsi="Candara"/>
          <w:color w:val="000000" w:themeColor="text1"/>
        </w:rPr>
        <w:t>That the parliament and the executive are entwined can be seen in the fact that the Prime Minister and a majority of Cabinet are Members of Parliament and sit in the House of Commons</w:t>
      </w:r>
      <w:sdt>
        <w:sdtPr>
          <w:rPr>
            <w:rFonts w:ascii="Candara" w:hAnsi="Candara"/>
            <w:color w:val="000000" w:themeColor="text1"/>
          </w:rPr>
          <w:id w:val="-2116050980"/>
          <w:citation/>
        </w:sdtPr>
        <w:sdtEndPr/>
        <w:sdtContent>
          <w:r w:rsidR="00422F3A" w:rsidRPr="00997EBF">
            <w:rPr>
              <w:rFonts w:ascii="Candara" w:hAnsi="Candara"/>
              <w:color w:val="000000" w:themeColor="text1"/>
            </w:rPr>
            <w:fldChar w:fldCharType="begin"/>
          </w:r>
          <w:r w:rsidR="00422F3A" w:rsidRPr="00997EBF">
            <w:rPr>
              <w:rFonts w:ascii="Candara" w:hAnsi="Candara"/>
              <w:color w:val="000000" w:themeColor="text1"/>
              <w:lang w:val="en-US"/>
            </w:rPr>
            <w:instrText xml:space="preserve"> CITATION Ric112 \l 1033 </w:instrText>
          </w:r>
          <w:r w:rsidR="00422F3A" w:rsidRPr="00997EBF">
            <w:rPr>
              <w:rFonts w:ascii="Candara" w:hAnsi="Candara"/>
              <w:color w:val="000000" w:themeColor="text1"/>
            </w:rPr>
            <w:fldChar w:fldCharType="separate"/>
          </w:r>
          <w:r w:rsidR="00422F3A" w:rsidRPr="00997EBF">
            <w:rPr>
              <w:rFonts w:ascii="Candara" w:hAnsi="Candara"/>
              <w:noProof/>
              <w:color w:val="000000" w:themeColor="text1"/>
              <w:lang w:val="en-US"/>
            </w:rPr>
            <w:t xml:space="preserve"> (Benwell &amp; Gay, 2011)</w:t>
          </w:r>
          <w:r w:rsidR="00422F3A" w:rsidRPr="00997EBF">
            <w:rPr>
              <w:rFonts w:ascii="Candara" w:hAnsi="Candara"/>
              <w:color w:val="000000" w:themeColor="text1"/>
            </w:rPr>
            <w:fldChar w:fldCharType="end"/>
          </w:r>
        </w:sdtContent>
      </w:sdt>
      <w:r w:rsidR="00422F3A" w:rsidRPr="00997EBF">
        <w:rPr>
          <w:rFonts w:ascii="Candara" w:hAnsi="Candara"/>
          <w:color w:val="000000" w:themeColor="text1"/>
        </w:rPr>
        <w:t xml:space="preserve">. </w:t>
      </w:r>
      <w:r w:rsidR="00DB5DD7" w:rsidRPr="00997EBF">
        <w:rPr>
          <w:rFonts w:ascii="Candara" w:hAnsi="Candara"/>
          <w:color w:val="000000" w:themeColor="text1"/>
        </w:rPr>
        <w:t xml:space="preserve">The </w:t>
      </w:r>
      <w:r w:rsidR="00D57FDA" w:rsidRPr="00997EBF">
        <w:rPr>
          <w:rFonts w:ascii="Candara" w:hAnsi="Candara"/>
          <w:color w:val="000000" w:themeColor="text1"/>
        </w:rPr>
        <w:t xml:space="preserve">Prime Minister is </w:t>
      </w:r>
      <w:r w:rsidR="00DB5DD7" w:rsidRPr="00997EBF">
        <w:rPr>
          <w:rFonts w:ascii="Candara" w:hAnsi="Candara"/>
          <w:color w:val="000000" w:themeColor="text1"/>
        </w:rPr>
        <w:t>the</w:t>
      </w:r>
      <w:r w:rsidR="00D57FDA" w:rsidRPr="00997EBF">
        <w:rPr>
          <w:rFonts w:ascii="Candara" w:hAnsi="Candara"/>
          <w:color w:val="000000" w:themeColor="text1"/>
        </w:rPr>
        <w:t xml:space="preserve"> head of the executive and leader of the majority in the legislature</w:t>
      </w:r>
      <w:r w:rsidR="00DB5DD7" w:rsidRPr="00997EBF">
        <w:rPr>
          <w:rFonts w:ascii="Candara" w:hAnsi="Candara"/>
          <w:color w:val="000000" w:themeColor="text1"/>
        </w:rPr>
        <w:t xml:space="preserve">, thus bringing more proximity to the legislature and the executive. Overlapping of the functions of the legislature and the executive also takes the form of delegated legislation with the Parliament being </w:t>
      </w:r>
      <w:r w:rsidR="00B928DE" w:rsidRPr="00997EBF">
        <w:rPr>
          <w:rFonts w:ascii="Candara" w:hAnsi="Candara"/>
          <w:color w:val="000000" w:themeColor="text1"/>
        </w:rPr>
        <w:t xml:space="preserve">able to </w:t>
      </w:r>
      <w:r w:rsidR="00D57FDA" w:rsidRPr="00997EBF">
        <w:rPr>
          <w:rFonts w:ascii="Candara" w:hAnsi="Candara"/>
          <w:color w:val="000000" w:themeColor="text1"/>
        </w:rPr>
        <w:t xml:space="preserve">delegate law-making powers to the </w:t>
      </w:r>
      <w:r w:rsidR="00B928DE" w:rsidRPr="00997EBF">
        <w:rPr>
          <w:rFonts w:ascii="Candara" w:hAnsi="Candara"/>
          <w:color w:val="000000" w:themeColor="text1"/>
        </w:rPr>
        <w:t>executive</w:t>
      </w:r>
      <w:r w:rsidR="00D57FDA" w:rsidRPr="00997EBF">
        <w:rPr>
          <w:rFonts w:ascii="Candara" w:hAnsi="Candara"/>
          <w:color w:val="000000" w:themeColor="text1"/>
        </w:rPr>
        <w:t xml:space="preserve"> </w:t>
      </w:r>
      <w:r w:rsidR="00B928DE" w:rsidRPr="00997EBF">
        <w:rPr>
          <w:rFonts w:ascii="Candara" w:hAnsi="Candara"/>
          <w:color w:val="000000" w:themeColor="text1"/>
        </w:rPr>
        <w:t xml:space="preserve">while the Parliament can </w:t>
      </w:r>
      <w:r w:rsidR="00D57FDA" w:rsidRPr="00997EBF">
        <w:rPr>
          <w:rFonts w:ascii="Candara" w:hAnsi="Candara"/>
          <w:color w:val="000000" w:themeColor="text1"/>
        </w:rPr>
        <w:t xml:space="preserve">scrutinise </w:t>
      </w:r>
      <w:r w:rsidR="00B928DE" w:rsidRPr="00997EBF">
        <w:rPr>
          <w:rFonts w:ascii="Candara" w:hAnsi="Candara"/>
          <w:color w:val="000000" w:themeColor="text1"/>
        </w:rPr>
        <w:t xml:space="preserve">the delegated legislation, thus maintaining oversight over the delegated legislation. Clearly, </w:t>
      </w:r>
      <w:r w:rsidR="00D25C99" w:rsidRPr="00997EBF">
        <w:rPr>
          <w:rFonts w:ascii="Candara" w:hAnsi="Candara"/>
          <w:color w:val="000000" w:themeColor="text1"/>
        </w:rPr>
        <w:t xml:space="preserve">there is overlap between the legislature and the executive. </w:t>
      </w:r>
    </w:p>
    <w:p w14:paraId="0513639B" w14:textId="69852143" w:rsidR="008F6629" w:rsidRPr="00997EBF" w:rsidRDefault="001D4C0E" w:rsidP="00997EBF">
      <w:pPr>
        <w:spacing w:before="120" w:after="120"/>
        <w:rPr>
          <w:rFonts w:ascii="Candara" w:hAnsi="Candara"/>
          <w:color w:val="000000" w:themeColor="text1"/>
        </w:rPr>
      </w:pPr>
      <w:r w:rsidRPr="00997EBF">
        <w:rPr>
          <w:rFonts w:ascii="Candara" w:hAnsi="Candara"/>
          <w:color w:val="000000" w:themeColor="text1"/>
        </w:rPr>
        <w:t xml:space="preserve">Bagehot </w:t>
      </w:r>
      <w:r w:rsidR="005B494C" w:rsidRPr="00997EBF">
        <w:rPr>
          <w:rFonts w:ascii="Candara" w:hAnsi="Candara"/>
          <w:color w:val="000000" w:themeColor="text1"/>
        </w:rPr>
        <w:t>claimed that the nearly complete fusion of the executive and legislative powers is</w:t>
      </w:r>
      <w:r w:rsidRPr="00997EBF">
        <w:rPr>
          <w:rFonts w:ascii="Candara" w:hAnsi="Candara"/>
          <w:color w:val="000000" w:themeColor="text1"/>
        </w:rPr>
        <w:t xml:space="preserve"> “the efficient secret of the English Constitution is the close union</w:t>
      </w:r>
      <w:r w:rsidR="005B494C" w:rsidRPr="00997EBF">
        <w:rPr>
          <w:rFonts w:ascii="Candara" w:hAnsi="Candara"/>
          <w:color w:val="000000" w:themeColor="text1"/>
        </w:rPr>
        <w:t xml:space="preserve"> </w:t>
      </w:r>
      <w:sdt>
        <w:sdtPr>
          <w:rPr>
            <w:rFonts w:ascii="Candara" w:hAnsi="Candara"/>
            <w:color w:val="000000" w:themeColor="text1"/>
          </w:rPr>
          <w:id w:val="1751463113"/>
          <w:citation/>
        </w:sdtPr>
        <w:sdtEndPr/>
        <w:sdtContent>
          <w:r w:rsidR="005B494C" w:rsidRPr="00997EBF">
            <w:rPr>
              <w:rFonts w:ascii="Candara" w:hAnsi="Candara"/>
              <w:color w:val="000000" w:themeColor="text1"/>
            </w:rPr>
            <w:fldChar w:fldCharType="begin"/>
          </w:r>
          <w:r w:rsidR="005B494C" w:rsidRPr="00997EBF">
            <w:rPr>
              <w:rFonts w:ascii="Candara" w:hAnsi="Candara"/>
              <w:color w:val="000000" w:themeColor="text1"/>
              <w:lang w:val="en-US"/>
            </w:rPr>
            <w:instrText xml:space="preserve">CITATION Wal671 \p 12 \l 1033 </w:instrText>
          </w:r>
          <w:r w:rsidR="005B494C" w:rsidRPr="00997EBF">
            <w:rPr>
              <w:rFonts w:ascii="Candara" w:hAnsi="Candara"/>
              <w:color w:val="000000" w:themeColor="text1"/>
            </w:rPr>
            <w:fldChar w:fldCharType="separate"/>
          </w:r>
          <w:r w:rsidR="005B494C" w:rsidRPr="00997EBF">
            <w:rPr>
              <w:rFonts w:ascii="Candara" w:hAnsi="Candara"/>
              <w:noProof/>
              <w:color w:val="000000" w:themeColor="text1"/>
              <w:lang w:val="en-US"/>
            </w:rPr>
            <w:t>(Bagehot, 1867, p. 12)</w:t>
          </w:r>
          <w:r w:rsidR="005B494C" w:rsidRPr="00997EBF">
            <w:rPr>
              <w:rFonts w:ascii="Candara" w:hAnsi="Candara"/>
              <w:color w:val="000000" w:themeColor="text1"/>
            </w:rPr>
            <w:fldChar w:fldCharType="end"/>
          </w:r>
        </w:sdtContent>
      </w:sdt>
      <w:r w:rsidR="005B494C" w:rsidRPr="00997EBF">
        <w:rPr>
          <w:rFonts w:ascii="Candara" w:hAnsi="Candara"/>
          <w:color w:val="000000" w:themeColor="text1"/>
        </w:rPr>
        <w:t>.</w:t>
      </w:r>
      <w:r w:rsidRPr="00997EBF">
        <w:rPr>
          <w:rFonts w:ascii="Candara" w:hAnsi="Candara"/>
          <w:color w:val="000000" w:themeColor="text1"/>
        </w:rPr>
        <w:t xml:space="preserve"> </w:t>
      </w:r>
      <w:r w:rsidR="0043027C" w:rsidRPr="00997EBF">
        <w:rPr>
          <w:rFonts w:ascii="Candara" w:hAnsi="Candara"/>
          <w:color w:val="000000" w:themeColor="text1"/>
        </w:rPr>
        <w:t xml:space="preserve">Therefore, the overlapping functions between the parliament and the executive is one of the aspects that needs to be considered along with the principle of separation of powers since </w:t>
      </w:r>
      <w:r w:rsidR="0083015A" w:rsidRPr="00997EBF">
        <w:rPr>
          <w:rFonts w:ascii="Candara" w:hAnsi="Candara"/>
          <w:color w:val="000000" w:themeColor="text1"/>
        </w:rPr>
        <w:t xml:space="preserve">the overlapping functions present an exception to the principle of separation of powers </w:t>
      </w:r>
      <w:sdt>
        <w:sdtPr>
          <w:rPr>
            <w:rFonts w:ascii="Candara" w:hAnsi="Candara"/>
            <w:color w:val="000000" w:themeColor="text1"/>
          </w:rPr>
          <w:id w:val="141708218"/>
          <w:citation/>
        </w:sdtPr>
        <w:sdtEndPr/>
        <w:sdtContent>
          <w:r w:rsidR="0083015A" w:rsidRPr="00997EBF">
            <w:rPr>
              <w:rFonts w:ascii="Candara" w:hAnsi="Candara"/>
              <w:color w:val="000000" w:themeColor="text1"/>
            </w:rPr>
            <w:fldChar w:fldCharType="begin"/>
          </w:r>
          <w:r w:rsidR="0083015A" w:rsidRPr="00997EBF">
            <w:rPr>
              <w:rFonts w:ascii="Candara" w:hAnsi="Candara"/>
              <w:color w:val="000000" w:themeColor="text1"/>
              <w:lang w:val="en-US"/>
            </w:rPr>
            <w:instrText xml:space="preserve">CITATION Daw981 \p 16 \l 1033 </w:instrText>
          </w:r>
          <w:r w:rsidR="0083015A" w:rsidRPr="00997EBF">
            <w:rPr>
              <w:rFonts w:ascii="Candara" w:hAnsi="Candara"/>
              <w:color w:val="000000" w:themeColor="text1"/>
            </w:rPr>
            <w:fldChar w:fldCharType="separate"/>
          </w:r>
          <w:r w:rsidR="0083015A" w:rsidRPr="00997EBF">
            <w:rPr>
              <w:rFonts w:ascii="Candara" w:hAnsi="Candara"/>
              <w:noProof/>
              <w:color w:val="000000" w:themeColor="text1"/>
              <w:lang w:val="en-US"/>
            </w:rPr>
            <w:t>(Oliver &amp; Drewry, 1998, p. 16)</w:t>
          </w:r>
          <w:r w:rsidR="0083015A" w:rsidRPr="00997EBF">
            <w:rPr>
              <w:rFonts w:ascii="Candara" w:hAnsi="Candara"/>
              <w:color w:val="000000" w:themeColor="text1"/>
            </w:rPr>
            <w:fldChar w:fldCharType="end"/>
          </w:r>
        </w:sdtContent>
      </w:sdt>
      <w:r w:rsidR="0083015A" w:rsidRPr="00997EBF">
        <w:rPr>
          <w:rFonts w:ascii="Candara" w:hAnsi="Candara"/>
          <w:color w:val="000000" w:themeColor="text1"/>
        </w:rPr>
        <w:t xml:space="preserve">. The same does not apply to the </w:t>
      </w:r>
      <w:r w:rsidR="004245D4" w:rsidRPr="00997EBF">
        <w:rPr>
          <w:rFonts w:ascii="Candara" w:hAnsi="Candara"/>
          <w:color w:val="000000" w:themeColor="text1"/>
        </w:rPr>
        <w:t xml:space="preserve">relations between the judiciary and the executive and the former also has the powers of judicial review, which ensures judicial oversight over </w:t>
      </w:r>
      <w:r w:rsidR="008F6629" w:rsidRPr="00997EBF">
        <w:rPr>
          <w:rFonts w:ascii="Candara" w:hAnsi="Candara"/>
          <w:color w:val="000000" w:themeColor="text1"/>
        </w:rPr>
        <w:t xml:space="preserve">executive actions </w:t>
      </w:r>
      <w:r w:rsidR="004245D4" w:rsidRPr="00997EBF">
        <w:rPr>
          <w:rFonts w:ascii="Candara" w:hAnsi="Candara"/>
          <w:color w:val="000000" w:themeColor="text1"/>
        </w:rPr>
        <w:t>even if the powers of judicial review are primarily organised for the purpose of assessing whether the law made by the Parliament is being applied correctly by the executive and if the latter’s acts accord with the powers give</w:t>
      </w:r>
      <w:r w:rsidR="00AD2027" w:rsidRPr="00997EBF">
        <w:rPr>
          <w:rFonts w:ascii="Candara" w:hAnsi="Candara"/>
          <w:color w:val="000000" w:themeColor="text1"/>
        </w:rPr>
        <w:t>n by the Parliament.</w:t>
      </w:r>
      <w:r w:rsidR="008F6629" w:rsidRPr="00997EBF">
        <w:rPr>
          <w:rFonts w:ascii="Candara" w:hAnsi="Candara"/>
          <w:color w:val="000000" w:themeColor="text1"/>
        </w:rPr>
        <w:t xml:space="preserve"> </w:t>
      </w:r>
      <w:r w:rsidR="00AD2027" w:rsidRPr="00997EBF">
        <w:rPr>
          <w:rFonts w:ascii="Candara" w:hAnsi="Candara"/>
          <w:color w:val="000000" w:themeColor="text1"/>
        </w:rPr>
        <w:t>Therefore, the</w:t>
      </w:r>
      <w:r w:rsidR="008F6629" w:rsidRPr="00997EBF">
        <w:rPr>
          <w:rFonts w:ascii="Candara" w:hAnsi="Candara"/>
          <w:color w:val="000000" w:themeColor="text1"/>
        </w:rPr>
        <w:t xml:space="preserve"> judiciary </w:t>
      </w:r>
      <w:r w:rsidR="00AD2027" w:rsidRPr="00997EBF">
        <w:rPr>
          <w:rFonts w:ascii="Candara" w:hAnsi="Candara"/>
          <w:color w:val="000000" w:themeColor="text1"/>
        </w:rPr>
        <w:t>has used its</w:t>
      </w:r>
      <w:r w:rsidR="008F6629" w:rsidRPr="00997EBF">
        <w:rPr>
          <w:rFonts w:ascii="Candara" w:hAnsi="Candara"/>
          <w:color w:val="000000" w:themeColor="text1"/>
        </w:rPr>
        <w:t xml:space="preserve"> powers of judicial review over executive acts </w:t>
      </w:r>
      <w:r w:rsidR="00AD2027" w:rsidRPr="00997EBF">
        <w:rPr>
          <w:rFonts w:ascii="Candara" w:hAnsi="Candara"/>
          <w:color w:val="000000" w:themeColor="text1"/>
        </w:rPr>
        <w:t xml:space="preserve">to </w:t>
      </w:r>
      <w:r w:rsidR="008F6629" w:rsidRPr="00997EBF">
        <w:rPr>
          <w:rFonts w:ascii="Candara" w:hAnsi="Candara"/>
          <w:color w:val="000000" w:themeColor="text1"/>
        </w:rPr>
        <w:t xml:space="preserve">assess the legality of </w:t>
      </w:r>
      <w:r w:rsidR="00AD2027" w:rsidRPr="00997EBF">
        <w:rPr>
          <w:rFonts w:ascii="Candara" w:hAnsi="Candara"/>
          <w:color w:val="000000" w:themeColor="text1"/>
        </w:rPr>
        <w:t>executive</w:t>
      </w:r>
      <w:r w:rsidR="008F6629" w:rsidRPr="00997EBF">
        <w:rPr>
          <w:rFonts w:ascii="Candara" w:hAnsi="Candara"/>
          <w:color w:val="000000" w:themeColor="text1"/>
        </w:rPr>
        <w:t xml:space="preserve"> actions on the basis of whether such decisions are rational, reasonable and legal</w:t>
      </w:r>
      <w:r w:rsidR="00AD2027" w:rsidRPr="00997EBF">
        <w:rPr>
          <w:rFonts w:ascii="Candara" w:hAnsi="Candara"/>
          <w:color w:val="000000" w:themeColor="text1"/>
        </w:rPr>
        <w:t xml:space="preserve"> </w:t>
      </w:r>
      <w:sdt>
        <w:sdtPr>
          <w:rPr>
            <w:rFonts w:ascii="Candara" w:hAnsi="Candara"/>
            <w:color w:val="000000" w:themeColor="text1"/>
          </w:rPr>
          <w:id w:val="-1591074583"/>
          <w:citation/>
        </w:sdtPr>
        <w:sdtEndPr/>
        <w:sdtContent>
          <w:r w:rsidR="00AD2027" w:rsidRPr="00997EBF">
            <w:rPr>
              <w:rFonts w:ascii="Candara" w:hAnsi="Candara"/>
              <w:color w:val="000000" w:themeColor="text1"/>
            </w:rPr>
            <w:fldChar w:fldCharType="begin"/>
          </w:r>
          <w:r w:rsidR="00AD2027" w:rsidRPr="00997EBF">
            <w:rPr>
              <w:rFonts w:ascii="Candara" w:hAnsi="Candara"/>
              <w:color w:val="000000" w:themeColor="text1"/>
              <w:lang w:val="en-US"/>
            </w:rPr>
            <w:instrText xml:space="preserve"> CITATION Ass48 \l 1033  \m Cou853</w:instrText>
          </w:r>
          <w:r w:rsidR="00AD2027" w:rsidRPr="00997EBF">
            <w:rPr>
              <w:rFonts w:ascii="Candara" w:hAnsi="Candara"/>
              <w:color w:val="000000" w:themeColor="text1"/>
            </w:rPr>
            <w:fldChar w:fldCharType="separate"/>
          </w:r>
          <w:r w:rsidR="00AD2027" w:rsidRPr="00997EBF">
            <w:rPr>
              <w:rFonts w:ascii="Candara" w:hAnsi="Candara"/>
              <w:noProof/>
              <w:color w:val="000000" w:themeColor="text1"/>
              <w:lang w:val="en-US"/>
            </w:rPr>
            <w:t>(Associated Provincial Picture Houses Ltd v Wednesbury Corporation [1948] 1 KB 223, 1948; Council for Civil Service Unions v Minister for Civil Service [1985] AC 374 HL, 1985)</w:t>
          </w:r>
          <w:r w:rsidR="00AD2027" w:rsidRPr="00997EBF">
            <w:rPr>
              <w:rFonts w:ascii="Candara" w:hAnsi="Candara"/>
              <w:color w:val="000000" w:themeColor="text1"/>
            </w:rPr>
            <w:fldChar w:fldCharType="end"/>
          </w:r>
        </w:sdtContent>
      </w:sdt>
      <w:r w:rsidR="008F6629" w:rsidRPr="00997EBF">
        <w:rPr>
          <w:rFonts w:ascii="Candara" w:hAnsi="Candara"/>
          <w:color w:val="000000" w:themeColor="text1"/>
        </w:rPr>
        <w:t>.</w:t>
      </w:r>
      <w:r w:rsidR="00AD2027" w:rsidRPr="00997EBF">
        <w:rPr>
          <w:rFonts w:ascii="Candara" w:hAnsi="Candara"/>
          <w:color w:val="000000" w:themeColor="text1"/>
        </w:rPr>
        <w:t xml:space="preserve"> </w:t>
      </w:r>
    </w:p>
    <w:p w14:paraId="7BD66A29" w14:textId="3C874D68" w:rsidR="002E5B52" w:rsidRPr="00997EBF" w:rsidRDefault="002E5B52" w:rsidP="00997EBF">
      <w:pPr>
        <w:spacing w:before="120" w:after="120"/>
        <w:rPr>
          <w:rStyle w:val="None"/>
          <w:rFonts w:ascii="Candara" w:hAnsi="Candara" w:cs="Arial"/>
          <w:color w:val="000000" w:themeColor="text1"/>
          <w:lang w:val="en-US"/>
        </w:rPr>
      </w:pPr>
      <w:r w:rsidRPr="00997EBF">
        <w:rPr>
          <w:rStyle w:val="None"/>
          <w:rFonts w:ascii="Candara" w:hAnsi="Candara"/>
          <w:color w:val="000000" w:themeColor="text1"/>
        </w:rPr>
        <w:t xml:space="preserve">It needs to be noted that application of the theory of separation of powers </w:t>
      </w:r>
      <w:r w:rsidR="00063366" w:rsidRPr="00997EBF">
        <w:rPr>
          <w:rStyle w:val="None"/>
          <w:rFonts w:ascii="Candara" w:hAnsi="Candara"/>
          <w:color w:val="000000" w:themeColor="text1"/>
        </w:rPr>
        <w:t xml:space="preserve">is difficult to apply in rigid sense and that it has generally been accepted that </w:t>
      </w:r>
      <w:r w:rsidRPr="00997EBF">
        <w:rPr>
          <w:rFonts w:ascii="Candara" w:hAnsi="Candara" w:cs="Arial"/>
          <w:color w:val="000000" w:themeColor="text1"/>
          <w:lang w:val="en-US"/>
        </w:rPr>
        <w:t xml:space="preserve">separation of powers can vary in form </w:t>
      </w:r>
      <w:r w:rsidR="00063366" w:rsidRPr="00997EBF">
        <w:rPr>
          <w:rFonts w:ascii="Candara" w:hAnsi="Candara" w:cs="Arial"/>
          <w:color w:val="000000" w:themeColor="text1"/>
          <w:lang w:val="en-US"/>
        </w:rPr>
        <w:t>and</w:t>
      </w:r>
      <w:r w:rsidRPr="00997EBF">
        <w:rPr>
          <w:rFonts w:ascii="Candara" w:hAnsi="Candara" w:cs="Arial"/>
          <w:color w:val="000000" w:themeColor="text1"/>
          <w:lang w:val="en-US"/>
        </w:rPr>
        <w:t xml:space="preserve"> degree, and </w:t>
      </w:r>
      <w:r w:rsidR="00063366" w:rsidRPr="00997EBF">
        <w:rPr>
          <w:rFonts w:ascii="Candara" w:hAnsi="Candara" w:cs="Arial"/>
          <w:color w:val="000000" w:themeColor="text1"/>
          <w:lang w:val="en-US"/>
        </w:rPr>
        <w:t>can be applied in the partial sense</w:t>
      </w:r>
      <w:sdt>
        <w:sdtPr>
          <w:rPr>
            <w:rFonts w:ascii="Candara" w:hAnsi="Candara" w:cs="Arial"/>
            <w:color w:val="000000" w:themeColor="text1"/>
            <w:lang w:val="en-US"/>
          </w:rPr>
          <w:id w:val="1356541160"/>
          <w:citation/>
        </w:sdtPr>
        <w:sdtEndPr/>
        <w:sdtContent>
          <w:r w:rsidR="00063366" w:rsidRPr="00997EBF">
            <w:rPr>
              <w:rFonts w:ascii="Candara" w:hAnsi="Candara" w:cs="Arial"/>
              <w:color w:val="000000" w:themeColor="text1"/>
              <w:lang w:val="en-US"/>
            </w:rPr>
            <w:fldChar w:fldCharType="begin"/>
          </w:r>
          <w:r w:rsidR="00063366" w:rsidRPr="00997EBF">
            <w:rPr>
              <w:rFonts w:ascii="Candara" w:hAnsi="Candara" w:cs="Arial"/>
              <w:color w:val="000000" w:themeColor="text1"/>
              <w:lang w:val="en-US"/>
            </w:rPr>
            <w:instrText xml:space="preserve"> CITATION TRS16 \l 1033 </w:instrText>
          </w:r>
          <w:r w:rsidR="00063366" w:rsidRPr="00997EBF">
            <w:rPr>
              <w:rFonts w:ascii="Candara" w:hAnsi="Candara" w:cs="Arial"/>
              <w:color w:val="000000" w:themeColor="text1"/>
              <w:lang w:val="en-US"/>
            </w:rPr>
            <w:fldChar w:fldCharType="separate"/>
          </w:r>
          <w:r w:rsidR="00063366" w:rsidRPr="00997EBF">
            <w:rPr>
              <w:rFonts w:ascii="Candara" w:hAnsi="Candara" w:cs="Arial"/>
              <w:noProof/>
              <w:color w:val="000000" w:themeColor="text1"/>
              <w:lang w:val="en-US"/>
            </w:rPr>
            <w:t xml:space="preserve"> (Allan, 2016)</w:t>
          </w:r>
          <w:r w:rsidR="00063366" w:rsidRPr="00997EBF">
            <w:rPr>
              <w:rFonts w:ascii="Candara" w:hAnsi="Candara" w:cs="Arial"/>
              <w:color w:val="000000" w:themeColor="text1"/>
              <w:lang w:val="en-US"/>
            </w:rPr>
            <w:fldChar w:fldCharType="end"/>
          </w:r>
        </w:sdtContent>
      </w:sdt>
      <w:r w:rsidRPr="00997EBF">
        <w:rPr>
          <w:rFonts w:ascii="Candara" w:hAnsi="Candara" w:cs="Arial"/>
          <w:color w:val="000000" w:themeColor="text1"/>
          <w:lang w:val="en-US"/>
        </w:rPr>
        <w:t xml:space="preserve">. </w:t>
      </w:r>
      <w:r w:rsidR="00063366" w:rsidRPr="00997EBF">
        <w:rPr>
          <w:rFonts w:ascii="Candara" w:hAnsi="Candara" w:cs="Arial"/>
          <w:color w:val="000000" w:themeColor="text1"/>
          <w:lang w:val="en-US"/>
        </w:rPr>
        <w:t>In the</w:t>
      </w:r>
      <w:r w:rsidRPr="00997EBF">
        <w:rPr>
          <w:rFonts w:ascii="Candara" w:hAnsi="Candara" w:cs="Arial"/>
          <w:color w:val="000000" w:themeColor="text1"/>
          <w:lang w:val="en-US"/>
        </w:rPr>
        <w:t xml:space="preserve"> pure </w:t>
      </w:r>
      <w:r w:rsidR="00063366" w:rsidRPr="00997EBF">
        <w:rPr>
          <w:rFonts w:ascii="Candara" w:hAnsi="Candara" w:cs="Arial"/>
          <w:color w:val="000000" w:themeColor="text1"/>
          <w:lang w:val="en-US"/>
        </w:rPr>
        <w:t>and absolute sense,</w:t>
      </w:r>
      <w:r w:rsidRPr="00997EBF">
        <w:rPr>
          <w:rFonts w:ascii="Candara" w:hAnsi="Candara" w:cs="Arial"/>
          <w:color w:val="000000" w:themeColor="text1"/>
          <w:lang w:val="en-US"/>
        </w:rPr>
        <w:t xml:space="preserve"> separation </w:t>
      </w:r>
      <w:r w:rsidR="00EE26E0" w:rsidRPr="00997EBF">
        <w:rPr>
          <w:rFonts w:ascii="Candara" w:hAnsi="Candara" w:cs="Arial"/>
          <w:color w:val="000000" w:themeColor="text1"/>
          <w:lang w:val="en-US"/>
        </w:rPr>
        <w:t>of powers can be done in the context of</w:t>
      </w:r>
      <w:r w:rsidRPr="00997EBF">
        <w:rPr>
          <w:rFonts w:ascii="Candara" w:hAnsi="Candara" w:cs="Arial"/>
          <w:color w:val="000000" w:themeColor="text1"/>
          <w:lang w:val="en-US"/>
        </w:rPr>
        <w:t xml:space="preserve"> personnel, functions and institutions,</w:t>
      </w:r>
      <w:r w:rsidR="00EE26E0" w:rsidRPr="00997EBF">
        <w:rPr>
          <w:rFonts w:ascii="Candara" w:hAnsi="Candara" w:cs="Arial"/>
          <w:color w:val="000000" w:themeColor="text1"/>
          <w:lang w:val="en-US"/>
        </w:rPr>
        <w:t xml:space="preserve"> but in the practical sense, this distinction is difficult to maintain</w:t>
      </w:r>
      <w:sdt>
        <w:sdtPr>
          <w:rPr>
            <w:rFonts w:ascii="Candara" w:hAnsi="Candara" w:cs="Arial"/>
            <w:color w:val="000000" w:themeColor="text1"/>
            <w:lang w:val="en-US"/>
          </w:rPr>
          <w:id w:val="-1185590071"/>
          <w:citation/>
        </w:sdtPr>
        <w:sdtEndPr/>
        <w:sdtContent>
          <w:r w:rsidR="00EE26E0" w:rsidRPr="00997EBF">
            <w:rPr>
              <w:rFonts w:ascii="Candara" w:hAnsi="Candara" w:cs="Arial"/>
              <w:color w:val="000000" w:themeColor="text1"/>
              <w:lang w:val="en-US"/>
            </w:rPr>
            <w:fldChar w:fldCharType="begin"/>
          </w:r>
          <w:r w:rsidR="00EE26E0" w:rsidRPr="00997EBF">
            <w:rPr>
              <w:rFonts w:ascii="Candara" w:hAnsi="Candara" w:cs="Arial"/>
              <w:color w:val="000000" w:themeColor="text1"/>
              <w:lang w:val="en-US"/>
            </w:rPr>
            <w:instrText xml:space="preserve"> CITATION TRS16 \l 1033 </w:instrText>
          </w:r>
          <w:r w:rsidR="00EE26E0" w:rsidRPr="00997EBF">
            <w:rPr>
              <w:rFonts w:ascii="Candara" w:hAnsi="Candara" w:cs="Arial"/>
              <w:color w:val="000000" w:themeColor="text1"/>
              <w:lang w:val="en-US"/>
            </w:rPr>
            <w:fldChar w:fldCharType="separate"/>
          </w:r>
          <w:r w:rsidR="00EE26E0" w:rsidRPr="00997EBF">
            <w:rPr>
              <w:rFonts w:ascii="Candara" w:hAnsi="Candara" w:cs="Arial"/>
              <w:noProof/>
              <w:color w:val="000000" w:themeColor="text1"/>
              <w:lang w:val="en-US"/>
            </w:rPr>
            <w:t xml:space="preserve"> (Allan, 2016)</w:t>
          </w:r>
          <w:r w:rsidR="00EE26E0" w:rsidRPr="00997EBF">
            <w:rPr>
              <w:rFonts w:ascii="Candara" w:hAnsi="Candara" w:cs="Arial"/>
              <w:color w:val="000000" w:themeColor="text1"/>
              <w:lang w:val="en-US"/>
            </w:rPr>
            <w:fldChar w:fldCharType="end"/>
          </w:r>
        </w:sdtContent>
      </w:sdt>
      <w:r w:rsidRPr="00997EBF">
        <w:rPr>
          <w:rFonts w:ascii="Candara" w:hAnsi="Candara" w:cs="Arial"/>
          <w:color w:val="000000" w:themeColor="text1"/>
          <w:lang w:val="en-US"/>
        </w:rPr>
        <w:t>.</w:t>
      </w:r>
      <w:r w:rsidR="00EE26E0" w:rsidRPr="00997EBF">
        <w:rPr>
          <w:rFonts w:ascii="Candara" w:hAnsi="Candara" w:cs="Arial"/>
          <w:color w:val="000000" w:themeColor="text1"/>
          <w:lang w:val="en-US"/>
        </w:rPr>
        <w:t xml:space="preserve"> </w:t>
      </w:r>
      <w:r w:rsidRPr="00997EBF">
        <w:rPr>
          <w:rFonts w:ascii="Candara" w:hAnsi="Candara" w:cs="Arial"/>
          <w:color w:val="000000" w:themeColor="text1"/>
          <w:lang w:val="en-US"/>
        </w:rPr>
        <w:t>Carolan</w:t>
      </w:r>
      <w:r w:rsidR="00EE26E0" w:rsidRPr="00997EBF">
        <w:rPr>
          <w:rFonts w:ascii="Candara" w:hAnsi="Candara" w:cs="Arial"/>
          <w:color w:val="000000" w:themeColor="text1"/>
          <w:lang w:val="en-US"/>
        </w:rPr>
        <w:t xml:space="preserve"> notes that</w:t>
      </w:r>
      <w:r w:rsidRPr="00997EBF">
        <w:rPr>
          <w:rFonts w:ascii="Candara" w:hAnsi="Candara" w:cs="Arial"/>
          <w:color w:val="000000" w:themeColor="text1"/>
          <w:lang w:val="en-US"/>
        </w:rPr>
        <w:t xml:space="preserve"> “from a practical perspective, a hermetic division of governmental functions…was impossible to achieve”</w:t>
      </w:r>
      <w:sdt>
        <w:sdtPr>
          <w:rPr>
            <w:rFonts w:ascii="Candara" w:hAnsi="Candara" w:cs="Arial"/>
            <w:color w:val="000000" w:themeColor="text1"/>
            <w:lang w:val="en-US"/>
          </w:rPr>
          <w:id w:val="688956298"/>
          <w:citation/>
        </w:sdtPr>
        <w:sdtEndPr/>
        <w:sdtContent>
          <w:r w:rsidR="00EE26E0" w:rsidRPr="00997EBF">
            <w:rPr>
              <w:rFonts w:ascii="Candara" w:hAnsi="Candara" w:cs="Arial"/>
              <w:color w:val="000000" w:themeColor="text1"/>
              <w:lang w:val="en-US"/>
            </w:rPr>
            <w:fldChar w:fldCharType="begin"/>
          </w:r>
          <w:r w:rsidR="00EE26E0" w:rsidRPr="00997EBF">
            <w:rPr>
              <w:rFonts w:ascii="Candara" w:hAnsi="Candara" w:cs="Arial"/>
              <w:color w:val="000000" w:themeColor="text1"/>
              <w:lang w:val="en-US"/>
            </w:rPr>
            <w:instrText xml:space="preserve">CITATION Eoi09 \p 19 \l 1033 </w:instrText>
          </w:r>
          <w:r w:rsidR="00EE26E0" w:rsidRPr="00997EBF">
            <w:rPr>
              <w:rFonts w:ascii="Candara" w:hAnsi="Candara" w:cs="Arial"/>
              <w:color w:val="000000" w:themeColor="text1"/>
              <w:lang w:val="en-US"/>
            </w:rPr>
            <w:fldChar w:fldCharType="separate"/>
          </w:r>
          <w:r w:rsidR="00EE26E0" w:rsidRPr="00997EBF">
            <w:rPr>
              <w:rFonts w:ascii="Candara" w:hAnsi="Candara" w:cs="Arial"/>
              <w:noProof/>
              <w:color w:val="000000" w:themeColor="text1"/>
              <w:lang w:val="en-US"/>
            </w:rPr>
            <w:t xml:space="preserve"> (Carolan, 2009, p. 19)</w:t>
          </w:r>
          <w:r w:rsidR="00EE26E0" w:rsidRPr="00997EBF">
            <w:rPr>
              <w:rFonts w:ascii="Candara" w:hAnsi="Candara" w:cs="Arial"/>
              <w:color w:val="000000" w:themeColor="text1"/>
              <w:lang w:val="en-US"/>
            </w:rPr>
            <w:fldChar w:fldCharType="end"/>
          </w:r>
        </w:sdtContent>
      </w:sdt>
      <w:r w:rsidR="00EE26E0" w:rsidRPr="00997EBF">
        <w:rPr>
          <w:rFonts w:ascii="Candara" w:hAnsi="Candara" w:cs="Arial"/>
          <w:color w:val="000000" w:themeColor="text1"/>
          <w:lang w:val="en-US"/>
        </w:rPr>
        <w:t>.</w:t>
      </w:r>
    </w:p>
    <w:p w14:paraId="28746FE3" w14:textId="4343E1FC" w:rsidR="00374CF0" w:rsidRPr="00997EBF" w:rsidRDefault="003B0014" w:rsidP="00997EBF">
      <w:pPr>
        <w:spacing w:before="120" w:after="120"/>
        <w:rPr>
          <w:rFonts w:ascii="Candara" w:hAnsi="Candara"/>
          <w:b/>
          <w:color w:val="000000" w:themeColor="text1"/>
        </w:rPr>
      </w:pPr>
      <w:r w:rsidRPr="00997EBF">
        <w:rPr>
          <w:rFonts w:ascii="Candara" w:hAnsi="Candara"/>
          <w:b/>
          <w:color w:val="000000" w:themeColor="text1"/>
        </w:rPr>
        <w:t>C</w:t>
      </w:r>
      <w:r w:rsidR="00374CF0" w:rsidRPr="00997EBF">
        <w:rPr>
          <w:rFonts w:ascii="Candara" w:hAnsi="Candara"/>
          <w:b/>
          <w:color w:val="000000" w:themeColor="text1"/>
        </w:rPr>
        <w:t>hecks and balances are in place to safeguard the separation between the legislature and the</w:t>
      </w:r>
      <w:r w:rsidRPr="00997EBF">
        <w:rPr>
          <w:rFonts w:ascii="Candara" w:hAnsi="Candara"/>
          <w:b/>
          <w:color w:val="000000" w:themeColor="text1"/>
        </w:rPr>
        <w:t xml:space="preserve"> </w:t>
      </w:r>
      <w:r w:rsidR="00374CF0" w:rsidRPr="00997EBF">
        <w:rPr>
          <w:rFonts w:ascii="Candara" w:hAnsi="Candara"/>
          <w:b/>
          <w:color w:val="000000" w:themeColor="text1"/>
        </w:rPr>
        <w:t>executive</w:t>
      </w:r>
      <w:r w:rsidRPr="00997EBF">
        <w:rPr>
          <w:rFonts w:ascii="Candara" w:hAnsi="Candara"/>
          <w:b/>
          <w:color w:val="000000" w:themeColor="text1"/>
        </w:rPr>
        <w:t xml:space="preserve"> and their efficacy</w:t>
      </w:r>
    </w:p>
    <w:p w14:paraId="393A5E92" w14:textId="77777777" w:rsidR="005D389A" w:rsidRPr="00997EBF" w:rsidRDefault="00F123B2" w:rsidP="00997EBF">
      <w:pPr>
        <w:widowControl w:val="0"/>
        <w:autoSpaceDE w:val="0"/>
        <w:autoSpaceDN w:val="0"/>
        <w:adjustRightInd w:val="0"/>
        <w:spacing w:before="120" w:after="120"/>
        <w:jc w:val="both"/>
        <w:rPr>
          <w:rFonts w:ascii="Candara" w:hAnsi="Candara" w:cs="Segoe UI"/>
          <w:color w:val="000000" w:themeColor="text1"/>
          <w:shd w:val="clear" w:color="auto" w:fill="FFFFFF"/>
        </w:rPr>
      </w:pPr>
      <w:r w:rsidRPr="00997EBF">
        <w:rPr>
          <w:rFonts w:ascii="Candara" w:hAnsi="Candara"/>
          <w:color w:val="000000" w:themeColor="text1"/>
          <w:lang w:val="en-US"/>
        </w:rPr>
        <w:t>The</w:t>
      </w:r>
      <w:r w:rsidR="0066306D" w:rsidRPr="00997EBF">
        <w:rPr>
          <w:rFonts w:ascii="Candara" w:hAnsi="Candara"/>
          <w:color w:val="000000" w:themeColor="text1"/>
          <w:lang w:val="en-US"/>
        </w:rPr>
        <w:t xml:space="preserve"> operation of</w:t>
      </w:r>
      <w:r w:rsidRPr="00997EBF">
        <w:rPr>
          <w:rFonts w:ascii="Candara" w:hAnsi="Candara"/>
          <w:color w:val="000000" w:themeColor="text1"/>
          <w:lang w:val="en-US"/>
        </w:rPr>
        <w:t xml:space="preserve"> theory of</w:t>
      </w:r>
      <w:r w:rsidR="0066306D" w:rsidRPr="00997EBF">
        <w:rPr>
          <w:rFonts w:ascii="Candara" w:hAnsi="Candara"/>
          <w:color w:val="000000" w:themeColor="text1"/>
          <w:lang w:val="en-US"/>
        </w:rPr>
        <w:t xml:space="preserve"> separation of powers not </w:t>
      </w:r>
      <w:r w:rsidRPr="00997EBF">
        <w:rPr>
          <w:rFonts w:ascii="Candara" w:hAnsi="Candara"/>
          <w:color w:val="000000" w:themeColor="text1"/>
          <w:lang w:val="en-US"/>
        </w:rPr>
        <w:t>being applied in the</w:t>
      </w:r>
      <w:r w:rsidR="0066306D" w:rsidRPr="00997EBF">
        <w:rPr>
          <w:rFonts w:ascii="Candara" w:hAnsi="Candara"/>
          <w:color w:val="000000" w:themeColor="text1"/>
          <w:lang w:val="en-US"/>
        </w:rPr>
        <w:t xml:space="preserve"> pure sense</w:t>
      </w:r>
      <w:r w:rsidRPr="00997EBF">
        <w:rPr>
          <w:rFonts w:ascii="Candara" w:hAnsi="Candara"/>
          <w:color w:val="000000" w:themeColor="text1"/>
          <w:lang w:val="en-US"/>
        </w:rPr>
        <w:t>, does not signify that there is centralization of powers</w:t>
      </w:r>
      <w:r w:rsidR="0066306D" w:rsidRPr="00997EBF">
        <w:rPr>
          <w:rFonts w:ascii="Candara" w:hAnsi="Candara"/>
          <w:color w:val="000000" w:themeColor="text1"/>
          <w:lang w:val="en-US"/>
        </w:rPr>
        <w:t xml:space="preserve"> </w:t>
      </w:r>
      <w:r w:rsidRPr="00997EBF">
        <w:rPr>
          <w:rFonts w:ascii="Candara" w:hAnsi="Candara"/>
          <w:color w:val="000000" w:themeColor="text1"/>
          <w:lang w:val="en-US"/>
        </w:rPr>
        <w:t>are</w:t>
      </w:r>
      <w:r w:rsidR="0066306D" w:rsidRPr="00997EBF">
        <w:rPr>
          <w:rFonts w:ascii="Candara" w:hAnsi="Candara"/>
          <w:color w:val="000000" w:themeColor="text1"/>
          <w:lang w:val="en-US"/>
        </w:rPr>
        <w:t xml:space="preserve"> centrali</w:t>
      </w:r>
      <w:r w:rsidRPr="00997EBF">
        <w:rPr>
          <w:rFonts w:ascii="Candara" w:hAnsi="Candara"/>
          <w:color w:val="000000" w:themeColor="text1"/>
          <w:lang w:val="en-US"/>
        </w:rPr>
        <w:t>s</w:t>
      </w:r>
      <w:r w:rsidR="0066306D" w:rsidRPr="00997EBF">
        <w:rPr>
          <w:rFonts w:ascii="Candara" w:hAnsi="Candara"/>
          <w:color w:val="000000" w:themeColor="text1"/>
          <w:lang w:val="en-US"/>
        </w:rPr>
        <w:t xml:space="preserve">ed in any one organ </w:t>
      </w:r>
      <w:r w:rsidRPr="00997EBF">
        <w:rPr>
          <w:rFonts w:ascii="Candara" w:hAnsi="Candara"/>
          <w:color w:val="000000" w:themeColor="text1"/>
          <w:lang w:val="en-US"/>
        </w:rPr>
        <w:t>because there is a</w:t>
      </w:r>
      <w:r w:rsidR="0066306D" w:rsidRPr="00997EBF">
        <w:rPr>
          <w:rFonts w:ascii="Candara" w:hAnsi="Candara"/>
          <w:color w:val="000000" w:themeColor="text1"/>
          <w:lang w:val="en-US"/>
        </w:rPr>
        <w:t xml:space="preserve"> system of checks and balances</w:t>
      </w:r>
      <w:r w:rsidRPr="00997EBF">
        <w:rPr>
          <w:rFonts w:ascii="Candara" w:hAnsi="Candara"/>
          <w:color w:val="000000" w:themeColor="text1"/>
          <w:lang w:val="en-US"/>
        </w:rPr>
        <w:t xml:space="preserve"> in the English constitutional law</w:t>
      </w:r>
      <w:sdt>
        <w:sdtPr>
          <w:rPr>
            <w:rFonts w:ascii="Candara" w:hAnsi="Candara"/>
            <w:color w:val="000000" w:themeColor="text1"/>
            <w:lang w:val="en-US"/>
          </w:rPr>
          <w:id w:val="2116634259"/>
          <w:citation/>
        </w:sdtPr>
        <w:sdtEndPr/>
        <w:sdtContent>
          <w:r w:rsidR="0066306D" w:rsidRPr="00997EBF">
            <w:rPr>
              <w:rFonts w:ascii="Candara" w:hAnsi="Candara"/>
              <w:color w:val="000000" w:themeColor="text1"/>
              <w:lang w:val="en-US"/>
            </w:rPr>
            <w:fldChar w:fldCharType="begin"/>
          </w:r>
          <w:r w:rsidR="0066306D" w:rsidRPr="00997EBF">
            <w:rPr>
              <w:rFonts w:ascii="Candara" w:hAnsi="Candara"/>
              <w:color w:val="000000" w:themeColor="text1"/>
              <w:lang w:val="en-US"/>
            </w:rPr>
            <w:instrText xml:space="preserve">CITATION Bil14 \p 61 \l 1033 </w:instrText>
          </w:r>
          <w:r w:rsidR="0066306D" w:rsidRPr="00997EBF">
            <w:rPr>
              <w:rFonts w:ascii="Candara" w:hAnsi="Candara"/>
              <w:color w:val="000000" w:themeColor="text1"/>
              <w:lang w:val="en-US"/>
            </w:rPr>
            <w:fldChar w:fldCharType="separate"/>
          </w:r>
          <w:r w:rsidR="0066306D" w:rsidRPr="00997EBF">
            <w:rPr>
              <w:rFonts w:ascii="Candara" w:hAnsi="Candara"/>
              <w:noProof/>
              <w:color w:val="000000" w:themeColor="text1"/>
              <w:lang w:val="en-US"/>
            </w:rPr>
            <w:t xml:space="preserve"> (Jones &amp; Norton, 2014, p. 61)</w:t>
          </w:r>
          <w:r w:rsidR="0066306D" w:rsidRPr="00997EBF">
            <w:rPr>
              <w:rFonts w:ascii="Candara" w:hAnsi="Candara"/>
              <w:color w:val="000000" w:themeColor="text1"/>
              <w:lang w:val="en-US"/>
            </w:rPr>
            <w:fldChar w:fldCharType="end"/>
          </w:r>
        </w:sdtContent>
      </w:sdt>
      <w:r w:rsidR="0066306D" w:rsidRPr="00997EBF">
        <w:rPr>
          <w:rFonts w:ascii="Candara" w:hAnsi="Candara"/>
          <w:color w:val="000000" w:themeColor="text1"/>
          <w:lang w:val="en-US"/>
        </w:rPr>
        <w:t>.</w:t>
      </w:r>
      <w:r w:rsidR="003B01FD" w:rsidRPr="00997EBF">
        <w:rPr>
          <w:rFonts w:ascii="Candara" w:hAnsi="Candara"/>
          <w:color w:val="000000" w:themeColor="text1"/>
          <w:lang w:val="en-US"/>
        </w:rPr>
        <w:t xml:space="preserve"> The system of checks and balances is applied for the purpose of mitigating potential for abuse of powers by the organs of the government. </w:t>
      </w:r>
      <w:r w:rsidR="003D53D9" w:rsidRPr="00997EBF">
        <w:rPr>
          <w:rFonts w:ascii="Candara" w:hAnsi="Candara"/>
          <w:color w:val="000000" w:themeColor="text1"/>
          <w:lang w:val="en-US"/>
        </w:rPr>
        <w:t xml:space="preserve">The principle of separation of powers itself is considered to be </w:t>
      </w:r>
      <w:r w:rsidR="003D53D9" w:rsidRPr="00997EBF">
        <w:rPr>
          <w:rFonts w:ascii="Candara" w:hAnsi="Candara"/>
          <w:color w:val="000000" w:themeColor="text1"/>
        </w:rPr>
        <w:t>a way to “foster a system of checks and balances necessary for good government”</w:t>
      </w:r>
      <w:r w:rsidR="003D53D9" w:rsidRPr="00997EBF">
        <w:rPr>
          <w:rFonts w:ascii="Candara" w:hAnsi="Candara"/>
          <w:color w:val="000000" w:themeColor="text1"/>
          <w:lang w:val="en-US"/>
        </w:rPr>
        <w:t xml:space="preserve"> </w:t>
      </w:r>
      <w:sdt>
        <w:sdtPr>
          <w:rPr>
            <w:rFonts w:ascii="Candara" w:hAnsi="Candara"/>
            <w:color w:val="000000" w:themeColor="text1"/>
            <w:lang w:val="en-US"/>
          </w:rPr>
          <w:id w:val="-677804987"/>
          <w:citation/>
        </w:sdtPr>
        <w:sdtEndPr/>
        <w:sdtContent>
          <w:r w:rsidR="006F7A7F" w:rsidRPr="00997EBF">
            <w:rPr>
              <w:rFonts w:ascii="Candara" w:hAnsi="Candara"/>
              <w:color w:val="000000" w:themeColor="text1"/>
              <w:lang w:val="en-US"/>
            </w:rPr>
            <w:fldChar w:fldCharType="begin"/>
          </w:r>
          <w:r w:rsidR="003D53D9" w:rsidRPr="00997EBF">
            <w:rPr>
              <w:rFonts w:ascii="Candara" w:hAnsi="Candara"/>
              <w:color w:val="000000" w:themeColor="text1"/>
              <w:lang w:val="en-US"/>
            </w:rPr>
            <w:instrText xml:space="preserve">CITATION Ric112 \p 1 \l 1033 </w:instrText>
          </w:r>
          <w:r w:rsidR="006F7A7F" w:rsidRPr="00997EBF">
            <w:rPr>
              <w:rFonts w:ascii="Candara" w:hAnsi="Candara"/>
              <w:color w:val="000000" w:themeColor="text1"/>
              <w:lang w:val="en-US"/>
            </w:rPr>
            <w:fldChar w:fldCharType="separate"/>
          </w:r>
          <w:r w:rsidR="003D53D9" w:rsidRPr="00997EBF">
            <w:rPr>
              <w:rFonts w:ascii="Candara" w:hAnsi="Candara"/>
              <w:noProof/>
              <w:color w:val="000000" w:themeColor="text1"/>
              <w:lang w:val="en-US"/>
            </w:rPr>
            <w:t>(Benwell &amp; Gay, 2011, p. 1)</w:t>
          </w:r>
          <w:r w:rsidR="006F7A7F" w:rsidRPr="00997EBF">
            <w:rPr>
              <w:rFonts w:ascii="Candara" w:hAnsi="Candara"/>
              <w:color w:val="000000" w:themeColor="text1"/>
              <w:lang w:val="en-US"/>
            </w:rPr>
            <w:fldChar w:fldCharType="end"/>
          </w:r>
        </w:sdtContent>
      </w:sdt>
      <w:r w:rsidR="003D53D9" w:rsidRPr="00997EBF">
        <w:rPr>
          <w:rFonts w:ascii="Candara" w:hAnsi="Candara"/>
          <w:color w:val="000000" w:themeColor="text1"/>
          <w:lang w:val="en-US"/>
        </w:rPr>
        <w:t xml:space="preserve">. </w:t>
      </w:r>
      <w:r w:rsidR="00D25C99" w:rsidRPr="00997EBF">
        <w:rPr>
          <w:rFonts w:ascii="Candara" w:hAnsi="Candara"/>
          <w:color w:val="000000" w:themeColor="text1"/>
          <w:lang w:val="en-US"/>
        </w:rPr>
        <w:t xml:space="preserve">The checks and balances are also maintained through a variety of systems in the British governance system involving the monarch, the prime minister, and the Parliament. For instance, the </w:t>
      </w:r>
      <w:r w:rsidR="004A263D" w:rsidRPr="00997EBF">
        <w:rPr>
          <w:rFonts w:ascii="Candara" w:hAnsi="Candara" w:cs="Segoe UI"/>
          <w:color w:val="000000" w:themeColor="text1"/>
          <w:shd w:val="clear" w:color="auto" w:fill="FFFFFF"/>
        </w:rPr>
        <w:t xml:space="preserve">prime minister can advise the queen to dissolve a Parliament </w:t>
      </w:r>
      <w:r w:rsidR="00D25C99" w:rsidRPr="00997EBF">
        <w:rPr>
          <w:rFonts w:ascii="Candara" w:hAnsi="Candara" w:cs="Segoe UI"/>
          <w:color w:val="000000" w:themeColor="text1"/>
          <w:shd w:val="clear" w:color="auto" w:fill="FFFFFF"/>
        </w:rPr>
        <w:t>but the</w:t>
      </w:r>
      <w:r w:rsidR="004A263D" w:rsidRPr="00997EBF">
        <w:rPr>
          <w:rFonts w:ascii="Candara" w:hAnsi="Candara" w:cs="Segoe UI"/>
          <w:color w:val="000000" w:themeColor="text1"/>
          <w:shd w:val="clear" w:color="auto" w:fill="FFFFFF"/>
        </w:rPr>
        <w:t xml:space="preserve"> Queen in emergency can dissolve or refuse to dissolve Parliament. </w:t>
      </w:r>
      <w:r w:rsidR="00BB6650" w:rsidRPr="00997EBF">
        <w:rPr>
          <w:rFonts w:ascii="Candara" w:hAnsi="Candara" w:cs="Segoe UI"/>
          <w:color w:val="000000" w:themeColor="text1"/>
          <w:shd w:val="clear" w:color="auto" w:fill="FFFFFF"/>
        </w:rPr>
        <w:t>Accountability of i</w:t>
      </w:r>
      <w:r w:rsidR="004A263D" w:rsidRPr="00997EBF">
        <w:rPr>
          <w:rFonts w:ascii="Candara" w:hAnsi="Candara" w:cs="Segoe UI"/>
          <w:color w:val="000000" w:themeColor="text1"/>
          <w:shd w:val="clear" w:color="auto" w:fill="FFFFFF"/>
        </w:rPr>
        <w:t xml:space="preserve">ndividual ministers </w:t>
      </w:r>
      <w:r w:rsidR="00BB6650" w:rsidRPr="00997EBF">
        <w:rPr>
          <w:rFonts w:ascii="Candara" w:hAnsi="Candara" w:cs="Segoe UI"/>
          <w:color w:val="000000" w:themeColor="text1"/>
          <w:shd w:val="clear" w:color="auto" w:fill="FFFFFF"/>
        </w:rPr>
        <w:t xml:space="preserve">is to the </w:t>
      </w:r>
      <w:r w:rsidR="004A263D" w:rsidRPr="00997EBF">
        <w:rPr>
          <w:rFonts w:ascii="Candara" w:hAnsi="Candara" w:cs="Segoe UI"/>
          <w:color w:val="000000" w:themeColor="text1"/>
          <w:shd w:val="clear" w:color="auto" w:fill="FFFFFF"/>
        </w:rPr>
        <w:t>Parliament</w:t>
      </w:r>
      <w:r w:rsidR="00BB6650" w:rsidRPr="00997EBF">
        <w:rPr>
          <w:rFonts w:ascii="Candara" w:hAnsi="Candara" w:cs="Segoe UI"/>
          <w:color w:val="000000" w:themeColor="text1"/>
          <w:shd w:val="clear" w:color="auto" w:fill="FFFFFF"/>
        </w:rPr>
        <w:t xml:space="preserve"> and through the system of ministerial </w:t>
      </w:r>
      <w:r w:rsidR="000B0EBC" w:rsidRPr="00997EBF">
        <w:rPr>
          <w:rFonts w:ascii="Candara" w:hAnsi="Candara" w:cs="Segoe UI"/>
          <w:color w:val="000000" w:themeColor="text1"/>
          <w:shd w:val="clear" w:color="auto" w:fill="FFFFFF"/>
        </w:rPr>
        <w:t>responsibility</w:t>
      </w:r>
      <w:r w:rsidR="00BB6650" w:rsidRPr="00997EBF">
        <w:rPr>
          <w:rFonts w:ascii="Candara" w:hAnsi="Candara" w:cs="Segoe UI"/>
          <w:color w:val="000000" w:themeColor="text1"/>
          <w:shd w:val="clear" w:color="auto" w:fill="FFFFFF"/>
        </w:rPr>
        <w:t>, checks are maintained on the executive arm by the Parliament</w:t>
      </w:r>
      <w:r w:rsidR="005D389A" w:rsidRPr="00997EBF">
        <w:rPr>
          <w:rFonts w:ascii="Candara" w:hAnsi="Candara" w:cs="Segoe UI"/>
          <w:color w:val="000000" w:themeColor="text1"/>
          <w:shd w:val="clear" w:color="auto" w:fill="FFFFFF"/>
        </w:rPr>
        <w:t xml:space="preserve"> </w:t>
      </w:r>
      <w:sdt>
        <w:sdtPr>
          <w:rPr>
            <w:rFonts w:ascii="Candara" w:hAnsi="Candara" w:cs="Segoe UI"/>
            <w:color w:val="000000" w:themeColor="text1"/>
            <w:shd w:val="clear" w:color="auto" w:fill="FFFFFF"/>
          </w:rPr>
          <w:id w:val="-399525987"/>
          <w:citation/>
        </w:sdtPr>
        <w:sdtEndPr/>
        <w:sdtContent>
          <w:r w:rsidR="005D389A" w:rsidRPr="00997EBF">
            <w:rPr>
              <w:rFonts w:ascii="Candara" w:hAnsi="Candara" w:cs="Segoe UI"/>
              <w:color w:val="000000" w:themeColor="text1"/>
              <w:shd w:val="clear" w:color="auto" w:fill="FFFFFF"/>
            </w:rPr>
            <w:fldChar w:fldCharType="begin"/>
          </w:r>
          <w:r w:rsidR="005D389A" w:rsidRPr="00997EBF">
            <w:rPr>
              <w:rFonts w:ascii="Candara" w:hAnsi="Candara" w:cs="Segoe UI"/>
              <w:color w:val="000000" w:themeColor="text1"/>
              <w:shd w:val="clear" w:color="auto" w:fill="FFFFFF"/>
              <w:lang w:val="en-US"/>
            </w:rPr>
            <w:instrText xml:space="preserve"> CITATION Sta11 \l 1033 </w:instrText>
          </w:r>
          <w:r w:rsidR="005D389A" w:rsidRPr="00997EBF">
            <w:rPr>
              <w:rFonts w:ascii="Candara" w:hAnsi="Candara" w:cs="Segoe UI"/>
              <w:color w:val="000000" w:themeColor="text1"/>
              <w:shd w:val="clear" w:color="auto" w:fill="FFFFFF"/>
            </w:rPr>
            <w:fldChar w:fldCharType="separate"/>
          </w:r>
          <w:r w:rsidR="005D389A" w:rsidRPr="00997EBF">
            <w:rPr>
              <w:rFonts w:ascii="Candara" w:hAnsi="Candara" w:cs="Segoe UI"/>
              <w:noProof/>
              <w:color w:val="000000" w:themeColor="text1"/>
              <w:shd w:val="clear" w:color="auto" w:fill="FFFFFF"/>
              <w:lang w:val="en-US"/>
            </w:rPr>
            <w:t>(Stark, 2011)</w:t>
          </w:r>
          <w:r w:rsidR="005D389A" w:rsidRPr="00997EBF">
            <w:rPr>
              <w:rFonts w:ascii="Candara" w:hAnsi="Candara" w:cs="Segoe UI"/>
              <w:color w:val="000000" w:themeColor="text1"/>
              <w:shd w:val="clear" w:color="auto" w:fill="FFFFFF"/>
            </w:rPr>
            <w:fldChar w:fldCharType="end"/>
          </w:r>
        </w:sdtContent>
      </w:sdt>
      <w:r w:rsidR="004A263D" w:rsidRPr="00997EBF">
        <w:rPr>
          <w:rFonts w:ascii="Candara" w:hAnsi="Candara" w:cs="Segoe UI"/>
          <w:color w:val="000000" w:themeColor="text1"/>
          <w:shd w:val="clear" w:color="auto" w:fill="FFFFFF"/>
        </w:rPr>
        <w:t xml:space="preserve">. </w:t>
      </w:r>
    </w:p>
    <w:p w14:paraId="43C20A85" w14:textId="7EEFF1C5" w:rsidR="005D389A" w:rsidRPr="00997EBF" w:rsidRDefault="00BB6650" w:rsidP="00997EBF">
      <w:pPr>
        <w:widowControl w:val="0"/>
        <w:autoSpaceDE w:val="0"/>
        <w:autoSpaceDN w:val="0"/>
        <w:adjustRightInd w:val="0"/>
        <w:spacing w:before="120" w:after="120"/>
        <w:jc w:val="both"/>
        <w:rPr>
          <w:rFonts w:ascii="Candara" w:hAnsi="Candara" w:cs="Segoe UI"/>
          <w:color w:val="000000" w:themeColor="text1"/>
          <w:shd w:val="clear" w:color="auto" w:fill="FFFFFF"/>
        </w:rPr>
      </w:pPr>
      <w:r w:rsidRPr="00997EBF">
        <w:rPr>
          <w:rFonts w:ascii="Candara" w:hAnsi="Candara" w:cs="Segoe UI"/>
          <w:color w:val="000000" w:themeColor="text1"/>
          <w:shd w:val="clear" w:color="auto" w:fill="FFFFFF"/>
        </w:rPr>
        <w:t>The</w:t>
      </w:r>
      <w:r w:rsidR="004A263D" w:rsidRPr="00997EBF">
        <w:rPr>
          <w:rFonts w:ascii="Candara" w:hAnsi="Candara" w:cs="Segoe UI"/>
          <w:color w:val="000000" w:themeColor="text1"/>
          <w:shd w:val="clear" w:color="auto" w:fill="FFFFFF"/>
        </w:rPr>
        <w:t xml:space="preserve"> Human Rights Act 1998</w:t>
      </w:r>
      <w:r w:rsidRPr="00997EBF">
        <w:rPr>
          <w:rFonts w:ascii="Candara" w:hAnsi="Candara" w:cs="Segoe UI"/>
          <w:color w:val="000000" w:themeColor="text1"/>
          <w:shd w:val="clear" w:color="auto" w:fill="FFFFFF"/>
        </w:rPr>
        <w:t xml:space="preserve"> also allows the judiciary </w:t>
      </w:r>
      <w:r w:rsidR="004A263D" w:rsidRPr="00997EBF">
        <w:rPr>
          <w:rFonts w:ascii="Candara" w:hAnsi="Candara" w:cs="Segoe UI"/>
          <w:color w:val="000000" w:themeColor="text1"/>
          <w:shd w:val="clear" w:color="auto" w:fill="FFFFFF"/>
        </w:rPr>
        <w:t xml:space="preserve">to scrutinise acts of </w:t>
      </w:r>
      <w:r w:rsidRPr="00997EBF">
        <w:rPr>
          <w:rFonts w:ascii="Candara" w:hAnsi="Candara" w:cs="Segoe UI"/>
          <w:color w:val="000000" w:themeColor="text1"/>
          <w:shd w:val="clear" w:color="auto" w:fill="FFFFFF"/>
        </w:rPr>
        <w:t>both legislature and the executive</w:t>
      </w:r>
      <w:r w:rsidR="004A263D" w:rsidRPr="00997EBF">
        <w:rPr>
          <w:rFonts w:ascii="Candara" w:hAnsi="Candara" w:cs="Segoe UI"/>
          <w:color w:val="000000" w:themeColor="text1"/>
          <w:shd w:val="clear" w:color="auto" w:fill="FFFFFF"/>
        </w:rPr>
        <w:t xml:space="preserve"> </w:t>
      </w:r>
      <w:r w:rsidRPr="00997EBF">
        <w:rPr>
          <w:rFonts w:ascii="Candara" w:hAnsi="Candara" w:cs="Segoe UI"/>
          <w:color w:val="000000" w:themeColor="text1"/>
          <w:shd w:val="clear" w:color="auto" w:fill="FFFFFF"/>
        </w:rPr>
        <w:t xml:space="preserve">to assess whether these acts are in conformity with the European Convention of Human Rights. </w:t>
      </w:r>
      <w:r w:rsidR="005015FD" w:rsidRPr="00997EBF">
        <w:rPr>
          <w:rFonts w:ascii="Candara" w:hAnsi="Candara" w:cs="Segoe UI"/>
          <w:color w:val="000000" w:themeColor="text1"/>
          <w:shd w:val="clear" w:color="auto" w:fill="FFFFFF"/>
        </w:rPr>
        <w:t xml:space="preserve">Such declarations have been made by the UK courts when there </w:t>
      </w:r>
      <w:r w:rsidR="00003CDE" w:rsidRPr="00997EBF">
        <w:rPr>
          <w:rFonts w:ascii="Candara" w:hAnsi="Candara" w:cs="Segoe UI"/>
          <w:color w:val="000000" w:themeColor="text1"/>
          <w:shd w:val="clear" w:color="auto" w:fill="FFFFFF"/>
        </w:rPr>
        <w:t>has</w:t>
      </w:r>
      <w:r w:rsidR="005015FD" w:rsidRPr="00997EBF">
        <w:rPr>
          <w:rFonts w:ascii="Candara" w:hAnsi="Candara" w:cs="Segoe UI"/>
          <w:color w:val="000000" w:themeColor="text1"/>
          <w:shd w:val="clear" w:color="auto" w:fill="FFFFFF"/>
        </w:rPr>
        <w:t xml:space="preserve"> been some discrepancy between the </w:t>
      </w:r>
      <w:r w:rsidR="00003CDE" w:rsidRPr="00997EBF">
        <w:rPr>
          <w:rFonts w:ascii="Candara" w:hAnsi="Candara" w:cs="Segoe UI"/>
          <w:color w:val="000000" w:themeColor="text1"/>
          <w:shd w:val="clear" w:color="auto" w:fill="FFFFFF"/>
        </w:rPr>
        <w:t xml:space="preserve">domestic legislation and the ECHR rights </w:t>
      </w:r>
      <w:sdt>
        <w:sdtPr>
          <w:rPr>
            <w:rFonts w:ascii="Candara" w:hAnsi="Candara" w:cs="Segoe UI"/>
            <w:color w:val="000000" w:themeColor="text1"/>
            <w:shd w:val="clear" w:color="auto" w:fill="FFFFFF"/>
          </w:rPr>
          <w:id w:val="-1568256954"/>
          <w:citation/>
        </w:sdtPr>
        <w:sdtEndPr/>
        <w:sdtContent>
          <w:r w:rsidR="00003CDE" w:rsidRPr="00997EBF">
            <w:rPr>
              <w:rFonts w:ascii="Candara" w:hAnsi="Candara" w:cs="Segoe UI"/>
              <w:color w:val="000000" w:themeColor="text1"/>
              <w:shd w:val="clear" w:color="auto" w:fill="FFFFFF"/>
            </w:rPr>
            <w:fldChar w:fldCharType="begin"/>
          </w:r>
          <w:r w:rsidR="00003CDE" w:rsidRPr="00997EBF">
            <w:rPr>
              <w:rFonts w:ascii="Candara" w:hAnsi="Candara" w:cs="Segoe UI"/>
              <w:color w:val="000000" w:themeColor="text1"/>
              <w:shd w:val="clear" w:color="auto" w:fill="FFFFFF"/>
              <w:lang w:val="en-US"/>
            </w:rPr>
            <w:instrText xml:space="preserve"> CITATION RvS951 \l 1033  \m AOt042</w:instrText>
          </w:r>
          <w:r w:rsidR="00003CDE" w:rsidRPr="00997EBF">
            <w:rPr>
              <w:rFonts w:ascii="Candara" w:hAnsi="Candara" w:cs="Segoe UI"/>
              <w:color w:val="000000" w:themeColor="text1"/>
              <w:shd w:val="clear" w:color="auto" w:fill="FFFFFF"/>
            </w:rPr>
            <w:fldChar w:fldCharType="separate"/>
          </w:r>
          <w:r w:rsidR="00003CDE" w:rsidRPr="00997EBF">
            <w:rPr>
              <w:rFonts w:ascii="Candara" w:hAnsi="Candara" w:cs="Segoe UI"/>
              <w:noProof/>
              <w:color w:val="000000" w:themeColor="text1"/>
              <w:shd w:val="clear" w:color="auto" w:fill="FFFFFF"/>
              <w:lang w:val="en-US"/>
            </w:rPr>
            <w:t>(R v Secretary of State for Employment, ex p Equal Opportunities Commission (1995) 1 AC 1, 1995; A &amp; Others v. Secretary of the State for the Home Department [2004] UKHL 43, 2004)</w:t>
          </w:r>
          <w:r w:rsidR="00003CDE" w:rsidRPr="00997EBF">
            <w:rPr>
              <w:rFonts w:ascii="Candara" w:hAnsi="Candara" w:cs="Segoe UI"/>
              <w:color w:val="000000" w:themeColor="text1"/>
              <w:shd w:val="clear" w:color="auto" w:fill="FFFFFF"/>
            </w:rPr>
            <w:fldChar w:fldCharType="end"/>
          </w:r>
        </w:sdtContent>
      </w:sdt>
      <w:r w:rsidR="00003CDE" w:rsidRPr="00997EBF">
        <w:rPr>
          <w:rFonts w:ascii="Candara" w:hAnsi="Candara" w:cs="Segoe UI"/>
          <w:color w:val="000000" w:themeColor="text1"/>
          <w:shd w:val="clear" w:color="auto" w:fill="FFFFFF"/>
        </w:rPr>
        <w:t>.</w:t>
      </w:r>
      <w:r w:rsidR="005015FD" w:rsidRPr="00997EBF">
        <w:rPr>
          <w:rFonts w:ascii="Candara" w:hAnsi="Candara" w:cs="Segoe UI"/>
          <w:color w:val="000000" w:themeColor="text1"/>
          <w:shd w:val="clear" w:color="auto" w:fill="FFFFFF"/>
        </w:rPr>
        <w:t xml:space="preserve"> </w:t>
      </w:r>
    </w:p>
    <w:p w14:paraId="13134D04" w14:textId="41E08FFE" w:rsidR="00005CF0" w:rsidRPr="00997EBF" w:rsidRDefault="00BB6650" w:rsidP="00997EBF">
      <w:pPr>
        <w:widowControl w:val="0"/>
        <w:autoSpaceDE w:val="0"/>
        <w:autoSpaceDN w:val="0"/>
        <w:adjustRightInd w:val="0"/>
        <w:spacing w:before="120" w:after="120"/>
        <w:jc w:val="both"/>
        <w:rPr>
          <w:rFonts w:ascii="Candara" w:hAnsi="Candara" w:cs="Arial"/>
          <w:color w:val="000000" w:themeColor="text1"/>
          <w:shd w:val="clear" w:color="auto" w:fill="FFFFFF"/>
        </w:rPr>
      </w:pPr>
      <w:r w:rsidRPr="00997EBF">
        <w:rPr>
          <w:rFonts w:ascii="Candara" w:hAnsi="Candara" w:cs="Segoe UI"/>
          <w:color w:val="000000" w:themeColor="text1"/>
          <w:shd w:val="clear" w:color="auto" w:fill="FFFFFF"/>
        </w:rPr>
        <w:t xml:space="preserve">Another legislation that can be used to prevent the executive from controlling the Parliament in the House of Commons where the party in government is also the party in majority is the </w:t>
      </w:r>
      <w:r w:rsidR="00D57FDA" w:rsidRPr="00997EBF">
        <w:rPr>
          <w:rFonts w:ascii="Candara" w:hAnsi="Candara"/>
          <w:i/>
          <w:color w:val="000000" w:themeColor="text1"/>
        </w:rPr>
        <w:t>House of Commons (Disqualification) Act 1975</w:t>
      </w:r>
      <w:r w:rsidRPr="00997EBF">
        <w:rPr>
          <w:rFonts w:ascii="Candara" w:hAnsi="Candara"/>
          <w:i/>
          <w:color w:val="000000" w:themeColor="text1"/>
        </w:rPr>
        <w:t xml:space="preserve">, </w:t>
      </w:r>
      <w:r w:rsidRPr="00997EBF">
        <w:rPr>
          <w:rFonts w:ascii="Candara" w:hAnsi="Candara"/>
          <w:color w:val="000000" w:themeColor="text1"/>
        </w:rPr>
        <w:t>which limits</w:t>
      </w:r>
      <w:r w:rsidR="00D57FDA" w:rsidRPr="00997EBF">
        <w:rPr>
          <w:rFonts w:ascii="Candara" w:hAnsi="Candara"/>
          <w:color w:val="000000" w:themeColor="text1"/>
        </w:rPr>
        <w:t xml:space="preserve"> the number of salaried ministers who sit in the</w:t>
      </w:r>
      <w:r w:rsidRPr="00997EBF">
        <w:rPr>
          <w:rFonts w:ascii="Candara" w:hAnsi="Candara"/>
          <w:color w:val="000000" w:themeColor="text1"/>
        </w:rPr>
        <w:t xml:space="preserve"> House of</w:t>
      </w:r>
      <w:r w:rsidR="00D57FDA" w:rsidRPr="00997EBF">
        <w:rPr>
          <w:rFonts w:ascii="Candara" w:hAnsi="Candara"/>
          <w:color w:val="000000" w:themeColor="text1"/>
        </w:rPr>
        <w:t xml:space="preserve"> Commons. </w:t>
      </w:r>
      <w:r w:rsidR="001B4524" w:rsidRPr="00997EBF">
        <w:rPr>
          <w:rFonts w:ascii="Candara" w:hAnsi="Candara"/>
          <w:color w:val="000000" w:themeColor="text1"/>
        </w:rPr>
        <w:t xml:space="preserve">Under the same law, judges are also prevented from </w:t>
      </w:r>
      <w:r w:rsidR="001B4524" w:rsidRPr="00997EBF">
        <w:rPr>
          <w:rFonts w:ascii="Candara" w:hAnsi="Candara"/>
        </w:rPr>
        <w:t>standing for election to Parliament.</w:t>
      </w:r>
      <w:r w:rsidR="001B4524" w:rsidRPr="00997EBF">
        <w:rPr>
          <w:rFonts w:ascii="Candara" w:hAnsi="Candara"/>
          <w:color w:val="000000" w:themeColor="text1"/>
        </w:rPr>
        <w:t xml:space="preserve"> </w:t>
      </w:r>
      <w:r w:rsidR="00005CF0" w:rsidRPr="00997EBF">
        <w:rPr>
          <w:rFonts w:ascii="Candara" w:hAnsi="Candara"/>
          <w:color w:val="000000" w:themeColor="text1"/>
          <w:lang w:val="en-US"/>
        </w:rPr>
        <w:t xml:space="preserve">Furthermore, the </w:t>
      </w:r>
      <w:r w:rsidR="00005CF0" w:rsidRPr="00997EBF">
        <w:rPr>
          <w:rStyle w:val="Emphasis"/>
          <w:rFonts w:ascii="Candara" w:hAnsi="Candara" w:cs="Arial"/>
          <w:bCs/>
          <w:iCs w:val="0"/>
          <w:color w:val="000000" w:themeColor="text1"/>
          <w:shd w:val="clear" w:color="auto" w:fill="FFFFFF"/>
        </w:rPr>
        <w:t>Fixed</w:t>
      </w:r>
      <w:r w:rsidR="00005CF0" w:rsidRPr="00997EBF">
        <w:rPr>
          <w:rFonts w:ascii="Candara" w:hAnsi="Candara" w:cs="Arial"/>
          <w:color w:val="000000" w:themeColor="text1"/>
          <w:shd w:val="clear" w:color="auto" w:fill="FFFFFF"/>
        </w:rPr>
        <w:t>-</w:t>
      </w:r>
      <w:r w:rsidR="00005CF0" w:rsidRPr="00997EBF">
        <w:rPr>
          <w:rStyle w:val="Emphasis"/>
          <w:rFonts w:ascii="Candara" w:hAnsi="Candara" w:cs="Arial"/>
          <w:bCs/>
          <w:iCs w:val="0"/>
          <w:color w:val="000000" w:themeColor="text1"/>
          <w:shd w:val="clear" w:color="auto" w:fill="FFFFFF"/>
        </w:rPr>
        <w:t>term Parliaments Act 2011</w:t>
      </w:r>
      <w:r w:rsidR="00005CF0" w:rsidRPr="00997EBF">
        <w:rPr>
          <w:rFonts w:ascii="Candara" w:hAnsi="Candara" w:cs="Arial"/>
          <w:color w:val="000000" w:themeColor="text1"/>
          <w:shd w:val="clear" w:color="auto" w:fill="FFFFFF"/>
        </w:rPr>
        <w:t xml:space="preserve"> creates a period of five year gap between general elections and there are specified circumstances in which the early elections may be held, which is another way in which the executive is prevented from exercising unwarranted control in the legislature. </w:t>
      </w:r>
    </w:p>
    <w:p w14:paraId="5F00CC41" w14:textId="48F0B128" w:rsidR="00DB0CE9" w:rsidRDefault="00DB0CE9" w:rsidP="00997EBF">
      <w:pPr>
        <w:widowControl w:val="0"/>
        <w:autoSpaceDE w:val="0"/>
        <w:autoSpaceDN w:val="0"/>
        <w:adjustRightInd w:val="0"/>
        <w:spacing w:before="120" w:after="120"/>
        <w:jc w:val="both"/>
        <w:rPr>
          <w:rFonts w:ascii="Candara" w:hAnsi="Candara"/>
          <w:color w:val="000000" w:themeColor="text1"/>
        </w:rPr>
      </w:pPr>
      <w:r w:rsidRPr="00997EBF">
        <w:rPr>
          <w:rFonts w:ascii="Candara" w:hAnsi="Candara"/>
          <w:color w:val="000000" w:themeColor="text1"/>
        </w:rPr>
        <w:t xml:space="preserve">The question is whether the system of checks and balances adopted to ensure that the powers are not misused by any organ of the state, </w:t>
      </w:r>
      <w:r w:rsidR="003D7F72" w:rsidRPr="00997EBF">
        <w:rPr>
          <w:rFonts w:ascii="Candara" w:hAnsi="Candara"/>
          <w:color w:val="000000" w:themeColor="text1"/>
        </w:rPr>
        <w:t>is adequate to address the aims of checks and balances.</w:t>
      </w:r>
      <w:r w:rsidR="009C7448" w:rsidRPr="00997EBF">
        <w:rPr>
          <w:rFonts w:ascii="Candara" w:hAnsi="Candara"/>
          <w:color w:val="000000" w:themeColor="text1"/>
        </w:rPr>
        <w:t xml:space="preserve"> It has been argued that the ability of the Parliament to scrutinise ministerial </w:t>
      </w:r>
      <w:r w:rsidR="00096539" w:rsidRPr="00997EBF">
        <w:rPr>
          <w:rFonts w:ascii="Candara" w:hAnsi="Candara"/>
          <w:color w:val="000000" w:themeColor="text1"/>
        </w:rPr>
        <w:t>actions is limited and when seen in conjunction with the judicial restraint exercised for the purpose of review of administrative decisions, the general outcome is that there may be areas of ministerial actions that are left out of scrutiny</w:t>
      </w:r>
      <w:r w:rsidR="003D7F72" w:rsidRPr="00997EBF">
        <w:rPr>
          <w:rFonts w:ascii="Candara" w:hAnsi="Candara"/>
          <w:color w:val="000000" w:themeColor="text1"/>
        </w:rPr>
        <w:t xml:space="preserve"> </w:t>
      </w:r>
      <w:sdt>
        <w:sdtPr>
          <w:rPr>
            <w:rFonts w:ascii="Candara" w:hAnsi="Candara"/>
            <w:color w:val="000000" w:themeColor="text1"/>
          </w:rPr>
          <w:id w:val="869416366"/>
          <w:citation/>
        </w:sdtPr>
        <w:sdtEndPr/>
        <w:sdtContent>
          <w:r w:rsidR="003D7F72" w:rsidRPr="00997EBF">
            <w:rPr>
              <w:rFonts w:ascii="Candara" w:hAnsi="Candara"/>
              <w:color w:val="000000" w:themeColor="text1"/>
            </w:rPr>
            <w:fldChar w:fldCharType="begin"/>
          </w:r>
          <w:r w:rsidR="00096539" w:rsidRPr="00997EBF">
            <w:rPr>
              <w:rFonts w:ascii="Candara" w:hAnsi="Candara"/>
              <w:color w:val="000000" w:themeColor="text1"/>
              <w:lang w:val="en-US"/>
            </w:rPr>
            <w:instrText xml:space="preserve">CITATION Mas101 \p 100 \l 1033 </w:instrText>
          </w:r>
          <w:r w:rsidR="003D7F72" w:rsidRPr="00997EBF">
            <w:rPr>
              <w:rFonts w:ascii="Candara" w:hAnsi="Candara"/>
              <w:color w:val="000000" w:themeColor="text1"/>
            </w:rPr>
            <w:fldChar w:fldCharType="separate"/>
          </w:r>
          <w:r w:rsidR="00096539" w:rsidRPr="00997EBF">
            <w:rPr>
              <w:rFonts w:ascii="Candara" w:hAnsi="Candara"/>
              <w:noProof/>
              <w:color w:val="000000" w:themeColor="text1"/>
              <w:lang w:val="en-US"/>
            </w:rPr>
            <w:t>(Masterman, 2010, p. 100)</w:t>
          </w:r>
          <w:r w:rsidR="003D7F72" w:rsidRPr="00997EBF">
            <w:rPr>
              <w:rFonts w:ascii="Candara" w:hAnsi="Candara"/>
              <w:color w:val="000000" w:themeColor="text1"/>
            </w:rPr>
            <w:fldChar w:fldCharType="end"/>
          </w:r>
        </w:sdtContent>
      </w:sdt>
      <w:r w:rsidR="009C7448" w:rsidRPr="00997EBF">
        <w:rPr>
          <w:rFonts w:ascii="Candara" w:hAnsi="Candara"/>
          <w:color w:val="000000" w:themeColor="text1"/>
        </w:rPr>
        <w:t>.</w:t>
      </w:r>
      <w:r w:rsidR="00096539" w:rsidRPr="00997EBF">
        <w:rPr>
          <w:rFonts w:ascii="Candara" w:hAnsi="Candara"/>
          <w:color w:val="000000" w:themeColor="text1"/>
        </w:rPr>
        <w:t xml:space="preserve"> Therefore, the actual checks and balances exercised with respect to the executive may be limited because there are areas of </w:t>
      </w:r>
      <w:r w:rsidR="00F41600" w:rsidRPr="00997EBF">
        <w:rPr>
          <w:rFonts w:ascii="Candara" w:hAnsi="Candara"/>
          <w:color w:val="000000" w:themeColor="text1"/>
        </w:rPr>
        <w:t xml:space="preserve">governmental action that may be considered by the courts as well as the legislature to be out of domain of scrutiny. This was the case in </w:t>
      </w:r>
      <w:r w:rsidR="00F41600" w:rsidRPr="00997EBF">
        <w:rPr>
          <w:rFonts w:ascii="Candara" w:hAnsi="Candara"/>
          <w:i/>
          <w:color w:val="000000" w:themeColor="text1"/>
        </w:rPr>
        <w:t xml:space="preserve">R (Gentle), </w:t>
      </w:r>
      <w:r w:rsidR="00F41600" w:rsidRPr="00997EBF">
        <w:rPr>
          <w:rFonts w:ascii="Candara" w:hAnsi="Candara"/>
          <w:color w:val="000000" w:themeColor="text1"/>
        </w:rPr>
        <w:t xml:space="preserve">where the Court of Appeal and the House of Lords were both </w:t>
      </w:r>
      <w:r w:rsidR="00A553D7" w:rsidRPr="00997EBF">
        <w:rPr>
          <w:rFonts w:ascii="Candara" w:hAnsi="Candara"/>
          <w:color w:val="000000" w:themeColor="text1"/>
        </w:rPr>
        <w:t xml:space="preserve">constrained from exercising their powers to authorise the establishment of an investigative panel to adjudge the lawfulness of a decision by the UK government to deploy British troops in Iraq </w:t>
      </w:r>
      <w:sdt>
        <w:sdtPr>
          <w:rPr>
            <w:rFonts w:ascii="Candara" w:hAnsi="Candara"/>
            <w:color w:val="000000" w:themeColor="text1"/>
          </w:rPr>
          <w:id w:val="347147682"/>
          <w:citation/>
        </w:sdtPr>
        <w:sdtEndPr/>
        <w:sdtContent>
          <w:r w:rsidR="00A553D7" w:rsidRPr="00997EBF">
            <w:rPr>
              <w:rFonts w:ascii="Candara" w:hAnsi="Candara"/>
              <w:color w:val="000000" w:themeColor="text1"/>
            </w:rPr>
            <w:fldChar w:fldCharType="begin"/>
          </w:r>
          <w:r w:rsidR="00A553D7" w:rsidRPr="00997EBF">
            <w:rPr>
              <w:rFonts w:ascii="Candara" w:hAnsi="Candara"/>
              <w:color w:val="000000" w:themeColor="text1"/>
              <w:lang w:val="en-US"/>
            </w:rPr>
            <w:instrText xml:space="preserve"> CITATION RGe061 \l 1033 </w:instrText>
          </w:r>
          <w:r w:rsidR="00A553D7" w:rsidRPr="00997EBF">
            <w:rPr>
              <w:rFonts w:ascii="Candara" w:hAnsi="Candara"/>
              <w:color w:val="000000" w:themeColor="text1"/>
            </w:rPr>
            <w:fldChar w:fldCharType="separate"/>
          </w:r>
          <w:r w:rsidR="00A553D7" w:rsidRPr="00997EBF">
            <w:rPr>
              <w:rFonts w:ascii="Candara" w:hAnsi="Candara"/>
              <w:noProof/>
              <w:color w:val="000000" w:themeColor="text1"/>
              <w:lang w:val="en-US"/>
            </w:rPr>
            <w:t>(R (Gentle) v The Prime Minister [2006] UKHL 20, 2006)</w:t>
          </w:r>
          <w:r w:rsidR="00A553D7" w:rsidRPr="00997EBF">
            <w:rPr>
              <w:rFonts w:ascii="Candara" w:hAnsi="Candara"/>
              <w:color w:val="000000" w:themeColor="text1"/>
            </w:rPr>
            <w:fldChar w:fldCharType="end"/>
          </w:r>
        </w:sdtContent>
      </w:sdt>
      <w:r w:rsidR="00A553D7" w:rsidRPr="00997EBF">
        <w:rPr>
          <w:rFonts w:ascii="Candara" w:hAnsi="Candara"/>
          <w:color w:val="000000" w:themeColor="text1"/>
        </w:rPr>
        <w:t>.</w:t>
      </w:r>
      <w:r w:rsidR="00997EBF">
        <w:rPr>
          <w:rFonts w:ascii="Candara" w:hAnsi="Candara"/>
          <w:color w:val="000000" w:themeColor="text1"/>
        </w:rPr>
        <w:t xml:space="preserve"> Even the reference to the incompatibility with the ECHR was not adequate to draw such review by the court. In effect, despite there being </w:t>
      </w:r>
      <w:r w:rsidR="00C73A88">
        <w:rPr>
          <w:rFonts w:ascii="Candara" w:hAnsi="Candara"/>
          <w:color w:val="000000" w:themeColor="text1"/>
        </w:rPr>
        <w:t xml:space="preserve">checks and balances in place, the system may not always work for ensuring that the </w:t>
      </w:r>
      <w:r w:rsidR="007B7328">
        <w:rPr>
          <w:rFonts w:ascii="Candara" w:hAnsi="Candara"/>
          <w:color w:val="000000" w:themeColor="text1"/>
        </w:rPr>
        <w:t xml:space="preserve">abuse of governmental power will not take place. Generally however, it can be said that there is a system in place to allow prevention of abuse of power by organs of the government. </w:t>
      </w:r>
    </w:p>
    <w:p w14:paraId="54C91ABB" w14:textId="0A6CCF47" w:rsidR="007B7328" w:rsidRDefault="007B7328" w:rsidP="00997EBF">
      <w:pPr>
        <w:widowControl w:val="0"/>
        <w:autoSpaceDE w:val="0"/>
        <w:autoSpaceDN w:val="0"/>
        <w:adjustRightInd w:val="0"/>
        <w:spacing w:before="120" w:after="120"/>
        <w:jc w:val="both"/>
        <w:rPr>
          <w:rFonts w:ascii="Candara" w:hAnsi="Candara"/>
          <w:color w:val="000000" w:themeColor="text1"/>
        </w:rPr>
      </w:pPr>
      <w:r>
        <w:rPr>
          <w:rFonts w:ascii="Candara" w:hAnsi="Candara"/>
          <w:color w:val="000000" w:themeColor="text1"/>
        </w:rPr>
        <w:t xml:space="preserve">To conclude, it can be reiterated that while the theory of separation of powers has been applied in the UK constitution, it is also maintained that such application cannot be strict and absolute in nature. In particular, overlap of powers is seen in the context of Legislature and the Executive. </w:t>
      </w:r>
      <w:r w:rsidR="00C3675E">
        <w:rPr>
          <w:rFonts w:ascii="Candara" w:hAnsi="Candara"/>
          <w:color w:val="000000" w:themeColor="text1"/>
        </w:rPr>
        <w:t>Overlap is necessary considering how the governance is practically organised in the UK with there being a Parliamentary system and overlap of personnel in the legislature and the executive. At the same time, checks and balances ensure that the executive arm is not abusive of its power. This is done through judicial review and other systems</w:t>
      </w:r>
      <w:r w:rsidR="00D67F6F">
        <w:rPr>
          <w:rFonts w:ascii="Candara" w:hAnsi="Candara"/>
          <w:color w:val="000000" w:themeColor="text1"/>
        </w:rPr>
        <w:t xml:space="preserve">, such as, </w:t>
      </w:r>
      <w:r w:rsidR="00C3675E">
        <w:rPr>
          <w:rFonts w:ascii="Candara" w:hAnsi="Candara"/>
          <w:color w:val="000000" w:themeColor="text1"/>
        </w:rPr>
        <w:t xml:space="preserve">the </w:t>
      </w:r>
      <w:r w:rsidR="00D67F6F">
        <w:rPr>
          <w:rFonts w:ascii="Candara" w:hAnsi="Candara"/>
          <w:color w:val="000000" w:themeColor="text1"/>
        </w:rPr>
        <w:t>use of ministerial responsibility. In all this, a balance is sought to be maintained so that the organs of the government maintain separation while also exercising necessary interference through checks and balances.</w:t>
      </w:r>
    </w:p>
    <w:p w14:paraId="0B588D45" w14:textId="5F304590"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59E999AD" w14:textId="71B95F0E"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6F809AC9" w14:textId="33BF1738"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44EA7F1C" w14:textId="731B1EC0"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727793D3" w14:textId="706EEB07"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6A3B629A" w14:textId="03429FEA"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2DFD920D" w14:textId="73D8BF7C"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5D36E2D1" w14:textId="1DA865FD"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605D4A43" w14:textId="75F6E4BF"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1BB26F9F" w14:textId="2770E089"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30629CF8" w14:textId="522CAE95"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173277D4" w14:textId="062BB080"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551EBF9E" w14:textId="17A9F52E"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6E2FA4F3" w14:textId="34D7E3CE"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594B3478" w14:textId="3528C93E"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78BD2DB5" w14:textId="0C8F5EF6"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733AAD8D" w14:textId="2D20DE2E"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60F84A2C" w14:textId="3042746B"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0078FF12" w14:textId="3CDE12FB"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2E8AFEED" w14:textId="2562A3F0"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5437FFDC" w14:textId="035F7451"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7FFDEF49" w14:textId="4BD1B5A3"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4731FA44" w14:textId="635AEA8D"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31E519FC" w14:textId="3D22AE91" w:rsidR="00D67F6F" w:rsidRDefault="00D67F6F" w:rsidP="00997EBF">
      <w:pPr>
        <w:widowControl w:val="0"/>
        <w:autoSpaceDE w:val="0"/>
        <w:autoSpaceDN w:val="0"/>
        <w:adjustRightInd w:val="0"/>
        <w:spacing w:before="120" w:after="120"/>
        <w:jc w:val="both"/>
        <w:rPr>
          <w:rFonts w:ascii="Candara" w:hAnsi="Candara"/>
          <w:color w:val="000000" w:themeColor="text1"/>
        </w:rPr>
      </w:pPr>
    </w:p>
    <w:p w14:paraId="768FB83B" w14:textId="77777777" w:rsidR="00D67F6F" w:rsidRPr="00997EBF" w:rsidRDefault="00D67F6F" w:rsidP="00997EBF">
      <w:pPr>
        <w:widowControl w:val="0"/>
        <w:autoSpaceDE w:val="0"/>
        <w:autoSpaceDN w:val="0"/>
        <w:adjustRightInd w:val="0"/>
        <w:spacing w:before="120" w:after="120"/>
        <w:jc w:val="both"/>
        <w:rPr>
          <w:rFonts w:ascii="Candara" w:hAnsi="Candara"/>
          <w:color w:val="000000" w:themeColor="text1"/>
        </w:rPr>
      </w:pPr>
    </w:p>
    <w:sdt>
      <w:sdtPr>
        <w:rPr>
          <w:rFonts w:ascii="Times New Roman" w:eastAsia="Times New Roman" w:hAnsi="Times New Roman" w:cs="Times New Roman"/>
          <w:b w:val="0"/>
          <w:bCs w:val="0"/>
          <w:color w:val="auto"/>
          <w:sz w:val="24"/>
          <w:szCs w:val="24"/>
          <w:lang w:val="en-IN" w:bidi="ar-SA"/>
        </w:rPr>
        <w:id w:val="-1716266120"/>
        <w:docPartObj>
          <w:docPartGallery w:val="Bibliographies"/>
          <w:docPartUnique/>
        </w:docPartObj>
      </w:sdtPr>
      <w:sdtEndPr/>
      <w:sdtContent>
        <w:p w14:paraId="0510FCE9" w14:textId="01239365" w:rsidR="00D67F6F" w:rsidRDefault="00D67F6F">
          <w:pPr>
            <w:pStyle w:val="Heading1"/>
          </w:pPr>
          <w:r>
            <w:t>Bibliography</w:t>
          </w:r>
        </w:p>
        <w:sdt>
          <w:sdtPr>
            <w:id w:val="111145805"/>
            <w:bibliography/>
          </w:sdtPr>
          <w:sdtEndPr/>
          <w:sdtContent>
            <w:p w14:paraId="13481C77" w14:textId="77777777" w:rsidR="00D67F6F" w:rsidRDefault="00D67F6F" w:rsidP="006E096B">
              <w:pPr>
                <w:pStyle w:val="Bibliography"/>
                <w:spacing w:before="120" w:after="120"/>
                <w:ind w:left="720" w:hanging="720"/>
                <w:rPr>
                  <w:noProof/>
                  <w:lang w:val="en-US"/>
                </w:rPr>
              </w:pPr>
              <w:r>
                <w:rPr>
                  <w:noProof/>
                  <w:lang w:val="en-US"/>
                </w:rPr>
                <w:t>A &amp; Others v. Secretary of the State for the Home Department [2004] UKHL 43 (2004).</w:t>
              </w:r>
            </w:p>
            <w:p w14:paraId="5A428FC0" w14:textId="77777777" w:rsidR="00D67F6F" w:rsidRDefault="00D67F6F" w:rsidP="006E096B">
              <w:pPr>
                <w:pStyle w:val="Bibliography"/>
                <w:spacing w:before="120" w:after="120"/>
                <w:ind w:left="720" w:hanging="720"/>
                <w:rPr>
                  <w:noProof/>
                  <w:lang w:val="en-US"/>
                </w:rPr>
              </w:pPr>
              <w:r>
                <w:rPr>
                  <w:noProof/>
                  <w:lang w:val="en-US"/>
                </w:rPr>
                <w:t xml:space="preserve">Allan, T. (2016). The Rule of Law. In D. Dyzenhaus, &amp; M. Thorburn, </w:t>
              </w:r>
              <w:r>
                <w:rPr>
                  <w:i/>
                  <w:iCs/>
                  <w:noProof/>
                  <w:lang w:val="en-US"/>
                </w:rPr>
                <w:t>Philosophical Foundations of Constitutional Law.</w:t>
              </w:r>
              <w:r>
                <w:rPr>
                  <w:noProof/>
                  <w:lang w:val="en-US"/>
                </w:rPr>
                <w:t xml:space="preserve"> Oxford : Oxford University Press.</w:t>
              </w:r>
            </w:p>
            <w:p w14:paraId="1136E948" w14:textId="77777777" w:rsidR="00D67F6F" w:rsidRDefault="00D67F6F" w:rsidP="006E096B">
              <w:pPr>
                <w:pStyle w:val="Bibliography"/>
                <w:spacing w:before="120" w:after="120"/>
                <w:ind w:left="720" w:hanging="720"/>
                <w:rPr>
                  <w:noProof/>
                  <w:lang w:val="en-US"/>
                </w:rPr>
              </w:pPr>
              <w:r>
                <w:rPr>
                  <w:noProof/>
                  <w:lang w:val="en-US"/>
                </w:rPr>
                <w:t>Associated Provincial Picture Houses Ltd v Wednesbury Corporation [1948] 1 KB 223 (1948).</w:t>
              </w:r>
            </w:p>
            <w:p w14:paraId="629262E6" w14:textId="77777777" w:rsidR="00D67F6F" w:rsidRDefault="00D67F6F" w:rsidP="006E096B">
              <w:pPr>
                <w:pStyle w:val="Bibliography"/>
                <w:spacing w:before="120" w:after="120"/>
                <w:ind w:left="720" w:hanging="720"/>
                <w:rPr>
                  <w:noProof/>
                  <w:lang w:val="en-US"/>
                </w:rPr>
              </w:pPr>
              <w:r>
                <w:rPr>
                  <w:noProof/>
                  <w:lang w:val="en-US"/>
                </w:rPr>
                <w:t xml:space="preserve">Bagehot, W. (1867). </w:t>
              </w:r>
              <w:r>
                <w:rPr>
                  <w:i/>
                  <w:iCs/>
                  <w:noProof/>
                  <w:lang w:val="en-US"/>
                </w:rPr>
                <w:t>The English Constitution .</w:t>
              </w:r>
              <w:r>
                <w:rPr>
                  <w:noProof/>
                  <w:lang w:val="en-US"/>
                </w:rPr>
                <w:t xml:space="preserve"> Chapman &amp; Hall.</w:t>
              </w:r>
            </w:p>
            <w:p w14:paraId="7FD7CC73" w14:textId="77777777" w:rsidR="00D67F6F" w:rsidRDefault="00D67F6F" w:rsidP="006E096B">
              <w:pPr>
                <w:pStyle w:val="Bibliography"/>
                <w:spacing w:before="120" w:after="120"/>
                <w:ind w:left="720" w:hanging="720"/>
                <w:rPr>
                  <w:noProof/>
                  <w:lang w:val="en-US"/>
                </w:rPr>
              </w:pPr>
              <w:r>
                <w:rPr>
                  <w:noProof/>
                  <w:lang w:val="en-US"/>
                </w:rPr>
                <w:t xml:space="preserve">Benwell, R., &amp; Gay, O. (2011). </w:t>
              </w:r>
              <w:r>
                <w:rPr>
                  <w:i/>
                  <w:iCs/>
                  <w:noProof/>
                  <w:lang w:val="en-US"/>
                </w:rPr>
                <w:t>The Separation of Powers, SN/PC/06053.</w:t>
              </w:r>
              <w:r>
                <w:rPr>
                  <w:noProof/>
                  <w:lang w:val="en-US"/>
                </w:rPr>
                <w:t xml:space="preserve"> House of Commons.</w:t>
              </w:r>
            </w:p>
            <w:p w14:paraId="76A32F34" w14:textId="77777777" w:rsidR="00D67F6F" w:rsidRDefault="00D67F6F" w:rsidP="006E096B">
              <w:pPr>
                <w:pStyle w:val="Bibliography"/>
                <w:spacing w:before="120" w:after="120"/>
                <w:ind w:left="720" w:hanging="720"/>
                <w:rPr>
                  <w:noProof/>
                  <w:lang w:val="en-US"/>
                </w:rPr>
              </w:pPr>
              <w:r>
                <w:rPr>
                  <w:noProof/>
                  <w:lang w:val="en-US"/>
                </w:rPr>
                <w:t xml:space="preserve">Carolan, E. (2009). </w:t>
              </w:r>
              <w:r>
                <w:rPr>
                  <w:i/>
                  <w:iCs/>
                  <w:noProof/>
                  <w:lang w:val="en-US"/>
                </w:rPr>
                <w:t>The New Separation of Powers: A Theory for the Modern State.</w:t>
              </w:r>
              <w:r>
                <w:rPr>
                  <w:noProof/>
                  <w:lang w:val="en-US"/>
                </w:rPr>
                <w:t xml:space="preserve"> Oxford : Oxford University Press.</w:t>
              </w:r>
            </w:p>
            <w:p w14:paraId="7665504C" w14:textId="77777777" w:rsidR="00D67F6F" w:rsidRDefault="00D67F6F" w:rsidP="006E096B">
              <w:pPr>
                <w:pStyle w:val="Bibliography"/>
                <w:spacing w:before="120" w:after="120"/>
                <w:ind w:left="720" w:hanging="720"/>
                <w:rPr>
                  <w:noProof/>
                  <w:lang w:val="en-US"/>
                </w:rPr>
              </w:pPr>
              <w:r>
                <w:rPr>
                  <w:noProof/>
                  <w:lang w:val="en-US"/>
                </w:rPr>
                <w:t>Council for Civil Service Unions v Minister for Civil Service [1985] AC 374 HL (1985).</w:t>
              </w:r>
            </w:p>
            <w:p w14:paraId="0250249F" w14:textId="77777777" w:rsidR="00D67F6F" w:rsidRDefault="00D67F6F" w:rsidP="006E096B">
              <w:pPr>
                <w:pStyle w:val="Bibliography"/>
                <w:spacing w:before="120" w:after="120"/>
                <w:ind w:left="720" w:hanging="720"/>
                <w:rPr>
                  <w:noProof/>
                  <w:lang w:val="en-US"/>
                </w:rPr>
              </w:pPr>
              <w:r>
                <w:rPr>
                  <w:noProof/>
                  <w:lang w:val="en-US"/>
                </w:rPr>
                <w:t xml:space="preserve">Dicey, A. V. (2013). </w:t>
              </w:r>
              <w:r>
                <w:rPr>
                  <w:i/>
                  <w:iCs/>
                  <w:noProof/>
                  <w:lang w:val="en-US"/>
                </w:rPr>
                <w:t>The law of the Constitution, Vol. 1 .</w:t>
              </w:r>
              <w:r>
                <w:rPr>
                  <w:noProof/>
                  <w:lang w:val="en-US"/>
                </w:rPr>
                <w:t xml:space="preserve"> OUP.</w:t>
              </w:r>
            </w:p>
            <w:p w14:paraId="35C750BE" w14:textId="77777777" w:rsidR="00D67F6F" w:rsidRDefault="00D67F6F" w:rsidP="006E096B">
              <w:pPr>
                <w:pStyle w:val="Bibliography"/>
                <w:spacing w:before="120" w:after="120"/>
                <w:ind w:left="720" w:hanging="720"/>
                <w:rPr>
                  <w:noProof/>
                  <w:lang w:val="en-US"/>
                </w:rPr>
              </w:pPr>
              <w:r>
                <w:rPr>
                  <w:noProof/>
                  <w:lang w:val="en-US"/>
                </w:rPr>
                <w:t>DPP v Mollison [2003] 2 AC (2003).</w:t>
              </w:r>
            </w:p>
            <w:p w14:paraId="3422DA67" w14:textId="77777777" w:rsidR="00D67F6F" w:rsidRDefault="00D67F6F" w:rsidP="006E096B">
              <w:pPr>
                <w:pStyle w:val="Bibliography"/>
                <w:spacing w:before="120" w:after="120"/>
                <w:ind w:left="720" w:hanging="720"/>
                <w:rPr>
                  <w:noProof/>
                  <w:lang w:val="en-US"/>
                </w:rPr>
              </w:pPr>
              <w:r>
                <w:rPr>
                  <w:noProof/>
                  <w:lang w:val="en-US"/>
                </w:rPr>
                <w:t>Duport Ltd v Sirs [1980] 1 WLR 142 (1980).</w:t>
              </w:r>
            </w:p>
            <w:p w14:paraId="7E8971E3" w14:textId="77777777" w:rsidR="00D67F6F" w:rsidRDefault="00D67F6F" w:rsidP="006E096B">
              <w:pPr>
                <w:pStyle w:val="Bibliography"/>
                <w:spacing w:before="120" w:after="120"/>
                <w:ind w:left="720" w:hanging="720"/>
                <w:rPr>
                  <w:noProof/>
                  <w:lang w:val="en-US"/>
                </w:rPr>
              </w:pPr>
              <w:r>
                <w:fldChar w:fldCharType="begin"/>
              </w:r>
              <w:r>
                <w:instrText xml:space="preserve"> BIBLIOGRAPHY </w:instrText>
              </w:r>
              <w:r>
                <w:fldChar w:fldCharType="separate"/>
              </w:r>
              <w:r>
                <w:rPr>
                  <w:noProof/>
                  <w:lang w:val="en-US"/>
                </w:rPr>
                <w:t xml:space="preserve">House of Lords. (2007). </w:t>
              </w:r>
              <w:r>
                <w:rPr>
                  <w:i/>
                  <w:iCs/>
                  <w:noProof/>
                  <w:lang w:val="en-US"/>
                </w:rPr>
                <w:t>Select Committee on Constitution Sixth Report.</w:t>
              </w:r>
              <w:r>
                <w:rPr>
                  <w:noProof/>
                  <w:lang w:val="en-US"/>
                </w:rPr>
                <w:t xml:space="preserve"> House of Lords.</w:t>
              </w:r>
            </w:p>
            <w:p w14:paraId="79E31DCD" w14:textId="77777777" w:rsidR="00D67F6F" w:rsidRDefault="00D67F6F" w:rsidP="006E096B">
              <w:pPr>
                <w:pStyle w:val="Bibliography"/>
                <w:spacing w:before="120" w:after="120"/>
                <w:ind w:left="720" w:hanging="720"/>
                <w:rPr>
                  <w:noProof/>
                  <w:lang w:val="en-US"/>
                </w:rPr>
              </w:pPr>
              <w:r>
                <w:rPr>
                  <w:noProof/>
                  <w:lang w:val="en-US"/>
                </w:rPr>
                <w:t xml:space="preserve">Jones, B., &amp; Norton, P. (2014). </w:t>
              </w:r>
              <w:r>
                <w:rPr>
                  <w:i/>
                  <w:iCs/>
                  <w:noProof/>
                  <w:lang w:val="en-US"/>
                </w:rPr>
                <w:t>Politics UK.</w:t>
              </w:r>
              <w:r>
                <w:rPr>
                  <w:noProof/>
                  <w:lang w:val="en-US"/>
                </w:rPr>
                <w:t xml:space="preserve"> Oxon: Routledge.</w:t>
              </w:r>
            </w:p>
            <w:p w14:paraId="35EF368D" w14:textId="77777777" w:rsidR="00D67F6F" w:rsidRDefault="00D67F6F" w:rsidP="006E096B">
              <w:pPr>
                <w:pStyle w:val="Bibliography"/>
                <w:spacing w:before="120" w:after="120"/>
                <w:ind w:left="720" w:hanging="720"/>
                <w:rPr>
                  <w:noProof/>
                  <w:lang w:val="en-US"/>
                </w:rPr>
              </w:pPr>
              <w:r>
                <w:rPr>
                  <w:noProof/>
                  <w:lang w:val="en-US"/>
                </w:rPr>
                <w:t xml:space="preserve">Mount, F. (2011). </w:t>
              </w:r>
              <w:r>
                <w:rPr>
                  <w:i/>
                  <w:iCs/>
                  <w:noProof/>
                  <w:lang w:val="en-US"/>
                </w:rPr>
                <w:t>The English constitution now: recovery or decline?</w:t>
              </w:r>
              <w:r>
                <w:rPr>
                  <w:noProof/>
                  <w:lang w:val="en-US"/>
                </w:rPr>
                <w:t xml:space="preserve"> Random House.</w:t>
              </w:r>
            </w:p>
            <w:p w14:paraId="3D6A62BB" w14:textId="77777777" w:rsidR="00D67F6F" w:rsidRDefault="00D67F6F" w:rsidP="006E096B">
              <w:pPr>
                <w:pStyle w:val="Bibliography"/>
                <w:spacing w:before="120" w:after="120"/>
                <w:ind w:left="720" w:hanging="720"/>
                <w:rPr>
                  <w:noProof/>
                  <w:lang w:val="en-US"/>
                </w:rPr>
              </w:pPr>
              <w:r>
                <w:rPr>
                  <w:noProof/>
                  <w:lang w:val="en-US"/>
                </w:rPr>
                <w:t xml:space="preserve">Oliver, D., &amp; Drewry, G. (1998). </w:t>
              </w:r>
              <w:r>
                <w:rPr>
                  <w:i/>
                  <w:iCs/>
                  <w:noProof/>
                  <w:lang w:val="en-US"/>
                </w:rPr>
                <w:t>The Law and Parliament .</w:t>
              </w:r>
              <w:r>
                <w:rPr>
                  <w:noProof/>
                  <w:lang w:val="en-US"/>
                </w:rPr>
                <w:t xml:space="preserve"> Cambridge University Press .</w:t>
              </w:r>
            </w:p>
            <w:p w14:paraId="34422243" w14:textId="77777777" w:rsidR="00D67F6F" w:rsidRDefault="00D67F6F" w:rsidP="006E096B">
              <w:pPr>
                <w:pStyle w:val="Bibliography"/>
                <w:spacing w:before="120" w:after="120"/>
                <w:ind w:left="720" w:hanging="720"/>
                <w:rPr>
                  <w:noProof/>
                  <w:lang w:val="en-US"/>
                </w:rPr>
              </w:pPr>
              <w:r>
                <w:rPr>
                  <w:noProof/>
                  <w:lang w:val="en-US"/>
                </w:rPr>
                <w:t xml:space="preserve">Massey, I. P. (2008). </w:t>
              </w:r>
              <w:r>
                <w:rPr>
                  <w:i/>
                  <w:iCs/>
                  <w:noProof/>
                  <w:lang w:val="en-US"/>
                </w:rPr>
                <w:t>Administrative Law.</w:t>
              </w:r>
              <w:r>
                <w:rPr>
                  <w:noProof/>
                  <w:lang w:val="en-US"/>
                </w:rPr>
                <w:t xml:space="preserve"> Eastern Book Company.</w:t>
              </w:r>
            </w:p>
            <w:p w14:paraId="22C93477" w14:textId="77777777" w:rsidR="00D67F6F" w:rsidRDefault="00D67F6F" w:rsidP="006E096B">
              <w:pPr>
                <w:pStyle w:val="Bibliography"/>
                <w:spacing w:before="120" w:after="120"/>
                <w:ind w:left="720" w:hanging="720"/>
                <w:rPr>
                  <w:noProof/>
                  <w:lang w:val="en-US"/>
                </w:rPr>
              </w:pPr>
              <w:r>
                <w:rPr>
                  <w:noProof/>
                  <w:lang w:val="en-US"/>
                </w:rPr>
                <w:t xml:space="preserve">Masterman, R. (2010). </w:t>
              </w:r>
              <w:r>
                <w:rPr>
                  <w:i/>
                  <w:iCs/>
                  <w:noProof/>
                  <w:lang w:val="en-US"/>
                </w:rPr>
                <w:t>The separation of powers in the contemporary constitution: Judicial competence and independence in the United Kingdom.</w:t>
              </w:r>
              <w:r>
                <w:rPr>
                  <w:noProof/>
                  <w:lang w:val="en-US"/>
                </w:rPr>
                <w:t xml:space="preserve"> Cambridge University Press.</w:t>
              </w:r>
            </w:p>
            <w:p w14:paraId="2A47EE51" w14:textId="77777777" w:rsidR="00D67F6F" w:rsidRDefault="00D67F6F" w:rsidP="006E096B">
              <w:pPr>
                <w:pStyle w:val="Bibliography"/>
                <w:spacing w:before="120" w:after="120"/>
                <w:ind w:left="720" w:hanging="720"/>
                <w:rPr>
                  <w:noProof/>
                  <w:lang w:val="en-US"/>
                </w:rPr>
              </w:pPr>
              <w:r>
                <w:rPr>
                  <w:noProof/>
                  <w:lang w:val="en-US"/>
                </w:rPr>
                <w:t>R (Gentle) v The Prime Minister [2006] UKHL 20 (2006).</w:t>
              </w:r>
            </w:p>
            <w:p w14:paraId="2B80033C" w14:textId="77777777" w:rsidR="00D67F6F" w:rsidRDefault="00D67F6F" w:rsidP="006E096B">
              <w:pPr>
                <w:pStyle w:val="Bibliography"/>
                <w:spacing w:before="120" w:after="120"/>
                <w:ind w:left="720" w:hanging="720"/>
                <w:rPr>
                  <w:noProof/>
                  <w:lang w:val="en-US"/>
                </w:rPr>
              </w:pPr>
              <w:r>
                <w:rPr>
                  <w:noProof/>
                  <w:lang w:val="en-US"/>
                </w:rPr>
                <w:t>R v Secretary of State for Employment, ex p Equal Opportunities Commission (1995) 1 AC 1 (1995).</w:t>
              </w:r>
            </w:p>
            <w:p w14:paraId="68292FB7" w14:textId="77777777" w:rsidR="00D67F6F" w:rsidRDefault="00D67F6F" w:rsidP="006E096B">
              <w:pPr>
                <w:pStyle w:val="Bibliography"/>
                <w:spacing w:before="120" w:after="120"/>
                <w:ind w:left="720" w:hanging="720"/>
                <w:rPr>
                  <w:noProof/>
                  <w:lang w:val="en-US"/>
                </w:rPr>
              </w:pPr>
              <w:r>
                <w:rPr>
                  <w:noProof/>
                  <w:lang w:val="en-US"/>
                </w:rPr>
                <w:t xml:space="preserve">Stark, A. (2011). The tradition of ministerial responsibility and its role in the bureaucratic management of crises. </w:t>
              </w:r>
              <w:r>
                <w:rPr>
                  <w:i/>
                  <w:iCs/>
                  <w:noProof/>
                  <w:lang w:val="en-US"/>
                </w:rPr>
                <w:t>Public Administration, 89</w:t>
              </w:r>
              <w:r>
                <w:rPr>
                  <w:noProof/>
                  <w:lang w:val="en-US"/>
                </w:rPr>
                <w:t>(3), 1148-1163.</w:t>
              </w:r>
            </w:p>
            <w:p w14:paraId="77C316C9" w14:textId="05A0B3EF" w:rsidR="00D67F6F" w:rsidRDefault="00D67F6F" w:rsidP="006E096B">
              <w:pPr>
                <w:spacing w:before="120" w:after="120"/>
              </w:pPr>
              <w:r>
                <w:rPr>
                  <w:b/>
                  <w:bCs/>
                  <w:noProof/>
                </w:rPr>
                <w:fldChar w:fldCharType="end"/>
              </w:r>
            </w:p>
          </w:sdtContent>
        </w:sdt>
      </w:sdtContent>
    </w:sdt>
    <w:p w14:paraId="579ED53B" w14:textId="77777777" w:rsidR="00005CF0" w:rsidRPr="00997EBF" w:rsidRDefault="00005CF0" w:rsidP="00997EBF">
      <w:pPr>
        <w:widowControl w:val="0"/>
        <w:autoSpaceDE w:val="0"/>
        <w:autoSpaceDN w:val="0"/>
        <w:adjustRightInd w:val="0"/>
        <w:spacing w:before="120" w:after="120"/>
        <w:jc w:val="both"/>
        <w:rPr>
          <w:rFonts w:ascii="Candara" w:hAnsi="Candara"/>
          <w:color w:val="000000" w:themeColor="text1"/>
          <w:lang w:val="en-US"/>
        </w:rPr>
      </w:pPr>
    </w:p>
    <w:sectPr w:rsidR="00005CF0" w:rsidRPr="00997EBF" w:rsidSect="00F315A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9423F" w14:textId="77777777" w:rsidR="00317E2E" w:rsidRDefault="00317E2E" w:rsidP="00B71744">
      <w:r>
        <w:separator/>
      </w:r>
    </w:p>
  </w:endnote>
  <w:endnote w:type="continuationSeparator" w:id="0">
    <w:p w14:paraId="63830709" w14:textId="77777777" w:rsidR="00317E2E" w:rsidRDefault="00317E2E" w:rsidP="00B71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91987" w14:textId="77777777" w:rsidR="00317E2E" w:rsidRDefault="00317E2E" w:rsidP="00B71744">
      <w:r>
        <w:separator/>
      </w:r>
    </w:p>
  </w:footnote>
  <w:footnote w:type="continuationSeparator" w:id="0">
    <w:p w14:paraId="7ECCCEB5" w14:textId="77777777" w:rsidR="00317E2E" w:rsidRDefault="00317E2E" w:rsidP="00B7174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CF0"/>
    <w:rsid w:val="00003CDE"/>
    <w:rsid w:val="00005CF0"/>
    <w:rsid w:val="00022D11"/>
    <w:rsid w:val="000426A3"/>
    <w:rsid w:val="000532D5"/>
    <w:rsid w:val="00063366"/>
    <w:rsid w:val="00096539"/>
    <w:rsid w:val="000B0EBC"/>
    <w:rsid w:val="000C682C"/>
    <w:rsid w:val="000F5EA2"/>
    <w:rsid w:val="00125207"/>
    <w:rsid w:val="00181E17"/>
    <w:rsid w:val="001845D7"/>
    <w:rsid w:val="001B4524"/>
    <w:rsid w:val="001D4C0E"/>
    <w:rsid w:val="001F0520"/>
    <w:rsid w:val="00203AD2"/>
    <w:rsid w:val="002A38F3"/>
    <w:rsid w:val="002A7FC8"/>
    <w:rsid w:val="002C0490"/>
    <w:rsid w:val="002E5B52"/>
    <w:rsid w:val="00317E2E"/>
    <w:rsid w:val="00344F2F"/>
    <w:rsid w:val="00374CF0"/>
    <w:rsid w:val="00386B01"/>
    <w:rsid w:val="003950A0"/>
    <w:rsid w:val="003B0014"/>
    <w:rsid w:val="003B01FD"/>
    <w:rsid w:val="003D53D9"/>
    <w:rsid w:val="003D7F72"/>
    <w:rsid w:val="00422F3A"/>
    <w:rsid w:val="004245D4"/>
    <w:rsid w:val="0043027C"/>
    <w:rsid w:val="004428C7"/>
    <w:rsid w:val="00480F7E"/>
    <w:rsid w:val="004A263D"/>
    <w:rsid w:val="004A3F9B"/>
    <w:rsid w:val="004D658B"/>
    <w:rsid w:val="005015FD"/>
    <w:rsid w:val="00510E71"/>
    <w:rsid w:val="005B494C"/>
    <w:rsid w:val="005D389A"/>
    <w:rsid w:val="0066306D"/>
    <w:rsid w:val="006E096B"/>
    <w:rsid w:val="006F3399"/>
    <w:rsid w:val="006F7A7F"/>
    <w:rsid w:val="00762229"/>
    <w:rsid w:val="007B7328"/>
    <w:rsid w:val="0083015A"/>
    <w:rsid w:val="008F6629"/>
    <w:rsid w:val="00900C96"/>
    <w:rsid w:val="00902C3A"/>
    <w:rsid w:val="00982DC1"/>
    <w:rsid w:val="00986608"/>
    <w:rsid w:val="00997EBF"/>
    <w:rsid w:val="009C7448"/>
    <w:rsid w:val="00A553D7"/>
    <w:rsid w:val="00A72005"/>
    <w:rsid w:val="00AD2027"/>
    <w:rsid w:val="00AE5094"/>
    <w:rsid w:val="00AF3731"/>
    <w:rsid w:val="00B07AF7"/>
    <w:rsid w:val="00B15BEB"/>
    <w:rsid w:val="00B71744"/>
    <w:rsid w:val="00B928DE"/>
    <w:rsid w:val="00BB6650"/>
    <w:rsid w:val="00BF3265"/>
    <w:rsid w:val="00C3675E"/>
    <w:rsid w:val="00C73A88"/>
    <w:rsid w:val="00CD0ECA"/>
    <w:rsid w:val="00D25C99"/>
    <w:rsid w:val="00D3296E"/>
    <w:rsid w:val="00D50756"/>
    <w:rsid w:val="00D57FDA"/>
    <w:rsid w:val="00D67F6F"/>
    <w:rsid w:val="00D7071D"/>
    <w:rsid w:val="00D72D78"/>
    <w:rsid w:val="00D923C1"/>
    <w:rsid w:val="00DB0CE9"/>
    <w:rsid w:val="00DB5DD7"/>
    <w:rsid w:val="00EE26E0"/>
    <w:rsid w:val="00F1211E"/>
    <w:rsid w:val="00F123B2"/>
    <w:rsid w:val="00F315AB"/>
    <w:rsid w:val="00F416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A170A5"/>
  <w14:defaultImageDpi w14:val="32767"/>
  <w15:chartTrackingRefBased/>
  <w15:docId w15:val="{717C730C-CBA2-8A45-913D-B6AA5DFD4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E5094"/>
    <w:rPr>
      <w:rFonts w:ascii="Times New Roman" w:eastAsia="Times New Roman" w:hAnsi="Times New Roman" w:cs="Times New Roman"/>
      <w:lang w:val="en-IN"/>
    </w:rPr>
  </w:style>
  <w:style w:type="paragraph" w:styleId="Heading1">
    <w:name w:val="heading 1"/>
    <w:basedOn w:val="Normal"/>
    <w:next w:val="Normal"/>
    <w:link w:val="Heading1Char"/>
    <w:uiPriority w:val="9"/>
    <w:qFormat/>
    <w:rsid w:val="00D67F6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71744"/>
    <w:rPr>
      <w:rFonts w:asciiTheme="minorHAnsi" w:eastAsiaTheme="minorHAnsi" w:hAnsiTheme="minorHAnsi" w:cstheme="minorBidi"/>
      <w:lang w:val="en-GB"/>
    </w:rPr>
  </w:style>
  <w:style w:type="character" w:customStyle="1" w:styleId="FootnoteTextChar">
    <w:name w:val="Footnote Text Char"/>
    <w:basedOn w:val="DefaultParagraphFont"/>
    <w:link w:val="FootnoteText"/>
    <w:uiPriority w:val="99"/>
    <w:rsid w:val="00B71744"/>
    <w:rPr>
      <w:lang w:val="en-GB"/>
    </w:rPr>
  </w:style>
  <w:style w:type="character" w:styleId="FootnoteReference">
    <w:name w:val="footnote reference"/>
    <w:basedOn w:val="DefaultParagraphFont"/>
    <w:uiPriority w:val="99"/>
    <w:unhideWhenUsed/>
    <w:rsid w:val="00B71744"/>
    <w:rPr>
      <w:vertAlign w:val="superscript"/>
    </w:rPr>
  </w:style>
  <w:style w:type="paragraph" w:styleId="ListParagraph">
    <w:name w:val="List Paragraph"/>
    <w:basedOn w:val="Normal"/>
    <w:uiPriority w:val="34"/>
    <w:qFormat/>
    <w:rsid w:val="00B71744"/>
    <w:pPr>
      <w:ind w:left="720"/>
      <w:contextualSpacing/>
    </w:pPr>
    <w:rPr>
      <w:rFonts w:asciiTheme="minorHAnsi" w:eastAsiaTheme="minorHAnsi" w:hAnsiTheme="minorHAnsi" w:cstheme="minorBidi"/>
      <w:lang w:val="en-GB"/>
    </w:rPr>
  </w:style>
  <w:style w:type="character" w:customStyle="1" w:styleId="None">
    <w:name w:val="None"/>
    <w:rsid w:val="008F6629"/>
  </w:style>
  <w:style w:type="character" w:customStyle="1" w:styleId="NoneA">
    <w:name w:val="None A"/>
    <w:rsid w:val="00762229"/>
  </w:style>
  <w:style w:type="paragraph" w:customStyle="1" w:styleId="Footnote">
    <w:name w:val="Footnote"/>
    <w:rsid w:val="00B07AF7"/>
    <w:pPr>
      <w:pBdr>
        <w:top w:val="none" w:sz="16" w:space="0" w:color="000000"/>
        <w:left w:val="none" w:sz="16" w:space="0" w:color="000000"/>
        <w:bottom w:val="none" w:sz="16" w:space="0" w:color="000000"/>
        <w:right w:val="none" w:sz="16" w:space="0" w:color="000000"/>
      </w:pBdr>
      <w:jc w:val="both"/>
    </w:pPr>
    <w:rPr>
      <w:rFonts w:ascii="Times New Roman" w:eastAsia="Times New Roman" w:hAnsi="Times New Roman" w:cs="Times New Roman"/>
      <w:color w:val="000000"/>
      <w:sz w:val="22"/>
      <w:szCs w:val="22"/>
      <w:u w:color="000000"/>
      <w:lang w:val="en-IN"/>
    </w:rPr>
  </w:style>
  <w:style w:type="character" w:styleId="Emphasis">
    <w:name w:val="Emphasis"/>
    <w:basedOn w:val="DefaultParagraphFont"/>
    <w:uiPriority w:val="20"/>
    <w:qFormat/>
    <w:rsid w:val="00005CF0"/>
    <w:rPr>
      <w:i/>
      <w:iCs/>
    </w:rPr>
  </w:style>
  <w:style w:type="character" w:customStyle="1" w:styleId="Heading1Char">
    <w:name w:val="Heading 1 Char"/>
    <w:basedOn w:val="DefaultParagraphFont"/>
    <w:link w:val="Heading1"/>
    <w:uiPriority w:val="9"/>
    <w:rsid w:val="00D67F6F"/>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D67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93510">
      <w:bodyDiv w:val="1"/>
      <w:marLeft w:val="0"/>
      <w:marRight w:val="0"/>
      <w:marTop w:val="0"/>
      <w:marBottom w:val="0"/>
      <w:divBdr>
        <w:top w:val="none" w:sz="0" w:space="0" w:color="auto"/>
        <w:left w:val="none" w:sz="0" w:space="0" w:color="auto"/>
        <w:bottom w:val="none" w:sz="0" w:space="0" w:color="auto"/>
        <w:right w:val="none" w:sz="0" w:space="0" w:color="auto"/>
      </w:divBdr>
    </w:div>
    <w:div w:id="106658726">
      <w:bodyDiv w:val="1"/>
      <w:marLeft w:val="0"/>
      <w:marRight w:val="0"/>
      <w:marTop w:val="0"/>
      <w:marBottom w:val="0"/>
      <w:divBdr>
        <w:top w:val="none" w:sz="0" w:space="0" w:color="auto"/>
        <w:left w:val="none" w:sz="0" w:space="0" w:color="auto"/>
        <w:bottom w:val="none" w:sz="0" w:space="0" w:color="auto"/>
        <w:right w:val="none" w:sz="0" w:space="0" w:color="auto"/>
      </w:divBdr>
    </w:div>
    <w:div w:id="191310220">
      <w:bodyDiv w:val="1"/>
      <w:marLeft w:val="0"/>
      <w:marRight w:val="0"/>
      <w:marTop w:val="0"/>
      <w:marBottom w:val="0"/>
      <w:divBdr>
        <w:top w:val="none" w:sz="0" w:space="0" w:color="auto"/>
        <w:left w:val="none" w:sz="0" w:space="0" w:color="auto"/>
        <w:bottom w:val="none" w:sz="0" w:space="0" w:color="auto"/>
        <w:right w:val="none" w:sz="0" w:space="0" w:color="auto"/>
      </w:divBdr>
    </w:div>
    <w:div w:id="192498075">
      <w:bodyDiv w:val="1"/>
      <w:marLeft w:val="0"/>
      <w:marRight w:val="0"/>
      <w:marTop w:val="0"/>
      <w:marBottom w:val="0"/>
      <w:divBdr>
        <w:top w:val="none" w:sz="0" w:space="0" w:color="auto"/>
        <w:left w:val="none" w:sz="0" w:space="0" w:color="auto"/>
        <w:bottom w:val="none" w:sz="0" w:space="0" w:color="auto"/>
        <w:right w:val="none" w:sz="0" w:space="0" w:color="auto"/>
      </w:divBdr>
    </w:div>
    <w:div w:id="260914718">
      <w:bodyDiv w:val="1"/>
      <w:marLeft w:val="0"/>
      <w:marRight w:val="0"/>
      <w:marTop w:val="0"/>
      <w:marBottom w:val="0"/>
      <w:divBdr>
        <w:top w:val="none" w:sz="0" w:space="0" w:color="auto"/>
        <w:left w:val="none" w:sz="0" w:space="0" w:color="auto"/>
        <w:bottom w:val="none" w:sz="0" w:space="0" w:color="auto"/>
        <w:right w:val="none" w:sz="0" w:space="0" w:color="auto"/>
      </w:divBdr>
    </w:div>
    <w:div w:id="274142115">
      <w:bodyDiv w:val="1"/>
      <w:marLeft w:val="0"/>
      <w:marRight w:val="0"/>
      <w:marTop w:val="0"/>
      <w:marBottom w:val="0"/>
      <w:divBdr>
        <w:top w:val="none" w:sz="0" w:space="0" w:color="auto"/>
        <w:left w:val="none" w:sz="0" w:space="0" w:color="auto"/>
        <w:bottom w:val="none" w:sz="0" w:space="0" w:color="auto"/>
        <w:right w:val="none" w:sz="0" w:space="0" w:color="auto"/>
      </w:divBdr>
    </w:div>
    <w:div w:id="274989930">
      <w:bodyDiv w:val="1"/>
      <w:marLeft w:val="0"/>
      <w:marRight w:val="0"/>
      <w:marTop w:val="0"/>
      <w:marBottom w:val="0"/>
      <w:divBdr>
        <w:top w:val="none" w:sz="0" w:space="0" w:color="auto"/>
        <w:left w:val="none" w:sz="0" w:space="0" w:color="auto"/>
        <w:bottom w:val="none" w:sz="0" w:space="0" w:color="auto"/>
        <w:right w:val="none" w:sz="0" w:space="0" w:color="auto"/>
      </w:divBdr>
    </w:div>
    <w:div w:id="288585770">
      <w:bodyDiv w:val="1"/>
      <w:marLeft w:val="0"/>
      <w:marRight w:val="0"/>
      <w:marTop w:val="0"/>
      <w:marBottom w:val="0"/>
      <w:divBdr>
        <w:top w:val="none" w:sz="0" w:space="0" w:color="auto"/>
        <w:left w:val="none" w:sz="0" w:space="0" w:color="auto"/>
        <w:bottom w:val="none" w:sz="0" w:space="0" w:color="auto"/>
        <w:right w:val="none" w:sz="0" w:space="0" w:color="auto"/>
      </w:divBdr>
    </w:div>
    <w:div w:id="307059028">
      <w:bodyDiv w:val="1"/>
      <w:marLeft w:val="0"/>
      <w:marRight w:val="0"/>
      <w:marTop w:val="0"/>
      <w:marBottom w:val="0"/>
      <w:divBdr>
        <w:top w:val="none" w:sz="0" w:space="0" w:color="auto"/>
        <w:left w:val="none" w:sz="0" w:space="0" w:color="auto"/>
        <w:bottom w:val="none" w:sz="0" w:space="0" w:color="auto"/>
        <w:right w:val="none" w:sz="0" w:space="0" w:color="auto"/>
      </w:divBdr>
    </w:div>
    <w:div w:id="371073805">
      <w:bodyDiv w:val="1"/>
      <w:marLeft w:val="0"/>
      <w:marRight w:val="0"/>
      <w:marTop w:val="0"/>
      <w:marBottom w:val="0"/>
      <w:divBdr>
        <w:top w:val="none" w:sz="0" w:space="0" w:color="auto"/>
        <w:left w:val="none" w:sz="0" w:space="0" w:color="auto"/>
        <w:bottom w:val="none" w:sz="0" w:space="0" w:color="auto"/>
        <w:right w:val="none" w:sz="0" w:space="0" w:color="auto"/>
      </w:divBdr>
    </w:div>
    <w:div w:id="387918557">
      <w:bodyDiv w:val="1"/>
      <w:marLeft w:val="0"/>
      <w:marRight w:val="0"/>
      <w:marTop w:val="0"/>
      <w:marBottom w:val="0"/>
      <w:divBdr>
        <w:top w:val="none" w:sz="0" w:space="0" w:color="auto"/>
        <w:left w:val="none" w:sz="0" w:space="0" w:color="auto"/>
        <w:bottom w:val="none" w:sz="0" w:space="0" w:color="auto"/>
        <w:right w:val="none" w:sz="0" w:space="0" w:color="auto"/>
      </w:divBdr>
    </w:div>
    <w:div w:id="393049838">
      <w:bodyDiv w:val="1"/>
      <w:marLeft w:val="0"/>
      <w:marRight w:val="0"/>
      <w:marTop w:val="0"/>
      <w:marBottom w:val="0"/>
      <w:divBdr>
        <w:top w:val="none" w:sz="0" w:space="0" w:color="auto"/>
        <w:left w:val="none" w:sz="0" w:space="0" w:color="auto"/>
        <w:bottom w:val="none" w:sz="0" w:space="0" w:color="auto"/>
        <w:right w:val="none" w:sz="0" w:space="0" w:color="auto"/>
      </w:divBdr>
    </w:div>
    <w:div w:id="509759163">
      <w:bodyDiv w:val="1"/>
      <w:marLeft w:val="0"/>
      <w:marRight w:val="0"/>
      <w:marTop w:val="0"/>
      <w:marBottom w:val="0"/>
      <w:divBdr>
        <w:top w:val="none" w:sz="0" w:space="0" w:color="auto"/>
        <w:left w:val="none" w:sz="0" w:space="0" w:color="auto"/>
        <w:bottom w:val="none" w:sz="0" w:space="0" w:color="auto"/>
        <w:right w:val="none" w:sz="0" w:space="0" w:color="auto"/>
      </w:divBdr>
    </w:div>
    <w:div w:id="524634730">
      <w:bodyDiv w:val="1"/>
      <w:marLeft w:val="0"/>
      <w:marRight w:val="0"/>
      <w:marTop w:val="0"/>
      <w:marBottom w:val="0"/>
      <w:divBdr>
        <w:top w:val="none" w:sz="0" w:space="0" w:color="auto"/>
        <w:left w:val="none" w:sz="0" w:space="0" w:color="auto"/>
        <w:bottom w:val="none" w:sz="0" w:space="0" w:color="auto"/>
        <w:right w:val="none" w:sz="0" w:space="0" w:color="auto"/>
      </w:divBdr>
    </w:div>
    <w:div w:id="581763272">
      <w:bodyDiv w:val="1"/>
      <w:marLeft w:val="0"/>
      <w:marRight w:val="0"/>
      <w:marTop w:val="0"/>
      <w:marBottom w:val="0"/>
      <w:divBdr>
        <w:top w:val="none" w:sz="0" w:space="0" w:color="auto"/>
        <w:left w:val="none" w:sz="0" w:space="0" w:color="auto"/>
        <w:bottom w:val="none" w:sz="0" w:space="0" w:color="auto"/>
        <w:right w:val="none" w:sz="0" w:space="0" w:color="auto"/>
      </w:divBdr>
    </w:div>
    <w:div w:id="631639582">
      <w:bodyDiv w:val="1"/>
      <w:marLeft w:val="0"/>
      <w:marRight w:val="0"/>
      <w:marTop w:val="0"/>
      <w:marBottom w:val="0"/>
      <w:divBdr>
        <w:top w:val="none" w:sz="0" w:space="0" w:color="auto"/>
        <w:left w:val="none" w:sz="0" w:space="0" w:color="auto"/>
        <w:bottom w:val="none" w:sz="0" w:space="0" w:color="auto"/>
        <w:right w:val="none" w:sz="0" w:space="0" w:color="auto"/>
      </w:divBdr>
    </w:div>
    <w:div w:id="653992541">
      <w:bodyDiv w:val="1"/>
      <w:marLeft w:val="0"/>
      <w:marRight w:val="0"/>
      <w:marTop w:val="0"/>
      <w:marBottom w:val="0"/>
      <w:divBdr>
        <w:top w:val="none" w:sz="0" w:space="0" w:color="auto"/>
        <w:left w:val="none" w:sz="0" w:space="0" w:color="auto"/>
        <w:bottom w:val="none" w:sz="0" w:space="0" w:color="auto"/>
        <w:right w:val="none" w:sz="0" w:space="0" w:color="auto"/>
      </w:divBdr>
    </w:div>
    <w:div w:id="681472310">
      <w:bodyDiv w:val="1"/>
      <w:marLeft w:val="0"/>
      <w:marRight w:val="0"/>
      <w:marTop w:val="0"/>
      <w:marBottom w:val="0"/>
      <w:divBdr>
        <w:top w:val="none" w:sz="0" w:space="0" w:color="auto"/>
        <w:left w:val="none" w:sz="0" w:space="0" w:color="auto"/>
        <w:bottom w:val="none" w:sz="0" w:space="0" w:color="auto"/>
        <w:right w:val="none" w:sz="0" w:space="0" w:color="auto"/>
      </w:divBdr>
    </w:div>
    <w:div w:id="700474356">
      <w:bodyDiv w:val="1"/>
      <w:marLeft w:val="0"/>
      <w:marRight w:val="0"/>
      <w:marTop w:val="0"/>
      <w:marBottom w:val="0"/>
      <w:divBdr>
        <w:top w:val="none" w:sz="0" w:space="0" w:color="auto"/>
        <w:left w:val="none" w:sz="0" w:space="0" w:color="auto"/>
        <w:bottom w:val="none" w:sz="0" w:space="0" w:color="auto"/>
        <w:right w:val="none" w:sz="0" w:space="0" w:color="auto"/>
      </w:divBdr>
    </w:div>
    <w:div w:id="755397157">
      <w:bodyDiv w:val="1"/>
      <w:marLeft w:val="0"/>
      <w:marRight w:val="0"/>
      <w:marTop w:val="0"/>
      <w:marBottom w:val="0"/>
      <w:divBdr>
        <w:top w:val="none" w:sz="0" w:space="0" w:color="auto"/>
        <w:left w:val="none" w:sz="0" w:space="0" w:color="auto"/>
        <w:bottom w:val="none" w:sz="0" w:space="0" w:color="auto"/>
        <w:right w:val="none" w:sz="0" w:space="0" w:color="auto"/>
      </w:divBdr>
    </w:div>
    <w:div w:id="860245609">
      <w:bodyDiv w:val="1"/>
      <w:marLeft w:val="0"/>
      <w:marRight w:val="0"/>
      <w:marTop w:val="0"/>
      <w:marBottom w:val="0"/>
      <w:divBdr>
        <w:top w:val="none" w:sz="0" w:space="0" w:color="auto"/>
        <w:left w:val="none" w:sz="0" w:space="0" w:color="auto"/>
        <w:bottom w:val="none" w:sz="0" w:space="0" w:color="auto"/>
        <w:right w:val="none" w:sz="0" w:space="0" w:color="auto"/>
      </w:divBdr>
    </w:div>
    <w:div w:id="861943780">
      <w:bodyDiv w:val="1"/>
      <w:marLeft w:val="0"/>
      <w:marRight w:val="0"/>
      <w:marTop w:val="0"/>
      <w:marBottom w:val="0"/>
      <w:divBdr>
        <w:top w:val="none" w:sz="0" w:space="0" w:color="auto"/>
        <w:left w:val="none" w:sz="0" w:space="0" w:color="auto"/>
        <w:bottom w:val="none" w:sz="0" w:space="0" w:color="auto"/>
        <w:right w:val="none" w:sz="0" w:space="0" w:color="auto"/>
      </w:divBdr>
    </w:div>
    <w:div w:id="875894249">
      <w:bodyDiv w:val="1"/>
      <w:marLeft w:val="0"/>
      <w:marRight w:val="0"/>
      <w:marTop w:val="0"/>
      <w:marBottom w:val="0"/>
      <w:divBdr>
        <w:top w:val="none" w:sz="0" w:space="0" w:color="auto"/>
        <w:left w:val="none" w:sz="0" w:space="0" w:color="auto"/>
        <w:bottom w:val="none" w:sz="0" w:space="0" w:color="auto"/>
        <w:right w:val="none" w:sz="0" w:space="0" w:color="auto"/>
      </w:divBdr>
    </w:div>
    <w:div w:id="892543825">
      <w:bodyDiv w:val="1"/>
      <w:marLeft w:val="0"/>
      <w:marRight w:val="0"/>
      <w:marTop w:val="0"/>
      <w:marBottom w:val="0"/>
      <w:divBdr>
        <w:top w:val="none" w:sz="0" w:space="0" w:color="auto"/>
        <w:left w:val="none" w:sz="0" w:space="0" w:color="auto"/>
        <w:bottom w:val="none" w:sz="0" w:space="0" w:color="auto"/>
        <w:right w:val="none" w:sz="0" w:space="0" w:color="auto"/>
      </w:divBdr>
    </w:div>
    <w:div w:id="958609699">
      <w:bodyDiv w:val="1"/>
      <w:marLeft w:val="0"/>
      <w:marRight w:val="0"/>
      <w:marTop w:val="0"/>
      <w:marBottom w:val="0"/>
      <w:divBdr>
        <w:top w:val="none" w:sz="0" w:space="0" w:color="auto"/>
        <w:left w:val="none" w:sz="0" w:space="0" w:color="auto"/>
        <w:bottom w:val="none" w:sz="0" w:space="0" w:color="auto"/>
        <w:right w:val="none" w:sz="0" w:space="0" w:color="auto"/>
      </w:divBdr>
    </w:div>
    <w:div w:id="1016731780">
      <w:bodyDiv w:val="1"/>
      <w:marLeft w:val="0"/>
      <w:marRight w:val="0"/>
      <w:marTop w:val="0"/>
      <w:marBottom w:val="0"/>
      <w:divBdr>
        <w:top w:val="none" w:sz="0" w:space="0" w:color="auto"/>
        <w:left w:val="none" w:sz="0" w:space="0" w:color="auto"/>
        <w:bottom w:val="none" w:sz="0" w:space="0" w:color="auto"/>
        <w:right w:val="none" w:sz="0" w:space="0" w:color="auto"/>
      </w:divBdr>
    </w:div>
    <w:div w:id="1076240576">
      <w:bodyDiv w:val="1"/>
      <w:marLeft w:val="0"/>
      <w:marRight w:val="0"/>
      <w:marTop w:val="0"/>
      <w:marBottom w:val="0"/>
      <w:divBdr>
        <w:top w:val="none" w:sz="0" w:space="0" w:color="auto"/>
        <w:left w:val="none" w:sz="0" w:space="0" w:color="auto"/>
        <w:bottom w:val="none" w:sz="0" w:space="0" w:color="auto"/>
        <w:right w:val="none" w:sz="0" w:space="0" w:color="auto"/>
      </w:divBdr>
    </w:div>
    <w:div w:id="1125539567">
      <w:bodyDiv w:val="1"/>
      <w:marLeft w:val="0"/>
      <w:marRight w:val="0"/>
      <w:marTop w:val="0"/>
      <w:marBottom w:val="0"/>
      <w:divBdr>
        <w:top w:val="none" w:sz="0" w:space="0" w:color="auto"/>
        <w:left w:val="none" w:sz="0" w:space="0" w:color="auto"/>
        <w:bottom w:val="none" w:sz="0" w:space="0" w:color="auto"/>
        <w:right w:val="none" w:sz="0" w:space="0" w:color="auto"/>
      </w:divBdr>
    </w:div>
    <w:div w:id="1161509098">
      <w:bodyDiv w:val="1"/>
      <w:marLeft w:val="0"/>
      <w:marRight w:val="0"/>
      <w:marTop w:val="0"/>
      <w:marBottom w:val="0"/>
      <w:divBdr>
        <w:top w:val="none" w:sz="0" w:space="0" w:color="auto"/>
        <w:left w:val="none" w:sz="0" w:space="0" w:color="auto"/>
        <w:bottom w:val="none" w:sz="0" w:space="0" w:color="auto"/>
        <w:right w:val="none" w:sz="0" w:space="0" w:color="auto"/>
      </w:divBdr>
    </w:div>
    <w:div w:id="1190489689">
      <w:bodyDiv w:val="1"/>
      <w:marLeft w:val="0"/>
      <w:marRight w:val="0"/>
      <w:marTop w:val="0"/>
      <w:marBottom w:val="0"/>
      <w:divBdr>
        <w:top w:val="none" w:sz="0" w:space="0" w:color="auto"/>
        <w:left w:val="none" w:sz="0" w:space="0" w:color="auto"/>
        <w:bottom w:val="none" w:sz="0" w:space="0" w:color="auto"/>
        <w:right w:val="none" w:sz="0" w:space="0" w:color="auto"/>
      </w:divBdr>
    </w:div>
    <w:div w:id="1366326482">
      <w:bodyDiv w:val="1"/>
      <w:marLeft w:val="0"/>
      <w:marRight w:val="0"/>
      <w:marTop w:val="0"/>
      <w:marBottom w:val="0"/>
      <w:divBdr>
        <w:top w:val="none" w:sz="0" w:space="0" w:color="auto"/>
        <w:left w:val="none" w:sz="0" w:space="0" w:color="auto"/>
        <w:bottom w:val="none" w:sz="0" w:space="0" w:color="auto"/>
        <w:right w:val="none" w:sz="0" w:space="0" w:color="auto"/>
      </w:divBdr>
    </w:div>
    <w:div w:id="1459297488">
      <w:bodyDiv w:val="1"/>
      <w:marLeft w:val="0"/>
      <w:marRight w:val="0"/>
      <w:marTop w:val="0"/>
      <w:marBottom w:val="0"/>
      <w:divBdr>
        <w:top w:val="none" w:sz="0" w:space="0" w:color="auto"/>
        <w:left w:val="none" w:sz="0" w:space="0" w:color="auto"/>
        <w:bottom w:val="none" w:sz="0" w:space="0" w:color="auto"/>
        <w:right w:val="none" w:sz="0" w:space="0" w:color="auto"/>
      </w:divBdr>
    </w:div>
    <w:div w:id="1462764295">
      <w:bodyDiv w:val="1"/>
      <w:marLeft w:val="0"/>
      <w:marRight w:val="0"/>
      <w:marTop w:val="0"/>
      <w:marBottom w:val="0"/>
      <w:divBdr>
        <w:top w:val="none" w:sz="0" w:space="0" w:color="auto"/>
        <w:left w:val="none" w:sz="0" w:space="0" w:color="auto"/>
        <w:bottom w:val="none" w:sz="0" w:space="0" w:color="auto"/>
        <w:right w:val="none" w:sz="0" w:space="0" w:color="auto"/>
      </w:divBdr>
    </w:div>
    <w:div w:id="1500735556">
      <w:bodyDiv w:val="1"/>
      <w:marLeft w:val="0"/>
      <w:marRight w:val="0"/>
      <w:marTop w:val="0"/>
      <w:marBottom w:val="0"/>
      <w:divBdr>
        <w:top w:val="none" w:sz="0" w:space="0" w:color="auto"/>
        <w:left w:val="none" w:sz="0" w:space="0" w:color="auto"/>
        <w:bottom w:val="none" w:sz="0" w:space="0" w:color="auto"/>
        <w:right w:val="none" w:sz="0" w:space="0" w:color="auto"/>
      </w:divBdr>
    </w:div>
    <w:div w:id="1515463921">
      <w:bodyDiv w:val="1"/>
      <w:marLeft w:val="0"/>
      <w:marRight w:val="0"/>
      <w:marTop w:val="0"/>
      <w:marBottom w:val="0"/>
      <w:divBdr>
        <w:top w:val="none" w:sz="0" w:space="0" w:color="auto"/>
        <w:left w:val="none" w:sz="0" w:space="0" w:color="auto"/>
        <w:bottom w:val="none" w:sz="0" w:space="0" w:color="auto"/>
        <w:right w:val="none" w:sz="0" w:space="0" w:color="auto"/>
      </w:divBdr>
    </w:div>
    <w:div w:id="1523282344">
      <w:bodyDiv w:val="1"/>
      <w:marLeft w:val="0"/>
      <w:marRight w:val="0"/>
      <w:marTop w:val="0"/>
      <w:marBottom w:val="0"/>
      <w:divBdr>
        <w:top w:val="none" w:sz="0" w:space="0" w:color="auto"/>
        <w:left w:val="none" w:sz="0" w:space="0" w:color="auto"/>
        <w:bottom w:val="none" w:sz="0" w:space="0" w:color="auto"/>
        <w:right w:val="none" w:sz="0" w:space="0" w:color="auto"/>
      </w:divBdr>
    </w:div>
    <w:div w:id="1523546966">
      <w:bodyDiv w:val="1"/>
      <w:marLeft w:val="0"/>
      <w:marRight w:val="0"/>
      <w:marTop w:val="0"/>
      <w:marBottom w:val="0"/>
      <w:divBdr>
        <w:top w:val="none" w:sz="0" w:space="0" w:color="auto"/>
        <w:left w:val="none" w:sz="0" w:space="0" w:color="auto"/>
        <w:bottom w:val="none" w:sz="0" w:space="0" w:color="auto"/>
        <w:right w:val="none" w:sz="0" w:space="0" w:color="auto"/>
      </w:divBdr>
    </w:div>
    <w:div w:id="1595364003">
      <w:bodyDiv w:val="1"/>
      <w:marLeft w:val="0"/>
      <w:marRight w:val="0"/>
      <w:marTop w:val="0"/>
      <w:marBottom w:val="0"/>
      <w:divBdr>
        <w:top w:val="none" w:sz="0" w:space="0" w:color="auto"/>
        <w:left w:val="none" w:sz="0" w:space="0" w:color="auto"/>
        <w:bottom w:val="none" w:sz="0" w:space="0" w:color="auto"/>
        <w:right w:val="none" w:sz="0" w:space="0" w:color="auto"/>
      </w:divBdr>
    </w:div>
    <w:div w:id="1703284370">
      <w:bodyDiv w:val="1"/>
      <w:marLeft w:val="0"/>
      <w:marRight w:val="0"/>
      <w:marTop w:val="0"/>
      <w:marBottom w:val="0"/>
      <w:divBdr>
        <w:top w:val="none" w:sz="0" w:space="0" w:color="auto"/>
        <w:left w:val="none" w:sz="0" w:space="0" w:color="auto"/>
        <w:bottom w:val="none" w:sz="0" w:space="0" w:color="auto"/>
        <w:right w:val="none" w:sz="0" w:space="0" w:color="auto"/>
      </w:divBdr>
    </w:div>
    <w:div w:id="1973517960">
      <w:bodyDiv w:val="1"/>
      <w:marLeft w:val="0"/>
      <w:marRight w:val="0"/>
      <w:marTop w:val="0"/>
      <w:marBottom w:val="0"/>
      <w:divBdr>
        <w:top w:val="none" w:sz="0" w:space="0" w:color="auto"/>
        <w:left w:val="none" w:sz="0" w:space="0" w:color="auto"/>
        <w:bottom w:val="none" w:sz="0" w:space="0" w:color="auto"/>
        <w:right w:val="none" w:sz="0" w:space="0" w:color="auto"/>
      </w:divBdr>
    </w:div>
    <w:div w:id="2029672428">
      <w:bodyDiv w:val="1"/>
      <w:marLeft w:val="0"/>
      <w:marRight w:val="0"/>
      <w:marTop w:val="0"/>
      <w:marBottom w:val="0"/>
      <w:divBdr>
        <w:top w:val="none" w:sz="0" w:space="0" w:color="auto"/>
        <w:left w:val="none" w:sz="0" w:space="0" w:color="auto"/>
        <w:bottom w:val="none" w:sz="0" w:space="0" w:color="auto"/>
        <w:right w:val="none" w:sz="0" w:space="0" w:color="auto"/>
      </w:divBdr>
    </w:div>
    <w:div w:id="2045978403">
      <w:bodyDiv w:val="1"/>
      <w:marLeft w:val="0"/>
      <w:marRight w:val="0"/>
      <w:marTop w:val="0"/>
      <w:marBottom w:val="0"/>
      <w:divBdr>
        <w:top w:val="none" w:sz="0" w:space="0" w:color="auto"/>
        <w:left w:val="none" w:sz="0" w:space="0" w:color="auto"/>
        <w:bottom w:val="none" w:sz="0" w:space="0" w:color="auto"/>
        <w:right w:val="none" w:sz="0" w:space="0" w:color="auto"/>
      </w:divBdr>
    </w:div>
    <w:div w:id="2116517473">
      <w:bodyDiv w:val="1"/>
      <w:marLeft w:val="0"/>
      <w:marRight w:val="0"/>
      <w:marTop w:val="0"/>
      <w:marBottom w:val="0"/>
      <w:divBdr>
        <w:top w:val="none" w:sz="0" w:space="0" w:color="auto"/>
        <w:left w:val="none" w:sz="0" w:space="0" w:color="auto"/>
        <w:bottom w:val="none" w:sz="0" w:space="0" w:color="auto"/>
        <w:right w:val="none" w:sz="0" w:space="0" w:color="auto"/>
      </w:divBdr>
    </w:div>
    <w:div w:id="2122415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Hou07</b:Tag>
    <b:SourceType>Report</b:SourceType>
    <b:Guid>{642309FE-1D0E-9C41-924D-351602AE2820}</b:Guid>
    <b:Title>Select Committee on Constitution Sixth Report</b:Title>
    <b:Publisher>House of Lords</b:Publisher>
    <b:Year>2007</b:Year>
    <b:Author>
      <b:Author>
        <b:Corporate>House of Lords</b:Corporate>
      </b:Author>
    </b:Author>
    <b:RefOrder>2</b:RefOrder>
  </b:Source>
  <b:Source>
    <b:Tag>Bil14</b:Tag>
    <b:SourceType>Book</b:SourceType>
    <b:Guid>{1FC8C6C6-500E-794D-B85D-8D9FF33A709E}</b:Guid>
    <b:Title>Politics UK</b:Title>
    <b:Year>2014</b:Year>
    <b:Author>
      <b:Author>
        <b:NameList>
          <b:Person>
            <b:Last>Jones</b:Last>
            <b:First>Bill</b:First>
          </b:Person>
          <b:Person>
            <b:Last>Norton</b:Last>
            <b:First>Philip</b:First>
          </b:Person>
        </b:NameList>
      </b:Author>
    </b:Author>
    <b:City>Oxon</b:City>
    <b:Publisher>Routledge</b:Publisher>
    <b:RefOrder>14</b:RefOrder>
  </b:Source>
  <b:Source>
    <b:Tag>Dup801</b:Tag>
    <b:SourceType>Case</b:SourceType>
    <b:Guid>{C066C2AF-FF55-5646-A7BD-9CE109F4A5C1}</b:Guid>
    <b:Title>Duport Ltd v Sirs [1980] 1 WLR 142</b:Title>
    <b:Year>1980</b:Year>
    <b:RefOrder>4</b:RefOrder>
  </b:Source>
  <b:Source>
    <b:Tag>Alb13</b:Tag>
    <b:SourceType>Book</b:SourceType>
    <b:Guid>{A4007F93-3070-614B-951A-6121DED4DCAA}</b:Guid>
    <b:Title>The law of the Constitution, Vol. 1 </b:Title>
    <b:Year>2013</b:Year>
    <b:Author>
      <b:Author>
        <b:NameList>
          <b:Person>
            <b:Last>Dicey</b:Last>
            <b:First>Albert</b:First>
            <b:Middle>Venn</b:Middle>
          </b:Person>
        </b:NameList>
      </b:Author>
    </b:Author>
    <b:Publisher>OUP</b:Publisher>
    <b:RefOrder>5</b:RefOrder>
  </b:Source>
  <b:Source>
    <b:Tag>Fer111</b:Tag>
    <b:SourceType>Book</b:SourceType>
    <b:Guid>{DC10585E-800A-854E-B2E5-173413E187E5}</b:Guid>
    <b:Author>
      <b:Author>
        <b:NameList>
          <b:Person>
            <b:Last>Mount</b:Last>
            <b:First>Ferdinand</b:First>
          </b:Person>
        </b:NameList>
      </b:Author>
    </b:Author>
    <b:Title>The English constitution now: recovery or decline?</b:Title>
    <b:Publisher>Random House</b:Publisher>
    <b:Year>2011</b:Year>
    <b:RefOrder>6</b:RefOrder>
  </b:Source>
  <b:Source>
    <b:Tag>Wal671</b:Tag>
    <b:SourceType>Book</b:SourceType>
    <b:Guid>{8F783097-91CD-5044-8556-528CCAB5EDA1}</b:Guid>
    <b:Author>
      <b:Author>
        <b:NameList>
          <b:Person>
            <b:Last>Bagehot</b:Last>
            <b:First>Walter</b:First>
          </b:Person>
        </b:NameList>
      </b:Author>
    </b:Author>
    <b:Title>The English Constitution </b:Title>
    <b:Publisher>Chapman &amp; Hall</b:Publisher>
    <b:Year>1867</b:Year>
    <b:RefOrder>7</b:RefOrder>
  </b:Source>
  <b:Source>
    <b:Tag>Daw981</b:Tag>
    <b:SourceType>Book</b:SourceType>
    <b:Guid>{47F87382-F6FD-AD42-8393-59EEFCAF76FB}</b:Guid>
    <b:Author>
      <b:Author>
        <b:NameList>
          <b:Person>
            <b:Last>Oliver</b:Last>
            <b:First>Dawn</b:First>
          </b:Person>
          <b:Person>
            <b:Last>Drewry</b:Last>
            <b:First>Gavin</b:First>
          </b:Person>
        </b:NameList>
      </b:Author>
    </b:Author>
    <b:Title>The Law and Parliament </b:Title>
    <b:Publisher>Cambridge University Press </b:Publisher>
    <b:Year>1998</b:Year>
    <b:RefOrder>9</b:RefOrder>
  </b:Source>
  <b:Source>
    <b:Tag>Ass48</b:Tag>
    <b:SourceType>Case</b:SourceType>
    <b:Guid>{918C0A94-C97B-4743-BF33-82475330544F}</b:Guid>
    <b:Title>Associated Provincial Picture Houses Ltd v Wednesbury Corporation [1948] 1 KB 223</b:Title>
    <b:Year>1948</b:Year>
    <b:RefOrder>10</b:RefOrder>
  </b:Source>
  <b:Source>
    <b:Tag>Cou853</b:Tag>
    <b:SourceType>Case</b:SourceType>
    <b:Guid>{7BD90D6E-B321-644B-9B23-C4AC9625B177}</b:Guid>
    <b:Title>Council for Civil Service Unions v Minister for Civil Service [1985] AC 374 HL</b:Title>
    <b:Year>1985</b:Year>
    <b:RefOrder>11</b:RefOrder>
  </b:Source>
  <b:Source>
    <b:Tag>Ric112</b:Tag>
    <b:SourceType>Report</b:SourceType>
    <b:Guid>{CC5CDD06-D0C2-A140-AF47-7D267D74578A}</b:Guid>
    <b:Title>The Separation of Powers, SN/PC/06053</b:Title>
    <b:Year>2011</b:Year>
    <b:Author>
      <b:Author>
        <b:NameList>
          <b:Person>
            <b:Last>Benwell</b:Last>
            <b:First>Richard</b:First>
          </b:Person>
          <b:Person>
            <b:Last>Gay</b:Last>
            <b:First>Oonagh</b:First>
          </b:Person>
        </b:NameList>
      </b:Author>
    </b:Author>
    <b:Publisher>House of Commons</b:Publisher>
    <b:RefOrder>8</b:RefOrder>
  </b:Source>
  <b:Source>
    <b:Tag>TRS16</b:Tag>
    <b:SourceType>BookSection</b:SourceType>
    <b:Guid>{72842515-13C0-AA4B-8B80-C09731F9D767}</b:Guid>
    <b:Title>The Rule of Law</b:Title>
    <b:Publisher>Oxford University Press</b:Publisher>
    <b:City>Oxford </b:City>
    <b:Year>2016</b:Year>
    <b:Author>
      <b:Author>
        <b:NameList>
          <b:Person>
            <b:Last>Allan</b:Last>
            <b:First>TRS</b:First>
          </b:Person>
        </b:NameList>
      </b:Author>
      <b:BookAuthor>
        <b:NameList>
          <b:Person>
            <b:Last>Dyzenhaus</b:Last>
            <b:First>David</b:First>
          </b:Person>
          <b:Person>
            <b:Last>Thorburn</b:Last>
            <b:First>Malcolm</b:First>
          </b:Person>
        </b:NameList>
      </b:BookAuthor>
    </b:Author>
    <b:BookTitle>Philosophical Foundations of Constitutional Law</b:BookTitle>
    <b:RefOrder>12</b:RefOrder>
  </b:Source>
  <b:Source>
    <b:Tag>Eoi09</b:Tag>
    <b:SourceType>Book</b:SourceType>
    <b:Guid>{ABF13F86-5249-F64F-83BD-2EA10DDA1B03}</b:Guid>
    <b:Title>The New Separation of Powers: A Theory for the Modern State</b:Title>
    <b:City>Oxford </b:City>
    <b:Publisher>Oxford University Press</b:Publisher>
    <b:Year>2009</b:Year>
    <b:Author>
      <b:Author>
        <b:NameList>
          <b:Person>
            <b:Last>Carolan</b:Last>
            <b:First>Eoin</b:First>
          </b:Person>
        </b:NameList>
      </b:Author>
    </b:Author>
    <b:RefOrder>13</b:RefOrder>
  </b:Source>
  <b:Source>
    <b:Tag>DPP03</b:Tag>
    <b:SourceType>Case</b:SourceType>
    <b:Guid>{FB0381E5-A738-E343-89AC-F22960E097E1}</b:Guid>
    <b:Title>DPP v Mollison [2003] 2 AC</b:Title>
    <b:Year>2003</b:Year>
    <b:RefOrder>1</b:RefOrder>
  </b:Source>
  <b:Source>
    <b:Tag>IPM08</b:Tag>
    <b:SourceType>Book</b:SourceType>
    <b:Guid>{66E66ADE-7DC1-314B-BCBE-CAE2925D4FA8}</b:Guid>
    <b:Author>
      <b:Author>
        <b:NameList>
          <b:Person>
            <b:Last>Massey</b:Last>
            <b:First>I</b:First>
            <b:Middle>P</b:Middle>
          </b:Person>
        </b:NameList>
      </b:Author>
    </b:Author>
    <b:Title>Administrative Law</b:Title>
    <b:Publisher>Eastern Book Company</b:Publisher>
    <b:Year>2008</b:Year>
    <b:RefOrder>3</b:RefOrder>
  </b:Source>
  <b:Source>
    <b:Tag>Sta11</b:Tag>
    <b:SourceType>JournalArticle</b:SourceType>
    <b:Guid>{2286B381-6101-7A4A-9A9C-03C9E86EE46D}</b:Guid>
    <b:Title>The tradition of ministerial responsibility and its role in the bureaucratic management of crises</b:Title>
    <b:Year>2011</b:Year>
    <b:Author>
      <b:Author>
        <b:NameList>
          <b:Person>
            <b:Last>Stark</b:Last>
            <b:First>Alastair</b:First>
          </b:Person>
        </b:NameList>
      </b:Author>
    </b:Author>
    <b:JournalName>Public Administration</b:JournalName>
    <b:Pages>1148-1163</b:Pages>
    <b:Volume>89</b:Volume>
    <b:Issue>3</b:Issue>
    <b:RefOrder>15</b:RefOrder>
  </b:Source>
  <b:Source>
    <b:Tag>RvS951</b:Tag>
    <b:SourceType>Case</b:SourceType>
    <b:Guid>{261A8167-F0FA-7142-94BC-7AEE703E7A4D}</b:Guid>
    <b:Title>R v Secretary of State for Employment, ex p Equal Opportunities Commission (1995) 1 AC 1</b:Title>
    <b:Year>1995</b:Year>
    <b:RefOrder>16</b:RefOrder>
  </b:Source>
  <b:Source>
    <b:Tag>AOt042</b:Tag>
    <b:SourceType>Case</b:SourceType>
    <b:Guid>{ADAB4D5A-1724-DA49-AEB5-756CDE53F3E2}</b:Guid>
    <b:Title>A &amp; Others v. Secretary of the State for the Home Department [2004] UKHL 43</b:Title>
    <b:Year>2004</b:Year>
    <b:RefOrder>17</b:RefOrder>
  </b:Source>
  <b:Source>
    <b:Tag>Mas101</b:Tag>
    <b:SourceType>Book</b:SourceType>
    <b:Guid>{DC7D461D-CEB3-3A47-82E3-E007CA6E60CB}</b:Guid>
    <b:Title>The separation of powers in the contemporary constitution: Judicial competence and independence in the United Kingdom</b:Title>
    <b:Year>2010</b:Year>
    <b:Author>
      <b:Author>
        <b:NameList>
          <b:Person>
            <b:Last>Masterman</b:Last>
            <b:First>Roger</b:First>
          </b:Person>
        </b:NameList>
      </b:Author>
    </b:Author>
    <b:Publisher>Cambridge University Press</b:Publisher>
    <b:RefOrder>18</b:RefOrder>
  </b:Source>
  <b:Source>
    <b:Tag>RGe061</b:Tag>
    <b:SourceType>Case</b:SourceType>
    <b:Guid>{EF7DC450-1216-1C40-BD88-FECD3ECFC4FB}</b:Guid>
    <b:Title>R (Gentle) v The Prime Minister [2006] UKHL 20</b:Title>
    <b:Year>2006</b:Year>
    <b:RefOrder>19</b:RefOrder>
  </b:Source>
</b:Sources>
</file>

<file path=customXml/itemProps1.xml><?xml version="1.0" encoding="utf-8"?>
<ds:datastoreItem xmlns:ds="http://schemas.openxmlformats.org/officeDocument/2006/customXml" ds:itemID="{74933786-716B-E84F-A9AF-2ED10A3E09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2186</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Guest User</cp:lastModifiedBy>
  <cp:revision>2</cp:revision>
  <dcterms:created xsi:type="dcterms:W3CDTF">2022-06-14T11:59:00Z</dcterms:created>
  <dcterms:modified xsi:type="dcterms:W3CDTF">2022-06-14T11:59:00Z</dcterms:modified>
</cp:coreProperties>
</file>