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DD1AB" w14:textId="074E9C97" w:rsidR="0061638B" w:rsidRPr="0061638B" w:rsidRDefault="0061638B" w:rsidP="0061638B">
      <w:pPr>
        <w:spacing w:before="120" w:after="120" w:line="360" w:lineRule="auto"/>
        <w:jc w:val="center"/>
        <w:rPr>
          <w:b/>
          <w:bCs/>
          <w:sz w:val="44"/>
          <w:szCs w:val="44"/>
          <w:lang w:eastAsia="en-US"/>
        </w:rPr>
      </w:pPr>
      <w:r w:rsidRPr="0061638B">
        <w:rPr>
          <w:noProof/>
        </w:rPr>
        <w:drawing>
          <wp:inline distT="0" distB="0" distL="0" distR="0" wp14:anchorId="769BD8D7" wp14:editId="53DAADE9">
            <wp:extent cx="5730875" cy="3218815"/>
            <wp:effectExtent l="0" t="0" r="3175" b="635"/>
            <wp:docPr id="708205056"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205056" name="Picture 1" descr="A logo with text on i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875" cy="3218815"/>
                    </a:xfrm>
                    <a:prstGeom prst="rect">
                      <a:avLst/>
                    </a:prstGeom>
                    <a:noFill/>
                  </pic:spPr>
                </pic:pic>
              </a:graphicData>
            </a:graphic>
          </wp:inline>
        </w:drawing>
      </w:r>
      <w:r w:rsidRPr="0061638B">
        <w:rPr>
          <w:b/>
          <w:bCs/>
          <w:sz w:val="44"/>
          <w:szCs w:val="44"/>
          <w:lang w:eastAsia="en-US"/>
        </w:rPr>
        <w:t>BrightWave Services Ltd: A Case Study</w:t>
      </w:r>
    </w:p>
    <w:p w14:paraId="504FB540" w14:textId="09C06B8A" w:rsidR="0061638B" w:rsidRPr="0061638B" w:rsidRDefault="0061638B" w:rsidP="0061638B">
      <w:pPr>
        <w:spacing w:line="360" w:lineRule="auto"/>
        <w:jc w:val="center"/>
        <w:rPr>
          <w:b/>
          <w:sz w:val="24"/>
          <w:szCs w:val="24"/>
        </w:rPr>
      </w:pPr>
      <w:r w:rsidRPr="0061638B">
        <w:rPr>
          <w:b/>
          <w:sz w:val="24"/>
          <w:szCs w:val="24"/>
        </w:rPr>
        <w:t xml:space="preserve">Module Lead: </w:t>
      </w:r>
      <w:r w:rsidRPr="0061638B">
        <w:rPr>
          <w:b/>
          <w:bCs/>
          <w:sz w:val="24"/>
          <w:szCs w:val="24"/>
        </w:rPr>
        <w:t>Rebecca Francis-Davies</w:t>
      </w:r>
    </w:p>
    <w:p w14:paraId="320188FA" w14:textId="77777777" w:rsidR="00130B3C" w:rsidRDefault="0061638B" w:rsidP="00130B3C">
      <w:pPr>
        <w:spacing w:line="360" w:lineRule="auto"/>
        <w:jc w:val="center"/>
        <w:rPr>
          <w:b/>
          <w:sz w:val="24"/>
          <w:szCs w:val="24"/>
        </w:rPr>
      </w:pPr>
      <w:r w:rsidRPr="0061638B">
        <w:rPr>
          <w:b/>
          <w:sz w:val="24"/>
          <w:szCs w:val="24"/>
        </w:rPr>
        <w:t>Student: Sebastian Luca Kiss</w:t>
      </w:r>
      <w:r>
        <w:rPr>
          <w:b/>
          <w:sz w:val="24"/>
          <w:szCs w:val="24"/>
        </w:rPr>
        <w:t xml:space="preserve"> 2331017</w:t>
      </w:r>
    </w:p>
    <w:p w14:paraId="38A3B47F" w14:textId="47520E75" w:rsidR="0061638B" w:rsidRPr="00130B3C" w:rsidRDefault="0061638B" w:rsidP="00130B3C">
      <w:pPr>
        <w:spacing w:line="360" w:lineRule="auto"/>
        <w:jc w:val="center"/>
        <w:rPr>
          <w:b/>
          <w:sz w:val="24"/>
          <w:szCs w:val="24"/>
        </w:rPr>
      </w:pPr>
      <w:r w:rsidRPr="0061638B">
        <w:rPr>
          <w:b/>
          <w:sz w:val="24"/>
          <w:szCs w:val="24"/>
        </w:rPr>
        <w:t>Module:</w:t>
      </w:r>
      <w:r>
        <w:rPr>
          <w:b/>
          <w:sz w:val="24"/>
          <w:szCs w:val="24"/>
        </w:rPr>
        <w:t xml:space="preserve"> </w:t>
      </w:r>
      <w:r w:rsidRPr="0061638B">
        <w:rPr>
          <w:b/>
          <w:bCs/>
          <w:sz w:val="24"/>
          <w:szCs w:val="24"/>
        </w:rPr>
        <w:t>BMSW5010_CARD</w:t>
      </w:r>
    </w:p>
    <w:p w14:paraId="4BBF38C7" w14:textId="16878526" w:rsidR="0061638B" w:rsidRDefault="0061638B" w:rsidP="0061638B">
      <w:pPr>
        <w:spacing w:line="360" w:lineRule="auto"/>
        <w:jc w:val="center"/>
        <w:rPr>
          <w:b/>
          <w:bCs/>
          <w:sz w:val="24"/>
          <w:szCs w:val="24"/>
        </w:rPr>
      </w:pPr>
      <w:r>
        <w:rPr>
          <w:b/>
          <w:bCs/>
          <w:sz w:val="24"/>
          <w:szCs w:val="24"/>
        </w:rPr>
        <w:t>People Management</w:t>
      </w:r>
    </w:p>
    <w:p w14:paraId="3E84EE8C" w14:textId="0CC04635" w:rsidR="00130B3C" w:rsidRDefault="0061638B">
      <w:pPr>
        <w:spacing w:after="160" w:line="278" w:lineRule="auto"/>
        <w:rPr>
          <w:b/>
          <w:bCs/>
          <w:sz w:val="24"/>
          <w:szCs w:val="24"/>
        </w:rPr>
      </w:pPr>
      <w:r>
        <w:rPr>
          <w:b/>
          <w:bCs/>
          <w:sz w:val="24"/>
          <w:szCs w:val="24"/>
        </w:rPr>
        <w:br w:type="page"/>
      </w:r>
    </w:p>
    <w:p w14:paraId="3D441484" w14:textId="51F5CFB6" w:rsidR="0061638B" w:rsidRPr="0061638B" w:rsidRDefault="0061638B" w:rsidP="0061638B">
      <w:pPr>
        <w:spacing w:line="360" w:lineRule="auto"/>
        <w:rPr>
          <w:b/>
          <w:bCs/>
          <w:sz w:val="24"/>
          <w:szCs w:val="24"/>
        </w:rPr>
      </w:pPr>
      <w:r w:rsidRPr="0061638B">
        <w:rPr>
          <w:b/>
          <w:bCs/>
          <w:sz w:val="24"/>
          <w:szCs w:val="24"/>
        </w:rPr>
        <w:lastRenderedPageBreak/>
        <w:t>Contents</w:t>
      </w:r>
      <w:r>
        <w:rPr>
          <w:b/>
          <w:bCs/>
          <w:sz w:val="24"/>
          <w:szCs w:val="24"/>
        </w:rPr>
        <w:t xml:space="preserve"> list:</w:t>
      </w:r>
    </w:p>
    <w:p w14:paraId="77D3E890" w14:textId="77777777" w:rsidR="0061638B" w:rsidRPr="0061638B" w:rsidRDefault="0061638B" w:rsidP="0061638B">
      <w:pPr>
        <w:numPr>
          <w:ilvl w:val="0"/>
          <w:numId w:val="2"/>
        </w:numPr>
        <w:spacing w:line="360" w:lineRule="auto"/>
        <w:rPr>
          <w:sz w:val="24"/>
          <w:szCs w:val="24"/>
        </w:rPr>
      </w:pPr>
      <w:r w:rsidRPr="0061638B">
        <w:rPr>
          <w:b/>
          <w:bCs/>
          <w:sz w:val="24"/>
          <w:szCs w:val="24"/>
        </w:rPr>
        <w:t>Introduction</w:t>
      </w:r>
    </w:p>
    <w:p w14:paraId="178DC9A3" w14:textId="77777777" w:rsidR="0061638B" w:rsidRPr="0061638B" w:rsidRDefault="0061638B" w:rsidP="0061638B">
      <w:pPr>
        <w:numPr>
          <w:ilvl w:val="0"/>
          <w:numId w:val="2"/>
        </w:numPr>
        <w:spacing w:line="360" w:lineRule="auto"/>
        <w:rPr>
          <w:sz w:val="24"/>
          <w:szCs w:val="24"/>
        </w:rPr>
      </w:pPr>
      <w:r w:rsidRPr="0061638B">
        <w:rPr>
          <w:b/>
          <w:bCs/>
          <w:sz w:val="24"/>
          <w:szCs w:val="24"/>
        </w:rPr>
        <w:t>Roles and Skills Required by Managers to Manage Performance Effectively</w:t>
      </w:r>
    </w:p>
    <w:p w14:paraId="357D264A" w14:textId="77777777" w:rsidR="0061638B" w:rsidRPr="0061638B" w:rsidRDefault="0061638B" w:rsidP="0061638B">
      <w:pPr>
        <w:numPr>
          <w:ilvl w:val="0"/>
          <w:numId w:val="2"/>
        </w:numPr>
        <w:spacing w:line="360" w:lineRule="auto"/>
        <w:rPr>
          <w:sz w:val="24"/>
          <w:szCs w:val="24"/>
        </w:rPr>
      </w:pPr>
      <w:r w:rsidRPr="0061638B">
        <w:rPr>
          <w:b/>
          <w:bCs/>
          <w:sz w:val="24"/>
          <w:szCs w:val="24"/>
        </w:rPr>
        <w:t>Application of People Management Theories and Models</w:t>
      </w:r>
      <w:r w:rsidRPr="0061638B">
        <w:rPr>
          <w:sz w:val="24"/>
          <w:szCs w:val="24"/>
        </w:rPr>
        <w:br/>
        <w:t>   3.1 Motivation and Engagement</w:t>
      </w:r>
      <w:r w:rsidRPr="0061638B">
        <w:rPr>
          <w:sz w:val="24"/>
          <w:szCs w:val="24"/>
        </w:rPr>
        <w:br/>
        <w:t>   3.2 Learning and Development</w:t>
      </w:r>
    </w:p>
    <w:p w14:paraId="1D32C7F1" w14:textId="77777777" w:rsidR="0061638B" w:rsidRPr="0061638B" w:rsidRDefault="0061638B" w:rsidP="0061638B">
      <w:pPr>
        <w:numPr>
          <w:ilvl w:val="0"/>
          <w:numId w:val="2"/>
        </w:numPr>
        <w:spacing w:line="360" w:lineRule="auto"/>
        <w:rPr>
          <w:sz w:val="24"/>
          <w:szCs w:val="24"/>
        </w:rPr>
      </w:pPr>
      <w:r w:rsidRPr="0061638B">
        <w:rPr>
          <w:b/>
          <w:bCs/>
          <w:sz w:val="24"/>
          <w:szCs w:val="24"/>
        </w:rPr>
        <w:t>Influence of Organisational Culture on People Management</w:t>
      </w:r>
    </w:p>
    <w:p w14:paraId="402D20F9" w14:textId="77777777" w:rsidR="0061638B" w:rsidRPr="0061638B" w:rsidRDefault="0061638B" w:rsidP="0061638B">
      <w:pPr>
        <w:numPr>
          <w:ilvl w:val="0"/>
          <w:numId w:val="2"/>
        </w:numPr>
        <w:spacing w:line="360" w:lineRule="auto"/>
        <w:rPr>
          <w:sz w:val="24"/>
          <w:szCs w:val="24"/>
        </w:rPr>
      </w:pPr>
      <w:r w:rsidRPr="0061638B">
        <w:rPr>
          <w:b/>
          <w:bCs/>
          <w:sz w:val="24"/>
          <w:szCs w:val="24"/>
        </w:rPr>
        <w:t>Evidence-Based Recommendations</w:t>
      </w:r>
      <w:r w:rsidRPr="0061638B">
        <w:rPr>
          <w:sz w:val="24"/>
          <w:szCs w:val="24"/>
        </w:rPr>
        <w:br/>
        <w:t>   5.1 Developing Managerial Capability</w:t>
      </w:r>
      <w:r w:rsidRPr="0061638B">
        <w:rPr>
          <w:sz w:val="24"/>
          <w:szCs w:val="24"/>
        </w:rPr>
        <w:br/>
        <w:t>   5.2 Continuous Performance Management</w:t>
      </w:r>
      <w:r w:rsidRPr="0061638B">
        <w:rPr>
          <w:sz w:val="24"/>
          <w:szCs w:val="24"/>
        </w:rPr>
        <w:br/>
        <w:t>   5.3 Improving Induction and Development</w:t>
      </w:r>
      <w:r w:rsidRPr="0061638B">
        <w:rPr>
          <w:sz w:val="24"/>
          <w:szCs w:val="24"/>
        </w:rPr>
        <w:br/>
        <w:t>   5.4 Shifting Organisational Culture</w:t>
      </w:r>
    </w:p>
    <w:p w14:paraId="1E56C1AF" w14:textId="77777777" w:rsidR="0061638B" w:rsidRPr="0061638B" w:rsidRDefault="0061638B" w:rsidP="0061638B">
      <w:pPr>
        <w:numPr>
          <w:ilvl w:val="0"/>
          <w:numId w:val="2"/>
        </w:numPr>
        <w:spacing w:line="360" w:lineRule="auto"/>
        <w:rPr>
          <w:sz w:val="24"/>
          <w:szCs w:val="24"/>
        </w:rPr>
      </w:pPr>
      <w:r w:rsidRPr="0061638B">
        <w:rPr>
          <w:b/>
          <w:bCs/>
          <w:sz w:val="24"/>
          <w:szCs w:val="24"/>
        </w:rPr>
        <w:t>Conclusion</w:t>
      </w:r>
    </w:p>
    <w:p w14:paraId="01510628" w14:textId="77777777" w:rsidR="0061638B" w:rsidRPr="0061638B" w:rsidRDefault="0061638B" w:rsidP="0061638B">
      <w:pPr>
        <w:numPr>
          <w:ilvl w:val="0"/>
          <w:numId w:val="2"/>
        </w:numPr>
        <w:spacing w:line="360" w:lineRule="auto"/>
        <w:rPr>
          <w:sz w:val="24"/>
          <w:szCs w:val="24"/>
        </w:rPr>
      </w:pPr>
      <w:r w:rsidRPr="0061638B">
        <w:rPr>
          <w:b/>
          <w:bCs/>
          <w:sz w:val="24"/>
          <w:szCs w:val="24"/>
        </w:rPr>
        <w:t>Reference List</w:t>
      </w:r>
    </w:p>
    <w:p w14:paraId="6A0680C9" w14:textId="77777777" w:rsidR="00E72BF0" w:rsidRDefault="00E72BF0" w:rsidP="0061638B">
      <w:pPr>
        <w:spacing w:line="360" w:lineRule="auto"/>
        <w:jc w:val="center"/>
        <w:rPr>
          <w:sz w:val="24"/>
          <w:szCs w:val="24"/>
        </w:rPr>
      </w:pPr>
    </w:p>
    <w:p w14:paraId="518CD5B2" w14:textId="77777777" w:rsidR="00130B3C" w:rsidRDefault="00130B3C" w:rsidP="0061638B">
      <w:pPr>
        <w:spacing w:line="360" w:lineRule="auto"/>
        <w:jc w:val="center"/>
        <w:rPr>
          <w:sz w:val="24"/>
          <w:szCs w:val="24"/>
        </w:rPr>
      </w:pPr>
    </w:p>
    <w:p w14:paraId="41709A54" w14:textId="77777777" w:rsidR="00130B3C" w:rsidRDefault="00130B3C" w:rsidP="0061638B">
      <w:pPr>
        <w:spacing w:line="360" w:lineRule="auto"/>
        <w:jc w:val="center"/>
        <w:rPr>
          <w:sz w:val="24"/>
          <w:szCs w:val="24"/>
        </w:rPr>
      </w:pPr>
    </w:p>
    <w:p w14:paraId="24C23B55" w14:textId="77777777" w:rsidR="00130B3C" w:rsidRDefault="00130B3C" w:rsidP="0061638B">
      <w:pPr>
        <w:spacing w:line="360" w:lineRule="auto"/>
        <w:jc w:val="center"/>
        <w:rPr>
          <w:sz w:val="24"/>
          <w:szCs w:val="24"/>
        </w:rPr>
      </w:pPr>
    </w:p>
    <w:p w14:paraId="060F3DCC" w14:textId="77777777" w:rsidR="00130B3C" w:rsidRDefault="00130B3C" w:rsidP="0061638B">
      <w:pPr>
        <w:spacing w:line="360" w:lineRule="auto"/>
        <w:jc w:val="center"/>
        <w:rPr>
          <w:sz w:val="24"/>
          <w:szCs w:val="24"/>
        </w:rPr>
      </w:pPr>
    </w:p>
    <w:p w14:paraId="6A500B37" w14:textId="77777777" w:rsidR="00130B3C" w:rsidRDefault="00130B3C" w:rsidP="0061638B">
      <w:pPr>
        <w:spacing w:line="360" w:lineRule="auto"/>
        <w:jc w:val="center"/>
        <w:rPr>
          <w:sz w:val="24"/>
          <w:szCs w:val="24"/>
        </w:rPr>
      </w:pPr>
    </w:p>
    <w:p w14:paraId="5C22A656" w14:textId="77777777" w:rsidR="00130B3C" w:rsidRDefault="00130B3C" w:rsidP="0061638B">
      <w:pPr>
        <w:spacing w:line="360" w:lineRule="auto"/>
        <w:jc w:val="center"/>
        <w:rPr>
          <w:sz w:val="24"/>
          <w:szCs w:val="24"/>
        </w:rPr>
      </w:pPr>
    </w:p>
    <w:p w14:paraId="0B90326D" w14:textId="77777777" w:rsidR="00130B3C" w:rsidRDefault="00130B3C" w:rsidP="0061638B">
      <w:pPr>
        <w:spacing w:line="360" w:lineRule="auto"/>
        <w:jc w:val="center"/>
        <w:rPr>
          <w:sz w:val="24"/>
          <w:szCs w:val="24"/>
        </w:rPr>
      </w:pPr>
    </w:p>
    <w:p w14:paraId="19BA4119" w14:textId="77777777" w:rsidR="00130B3C" w:rsidRDefault="00130B3C" w:rsidP="0061638B">
      <w:pPr>
        <w:spacing w:line="360" w:lineRule="auto"/>
        <w:jc w:val="center"/>
        <w:rPr>
          <w:sz w:val="24"/>
          <w:szCs w:val="24"/>
        </w:rPr>
      </w:pPr>
    </w:p>
    <w:p w14:paraId="148F7AA4" w14:textId="77777777" w:rsidR="00130B3C" w:rsidRDefault="00130B3C" w:rsidP="0061638B">
      <w:pPr>
        <w:spacing w:line="360" w:lineRule="auto"/>
        <w:jc w:val="center"/>
        <w:rPr>
          <w:sz w:val="24"/>
          <w:szCs w:val="24"/>
        </w:rPr>
      </w:pPr>
    </w:p>
    <w:p w14:paraId="1B96D4D3" w14:textId="77777777" w:rsidR="00130B3C" w:rsidRDefault="00130B3C" w:rsidP="0061638B">
      <w:pPr>
        <w:spacing w:line="360" w:lineRule="auto"/>
        <w:jc w:val="center"/>
        <w:rPr>
          <w:sz w:val="24"/>
          <w:szCs w:val="24"/>
        </w:rPr>
      </w:pPr>
    </w:p>
    <w:p w14:paraId="40252C31" w14:textId="77777777" w:rsidR="00130B3C" w:rsidRDefault="00130B3C" w:rsidP="0061638B">
      <w:pPr>
        <w:spacing w:line="360" w:lineRule="auto"/>
        <w:jc w:val="center"/>
        <w:rPr>
          <w:sz w:val="24"/>
          <w:szCs w:val="24"/>
        </w:rPr>
      </w:pPr>
    </w:p>
    <w:p w14:paraId="1452B3E8" w14:textId="77777777" w:rsidR="00130B3C" w:rsidRDefault="00130B3C" w:rsidP="0061638B">
      <w:pPr>
        <w:spacing w:line="360" w:lineRule="auto"/>
        <w:jc w:val="center"/>
        <w:rPr>
          <w:sz w:val="24"/>
          <w:szCs w:val="24"/>
        </w:rPr>
      </w:pPr>
    </w:p>
    <w:p w14:paraId="19720FC5" w14:textId="77777777" w:rsidR="00130B3C" w:rsidRDefault="00130B3C" w:rsidP="0061638B">
      <w:pPr>
        <w:spacing w:line="360" w:lineRule="auto"/>
        <w:jc w:val="center"/>
        <w:rPr>
          <w:sz w:val="24"/>
          <w:szCs w:val="24"/>
        </w:rPr>
      </w:pPr>
    </w:p>
    <w:p w14:paraId="1EE92EC2" w14:textId="77777777" w:rsidR="00130B3C" w:rsidRDefault="00130B3C" w:rsidP="0061638B">
      <w:pPr>
        <w:spacing w:line="360" w:lineRule="auto"/>
        <w:jc w:val="center"/>
        <w:rPr>
          <w:sz w:val="24"/>
          <w:szCs w:val="24"/>
        </w:rPr>
      </w:pPr>
    </w:p>
    <w:p w14:paraId="6A1D1785" w14:textId="77777777" w:rsidR="00130B3C" w:rsidRDefault="00130B3C" w:rsidP="0061638B">
      <w:pPr>
        <w:spacing w:line="360" w:lineRule="auto"/>
        <w:jc w:val="center"/>
        <w:rPr>
          <w:sz w:val="24"/>
          <w:szCs w:val="24"/>
        </w:rPr>
      </w:pPr>
    </w:p>
    <w:p w14:paraId="4857FD60" w14:textId="77777777" w:rsidR="00130B3C" w:rsidRDefault="00130B3C" w:rsidP="0061638B">
      <w:pPr>
        <w:spacing w:line="360" w:lineRule="auto"/>
        <w:jc w:val="center"/>
        <w:rPr>
          <w:sz w:val="24"/>
          <w:szCs w:val="24"/>
        </w:rPr>
      </w:pPr>
    </w:p>
    <w:p w14:paraId="03D6BA89" w14:textId="77777777" w:rsidR="00130B3C" w:rsidRDefault="00130B3C" w:rsidP="0061638B">
      <w:pPr>
        <w:spacing w:line="360" w:lineRule="auto"/>
        <w:jc w:val="center"/>
        <w:rPr>
          <w:sz w:val="24"/>
          <w:szCs w:val="24"/>
        </w:rPr>
      </w:pPr>
    </w:p>
    <w:p w14:paraId="38641E13" w14:textId="77777777" w:rsidR="00130B3C" w:rsidRDefault="00130B3C" w:rsidP="0061638B">
      <w:pPr>
        <w:spacing w:line="360" w:lineRule="auto"/>
        <w:jc w:val="center"/>
        <w:rPr>
          <w:sz w:val="24"/>
          <w:szCs w:val="24"/>
        </w:rPr>
      </w:pPr>
    </w:p>
    <w:p w14:paraId="5424E40F" w14:textId="77777777" w:rsidR="00130B3C" w:rsidRDefault="00130B3C" w:rsidP="0061638B">
      <w:pPr>
        <w:spacing w:line="360" w:lineRule="auto"/>
        <w:jc w:val="center"/>
        <w:rPr>
          <w:sz w:val="24"/>
          <w:szCs w:val="24"/>
        </w:rPr>
      </w:pPr>
    </w:p>
    <w:p w14:paraId="4093BC59" w14:textId="77777777" w:rsidR="00130B3C" w:rsidRPr="00130B3C" w:rsidRDefault="00130B3C" w:rsidP="00130B3C">
      <w:pPr>
        <w:spacing w:line="360" w:lineRule="auto"/>
        <w:rPr>
          <w:b/>
          <w:bCs/>
          <w:sz w:val="24"/>
          <w:szCs w:val="24"/>
        </w:rPr>
      </w:pPr>
      <w:r w:rsidRPr="00130B3C">
        <w:rPr>
          <w:b/>
          <w:bCs/>
          <w:sz w:val="24"/>
          <w:szCs w:val="24"/>
        </w:rPr>
        <w:lastRenderedPageBreak/>
        <w:t>1. Introduction</w:t>
      </w:r>
    </w:p>
    <w:p w14:paraId="7EAD7E57" w14:textId="77777777" w:rsidR="00130B3C" w:rsidRPr="00130B3C" w:rsidRDefault="00130B3C" w:rsidP="00130B3C">
      <w:pPr>
        <w:spacing w:line="360" w:lineRule="auto"/>
        <w:rPr>
          <w:sz w:val="24"/>
          <w:szCs w:val="24"/>
        </w:rPr>
      </w:pPr>
      <w:r w:rsidRPr="00130B3C">
        <w:rPr>
          <w:sz w:val="24"/>
          <w:szCs w:val="24"/>
        </w:rPr>
        <w:t>BrightWave Services Ltd is a medium-sized facilities management organisation operating across schools, NHS hospitals and local councils in South Wales. While the organisation has experienced rapid growth through the acquisition of large public-sector contracts, this expansion has placed increasing pressure on its internal people-management practices. Evidence from staff surveys and exit interviews suggests that BrightWave is experiencing high levels of employee turnover, weak engagement and inconsistent performance management, particularly within lower-paid and frontline roles.</w:t>
      </w:r>
    </w:p>
    <w:p w14:paraId="60D4D1E7" w14:textId="77777777" w:rsidR="00130B3C" w:rsidRPr="00130B3C" w:rsidRDefault="00130B3C" w:rsidP="00130B3C">
      <w:pPr>
        <w:spacing w:line="360" w:lineRule="auto"/>
        <w:rPr>
          <w:sz w:val="24"/>
          <w:szCs w:val="24"/>
        </w:rPr>
      </w:pPr>
      <w:r w:rsidRPr="00130B3C">
        <w:rPr>
          <w:sz w:val="24"/>
          <w:szCs w:val="24"/>
        </w:rPr>
        <w:t>The organisation operates with a flat management structure and has traditionally relied on promoting technically skilled employees into supervisory positions. However, this approach has resulted in managers who are operationally competent but insufficiently equipped with the people-management skills required to lead, motivate and develop staff effectively. Armstrong (2017) argues that line managers play a critical role in translating HR strategy into everyday practice, and weaknesses at this level can significantly undermine organisational performance.</w:t>
      </w:r>
    </w:p>
    <w:p w14:paraId="5F858653" w14:textId="77777777" w:rsidR="00130B3C" w:rsidRPr="00130B3C" w:rsidRDefault="00130B3C" w:rsidP="00130B3C">
      <w:pPr>
        <w:spacing w:line="360" w:lineRule="auto"/>
        <w:rPr>
          <w:sz w:val="24"/>
          <w:szCs w:val="24"/>
        </w:rPr>
      </w:pPr>
      <w:r w:rsidRPr="00130B3C">
        <w:rPr>
          <w:sz w:val="24"/>
          <w:szCs w:val="24"/>
        </w:rPr>
        <w:t>The purpose of this report is to critically evaluate the roles and skills required by managers at BrightWave to manage performance effectively, apply relevant theories and models of people management to the organisation’s current challenges, assess how organisational culture influences managerial behaviour, and provide evidence-based recommendations to improve managerial practice, engagement, productivity and long-term sustainability.</w:t>
      </w:r>
    </w:p>
    <w:p w14:paraId="207EFE36" w14:textId="138A936C" w:rsidR="00130B3C" w:rsidRPr="00130B3C" w:rsidRDefault="00130B3C" w:rsidP="00130B3C">
      <w:pPr>
        <w:spacing w:line="360" w:lineRule="auto"/>
        <w:rPr>
          <w:sz w:val="24"/>
          <w:szCs w:val="24"/>
        </w:rPr>
      </w:pPr>
    </w:p>
    <w:p w14:paraId="42EB3236" w14:textId="77777777" w:rsidR="00130B3C" w:rsidRPr="00130B3C" w:rsidRDefault="00130B3C" w:rsidP="00130B3C">
      <w:pPr>
        <w:spacing w:line="360" w:lineRule="auto"/>
        <w:rPr>
          <w:b/>
          <w:bCs/>
          <w:sz w:val="24"/>
          <w:szCs w:val="24"/>
        </w:rPr>
      </w:pPr>
      <w:r w:rsidRPr="00130B3C">
        <w:rPr>
          <w:b/>
          <w:bCs/>
          <w:sz w:val="24"/>
          <w:szCs w:val="24"/>
        </w:rPr>
        <w:t>2. Roles and Skills Required by Managers to Manage Performance Effectively</w:t>
      </w:r>
    </w:p>
    <w:p w14:paraId="53F21E3A" w14:textId="77777777" w:rsidR="00130B3C" w:rsidRPr="00130B3C" w:rsidRDefault="00130B3C" w:rsidP="00130B3C">
      <w:pPr>
        <w:spacing w:line="360" w:lineRule="auto"/>
        <w:rPr>
          <w:sz w:val="24"/>
          <w:szCs w:val="24"/>
        </w:rPr>
      </w:pPr>
      <w:r w:rsidRPr="00130B3C">
        <w:rPr>
          <w:sz w:val="24"/>
          <w:szCs w:val="24"/>
        </w:rPr>
        <w:t>Effective performance management depends heavily on the capability of line managers to lead, communicate and address people-related issues consistently and fairly. At BrightWave, managerial roles have become heavily focused on operational efficiency, scheduling and compliance, while people-management responsibilities have received limited attention. This imbalance has contributed directly to performance gaps, employee dissatisfaction and rising staff turnover.</w:t>
      </w:r>
    </w:p>
    <w:p w14:paraId="0A7E8465" w14:textId="77777777" w:rsidR="00130B3C" w:rsidRPr="00130B3C" w:rsidRDefault="00130B3C" w:rsidP="00130B3C">
      <w:pPr>
        <w:spacing w:line="360" w:lineRule="auto"/>
        <w:rPr>
          <w:sz w:val="24"/>
          <w:szCs w:val="24"/>
        </w:rPr>
      </w:pPr>
      <w:r w:rsidRPr="00130B3C">
        <w:rPr>
          <w:sz w:val="24"/>
          <w:szCs w:val="24"/>
        </w:rPr>
        <w:t xml:space="preserve">Armstrong (2017) emphasises that line managers are central to performance management, as they are responsible for setting expectations, providing feedback, addressing underperformance and supporting employee development. At BrightWave, supervisors frequently avoid performance conversations due to discomfort or lack of confidence, resulting in underperformance being tolerated. This is problematic because it not only </w:t>
      </w:r>
      <w:r w:rsidRPr="00130B3C">
        <w:rPr>
          <w:sz w:val="24"/>
          <w:szCs w:val="24"/>
        </w:rPr>
        <w:lastRenderedPageBreak/>
        <w:t>reduces service quality but also creates resentment among higher-performing employees, undermining morale and team cohesion.</w:t>
      </w:r>
    </w:p>
    <w:p w14:paraId="32A9CAB1" w14:textId="77777777" w:rsidR="00130B3C" w:rsidRPr="00130B3C" w:rsidRDefault="00130B3C" w:rsidP="00130B3C">
      <w:pPr>
        <w:spacing w:line="360" w:lineRule="auto"/>
        <w:rPr>
          <w:sz w:val="24"/>
          <w:szCs w:val="24"/>
        </w:rPr>
      </w:pPr>
      <w:r w:rsidRPr="00130B3C">
        <w:rPr>
          <w:sz w:val="24"/>
          <w:szCs w:val="24"/>
        </w:rPr>
        <w:t>Katz’s (1955) three-skill framework provides a useful lens for analysing this issue. While BrightWave managers demonstrate strong technical skills due to their operational backgrounds, they lack the human skills required for effective people management, such as communication, conflict resolution and emotional intelligence. The absence of these skills limits managers’ ability to motivate staff, manage conflict and build trust, all of which are essential for sustained performance.</w:t>
      </w:r>
    </w:p>
    <w:p w14:paraId="36D1C463" w14:textId="77777777" w:rsidR="00130B3C" w:rsidRPr="00130B3C" w:rsidRDefault="00130B3C" w:rsidP="00130B3C">
      <w:pPr>
        <w:spacing w:line="360" w:lineRule="auto"/>
        <w:rPr>
          <w:sz w:val="24"/>
          <w:szCs w:val="24"/>
        </w:rPr>
      </w:pPr>
      <w:r w:rsidRPr="00130B3C">
        <w:rPr>
          <w:sz w:val="24"/>
          <w:szCs w:val="24"/>
        </w:rPr>
        <w:t>Leadership adaptability is another critical weakness. Hersey and Blanchard’s Situational Leadership model argues that effective managers adjust their leadership style according to employee competence and commitment (Hersey and Blanchard, 1969). In contrast, BrightWave managers tend to adopt a uniform, task-focused approach regardless of individual needs. This negatively affects new employees, who require guidance and support, and experienced staff, who may feel disengaged or micromanaged. The lack of leadership flexibility contributes to inconsistent performance and dissatisfaction.</w:t>
      </w:r>
    </w:p>
    <w:p w14:paraId="2867ECDF" w14:textId="77777777" w:rsidR="00130B3C" w:rsidRPr="00130B3C" w:rsidRDefault="00130B3C" w:rsidP="00130B3C">
      <w:pPr>
        <w:spacing w:line="360" w:lineRule="auto"/>
        <w:rPr>
          <w:sz w:val="24"/>
          <w:szCs w:val="24"/>
        </w:rPr>
      </w:pPr>
      <w:r w:rsidRPr="00130B3C">
        <w:rPr>
          <w:sz w:val="24"/>
          <w:szCs w:val="24"/>
        </w:rPr>
        <w:t>CIPD research highlights that strong people-management skills are closely linked to higher engagement and lower turnover (CIPD, 2023a). BrightWave’s 28% turnover rate, particularly among cleaning staff, reflects the absence of these skills at supervisory level. ACAS (2023a) further notes that managers who lack confidence in handling difficult conversations are more likely to avoid addressing performance issues, reinforcing low accountability.</w:t>
      </w:r>
    </w:p>
    <w:p w14:paraId="35F6F7DC" w14:textId="77777777" w:rsidR="00130B3C" w:rsidRDefault="00130B3C" w:rsidP="00130B3C">
      <w:pPr>
        <w:spacing w:line="360" w:lineRule="auto"/>
        <w:rPr>
          <w:sz w:val="24"/>
          <w:szCs w:val="24"/>
        </w:rPr>
      </w:pPr>
      <w:r w:rsidRPr="00130B3C">
        <w:rPr>
          <w:sz w:val="24"/>
          <w:szCs w:val="24"/>
        </w:rPr>
        <w:t>Overall, the skills gap at BrightWave is not technical but relational. Managers are expected to deliver results without being equipped to manage the human aspects of performance, presenting a significant barrier to improving service consistency, employee engagement and organisational effectiveness.</w:t>
      </w:r>
    </w:p>
    <w:p w14:paraId="11589EDD" w14:textId="77777777" w:rsidR="00130B3C" w:rsidRDefault="00130B3C" w:rsidP="00130B3C">
      <w:pPr>
        <w:spacing w:line="360" w:lineRule="auto"/>
        <w:rPr>
          <w:sz w:val="24"/>
          <w:szCs w:val="24"/>
        </w:rPr>
      </w:pPr>
    </w:p>
    <w:p w14:paraId="2AE750CF" w14:textId="77777777" w:rsidR="00130B3C" w:rsidRPr="00130B3C" w:rsidRDefault="00130B3C" w:rsidP="00130B3C">
      <w:pPr>
        <w:spacing w:line="360" w:lineRule="auto"/>
        <w:rPr>
          <w:b/>
          <w:bCs/>
          <w:sz w:val="24"/>
          <w:szCs w:val="24"/>
        </w:rPr>
      </w:pPr>
      <w:r w:rsidRPr="00130B3C">
        <w:rPr>
          <w:b/>
          <w:bCs/>
          <w:sz w:val="24"/>
          <w:szCs w:val="24"/>
        </w:rPr>
        <w:t>3. Application of People Management Theories and Models</w:t>
      </w:r>
    </w:p>
    <w:p w14:paraId="0713F0C4" w14:textId="4EDA98E2" w:rsidR="00130B3C" w:rsidRPr="00130B3C" w:rsidRDefault="00130B3C" w:rsidP="00130B3C">
      <w:pPr>
        <w:spacing w:line="360" w:lineRule="auto"/>
        <w:rPr>
          <w:b/>
          <w:bCs/>
          <w:sz w:val="24"/>
          <w:szCs w:val="24"/>
        </w:rPr>
      </w:pPr>
      <w:r w:rsidRPr="00130B3C">
        <w:rPr>
          <w:b/>
          <w:bCs/>
          <w:sz w:val="24"/>
          <w:szCs w:val="24"/>
        </w:rPr>
        <w:t>3.1 Motivation and Engagement</w:t>
      </w:r>
    </w:p>
    <w:p w14:paraId="23084155" w14:textId="77777777" w:rsidR="00130B3C" w:rsidRPr="00130B3C" w:rsidRDefault="00130B3C" w:rsidP="00130B3C">
      <w:pPr>
        <w:spacing w:line="360" w:lineRule="auto"/>
        <w:rPr>
          <w:sz w:val="24"/>
          <w:szCs w:val="24"/>
        </w:rPr>
      </w:pPr>
      <w:r w:rsidRPr="00130B3C">
        <w:rPr>
          <w:sz w:val="24"/>
          <w:szCs w:val="24"/>
        </w:rPr>
        <w:t xml:space="preserve">BrightWave’s engagement challenges can be effectively analysed through a combination of motivation theories, each highlighting different but interconnected issues within the organisation. Herzberg’s Two-Factor Theory distinguishes between hygiene factors, such as pay and working conditions, and motivators, including recognition, responsibility and personal growth (Herzberg, 1959). At BrightWave, many hygiene factors are only minimally met, while motivators are largely absent. Employees report limited recognition and unclear </w:t>
      </w:r>
      <w:r w:rsidRPr="00130B3C">
        <w:rPr>
          <w:sz w:val="24"/>
          <w:szCs w:val="24"/>
        </w:rPr>
        <w:lastRenderedPageBreak/>
        <w:t>progression, suggesting that even when basic conditions are acceptable, the lack of intrinsic motivators leads to dissatisfaction and disengagement.</w:t>
      </w:r>
    </w:p>
    <w:p w14:paraId="0EBF2137" w14:textId="77777777" w:rsidR="00130B3C" w:rsidRPr="00130B3C" w:rsidRDefault="00130B3C" w:rsidP="00130B3C">
      <w:pPr>
        <w:spacing w:line="360" w:lineRule="auto"/>
        <w:rPr>
          <w:sz w:val="24"/>
          <w:szCs w:val="24"/>
        </w:rPr>
      </w:pPr>
      <w:r w:rsidRPr="00130B3C">
        <w:rPr>
          <w:sz w:val="24"/>
          <w:szCs w:val="24"/>
        </w:rPr>
        <w:t>However, while Herzberg’s theory is useful in explaining dissatisfaction, it does not fully account for the broader psychological needs of employees. Maslow’s Hierarchy of Needs offers a more holistic perspective, arguing that individuals must satisfy needs for belonging, esteem and self-worth before achieving higher levels of motivation (Maslow, 1943). BrightWave’s task-focused culture, limited communication and lack of recognition prevent many employees from meeting these needs. This is particularly relevant in lower-paid roles, where employees may already feel marginalised within the organisation. As a result, motivation remains constrained and performance levels stagnate.</w:t>
      </w:r>
    </w:p>
    <w:p w14:paraId="5569EB75" w14:textId="77777777" w:rsidR="00130B3C" w:rsidRPr="00130B3C" w:rsidRDefault="00130B3C" w:rsidP="00130B3C">
      <w:pPr>
        <w:spacing w:line="360" w:lineRule="auto"/>
        <w:rPr>
          <w:sz w:val="24"/>
          <w:szCs w:val="24"/>
        </w:rPr>
      </w:pPr>
      <w:r w:rsidRPr="00130B3C">
        <w:rPr>
          <w:sz w:val="24"/>
          <w:szCs w:val="24"/>
        </w:rPr>
        <w:t>Vroom’s Expectancy Theory further strengthens this analysis by focusing on employee perceptions of effort and reward. According to Vroom (1964), motivation is driven by the belief that effort leads to performance and that performance leads to valued outcomes. At BrightWave, there is little visible connection between high performance and positive outcomes such as recognition, development or progression. This weak expectancy relationship encourages a transactional mindset among employees, reinforcing the view that effort beyond minimum requirements is unrewarded. Together, these theories explain why engagement remains low despite operational demands being met.</w:t>
      </w:r>
    </w:p>
    <w:p w14:paraId="5B7AD559" w14:textId="77777777" w:rsidR="00130B3C" w:rsidRPr="00130B3C" w:rsidRDefault="00130B3C" w:rsidP="00130B3C">
      <w:pPr>
        <w:spacing w:line="360" w:lineRule="auto"/>
        <w:rPr>
          <w:sz w:val="24"/>
          <w:szCs w:val="24"/>
        </w:rPr>
      </w:pPr>
      <w:r w:rsidRPr="00130B3C">
        <w:rPr>
          <w:sz w:val="24"/>
          <w:szCs w:val="24"/>
        </w:rPr>
        <w:t>People Management research supports this theoretical analysis, highlighting that disengaged employees contribute to higher turnover, increased absence and reduced service quality (People Management, 2019). BrightWave’s high turnover rate and client complaints reflect these outcomes, demonstrating the practical consequences of weak motivation and engagement.</w:t>
      </w:r>
    </w:p>
    <w:p w14:paraId="12579C1D" w14:textId="597BE359" w:rsidR="00130B3C" w:rsidRPr="00130B3C" w:rsidRDefault="00130B3C" w:rsidP="00130B3C">
      <w:pPr>
        <w:spacing w:line="360" w:lineRule="auto"/>
        <w:rPr>
          <w:sz w:val="24"/>
          <w:szCs w:val="24"/>
        </w:rPr>
      </w:pPr>
    </w:p>
    <w:p w14:paraId="460CC3C6" w14:textId="090F8DB2" w:rsidR="00130B3C" w:rsidRPr="00130B3C" w:rsidRDefault="00130B3C" w:rsidP="00130B3C">
      <w:pPr>
        <w:spacing w:line="360" w:lineRule="auto"/>
        <w:rPr>
          <w:b/>
          <w:bCs/>
          <w:sz w:val="24"/>
          <w:szCs w:val="24"/>
        </w:rPr>
      </w:pPr>
      <w:r w:rsidRPr="00130B3C">
        <w:rPr>
          <w:b/>
          <w:bCs/>
          <w:sz w:val="24"/>
          <w:szCs w:val="24"/>
        </w:rPr>
        <w:t xml:space="preserve">3.2 Learning and Development </w:t>
      </w:r>
    </w:p>
    <w:p w14:paraId="72BF6874" w14:textId="77777777" w:rsidR="00130B3C" w:rsidRPr="00130B3C" w:rsidRDefault="00130B3C" w:rsidP="00130B3C">
      <w:pPr>
        <w:spacing w:line="360" w:lineRule="auto"/>
        <w:rPr>
          <w:sz w:val="24"/>
          <w:szCs w:val="24"/>
        </w:rPr>
      </w:pPr>
      <w:r w:rsidRPr="00130B3C">
        <w:rPr>
          <w:sz w:val="24"/>
          <w:szCs w:val="24"/>
        </w:rPr>
        <w:t>Learning and development represent another critical weakness at BrightWave. Kolb’s Experiential Learning Cycle emphasises that effective learning occurs through a continuous process of experience, reflection, conceptual understanding and experimentation (Kolb, 1984). At BrightWave, new employees receive limited induction and little opportunity to reflect or develop their skills. This results in lower confidence, inconsistent performance and slower integration into teams.</w:t>
      </w:r>
    </w:p>
    <w:p w14:paraId="34172F11" w14:textId="77777777" w:rsidR="00130B3C" w:rsidRPr="00130B3C" w:rsidRDefault="00130B3C" w:rsidP="00130B3C">
      <w:pPr>
        <w:spacing w:line="360" w:lineRule="auto"/>
        <w:rPr>
          <w:sz w:val="24"/>
          <w:szCs w:val="24"/>
        </w:rPr>
      </w:pPr>
      <w:r w:rsidRPr="00130B3C">
        <w:rPr>
          <w:sz w:val="24"/>
          <w:szCs w:val="24"/>
        </w:rPr>
        <w:t xml:space="preserve">The absence of structured development also has broader implications for engagement and retention. CIPD (2023b) identifies learning opportunities as one of the strongest predictors of employee commitment. When development pathways are unclear or absent, employees are </w:t>
      </w:r>
      <w:r w:rsidRPr="00130B3C">
        <w:rPr>
          <w:sz w:val="24"/>
          <w:szCs w:val="24"/>
        </w:rPr>
        <w:lastRenderedPageBreak/>
        <w:t>more likely to view their roles as temporary rather than as part of a longer-term career. This is particularly evident among younger employees at BrightWave, who report uncertainty about progression opportunities.</w:t>
      </w:r>
    </w:p>
    <w:p w14:paraId="78755BA4" w14:textId="77777777" w:rsidR="00130B3C" w:rsidRPr="00130B3C" w:rsidRDefault="00130B3C" w:rsidP="00130B3C">
      <w:pPr>
        <w:spacing w:line="360" w:lineRule="auto"/>
        <w:rPr>
          <w:sz w:val="24"/>
          <w:szCs w:val="24"/>
        </w:rPr>
      </w:pPr>
      <w:r w:rsidRPr="00130B3C">
        <w:rPr>
          <w:sz w:val="24"/>
          <w:szCs w:val="24"/>
        </w:rPr>
        <w:t>While experiential learning models such as Kolb’s are effective, they require managerial support to function properly. Without managers who can coach, give feedback and support reflection, learning becomes informal and uneven. This reinforces the importance of managerial capability as a foundation for both performance and development.</w:t>
      </w:r>
    </w:p>
    <w:p w14:paraId="494992D2" w14:textId="64658BBE" w:rsidR="00130B3C" w:rsidRPr="00130B3C" w:rsidRDefault="00130B3C" w:rsidP="00130B3C">
      <w:pPr>
        <w:spacing w:line="360" w:lineRule="auto"/>
        <w:rPr>
          <w:sz w:val="24"/>
          <w:szCs w:val="24"/>
        </w:rPr>
      </w:pPr>
    </w:p>
    <w:p w14:paraId="26926007" w14:textId="01CABB30" w:rsidR="00130B3C" w:rsidRPr="00130B3C" w:rsidRDefault="00130B3C" w:rsidP="00130B3C">
      <w:pPr>
        <w:spacing w:line="360" w:lineRule="auto"/>
        <w:rPr>
          <w:b/>
          <w:bCs/>
          <w:sz w:val="24"/>
          <w:szCs w:val="24"/>
        </w:rPr>
      </w:pPr>
      <w:r w:rsidRPr="00130B3C">
        <w:rPr>
          <w:b/>
          <w:bCs/>
          <w:sz w:val="24"/>
          <w:szCs w:val="24"/>
        </w:rPr>
        <w:t xml:space="preserve">4. Influence of Organisational Culture on People Management </w:t>
      </w:r>
    </w:p>
    <w:p w14:paraId="587AA8EF" w14:textId="77777777" w:rsidR="00130B3C" w:rsidRPr="00130B3C" w:rsidRDefault="00130B3C" w:rsidP="00130B3C">
      <w:pPr>
        <w:spacing w:line="360" w:lineRule="auto"/>
        <w:rPr>
          <w:sz w:val="24"/>
          <w:szCs w:val="24"/>
        </w:rPr>
      </w:pPr>
      <w:r w:rsidRPr="00130B3C">
        <w:rPr>
          <w:sz w:val="24"/>
          <w:szCs w:val="24"/>
        </w:rPr>
        <w:t>Organisational culture plays a central role in shaping people-management practices at BrightWave. Schein (2010) describes culture as a system of shared assumptions that influence how organisations operate. At BrightWave, the dominant assumption appears to be that efficiency and task completion take priority over employee development and wellbeing. This assumption discourages managers from investing time in performance conversations, coaching or recognition, as these activities are perceived as secondary to operational delivery.</w:t>
      </w:r>
    </w:p>
    <w:p w14:paraId="74AFC218" w14:textId="77777777" w:rsidR="00130B3C" w:rsidRPr="00130B3C" w:rsidRDefault="00130B3C" w:rsidP="00130B3C">
      <w:pPr>
        <w:spacing w:line="360" w:lineRule="auto"/>
        <w:rPr>
          <w:sz w:val="24"/>
          <w:szCs w:val="24"/>
        </w:rPr>
      </w:pPr>
      <w:r w:rsidRPr="00130B3C">
        <w:rPr>
          <w:sz w:val="24"/>
          <w:szCs w:val="24"/>
        </w:rPr>
        <w:t>Handy’s (1993) role culture further explains how this assumption manifests in practice. Role cultures are characterised by rigid structures, clearly defined responsibilities and limited flexibility. While this can support consistency, it often reduces collaboration and innovation. At BrightWave, this results in employees “sticking to their bit of the job” and managers focusing on compliance rather than leadership. Over time, this reinforces siloed working and resistance to change.</w:t>
      </w:r>
    </w:p>
    <w:p w14:paraId="15B61ACB" w14:textId="77777777" w:rsidR="00130B3C" w:rsidRDefault="00130B3C" w:rsidP="00130B3C">
      <w:pPr>
        <w:spacing w:line="360" w:lineRule="auto"/>
        <w:rPr>
          <w:sz w:val="24"/>
          <w:szCs w:val="24"/>
        </w:rPr>
      </w:pPr>
      <w:r w:rsidRPr="00130B3C">
        <w:rPr>
          <w:sz w:val="24"/>
          <w:szCs w:val="24"/>
        </w:rPr>
        <w:t>ACAS (2023b) highlights that cultures which discourage open communication and employee voice undermine trust and engagement. BrightWave’s culture limits psychological safety, meaning employees are less likely to raise concerns, suggest improvements or seek support. Armstrong (2017) argues that when organisational culture does not support people management, even well-designed HR policies fail in practice. This misalignment between culture and management expectations represents a significant barrier to improving performance and retention at BrightWave.</w:t>
      </w:r>
    </w:p>
    <w:p w14:paraId="1F4C354B" w14:textId="77777777" w:rsidR="00130B3C" w:rsidRDefault="00130B3C" w:rsidP="00130B3C">
      <w:pPr>
        <w:spacing w:line="360" w:lineRule="auto"/>
        <w:rPr>
          <w:sz w:val="24"/>
          <w:szCs w:val="24"/>
        </w:rPr>
      </w:pPr>
    </w:p>
    <w:p w14:paraId="5EDA8A83" w14:textId="77777777" w:rsidR="00130B3C" w:rsidRPr="00130B3C" w:rsidRDefault="00130B3C" w:rsidP="00130B3C">
      <w:pPr>
        <w:spacing w:line="360" w:lineRule="auto"/>
        <w:rPr>
          <w:b/>
          <w:bCs/>
          <w:sz w:val="24"/>
          <w:szCs w:val="24"/>
        </w:rPr>
      </w:pPr>
      <w:r w:rsidRPr="00130B3C">
        <w:rPr>
          <w:b/>
          <w:bCs/>
          <w:sz w:val="24"/>
          <w:szCs w:val="24"/>
        </w:rPr>
        <w:t>5. Evidence-Based Recommendations for Improving Managerial Practice, Performance Management and Organisational Culture</w:t>
      </w:r>
    </w:p>
    <w:p w14:paraId="0100ACDE" w14:textId="77777777" w:rsidR="00130B3C" w:rsidRPr="00130B3C" w:rsidRDefault="00130B3C" w:rsidP="00130B3C">
      <w:pPr>
        <w:spacing w:line="360" w:lineRule="auto"/>
        <w:rPr>
          <w:sz w:val="24"/>
          <w:szCs w:val="24"/>
        </w:rPr>
      </w:pPr>
      <w:r w:rsidRPr="00130B3C">
        <w:rPr>
          <w:sz w:val="24"/>
          <w:szCs w:val="24"/>
        </w:rPr>
        <w:t xml:space="preserve">The challenges faced by BrightWave Services Ltd are interconnected and require a coordinated, evidence-based response rather than isolated interventions. The recommendations outlined below are designed to address the root causes of poor engagement, </w:t>
      </w:r>
      <w:r w:rsidRPr="00130B3C">
        <w:rPr>
          <w:sz w:val="24"/>
          <w:szCs w:val="24"/>
        </w:rPr>
        <w:lastRenderedPageBreak/>
        <w:t>inconsistent performance and high turnover, while also aligning people management practices with client expectations and long-term organisational sustainability.</w:t>
      </w:r>
    </w:p>
    <w:p w14:paraId="11F47BFF" w14:textId="26AEDE87" w:rsidR="00130B3C" w:rsidRPr="00130B3C" w:rsidRDefault="00130B3C" w:rsidP="00130B3C">
      <w:pPr>
        <w:spacing w:line="360" w:lineRule="auto"/>
        <w:rPr>
          <w:sz w:val="24"/>
          <w:szCs w:val="24"/>
        </w:rPr>
      </w:pPr>
    </w:p>
    <w:p w14:paraId="6B4593B7" w14:textId="77777777" w:rsidR="00130B3C" w:rsidRPr="00130B3C" w:rsidRDefault="00130B3C" w:rsidP="00130B3C">
      <w:pPr>
        <w:spacing w:line="360" w:lineRule="auto"/>
        <w:rPr>
          <w:b/>
          <w:bCs/>
          <w:sz w:val="24"/>
          <w:szCs w:val="24"/>
        </w:rPr>
      </w:pPr>
      <w:r w:rsidRPr="00130B3C">
        <w:rPr>
          <w:b/>
          <w:bCs/>
          <w:sz w:val="24"/>
          <w:szCs w:val="24"/>
        </w:rPr>
        <w:t>5.1 Developing Managerial Capability</w:t>
      </w:r>
    </w:p>
    <w:p w14:paraId="6740D405" w14:textId="77777777" w:rsidR="00130B3C" w:rsidRPr="00130B3C" w:rsidRDefault="00130B3C" w:rsidP="00130B3C">
      <w:pPr>
        <w:spacing w:line="360" w:lineRule="auto"/>
        <w:rPr>
          <w:sz w:val="24"/>
          <w:szCs w:val="24"/>
        </w:rPr>
      </w:pPr>
      <w:r w:rsidRPr="00130B3C">
        <w:rPr>
          <w:sz w:val="24"/>
          <w:szCs w:val="24"/>
        </w:rPr>
        <w:t>A priority recommendation for BrightWave is the development of managerial capability, particularly in relation to people management skills. As highlighted earlier in this report, supervisors at BrightWave are often promoted based on technical competence rather than leadership ability. While this approach ensures operational knowledge, it leaves managers underprepared to handle performance conversations, motivate staff or manage conflict effectively.</w:t>
      </w:r>
    </w:p>
    <w:p w14:paraId="3D12A1B4" w14:textId="77777777" w:rsidR="00130B3C" w:rsidRPr="00130B3C" w:rsidRDefault="00130B3C" w:rsidP="00130B3C">
      <w:pPr>
        <w:spacing w:line="360" w:lineRule="auto"/>
        <w:rPr>
          <w:sz w:val="24"/>
          <w:szCs w:val="24"/>
        </w:rPr>
      </w:pPr>
      <w:r w:rsidRPr="00130B3C">
        <w:rPr>
          <w:sz w:val="24"/>
          <w:szCs w:val="24"/>
        </w:rPr>
        <w:t>Armstrong (2017) emphasises that line managers are the key link between organisational strategy and employee experience. When managers lack confidence in communication and feedback, performance management becomes inconsistent and reactive. This is evident at BrightWave, where underperformance is tolerated and higher-performing employees experience frustration and disengagement. ACAS (2023a) supports this view, noting that managers who receive training in communication and handling difficult conversations are more likely to address issues early and fairly.</w:t>
      </w:r>
    </w:p>
    <w:p w14:paraId="0ED240B9" w14:textId="77777777" w:rsidR="00130B3C" w:rsidRPr="00130B3C" w:rsidRDefault="00130B3C" w:rsidP="00130B3C">
      <w:pPr>
        <w:spacing w:line="360" w:lineRule="auto"/>
        <w:rPr>
          <w:sz w:val="24"/>
          <w:szCs w:val="24"/>
        </w:rPr>
      </w:pPr>
      <w:r w:rsidRPr="00130B3C">
        <w:rPr>
          <w:sz w:val="24"/>
          <w:szCs w:val="24"/>
        </w:rPr>
        <w:t>BrightWave should therefore introduce a structured management development programme focused on practical skills such as coaching, giving constructive feedback, managing underperformance, conflict resolution and active listening. Incorporating Hersey and Blanchard’s Situational Leadership model would further enable managers to adapt their leadership style to suit different employees and situations. This is particularly important in a workforce with varied levels of experience, contract types and confidence.</w:t>
      </w:r>
    </w:p>
    <w:p w14:paraId="3309B3E1" w14:textId="77777777" w:rsidR="00130B3C" w:rsidRDefault="00130B3C" w:rsidP="00130B3C">
      <w:pPr>
        <w:spacing w:line="360" w:lineRule="auto"/>
        <w:rPr>
          <w:sz w:val="24"/>
          <w:szCs w:val="24"/>
        </w:rPr>
      </w:pPr>
      <w:r w:rsidRPr="00130B3C">
        <w:rPr>
          <w:sz w:val="24"/>
          <w:szCs w:val="24"/>
        </w:rPr>
        <w:t>Improving managerial capability is likely to have a direct impact on productivity and retention. Confident managers create clearer expectations, stronger relationships and more engaged teams, which ultimately improves service consistency and reduces turnover costs.</w:t>
      </w:r>
    </w:p>
    <w:p w14:paraId="776663EA" w14:textId="77777777" w:rsidR="00130B3C" w:rsidRPr="00130B3C" w:rsidRDefault="00130B3C" w:rsidP="00130B3C">
      <w:pPr>
        <w:spacing w:line="360" w:lineRule="auto"/>
        <w:rPr>
          <w:sz w:val="24"/>
          <w:szCs w:val="24"/>
        </w:rPr>
      </w:pPr>
    </w:p>
    <w:p w14:paraId="28E30AC8" w14:textId="77777777" w:rsidR="00130B3C" w:rsidRPr="00130B3C" w:rsidRDefault="00130B3C" w:rsidP="00130B3C">
      <w:pPr>
        <w:spacing w:line="360" w:lineRule="auto"/>
        <w:rPr>
          <w:b/>
          <w:bCs/>
          <w:sz w:val="24"/>
          <w:szCs w:val="24"/>
        </w:rPr>
      </w:pPr>
      <w:r w:rsidRPr="00130B3C">
        <w:rPr>
          <w:b/>
          <w:bCs/>
          <w:sz w:val="24"/>
          <w:szCs w:val="24"/>
        </w:rPr>
        <w:t>5.2 Embedding Continuous Performance Management</w:t>
      </w:r>
    </w:p>
    <w:p w14:paraId="2921667C" w14:textId="77777777" w:rsidR="00130B3C" w:rsidRPr="00130B3C" w:rsidRDefault="00130B3C" w:rsidP="00130B3C">
      <w:pPr>
        <w:spacing w:line="360" w:lineRule="auto"/>
        <w:rPr>
          <w:sz w:val="24"/>
          <w:szCs w:val="24"/>
        </w:rPr>
      </w:pPr>
      <w:r w:rsidRPr="00130B3C">
        <w:rPr>
          <w:sz w:val="24"/>
          <w:szCs w:val="24"/>
        </w:rPr>
        <w:t>BrightWave should move away from informal and reactive approaches to performance management and adopt a continuous performance management framework. CIPD (2023c) highlights that regular performance conversations are more effective than annual reviews in improving engagement, accountability and performance outcomes. At present, BrightWave supervisors avoid performance discussions, allowing issues to escalate and damaging team morale.</w:t>
      </w:r>
    </w:p>
    <w:p w14:paraId="016575FF" w14:textId="77777777" w:rsidR="00130B3C" w:rsidRPr="00130B3C" w:rsidRDefault="00130B3C" w:rsidP="00130B3C">
      <w:pPr>
        <w:spacing w:line="360" w:lineRule="auto"/>
        <w:rPr>
          <w:sz w:val="24"/>
          <w:szCs w:val="24"/>
        </w:rPr>
      </w:pPr>
      <w:r w:rsidRPr="00130B3C">
        <w:rPr>
          <w:sz w:val="24"/>
          <w:szCs w:val="24"/>
        </w:rPr>
        <w:lastRenderedPageBreak/>
        <w:t>A continuous performance management approach would include regular one-to-one meetings, shared goal setting, real-time feedback and transparent workload allocation. This aligns with Armstrong’s (2017) view that performance management should be an ongoing dialogue rather than a one-off event. For BrightWave, this would normalise performance conversations and reduce the discomfort managers currently associate with feedback.</w:t>
      </w:r>
    </w:p>
    <w:p w14:paraId="2C6C6E09" w14:textId="77777777" w:rsidR="00130B3C" w:rsidRPr="00130B3C" w:rsidRDefault="00130B3C" w:rsidP="00130B3C">
      <w:pPr>
        <w:spacing w:line="360" w:lineRule="auto"/>
        <w:rPr>
          <w:sz w:val="24"/>
          <w:szCs w:val="24"/>
        </w:rPr>
      </w:pPr>
      <w:r w:rsidRPr="00130B3C">
        <w:rPr>
          <w:sz w:val="24"/>
          <w:szCs w:val="24"/>
        </w:rPr>
        <w:t>From a business perspective, continuous performance management supports early intervention, reduces conflict and improves service quality. Employees benefit from clearer expectations and fairer treatment, while managers gain structure and confidence. Over time, this approach would support stronger client satisfaction and operational consistency, which are critical in public-sector contracts.</w:t>
      </w:r>
    </w:p>
    <w:p w14:paraId="56C6242A" w14:textId="2E13EF2F" w:rsidR="00130B3C" w:rsidRPr="00130B3C" w:rsidRDefault="00130B3C" w:rsidP="00130B3C">
      <w:pPr>
        <w:spacing w:line="360" w:lineRule="auto"/>
        <w:rPr>
          <w:sz w:val="24"/>
          <w:szCs w:val="24"/>
        </w:rPr>
      </w:pPr>
    </w:p>
    <w:p w14:paraId="0A663CE2" w14:textId="77777777" w:rsidR="00130B3C" w:rsidRPr="00130B3C" w:rsidRDefault="00130B3C" w:rsidP="00130B3C">
      <w:pPr>
        <w:spacing w:line="360" w:lineRule="auto"/>
        <w:rPr>
          <w:b/>
          <w:bCs/>
          <w:sz w:val="24"/>
          <w:szCs w:val="24"/>
        </w:rPr>
      </w:pPr>
      <w:r w:rsidRPr="00130B3C">
        <w:rPr>
          <w:b/>
          <w:bCs/>
          <w:sz w:val="24"/>
          <w:szCs w:val="24"/>
        </w:rPr>
        <w:t>5.3 Improving Induction, Learning and Development</w:t>
      </w:r>
    </w:p>
    <w:p w14:paraId="0F3A6F30" w14:textId="77777777" w:rsidR="00130B3C" w:rsidRPr="00130B3C" w:rsidRDefault="00130B3C" w:rsidP="00130B3C">
      <w:pPr>
        <w:spacing w:line="360" w:lineRule="auto"/>
        <w:rPr>
          <w:sz w:val="24"/>
          <w:szCs w:val="24"/>
        </w:rPr>
      </w:pPr>
      <w:r w:rsidRPr="00130B3C">
        <w:rPr>
          <w:sz w:val="24"/>
          <w:szCs w:val="24"/>
        </w:rPr>
        <w:t>Another key recommendation is the introduction of structured induction and clearer learning and development pathways. Currently, new employees at BrightWave report limited induction and little understanding of progression opportunities. Kolb’s Experiential Learning Cycle suggests that learning is most effective when individuals are supported to reflect on experience and apply new understanding in practice (Kolb, 1984). Without structured induction, employees are left to learn informally, leading to inconsistent performance and lower confidence.</w:t>
      </w:r>
    </w:p>
    <w:p w14:paraId="4FC84A0C" w14:textId="77777777" w:rsidR="00130B3C" w:rsidRPr="00130B3C" w:rsidRDefault="00130B3C" w:rsidP="00130B3C">
      <w:pPr>
        <w:spacing w:line="360" w:lineRule="auto"/>
        <w:rPr>
          <w:sz w:val="24"/>
          <w:szCs w:val="24"/>
        </w:rPr>
      </w:pPr>
      <w:r w:rsidRPr="00130B3C">
        <w:rPr>
          <w:sz w:val="24"/>
          <w:szCs w:val="24"/>
        </w:rPr>
        <w:t>CIPD (2023b) identifies development opportunities as a major driver of engagement and retention. For BrightWave, improving induction would help new starters feel supported from day one, while visible development pathways would signal long-term investment in employees. This is particularly important for younger staff who value growth and progression.</w:t>
      </w:r>
    </w:p>
    <w:p w14:paraId="51CD7E62" w14:textId="77777777" w:rsidR="00130B3C" w:rsidRPr="00130B3C" w:rsidRDefault="00130B3C" w:rsidP="00130B3C">
      <w:pPr>
        <w:spacing w:line="360" w:lineRule="auto"/>
        <w:rPr>
          <w:sz w:val="24"/>
          <w:szCs w:val="24"/>
        </w:rPr>
      </w:pPr>
      <w:r w:rsidRPr="00130B3C">
        <w:rPr>
          <w:sz w:val="24"/>
          <w:szCs w:val="24"/>
        </w:rPr>
        <w:t>While development initiatives require time and planning, they do not necessarily involve significant financial cost. Mentoring, shadowing, coaching and internal progression routes can be implemented using existing resources. In the longer term, improved development reduces turnover and enhances workforce capability, contributing positively to productivity and profitability.</w:t>
      </w:r>
    </w:p>
    <w:p w14:paraId="53764F24" w14:textId="4DCBBC8F" w:rsidR="00130B3C" w:rsidRPr="00130B3C" w:rsidRDefault="00130B3C" w:rsidP="00130B3C">
      <w:pPr>
        <w:spacing w:line="360" w:lineRule="auto"/>
        <w:rPr>
          <w:sz w:val="24"/>
          <w:szCs w:val="24"/>
        </w:rPr>
      </w:pPr>
    </w:p>
    <w:p w14:paraId="7CC6F43D" w14:textId="77777777" w:rsidR="00130B3C" w:rsidRPr="00130B3C" w:rsidRDefault="00130B3C" w:rsidP="00130B3C">
      <w:pPr>
        <w:spacing w:line="360" w:lineRule="auto"/>
        <w:rPr>
          <w:b/>
          <w:bCs/>
          <w:sz w:val="24"/>
          <w:szCs w:val="24"/>
        </w:rPr>
      </w:pPr>
      <w:r w:rsidRPr="00130B3C">
        <w:rPr>
          <w:b/>
          <w:bCs/>
          <w:sz w:val="24"/>
          <w:szCs w:val="24"/>
        </w:rPr>
        <w:t>5.4 Strengthening Employee Engagement and Retention</w:t>
      </w:r>
    </w:p>
    <w:p w14:paraId="7794B208" w14:textId="77777777" w:rsidR="00130B3C" w:rsidRPr="00130B3C" w:rsidRDefault="00130B3C" w:rsidP="00130B3C">
      <w:pPr>
        <w:spacing w:line="360" w:lineRule="auto"/>
        <w:rPr>
          <w:sz w:val="24"/>
          <w:szCs w:val="24"/>
        </w:rPr>
      </w:pPr>
      <w:r w:rsidRPr="00130B3C">
        <w:rPr>
          <w:sz w:val="24"/>
          <w:szCs w:val="24"/>
        </w:rPr>
        <w:t xml:space="preserve">Improving engagement and retention should be treated as a strategic priority rather than an HR add-on. Herzberg’s Two-Factor Theory highlights recognition and responsibility as key motivators (Herzberg, 1959), yet BrightWave employees report feeling undervalued and </w:t>
      </w:r>
      <w:r w:rsidRPr="00130B3C">
        <w:rPr>
          <w:sz w:val="24"/>
          <w:szCs w:val="24"/>
        </w:rPr>
        <w:lastRenderedPageBreak/>
        <w:t>overlooked. Simple recognition practices, such as acknowledging good performance and celebrating team achievements, can significantly improve morale.</w:t>
      </w:r>
    </w:p>
    <w:p w14:paraId="1E7ED013" w14:textId="77777777" w:rsidR="00130B3C" w:rsidRPr="00130B3C" w:rsidRDefault="00130B3C" w:rsidP="00130B3C">
      <w:pPr>
        <w:spacing w:line="360" w:lineRule="auto"/>
        <w:rPr>
          <w:sz w:val="24"/>
          <w:szCs w:val="24"/>
        </w:rPr>
      </w:pPr>
      <w:r w:rsidRPr="00130B3C">
        <w:rPr>
          <w:sz w:val="24"/>
          <w:szCs w:val="24"/>
        </w:rPr>
        <w:t>Maslow’s Hierarchy of Needs further supports the need for a supportive environment where employees feel valued and included (Maslow, 1943). Introducing regular team briefings, feedback forums and opportunities for employee voice would help meet these needs and strengthen trust. ACAS (2023b) emphasises that listening to employees is one of the most effective ways to improve engagement, particularly during periods of change.</w:t>
      </w:r>
    </w:p>
    <w:p w14:paraId="00B8BAC2" w14:textId="1F70B679" w:rsidR="00130B3C" w:rsidRPr="00130B3C" w:rsidRDefault="00130B3C" w:rsidP="00130B3C">
      <w:pPr>
        <w:spacing w:line="360" w:lineRule="auto"/>
        <w:rPr>
          <w:sz w:val="24"/>
          <w:szCs w:val="24"/>
        </w:rPr>
      </w:pPr>
      <w:r w:rsidRPr="00130B3C">
        <w:rPr>
          <w:sz w:val="24"/>
          <w:szCs w:val="24"/>
        </w:rPr>
        <w:t>People Management research highlights that disengagement is costly, leading to higher absence, turnover and reduced service quality (People Management, 2019). For BrightWave, improving engagement would therefore have both human and financial benefits, supporting staff wellbeing while improving client outcomes.</w:t>
      </w:r>
      <w:r>
        <w:rPr>
          <w:noProof/>
        </w:rPr>
        <w:pict w14:anchorId="1DBEA7AD">
          <v:rect id="_x0000_s1026" style="position:absolute;margin-left:0;margin-top:0;width:3276.75pt;height:.1pt;z-index:251659264;mso-position-horizontal:left;mso-position-horizontal-relative:text;mso-position-vertical-relative:text" o:hrstd="t" o:hr="t" fillcolor="#a0a0a0" stroked="f">
            <w10:wrap type="square" side="right"/>
          </v:rect>
        </w:pict>
      </w:r>
      <w:r>
        <w:rPr>
          <w:sz w:val="24"/>
          <w:szCs w:val="24"/>
        </w:rPr>
        <w:br w:type="textWrapping" w:clear="all"/>
      </w:r>
    </w:p>
    <w:p w14:paraId="49E153C2" w14:textId="77777777" w:rsidR="00130B3C" w:rsidRPr="00130B3C" w:rsidRDefault="00130B3C" w:rsidP="00130B3C">
      <w:pPr>
        <w:spacing w:line="360" w:lineRule="auto"/>
        <w:rPr>
          <w:b/>
          <w:bCs/>
          <w:sz w:val="24"/>
          <w:szCs w:val="24"/>
        </w:rPr>
      </w:pPr>
      <w:r w:rsidRPr="00130B3C">
        <w:rPr>
          <w:b/>
          <w:bCs/>
          <w:sz w:val="24"/>
          <w:szCs w:val="24"/>
        </w:rPr>
        <w:t>5.5 Aligning People Management with External Expectations</w:t>
      </w:r>
    </w:p>
    <w:p w14:paraId="64571B8D" w14:textId="77777777" w:rsidR="00130B3C" w:rsidRPr="00130B3C" w:rsidRDefault="00130B3C" w:rsidP="00130B3C">
      <w:pPr>
        <w:spacing w:line="360" w:lineRule="auto"/>
        <w:rPr>
          <w:sz w:val="24"/>
          <w:szCs w:val="24"/>
        </w:rPr>
      </w:pPr>
      <w:r w:rsidRPr="00130B3C">
        <w:rPr>
          <w:sz w:val="24"/>
          <w:szCs w:val="24"/>
        </w:rPr>
        <w:t>Finally, BrightWave must consider external pressures when shaping its people management strategy. Public-sector clients increasingly expect suppliers to demonstrate fair work practices, employee wellbeing and social value. Failure to address high turnover and poor engagement may place BrightWave at risk of losing contracts.</w:t>
      </w:r>
    </w:p>
    <w:p w14:paraId="7CC8D466" w14:textId="77777777" w:rsidR="00130B3C" w:rsidRPr="00130B3C" w:rsidRDefault="00130B3C" w:rsidP="00130B3C">
      <w:pPr>
        <w:spacing w:line="360" w:lineRule="auto"/>
        <w:rPr>
          <w:sz w:val="24"/>
          <w:szCs w:val="24"/>
        </w:rPr>
      </w:pPr>
      <w:r w:rsidRPr="00130B3C">
        <w:rPr>
          <w:sz w:val="24"/>
          <w:szCs w:val="24"/>
        </w:rPr>
        <w:t>By implementing the recommendations outlined above, BrightWave can demonstrate a commitment to ethical employment practices and sustainable workforce management. This alignment not only enhances organisational reputation but also strengthens competitiveness in future contract bids, supporting long-term profitability and growth.</w:t>
      </w:r>
    </w:p>
    <w:p w14:paraId="62DB8795" w14:textId="77777777" w:rsidR="00130B3C" w:rsidRDefault="00130B3C" w:rsidP="00130B3C">
      <w:pPr>
        <w:spacing w:line="360" w:lineRule="auto"/>
        <w:rPr>
          <w:sz w:val="24"/>
          <w:szCs w:val="24"/>
        </w:rPr>
      </w:pPr>
    </w:p>
    <w:p w14:paraId="205528FA" w14:textId="7F41D410" w:rsidR="00130B3C" w:rsidRPr="00130B3C" w:rsidRDefault="00130B3C" w:rsidP="00130B3C">
      <w:pPr>
        <w:spacing w:line="360" w:lineRule="auto"/>
        <w:rPr>
          <w:b/>
          <w:bCs/>
          <w:sz w:val="24"/>
          <w:szCs w:val="24"/>
        </w:rPr>
      </w:pPr>
      <w:r w:rsidRPr="00130B3C">
        <w:rPr>
          <w:b/>
          <w:bCs/>
          <w:sz w:val="24"/>
          <w:szCs w:val="24"/>
        </w:rPr>
        <w:t>6. Conclusion</w:t>
      </w:r>
    </w:p>
    <w:p w14:paraId="7E11D3B6" w14:textId="77777777" w:rsidR="00130B3C" w:rsidRDefault="00130B3C" w:rsidP="00130B3C">
      <w:pPr>
        <w:spacing w:line="360" w:lineRule="auto"/>
        <w:rPr>
          <w:sz w:val="24"/>
          <w:szCs w:val="24"/>
        </w:rPr>
      </w:pPr>
      <w:r w:rsidRPr="00130B3C">
        <w:rPr>
          <w:sz w:val="24"/>
          <w:szCs w:val="24"/>
        </w:rPr>
        <w:t>BrightWave Services Ltd faces significant people-management challenges rooted in limited managerial capability and a task-focused organisational culture. While technical competence remains strong, weaknesses in communication, engagement and development undermine performance and retention. By investing in managerial capability, embedding continuous performance management, strengthening learning opportunities and committing to cultural change, BrightWave can improve productivity, employee satisfaction and long-term sustainability. These changes are essential if the organisation is to meet client expectations and remain competitive in the public-sector environment.</w:t>
      </w:r>
    </w:p>
    <w:p w14:paraId="3CF06B46" w14:textId="77777777" w:rsidR="00130B3C" w:rsidRDefault="00130B3C" w:rsidP="00130B3C">
      <w:pPr>
        <w:spacing w:line="360" w:lineRule="auto"/>
        <w:rPr>
          <w:sz w:val="24"/>
          <w:szCs w:val="24"/>
        </w:rPr>
      </w:pPr>
    </w:p>
    <w:p w14:paraId="18414F97" w14:textId="77777777" w:rsidR="00130B3C" w:rsidRDefault="00130B3C" w:rsidP="00130B3C">
      <w:pPr>
        <w:spacing w:line="360" w:lineRule="auto"/>
        <w:rPr>
          <w:sz w:val="24"/>
          <w:szCs w:val="24"/>
        </w:rPr>
      </w:pPr>
    </w:p>
    <w:p w14:paraId="6D62271C" w14:textId="77777777" w:rsidR="00130B3C" w:rsidRDefault="00130B3C" w:rsidP="00130B3C">
      <w:pPr>
        <w:spacing w:line="360" w:lineRule="auto"/>
        <w:rPr>
          <w:sz w:val="24"/>
          <w:szCs w:val="24"/>
        </w:rPr>
      </w:pPr>
    </w:p>
    <w:p w14:paraId="487A342F" w14:textId="373FBD61" w:rsidR="00130B3C" w:rsidRPr="00130B3C" w:rsidRDefault="00130B3C" w:rsidP="00130B3C">
      <w:pPr>
        <w:spacing w:line="360" w:lineRule="auto"/>
        <w:rPr>
          <w:b/>
          <w:bCs/>
          <w:sz w:val="24"/>
          <w:szCs w:val="24"/>
        </w:rPr>
      </w:pPr>
      <w:r w:rsidRPr="00130B3C">
        <w:rPr>
          <w:b/>
          <w:bCs/>
          <w:sz w:val="24"/>
          <w:szCs w:val="24"/>
        </w:rPr>
        <w:lastRenderedPageBreak/>
        <w:t>References</w:t>
      </w:r>
      <w:r>
        <w:rPr>
          <w:b/>
          <w:bCs/>
          <w:sz w:val="24"/>
          <w:szCs w:val="24"/>
        </w:rPr>
        <w:t>:</w:t>
      </w:r>
    </w:p>
    <w:p w14:paraId="23670A33" w14:textId="1FCE4D5A" w:rsidR="00130B3C" w:rsidRPr="00130B3C" w:rsidRDefault="00130B3C" w:rsidP="00130B3C">
      <w:pPr>
        <w:spacing w:line="360" w:lineRule="auto"/>
        <w:rPr>
          <w:sz w:val="24"/>
          <w:szCs w:val="24"/>
        </w:rPr>
      </w:pPr>
      <w:r w:rsidRPr="00130B3C">
        <w:rPr>
          <w:sz w:val="24"/>
          <w:szCs w:val="24"/>
        </w:rPr>
        <w:t xml:space="preserve">ACAS (2023a) </w:t>
      </w:r>
      <w:r w:rsidRPr="00130B3C">
        <w:rPr>
          <w:i/>
          <w:iCs/>
          <w:sz w:val="24"/>
          <w:szCs w:val="24"/>
        </w:rPr>
        <w:t>Managing in difficult times: Listening is free</w:t>
      </w:r>
      <w:r w:rsidRPr="00130B3C">
        <w:rPr>
          <w:sz w:val="24"/>
          <w:szCs w:val="24"/>
        </w:rPr>
        <w:t>. Available at:</w:t>
      </w:r>
      <w:r w:rsidRPr="00130B3C">
        <w:rPr>
          <w:sz w:val="24"/>
          <w:szCs w:val="24"/>
        </w:rPr>
        <w:br/>
      </w:r>
      <w:hyperlink r:id="rId6" w:tgtFrame="_new" w:history="1">
        <w:r w:rsidRPr="00130B3C">
          <w:rPr>
            <w:rStyle w:val="Hyperlink"/>
            <w:sz w:val="24"/>
            <w:szCs w:val="24"/>
          </w:rPr>
          <w:t>https://www.acas.org.uk/managing-in-difficult-times-listening-is-free</w:t>
        </w:r>
      </w:hyperlink>
      <w:r w:rsidRPr="00130B3C">
        <w:rPr>
          <w:sz w:val="24"/>
          <w:szCs w:val="24"/>
        </w:rPr>
        <w:br/>
        <w:t xml:space="preserve">(Accessed: </w:t>
      </w:r>
      <w:r w:rsidRPr="00130B3C">
        <w:rPr>
          <w:b/>
          <w:bCs/>
          <w:sz w:val="24"/>
          <w:szCs w:val="24"/>
        </w:rPr>
        <w:t>8 December 2025</w:t>
      </w:r>
      <w:r w:rsidRPr="00130B3C">
        <w:rPr>
          <w:sz w:val="24"/>
          <w:szCs w:val="24"/>
        </w:rPr>
        <w:t>).</w:t>
      </w:r>
    </w:p>
    <w:p w14:paraId="42FF1115" w14:textId="77777777" w:rsidR="00130B3C" w:rsidRPr="00130B3C" w:rsidRDefault="00130B3C" w:rsidP="00130B3C">
      <w:pPr>
        <w:spacing w:line="360" w:lineRule="auto"/>
        <w:rPr>
          <w:sz w:val="24"/>
          <w:szCs w:val="24"/>
        </w:rPr>
      </w:pPr>
      <w:r w:rsidRPr="00130B3C">
        <w:rPr>
          <w:sz w:val="24"/>
          <w:szCs w:val="24"/>
        </w:rPr>
        <w:t xml:space="preserve">ACAS (2023b) </w:t>
      </w:r>
      <w:r w:rsidRPr="00130B3C">
        <w:rPr>
          <w:i/>
          <w:iCs/>
          <w:sz w:val="24"/>
          <w:szCs w:val="24"/>
        </w:rPr>
        <w:t>Managerial capability and staff engagement</w:t>
      </w:r>
      <w:r w:rsidRPr="00130B3C">
        <w:rPr>
          <w:sz w:val="24"/>
          <w:szCs w:val="24"/>
        </w:rPr>
        <w:t>. Available at:</w:t>
      </w:r>
      <w:r w:rsidRPr="00130B3C">
        <w:rPr>
          <w:sz w:val="24"/>
          <w:szCs w:val="24"/>
        </w:rPr>
        <w:br/>
      </w:r>
      <w:hyperlink r:id="rId7" w:tgtFrame="_new" w:history="1">
        <w:r w:rsidRPr="00130B3C">
          <w:rPr>
            <w:rStyle w:val="Hyperlink"/>
            <w:sz w:val="24"/>
            <w:szCs w:val="24"/>
          </w:rPr>
          <w:t>https://www.acas.org.uk/research-and-commentary/managerial-capability-and-staff-engagement/report</w:t>
        </w:r>
      </w:hyperlink>
      <w:r w:rsidRPr="00130B3C">
        <w:rPr>
          <w:sz w:val="24"/>
          <w:szCs w:val="24"/>
        </w:rPr>
        <w:br/>
        <w:t xml:space="preserve">(Accessed: </w:t>
      </w:r>
      <w:r w:rsidRPr="00130B3C">
        <w:rPr>
          <w:b/>
          <w:bCs/>
          <w:sz w:val="24"/>
          <w:szCs w:val="24"/>
        </w:rPr>
        <w:t>8 December 2025</w:t>
      </w:r>
      <w:r w:rsidRPr="00130B3C">
        <w:rPr>
          <w:sz w:val="24"/>
          <w:szCs w:val="24"/>
        </w:rPr>
        <w:t>).</w:t>
      </w:r>
    </w:p>
    <w:p w14:paraId="4E3F2234" w14:textId="77777777" w:rsidR="00130B3C" w:rsidRPr="00130B3C" w:rsidRDefault="00130B3C" w:rsidP="00130B3C">
      <w:pPr>
        <w:spacing w:line="360" w:lineRule="auto"/>
        <w:rPr>
          <w:sz w:val="24"/>
          <w:szCs w:val="24"/>
        </w:rPr>
      </w:pPr>
      <w:r w:rsidRPr="00130B3C">
        <w:rPr>
          <w:sz w:val="24"/>
          <w:szCs w:val="24"/>
        </w:rPr>
        <w:t xml:space="preserve">Armstrong, M. (2017) </w:t>
      </w:r>
      <w:r w:rsidRPr="00130B3C">
        <w:rPr>
          <w:i/>
          <w:iCs/>
          <w:sz w:val="24"/>
          <w:szCs w:val="24"/>
        </w:rPr>
        <w:t>Armstrong’s Handbook of Human Resource Management Practice</w:t>
      </w:r>
      <w:r w:rsidRPr="00130B3C">
        <w:rPr>
          <w:sz w:val="24"/>
          <w:szCs w:val="24"/>
        </w:rPr>
        <w:t>. 14th edn. London: Kogan Page. Available at:</w:t>
      </w:r>
      <w:r w:rsidRPr="00130B3C">
        <w:rPr>
          <w:sz w:val="24"/>
          <w:szCs w:val="24"/>
        </w:rPr>
        <w:br/>
      </w:r>
      <w:hyperlink r:id="rId8" w:tgtFrame="_new" w:history="1">
        <w:r w:rsidRPr="00130B3C">
          <w:rPr>
            <w:rStyle w:val="Hyperlink"/>
            <w:sz w:val="24"/>
            <w:szCs w:val="24"/>
          </w:rPr>
          <w:t>https://archive.org/details/armstrongshandbo0000arms_o2y8</w:t>
        </w:r>
      </w:hyperlink>
      <w:r w:rsidRPr="00130B3C">
        <w:rPr>
          <w:sz w:val="24"/>
          <w:szCs w:val="24"/>
        </w:rPr>
        <w:br/>
        <w:t xml:space="preserve">(Accessed: </w:t>
      </w:r>
      <w:r w:rsidRPr="00130B3C">
        <w:rPr>
          <w:b/>
          <w:bCs/>
          <w:sz w:val="24"/>
          <w:szCs w:val="24"/>
        </w:rPr>
        <w:t>7 December 2025</w:t>
      </w:r>
      <w:r w:rsidRPr="00130B3C">
        <w:rPr>
          <w:sz w:val="24"/>
          <w:szCs w:val="24"/>
        </w:rPr>
        <w:t>).</w:t>
      </w:r>
    </w:p>
    <w:p w14:paraId="670FFAFB" w14:textId="77777777" w:rsidR="00130B3C" w:rsidRPr="00130B3C" w:rsidRDefault="00130B3C" w:rsidP="00130B3C">
      <w:pPr>
        <w:spacing w:line="360" w:lineRule="auto"/>
        <w:rPr>
          <w:sz w:val="24"/>
          <w:szCs w:val="24"/>
        </w:rPr>
      </w:pPr>
      <w:r w:rsidRPr="00130B3C">
        <w:rPr>
          <w:sz w:val="24"/>
          <w:szCs w:val="24"/>
        </w:rPr>
        <w:t xml:space="preserve">CIPD (2023a) </w:t>
      </w:r>
      <w:r w:rsidRPr="00130B3C">
        <w:rPr>
          <w:i/>
          <w:iCs/>
          <w:sz w:val="24"/>
          <w:szCs w:val="24"/>
        </w:rPr>
        <w:t>The importance of people management</w:t>
      </w:r>
      <w:r w:rsidRPr="00130B3C">
        <w:rPr>
          <w:sz w:val="24"/>
          <w:szCs w:val="24"/>
        </w:rPr>
        <w:t>. Available at:</w:t>
      </w:r>
      <w:r w:rsidRPr="00130B3C">
        <w:rPr>
          <w:sz w:val="24"/>
          <w:szCs w:val="24"/>
        </w:rPr>
        <w:br/>
      </w:r>
      <w:hyperlink r:id="rId9" w:tgtFrame="_new" w:history="1">
        <w:r w:rsidRPr="00130B3C">
          <w:rPr>
            <w:rStyle w:val="Hyperlink"/>
            <w:sz w:val="24"/>
            <w:szCs w:val="24"/>
          </w:rPr>
          <w:t>https://www.cipd.org/en/knowledge/reports/importance-of-people-management/</w:t>
        </w:r>
      </w:hyperlink>
      <w:r w:rsidRPr="00130B3C">
        <w:rPr>
          <w:sz w:val="24"/>
          <w:szCs w:val="24"/>
        </w:rPr>
        <w:br/>
        <w:t xml:space="preserve">(Accessed: </w:t>
      </w:r>
      <w:r w:rsidRPr="00130B3C">
        <w:rPr>
          <w:b/>
          <w:bCs/>
          <w:sz w:val="24"/>
          <w:szCs w:val="24"/>
        </w:rPr>
        <w:t>9 December 2025</w:t>
      </w:r>
      <w:r w:rsidRPr="00130B3C">
        <w:rPr>
          <w:sz w:val="24"/>
          <w:szCs w:val="24"/>
        </w:rPr>
        <w:t>).</w:t>
      </w:r>
    </w:p>
    <w:p w14:paraId="6B1C6412" w14:textId="77777777" w:rsidR="00130B3C" w:rsidRPr="00130B3C" w:rsidRDefault="00130B3C" w:rsidP="00130B3C">
      <w:pPr>
        <w:spacing w:line="360" w:lineRule="auto"/>
        <w:rPr>
          <w:sz w:val="24"/>
          <w:szCs w:val="24"/>
        </w:rPr>
      </w:pPr>
      <w:r w:rsidRPr="00130B3C">
        <w:rPr>
          <w:sz w:val="24"/>
          <w:szCs w:val="24"/>
        </w:rPr>
        <w:t xml:space="preserve">CIPD (2023b) </w:t>
      </w:r>
      <w:r w:rsidRPr="00130B3C">
        <w:rPr>
          <w:i/>
          <w:iCs/>
          <w:sz w:val="24"/>
          <w:szCs w:val="24"/>
        </w:rPr>
        <w:t>Employee engagement factsheet</w:t>
      </w:r>
      <w:r w:rsidRPr="00130B3C">
        <w:rPr>
          <w:sz w:val="24"/>
          <w:szCs w:val="24"/>
        </w:rPr>
        <w:t>. Available at:</w:t>
      </w:r>
      <w:r w:rsidRPr="00130B3C">
        <w:rPr>
          <w:sz w:val="24"/>
          <w:szCs w:val="24"/>
        </w:rPr>
        <w:br/>
      </w:r>
      <w:hyperlink r:id="rId10" w:tgtFrame="_new" w:history="1">
        <w:r w:rsidRPr="00130B3C">
          <w:rPr>
            <w:rStyle w:val="Hyperlink"/>
            <w:sz w:val="24"/>
            <w:szCs w:val="24"/>
          </w:rPr>
          <w:t>https://www.cipd.org/en/knowledge/factsheets/engagement-factsheet/</w:t>
        </w:r>
      </w:hyperlink>
      <w:r w:rsidRPr="00130B3C">
        <w:rPr>
          <w:sz w:val="24"/>
          <w:szCs w:val="24"/>
        </w:rPr>
        <w:br/>
        <w:t xml:space="preserve">(Accessed: </w:t>
      </w:r>
      <w:r w:rsidRPr="00130B3C">
        <w:rPr>
          <w:b/>
          <w:bCs/>
          <w:sz w:val="24"/>
          <w:szCs w:val="24"/>
        </w:rPr>
        <w:t>9 December 2025</w:t>
      </w:r>
      <w:r w:rsidRPr="00130B3C">
        <w:rPr>
          <w:sz w:val="24"/>
          <w:szCs w:val="24"/>
        </w:rPr>
        <w:t>).</w:t>
      </w:r>
    </w:p>
    <w:p w14:paraId="3B37EE2A" w14:textId="77777777" w:rsidR="00130B3C" w:rsidRPr="00130B3C" w:rsidRDefault="00130B3C" w:rsidP="00130B3C">
      <w:pPr>
        <w:spacing w:line="360" w:lineRule="auto"/>
        <w:rPr>
          <w:sz w:val="24"/>
          <w:szCs w:val="24"/>
        </w:rPr>
      </w:pPr>
      <w:r w:rsidRPr="00130B3C">
        <w:rPr>
          <w:sz w:val="24"/>
          <w:szCs w:val="24"/>
        </w:rPr>
        <w:t xml:space="preserve">CIPD (2023c) </w:t>
      </w:r>
      <w:r w:rsidRPr="00130B3C">
        <w:rPr>
          <w:i/>
          <w:iCs/>
          <w:sz w:val="24"/>
          <w:szCs w:val="24"/>
        </w:rPr>
        <w:t>What works in performance management</w:t>
      </w:r>
      <w:r w:rsidRPr="00130B3C">
        <w:rPr>
          <w:sz w:val="24"/>
          <w:szCs w:val="24"/>
        </w:rPr>
        <w:t>. Available at:</w:t>
      </w:r>
      <w:r w:rsidRPr="00130B3C">
        <w:rPr>
          <w:sz w:val="24"/>
          <w:szCs w:val="24"/>
        </w:rPr>
        <w:br/>
      </w:r>
      <w:hyperlink r:id="rId11" w:tgtFrame="_new" w:history="1">
        <w:r w:rsidRPr="00130B3C">
          <w:rPr>
            <w:rStyle w:val="Hyperlink"/>
            <w:sz w:val="24"/>
            <w:szCs w:val="24"/>
          </w:rPr>
          <w:t>https://www.cipd.org/en/knowledge/evidence-reviews/what-works-in-performance-management/</w:t>
        </w:r>
      </w:hyperlink>
      <w:r w:rsidRPr="00130B3C">
        <w:rPr>
          <w:sz w:val="24"/>
          <w:szCs w:val="24"/>
        </w:rPr>
        <w:br/>
        <w:t xml:space="preserve">(Accessed: </w:t>
      </w:r>
      <w:r w:rsidRPr="00130B3C">
        <w:rPr>
          <w:b/>
          <w:bCs/>
          <w:sz w:val="24"/>
          <w:szCs w:val="24"/>
        </w:rPr>
        <w:t>9 December 2025</w:t>
      </w:r>
      <w:r w:rsidRPr="00130B3C">
        <w:rPr>
          <w:sz w:val="24"/>
          <w:szCs w:val="24"/>
        </w:rPr>
        <w:t>).</w:t>
      </w:r>
    </w:p>
    <w:p w14:paraId="6BB8A330" w14:textId="77777777" w:rsidR="00130B3C" w:rsidRPr="00130B3C" w:rsidRDefault="00130B3C" w:rsidP="00130B3C">
      <w:pPr>
        <w:spacing w:line="360" w:lineRule="auto"/>
        <w:rPr>
          <w:sz w:val="24"/>
          <w:szCs w:val="24"/>
        </w:rPr>
      </w:pPr>
      <w:r w:rsidRPr="00130B3C">
        <w:rPr>
          <w:sz w:val="24"/>
          <w:szCs w:val="24"/>
        </w:rPr>
        <w:t xml:space="preserve">Handy, C. (1993) </w:t>
      </w:r>
      <w:r w:rsidRPr="00130B3C">
        <w:rPr>
          <w:i/>
          <w:iCs/>
          <w:sz w:val="24"/>
          <w:szCs w:val="24"/>
        </w:rPr>
        <w:t>Understanding organisations</w:t>
      </w:r>
      <w:r w:rsidRPr="00130B3C">
        <w:rPr>
          <w:sz w:val="24"/>
          <w:szCs w:val="24"/>
        </w:rPr>
        <w:t>. London: Penguin. Available at:</w:t>
      </w:r>
      <w:r w:rsidRPr="00130B3C">
        <w:rPr>
          <w:sz w:val="24"/>
          <w:szCs w:val="24"/>
        </w:rPr>
        <w:br/>
        <w:t>https://www.toolshero.com/leadership/handys-culture-model/</w:t>
      </w:r>
      <w:r w:rsidRPr="00130B3C">
        <w:rPr>
          <w:sz w:val="24"/>
          <w:szCs w:val="24"/>
        </w:rPr>
        <w:br/>
        <w:t xml:space="preserve">(Accessed: </w:t>
      </w:r>
      <w:r w:rsidRPr="00130B3C">
        <w:rPr>
          <w:b/>
          <w:bCs/>
          <w:sz w:val="24"/>
          <w:szCs w:val="24"/>
        </w:rPr>
        <w:t>7 December 2025</w:t>
      </w:r>
      <w:r w:rsidRPr="00130B3C">
        <w:rPr>
          <w:sz w:val="24"/>
          <w:szCs w:val="24"/>
        </w:rPr>
        <w:t>).</w:t>
      </w:r>
    </w:p>
    <w:p w14:paraId="255951CA" w14:textId="77777777" w:rsidR="00130B3C" w:rsidRPr="00130B3C" w:rsidRDefault="00130B3C" w:rsidP="00130B3C">
      <w:pPr>
        <w:spacing w:line="360" w:lineRule="auto"/>
        <w:rPr>
          <w:sz w:val="24"/>
          <w:szCs w:val="24"/>
        </w:rPr>
      </w:pPr>
      <w:r w:rsidRPr="00130B3C">
        <w:rPr>
          <w:sz w:val="24"/>
          <w:szCs w:val="24"/>
        </w:rPr>
        <w:t xml:space="preserve">Hersey, P. and Blanchard, K. (1969) </w:t>
      </w:r>
      <w:r w:rsidRPr="00130B3C">
        <w:rPr>
          <w:i/>
          <w:iCs/>
          <w:sz w:val="24"/>
          <w:szCs w:val="24"/>
        </w:rPr>
        <w:t>Situational leadership theory</w:t>
      </w:r>
      <w:r w:rsidRPr="00130B3C">
        <w:rPr>
          <w:sz w:val="24"/>
          <w:szCs w:val="24"/>
        </w:rPr>
        <w:t>. Available at:</w:t>
      </w:r>
      <w:r w:rsidRPr="00130B3C">
        <w:rPr>
          <w:sz w:val="24"/>
          <w:szCs w:val="24"/>
        </w:rPr>
        <w:br/>
      </w:r>
      <w:hyperlink r:id="rId12" w:tgtFrame="_new" w:history="1">
        <w:r w:rsidRPr="00130B3C">
          <w:rPr>
            <w:rStyle w:val="Hyperlink"/>
            <w:sz w:val="24"/>
            <w:szCs w:val="24"/>
          </w:rPr>
          <w:t>https://www.toolshero.com/leadership/situational-leadership-hersey-blanchard/</w:t>
        </w:r>
      </w:hyperlink>
      <w:r w:rsidRPr="00130B3C">
        <w:rPr>
          <w:sz w:val="24"/>
          <w:szCs w:val="24"/>
        </w:rPr>
        <w:br/>
        <w:t xml:space="preserve">(Accessed: </w:t>
      </w:r>
      <w:r w:rsidRPr="00130B3C">
        <w:rPr>
          <w:b/>
          <w:bCs/>
          <w:sz w:val="24"/>
          <w:szCs w:val="24"/>
        </w:rPr>
        <w:t>7 December 2025</w:t>
      </w:r>
      <w:r w:rsidRPr="00130B3C">
        <w:rPr>
          <w:sz w:val="24"/>
          <w:szCs w:val="24"/>
        </w:rPr>
        <w:t>).</w:t>
      </w:r>
    </w:p>
    <w:p w14:paraId="6EA374D7" w14:textId="77777777" w:rsidR="00130B3C" w:rsidRPr="00130B3C" w:rsidRDefault="00130B3C" w:rsidP="00130B3C">
      <w:pPr>
        <w:spacing w:line="360" w:lineRule="auto"/>
        <w:rPr>
          <w:sz w:val="24"/>
          <w:szCs w:val="24"/>
        </w:rPr>
      </w:pPr>
      <w:r w:rsidRPr="00130B3C">
        <w:rPr>
          <w:sz w:val="24"/>
          <w:szCs w:val="24"/>
        </w:rPr>
        <w:t xml:space="preserve">Herzberg, F. (1959) </w:t>
      </w:r>
      <w:r w:rsidRPr="00130B3C">
        <w:rPr>
          <w:i/>
          <w:iCs/>
          <w:sz w:val="24"/>
          <w:szCs w:val="24"/>
        </w:rPr>
        <w:t>Motivation–hygiene theory</w:t>
      </w:r>
      <w:r w:rsidRPr="00130B3C">
        <w:rPr>
          <w:sz w:val="24"/>
          <w:szCs w:val="24"/>
        </w:rPr>
        <w:t>. Available at:</w:t>
      </w:r>
      <w:r w:rsidRPr="00130B3C">
        <w:rPr>
          <w:sz w:val="24"/>
          <w:szCs w:val="24"/>
        </w:rPr>
        <w:br/>
      </w:r>
      <w:hyperlink r:id="rId13" w:tgtFrame="_new" w:history="1">
        <w:r w:rsidRPr="00130B3C">
          <w:rPr>
            <w:rStyle w:val="Hyperlink"/>
            <w:sz w:val="24"/>
            <w:szCs w:val="24"/>
          </w:rPr>
          <w:t>https://educationlibrary.org/herzbergs-motivation-hygiene-theory-two-factor/</w:t>
        </w:r>
      </w:hyperlink>
      <w:r w:rsidRPr="00130B3C">
        <w:rPr>
          <w:sz w:val="24"/>
          <w:szCs w:val="24"/>
        </w:rPr>
        <w:br/>
        <w:t xml:space="preserve">(Accessed: </w:t>
      </w:r>
      <w:r w:rsidRPr="00130B3C">
        <w:rPr>
          <w:b/>
          <w:bCs/>
          <w:sz w:val="24"/>
          <w:szCs w:val="24"/>
        </w:rPr>
        <w:t>8 December 2025</w:t>
      </w:r>
      <w:r w:rsidRPr="00130B3C">
        <w:rPr>
          <w:sz w:val="24"/>
          <w:szCs w:val="24"/>
        </w:rPr>
        <w:t>).</w:t>
      </w:r>
    </w:p>
    <w:p w14:paraId="0FC660BB" w14:textId="77777777" w:rsidR="00130B3C" w:rsidRPr="00130B3C" w:rsidRDefault="00130B3C" w:rsidP="00130B3C">
      <w:pPr>
        <w:spacing w:line="360" w:lineRule="auto"/>
        <w:rPr>
          <w:sz w:val="24"/>
          <w:szCs w:val="24"/>
        </w:rPr>
      </w:pPr>
      <w:r w:rsidRPr="00130B3C">
        <w:rPr>
          <w:sz w:val="24"/>
          <w:szCs w:val="24"/>
        </w:rPr>
        <w:t xml:space="preserve">Katz, R. (1955) </w:t>
      </w:r>
      <w:r w:rsidRPr="00130B3C">
        <w:rPr>
          <w:i/>
          <w:iCs/>
          <w:sz w:val="24"/>
          <w:szCs w:val="24"/>
        </w:rPr>
        <w:t>Skills of an effective administrator</w:t>
      </w:r>
      <w:r w:rsidRPr="00130B3C">
        <w:rPr>
          <w:sz w:val="24"/>
          <w:szCs w:val="24"/>
        </w:rPr>
        <w:t>. Available at:</w:t>
      </w:r>
      <w:r w:rsidRPr="00130B3C">
        <w:rPr>
          <w:sz w:val="24"/>
          <w:szCs w:val="24"/>
        </w:rPr>
        <w:br/>
      </w:r>
      <w:hyperlink r:id="rId14" w:tgtFrame="_new" w:history="1">
        <w:r w:rsidRPr="00130B3C">
          <w:rPr>
            <w:rStyle w:val="Hyperlink"/>
            <w:sz w:val="24"/>
            <w:szCs w:val="24"/>
          </w:rPr>
          <w:t>https://www.academia.edu/22519994/Skills_of_an_Effective_Administrator</w:t>
        </w:r>
      </w:hyperlink>
      <w:r w:rsidRPr="00130B3C">
        <w:rPr>
          <w:sz w:val="24"/>
          <w:szCs w:val="24"/>
        </w:rPr>
        <w:br/>
        <w:t xml:space="preserve">(Accessed: </w:t>
      </w:r>
      <w:r w:rsidRPr="00130B3C">
        <w:rPr>
          <w:b/>
          <w:bCs/>
          <w:sz w:val="24"/>
          <w:szCs w:val="24"/>
        </w:rPr>
        <w:t>7 December 2025</w:t>
      </w:r>
      <w:r w:rsidRPr="00130B3C">
        <w:rPr>
          <w:sz w:val="24"/>
          <w:szCs w:val="24"/>
        </w:rPr>
        <w:t>).</w:t>
      </w:r>
    </w:p>
    <w:p w14:paraId="4879ACE4" w14:textId="77777777" w:rsidR="00130B3C" w:rsidRPr="00130B3C" w:rsidRDefault="00130B3C" w:rsidP="00130B3C">
      <w:pPr>
        <w:spacing w:line="360" w:lineRule="auto"/>
        <w:rPr>
          <w:sz w:val="24"/>
          <w:szCs w:val="24"/>
        </w:rPr>
      </w:pPr>
      <w:r w:rsidRPr="00130B3C">
        <w:rPr>
          <w:sz w:val="24"/>
          <w:szCs w:val="24"/>
        </w:rPr>
        <w:lastRenderedPageBreak/>
        <w:t xml:space="preserve">Kolb, D. (1984) </w:t>
      </w:r>
      <w:r w:rsidRPr="00130B3C">
        <w:rPr>
          <w:i/>
          <w:iCs/>
          <w:sz w:val="24"/>
          <w:szCs w:val="24"/>
        </w:rPr>
        <w:t>Experiential learning</w:t>
      </w:r>
      <w:r w:rsidRPr="00130B3C">
        <w:rPr>
          <w:sz w:val="24"/>
          <w:szCs w:val="24"/>
        </w:rPr>
        <w:t>. Available at:</w:t>
      </w:r>
      <w:r w:rsidRPr="00130B3C">
        <w:rPr>
          <w:sz w:val="24"/>
          <w:szCs w:val="24"/>
        </w:rPr>
        <w:br/>
      </w:r>
      <w:hyperlink r:id="rId15" w:tgtFrame="_new" w:history="1">
        <w:r w:rsidRPr="00130B3C">
          <w:rPr>
            <w:rStyle w:val="Hyperlink"/>
            <w:sz w:val="24"/>
            <w:szCs w:val="24"/>
          </w:rPr>
          <w:t>https://www.simplypsychology.org/learning-kolb.html</w:t>
        </w:r>
      </w:hyperlink>
      <w:r w:rsidRPr="00130B3C">
        <w:rPr>
          <w:sz w:val="24"/>
          <w:szCs w:val="24"/>
        </w:rPr>
        <w:br/>
        <w:t xml:space="preserve">(Accessed: </w:t>
      </w:r>
      <w:r w:rsidRPr="00130B3C">
        <w:rPr>
          <w:b/>
          <w:bCs/>
          <w:sz w:val="24"/>
          <w:szCs w:val="24"/>
        </w:rPr>
        <w:t>8 December 2025</w:t>
      </w:r>
      <w:r w:rsidRPr="00130B3C">
        <w:rPr>
          <w:sz w:val="24"/>
          <w:szCs w:val="24"/>
        </w:rPr>
        <w:t>).</w:t>
      </w:r>
    </w:p>
    <w:p w14:paraId="7EEA8130" w14:textId="77777777" w:rsidR="00130B3C" w:rsidRPr="00130B3C" w:rsidRDefault="00130B3C" w:rsidP="00130B3C">
      <w:pPr>
        <w:spacing w:line="360" w:lineRule="auto"/>
        <w:rPr>
          <w:sz w:val="24"/>
          <w:szCs w:val="24"/>
        </w:rPr>
      </w:pPr>
      <w:r w:rsidRPr="00130B3C">
        <w:rPr>
          <w:sz w:val="24"/>
          <w:szCs w:val="24"/>
        </w:rPr>
        <w:t>Maslow, A. (1943) ‘A theory of human motivation’. Available at:</w:t>
      </w:r>
      <w:r w:rsidRPr="00130B3C">
        <w:rPr>
          <w:sz w:val="24"/>
          <w:szCs w:val="24"/>
        </w:rPr>
        <w:br/>
      </w:r>
      <w:hyperlink r:id="rId16" w:tgtFrame="_new" w:history="1">
        <w:r w:rsidRPr="00130B3C">
          <w:rPr>
            <w:rStyle w:val="Hyperlink"/>
            <w:sz w:val="24"/>
            <w:szCs w:val="24"/>
          </w:rPr>
          <w:t>https://www.simplypsychology.org/maslow.html</w:t>
        </w:r>
      </w:hyperlink>
      <w:r w:rsidRPr="00130B3C">
        <w:rPr>
          <w:sz w:val="24"/>
          <w:szCs w:val="24"/>
        </w:rPr>
        <w:br/>
        <w:t xml:space="preserve">(Accessed: </w:t>
      </w:r>
      <w:r w:rsidRPr="00130B3C">
        <w:rPr>
          <w:b/>
          <w:bCs/>
          <w:sz w:val="24"/>
          <w:szCs w:val="24"/>
        </w:rPr>
        <w:t>8 December 2025</w:t>
      </w:r>
      <w:r w:rsidRPr="00130B3C">
        <w:rPr>
          <w:sz w:val="24"/>
          <w:szCs w:val="24"/>
        </w:rPr>
        <w:t>).</w:t>
      </w:r>
    </w:p>
    <w:p w14:paraId="056B10E4" w14:textId="77777777" w:rsidR="00130B3C" w:rsidRPr="00130B3C" w:rsidRDefault="00130B3C" w:rsidP="00130B3C">
      <w:pPr>
        <w:spacing w:line="360" w:lineRule="auto"/>
        <w:rPr>
          <w:sz w:val="24"/>
          <w:szCs w:val="24"/>
        </w:rPr>
      </w:pPr>
      <w:r w:rsidRPr="00130B3C">
        <w:rPr>
          <w:sz w:val="24"/>
          <w:szCs w:val="24"/>
        </w:rPr>
        <w:t xml:space="preserve">People Management (2019) </w:t>
      </w:r>
      <w:r w:rsidRPr="00130B3C">
        <w:rPr>
          <w:i/>
          <w:iCs/>
          <w:sz w:val="24"/>
          <w:szCs w:val="24"/>
        </w:rPr>
        <w:t>The cost of disengaged employees</w:t>
      </w:r>
      <w:r w:rsidRPr="00130B3C">
        <w:rPr>
          <w:sz w:val="24"/>
          <w:szCs w:val="24"/>
        </w:rPr>
        <w:t>. Available at:</w:t>
      </w:r>
      <w:r w:rsidRPr="00130B3C">
        <w:rPr>
          <w:sz w:val="24"/>
          <w:szCs w:val="24"/>
        </w:rPr>
        <w:br/>
      </w:r>
      <w:hyperlink r:id="rId17" w:tgtFrame="_new" w:history="1">
        <w:r w:rsidRPr="00130B3C">
          <w:rPr>
            <w:rStyle w:val="Hyperlink"/>
            <w:sz w:val="24"/>
            <w:szCs w:val="24"/>
          </w:rPr>
          <w:t>https://www.peoplemanagement.co.uk/article/1896861/cost-disengaged-employees-–-companies-turn-around</w:t>
        </w:r>
      </w:hyperlink>
      <w:r w:rsidRPr="00130B3C">
        <w:rPr>
          <w:sz w:val="24"/>
          <w:szCs w:val="24"/>
        </w:rPr>
        <w:br/>
        <w:t xml:space="preserve">(Accessed: </w:t>
      </w:r>
      <w:r w:rsidRPr="00130B3C">
        <w:rPr>
          <w:b/>
          <w:bCs/>
          <w:sz w:val="24"/>
          <w:szCs w:val="24"/>
        </w:rPr>
        <w:t>9 December 2025</w:t>
      </w:r>
      <w:r w:rsidRPr="00130B3C">
        <w:rPr>
          <w:sz w:val="24"/>
          <w:szCs w:val="24"/>
        </w:rPr>
        <w:t>).</w:t>
      </w:r>
    </w:p>
    <w:p w14:paraId="7773B771" w14:textId="77777777" w:rsidR="00130B3C" w:rsidRPr="00130B3C" w:rsidRDefault="00130B3C" w:rsidP="00130B3C">
      <w:pPr>
        <w:spacing w:line="360" w:lineRule="auto"/>
        <w:rPr>
          <w:sz w:val="24"/>
          <w:szCs w:val="24"/>
        </w:rPr>
      </w:pPr>
      <w:r w:rsidRPr="00130B3C">
        <w:rPr>
          <w:sz w:val="24"/>
          <w:szCs w:val="24"/>
        </w:rPr>
        <w:t xml:space="preserve">Vroom, V. (1964) </w:t>
      </w:r>
      <w:r w:rsidRPr="00130B3C">
        <w:rPr>
          <w:i/>
          <w:iCs/>
          <w:sz w:val="24"/>
          <w:szCs w:val="24"/>
        </w:rPr>
        <w:t>Expectancy theory</w:t>
      </w:r>
      <w:r w:rsidRPr="00130B3C">
        <w:rPr>
          <w:sz w:val="24"/>
          <w:szCs w:val="24"/>
        </w:rPr>
        <w:t>. Available at:</w:t>
      </w:r>
      <w:r w:rsidRPr="00130B3C">
        <w:rPr>
          <w:sz w:val="24"/>
          <w:szCs w:val="24"/>
        </w:rPr>
        <w:br/>
      </w:r>
      <w:hyperlink r:id="rId18" w:tgtFrame="_new" w:history="1">
        <w:r w:rsidRPr="00130B3C">
          <w:rPr>
            <w:rStyle w:val="Hyperlink"/>
            <w:sz w:val="24"/>
            <w:szCs w:val="24"/>
          </w:rPr>
          <w:t>https://www.toolshero.com/psychology/vrooms-expectancy-theory/</w:t>
        </w:r>
      </w:hyperlink>
      <w:r w:rsidRPr="00130B3C">
        <w:rPr>
          <w:sz w:val="24"/>
          <w:szCs w:val="24"/>
        </w:rPr>
        <w:br/>
        <w:t xml:space="preserve">(Accessed: </w:t>
      </w:r>
      <w:r w:rsidRPr="00130B3C">
        <w:rPr>
          <w:b/>
          <w:bCs/>
          <w:sz w:val="24"/>
          <w:szCs w:val="24"/>
        </w:rPr>
        <w:t>7 December 2025</w:t>
      </w:r>
      <w:r w:rsidRPr="00130B3C">
        <w:rPr>
          <w:sz w:val="24"/>
          <w:szCs w:val="24"/>
        </w:rPr>
        <w:t>).</w:t>
      </w:r>
    </w:p>
    <w:p w14:paraId="702BF769" w14:textId="77777777" w:rsidR="00130B3C" w:rsidRPr="00130B3C" w:rsidRDefault="00130B3C" w:rsidP="00130B3C">
      <w:pPr>
        <w:spacing w:line="360" w:lineRule="auto"/>
        <w:rPr>
          <w:sz w:val="24"/>
          <w:szCs w:val="24"/>
        </w:rPr>
      </w:pPr>
    </w:p>
    <w:p w14:paraId="12F0A5F4" w14:textId="77777777" w:rsidR="00130B3C" w:rsidRPr="00130B3C" w:rsidRDefault="00130B3C" w:rsidP="00130B3C">
      <w:pPr>
        <w:spacing w:line="360" w:lineRule="auto"/>
        <w:jc w:val="center"/>
        <w:rPr>
          <w:sz w:val="24"/>
          <w:szCs w:val="24"/>
        </w:rPr>
      </w:pPr>
    </w:p>
    <w:p w14:paraId="335FD8E9" w14:textId="77777777" w:rsidR="00130B3C" w:rsidRPr="00130B3C" w:rsidRDefault="00130B3C" w:rsidP="00130B3C">
      <w:pPr>
        <w:spacing w:line="360" w:lineRule="auto"/>
        <w:jc w:val="center"/>
        <w:rPr>
          <w:sz w:val="24"/>
          <w:szCs w:val="24"/>
        </w:rPr>
      </w:pPr>
    </w:p>
    <w:p w14:paraId="1A9FD300" w14:textId="77777777" w:rsidR="00130B3C" w:rsidRPr="0061638B" w:rsidRDefault="00130B3C" w:rsidP="00130B3C">
      <w:pPr>
        <w:spacing w:line="360" w:lineRule="auto"/>
        <w:rPr>
          <w:sz w:val="24"/>
          <w:szCs w:val="24"/>
        </w:rPr>
      </w:pPr>
    </w:p>
    <w:sectPr w:rsidR="00130B3C" w:rsidRPr="006163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9B1185"/>
    <w:multiLevelType w:val="multilevel"/>
    <w:tmpl w:val="B3463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14445AA"/>
    <w:multiLevelType w:val="hybridMultilevel"/>
    <w:tmpl w:val="7B2E3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4031782">
    <w:abstractNumId w:val="1"/>
  </w:num>
  <w:num w:numId="2" w16cid:durableId="301008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BF0"/>
    <w:rsid w:val="00130B3C"/>
    <w:rsid w:val="00252EF3"/>
    <w:rsid w:val="0061638B"/>
    <w:rsid w:val="00BA632E"/>
    <w:rsid w:val="00E72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7A7ACB9"/>
  <w15:chartTrackingRefBased/>
  <w15:docId w15:val="{39CFA4F6-A486-4F10-A08A-42BE3F539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38B"/>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E72B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2B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B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B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2B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2BF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BF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BF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BF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B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B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B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B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B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B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B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B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BF0"/>
    <w:rPr>
      <w:rFonts w:eastAsiaTheme="majorEastAsia" w:cstheme="majorBidi"/>
      <w:color w:val="272727" w:themeColor="text1" w:themeTint="D8"/>
    </w:rPr>
  </w:style>
  <w:style w:type="paragraph" w:styleId="Title">
    <w:name w:val="Title"/>
    <w:basedOn w:val="Normal"/>
    <w:next w:val="Normal"/>
    <w:link w:val="TitleChar"/>
    <w:uiPriority w:val="10"/>
    <w:qFormat/>
    <w:rsid w:val="00E72BF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B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B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B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BF0"/>
    <w:pPr>
      <w:spacing w:before="160"/>
      <w:jc w:val="center"/>
    </w:pPr>
    <w:rPr>
      <w:i/>
      <w:iCs/>
      <w:color w:val="404040" w:themeColor="text1" w:themeTint="BF"/>
    </w:rPr>
  </w:style>
  <w:style w:type="character" w:customStyle="1" w:styleId="QuoteChar">
    <w:name w:val="Quote Char"/>
    <w:basedOn w:val="DefaultParagraphFont"/>
    <w:link w:val="Quote"/>
    <w:uiPriority w:val="29"/>
    <w:rsid w:val="00E72BF0"/>
    <w:rPr>
      <w:i/>
      <w:iCs/>
      <w:color w:val="404040" w:themeColor="text1" w:themeTint="BF"/>
    </w:rPr>
  </w:style>
  <w:style w:type="paragraph" w:styleId="ListParagraph">
    <w:name w:val="List Paragraph"/>
    <w:basedOn w:val="Normal"/>
    <w:uiPriority w:val="34"/>
    <w:qFormat/>
    <w:rsid w:val="00E72BF0"/>
    <w:pPr>
      <w:ind w:left="720"/>
      <w:contextualSpacing/>
    </w:pPr>
  </w:style>
  <w:style w:type="character" w:styleId="IntenseEmphasis">
    <w:name w:val="Intense Emphasis"/>
    <w:basedOn w:val="DefaultParagraphFont"/>
    <w:uiPriority w:val="21"/>
    <w:qFormat/>
    <w:rsid w:val="00E72BF0"/>
    <w:rPr>
      <w:i/>
      <w:iCs/>
      <w:color w:val="0F4761" w:themeColor="accent1" w:themeShade="BF"/>
    </w:rPr>
  </w:style>
  <w:style w:type="paragraph" w:styleId="IntenseQuote">
    <w:name w:val="Intense Quote"/>
    <w:basedOn w:val="Normal"/>
    <w:next w:val="Normal"/>
    <w:link w:val="IntenseQuoteChar"/>
    <w:uiPriority w:val="30"/>
    <w:qFormat/>
    <w:rsid w:val="00E72B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BF0"/>
    <w:rPr>
      <w:i/>
      <w:iCs/>
      <w:color w:val="0F4761" w:themeColor="accent1" w:themeShade="BF"/>
    </w:rPr>
  </w:style>
  <w:style w:type="character" w:styleId="IntenseReference">
    <w:name w:val="Intense Reference"/>
    <w:basedOn w:val="DefaultParagraphFont"/>
    <w:uiPriority w:val="32"/>
    <w:qFormat/>
    <w:rsid w:val="00E72BF0"/>
    <w:rPr>
      <w:b/>
      <w:bCs/>
      <w:smallCaps/>
      <w:color w:val="0F4761" w:themeColor="accent1" w:themeShade="BF"/>
      <w:spacing w:val="5"/>
    </w:rPr>
  </w:style>
  <w:style w:type="character" w:styleId="Hyperlink">
    <w:name w:val="Hyperlink"/>
    <w:basedOn w:val="DefaultParagraphFont"/>
    <w:uiPriority w:val="99"/>
    <w:unhideWhenUsed/>
    <w:rsid w:val="00130B3C"/>
    <w:rPr>
      <w:color w:val="467886" w:themeColor="hyperlink"/>
      <w:u w:val="single"/>
    </w:rPr>
  </w:style>
  <w:style w:type="character" w:styleId="UnresolvedMention">
    <w:name w:val="Unresolved Mention"/>
    <w:basedOn w:val="DefaultParagraphFont"/>
    <w:uiPriority w:val="99"/>
    <w:semiHidden/>
    <w:unhideWhenUsed/>
    <w:rsid w:val="00130B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armstrongshandbo0000arms_o2y8" TargetMode="External"/><Relationship Id="rId13" Type="http://schemas.openxmlformats.org/officeDocument/2006/relationships/hyperlink" Target="https://educationlibrary.org/herzbergs-motivation-hygiene-theory-two-factor/" TargetMode="External"/><Relationship Id="rId18" Type="http://schemas.openxmlformats.org/officeDocument/2006/relationships/hyperlink" Target="https://www.toolshero.com/psychology/vrooms-expectancy-theory/" TargetMode="External"/><Relationship Id="rId3" Type="http://schemas.openxmlformats.org/officeDocument/2006/relationships/settings" Target="settings.xml"/><Relationship Id="rId7" Type="http://schemas.openxmlformats.org/officeDocument/2006/relationships/hyperlink" Target="https://www.acas.org.uk/research-and-commentary/managerial-capability-and-staff-engagement/report" TargetMode="External"/><Relationship Id="rId12" Type="http://schemas.openxmlformats.org/officeDocument/2006/relationships/hyperlink" Target="https://www.toolshero.com/leadership/situational-leadership-hersey-blanchard/" TargetMode="External"/><Relationship Id="rId17" Type="http://schemas.openxmlformats.org/officeDocument/2006/relationships/hyperlink" Target="https://www.peoplemanagement.co.uk/article/1896861/cost-disengaged-employees-%E2%80%93-companies-turn-around" TargetMode="External"/><Relationship Id="rId2" Type="http://schemas.openxmlformats.org/officeDocument/2006/relationships/styles" Target="styles.xml"/><Relationship Id="rId16" Type="http://schemas.openxmlformats.org/officeDocument/2006/relationships/hyperlink" Target="https://www.simplypsychology.org/maslow.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cas.org.uk/managing-in-difficult-times-listening-is-free" TargetMode="External"/><Relationship Id="rId11" Type="http://schemas.openxmlformats.org/officeDocument/2006/relationships/hyperlink" Target="https://www.cipd.org/en/knowledge/evidence-reviews/what-works-in-performance-management/" TargetMode="External"/><Relationship Id="rId5" Type="http://schemas.openxmlformats.org/officeDocument/2006/relationships/image" Target="media/image1.png"/><Relationship Id="rId15" Type="http://schemas.openxmlformats.org/officeDocument/2006/relationships/hyperlink" Target="https://www.simplypsychology.org/learning-kolb.html" TargetMode="External"/><Relationship Id="rId10" Type="http://schemas.openxmlformats.org/officeDocument/2006/relationships/hyperlink" Target="https://www.cipd.org/en/knowledge/factsheets/engagement-factshee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org/en/knowledge/reports/importance-of-people-management/" TargetMode="External"/><Relationship Id="rId14" Type="http://schemas.openxmlformats.org/officeDocument/2006/relationships/hyperlink" Target="https://www.academia.edu/22519994/Skills_of_an_Effective_Administr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11</Pages>
  <Words>3271</Words>
  <Characters>18646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Sebastian-Luca Kiss (2331017)</dc:creator>
  <cp:keywords/>
  <dc:description/>
  <cp:lastModifiedBy>Sebastian-Luca Kiss (2331017)</cp:lastModifiedBy>
  <cp:revision>2</cp:revision>
  <dcterms:created xsi:type="dcterms:W3CDTF">2025-12-12T23:25:00Z</dcterms:created>
  <dcterms:modified xsi:type="dcterms:W3CDTF">2025-12-12T23:49:00Z</dcterms:modified>
</cp:coreProperties>
</file>