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D49088" w14:textId="77777777" w:rsidR="00923FA1" w:rsidRPr="00923FA1" w:rsidRDefault="00923FA1" w:rsidP="00F73518">
      <w:pPr>
        <w:pStyle w:val="Normal1"/>
        <w:spacing w:before="200" w:line="240" w:lineRule="auto"/>
        <w:jc w:val="center"/>
        <w:rPr>
          <w:rFonts w:ascii="Agency FB" w:hAnsi="Agency FB"/>
          <w:b/>
          <w:sz w:val="96"/>
          <w:szCs w:val="96"/>
          <w:lang w:val="en-GB"/>
        </w:rPr>
      </w:pPr>
      <w:r w:rsidRPr="00923FA1">
        <w:rPr>
          <w:rFonts w:ascii="Agency FB" w:hAnsi="Agency FB"/>
          <w:b/>
          <w:sz w:val="96"/>
          <w:szCs w:val="96"/>
          <w:lang w:val="en-GB"/>
        </w:rPr>
        <w:t>CORPORATE FINANCE</w:t>
      </w:r>
    </w:p>
    <w:p w14:paraId="39B95E24" w14:textId="4E3F653A" w:rsidR="00923FA1" w:rsidRPr="00923FA1" w:rsidRDefault="00923FA1" w:rsidP="00F73518">
      <w:pPr>
        <w:pStyle w:val="Normal1"/>
        <w:spacing w:before="200" w:line="240" w:lineRule="auto"/>
        <w:jc w:val="center"/>
        <w:rPr>
          <w:rFonts w:ascii="Agency FB" w:hAnsi="Agency FB"/>
          <w:b/>
          <w:sz w:val="96"/>
          <w:szCs w:val="96"/>
          <w:lang w:val="en-GB"/>
        </w:rPr>
      </w:pPr>
      <w:r w:rsidRPr="00923FA1">
        <w:rPr>
          <w:rFonts w:ascii="Agency FB" w:hAnsi="Agency FB"/>
          <w:b/>
          <w:sz w:val="96"/>
          <w:szCs w:val="96"/>
          <w:lang w:val="en-GB"/>
        </w:rPr>
        <w:t>ASSESSMENT – 1</w:t>
      </w:r>
    </w:p>
    <w:p w14:paraId="073AADCA" w14:textId="5C3838C6" w:rsidR="00923FA1" w:rsidRDefault="00923FA1" w:rsidP="00F73518">
      <w:pPr>
        <w:pStyle w:val="Normal1"/>
        <w:spacing w:before="200" w:line="240" w:lineRule="auto"/>
        <w:rPr>
          <w:b/>
          <w:i/>
          <w:iCs/>
          <w:sz w:val="40"/>
          <w:szCs w:val="40"/>
          <w:u w:val="single"/>
          <w:lang w:val="en-GB"/>
        </w:rPr>
      </w:pPr>
      <w:r w:rsidRPr="00923FA1">
        <w:rPr>
          <w:rFonts w:ascii="Agency FB" w:hAnsi="Agency FB"/>
          <w:b/>
          <w:sz w:val="40"/>
          <w:szCs w:val="40"/>
          <w:lang w:val="en-GB"/>
        </w:rPr>
        <w:t xml:space="preserve">STUDENT NAME: </w:t>
      </w:r>
      <w:r>
        <w:rPr>
          <w:rFonts w:ascii="Agency FB" w:hAnsi="Agency FB"/>
          <w:bCs/>
          <w:sz w:val="40"/>
          <w:szCs w:val="40"/>
          <w:lang w:val="en-GB"/>
        </w:rPr>
        <w:t>Chedipothala Bhargava Sai</w:t>
      </w:r>
      <w:r>
        <w:rPr>
          <w:b/>
          <w:i/>
          <w:iCs/>
          <w:sz w:val="40"/>
          <w:szCs w:val="40"/>
          <w:u w:val="single"/>
          <w:lang w:val="en-GB"/>
        </w:rPr>
        <w:t xml:space="preserve"> </w:t>
      </w:r>
      <w:r w:rsidRPr="00524FAD">
        <w:rPr>
          <w:b/>
          <w:i/>
          <w:iCs/>
          <w:sz w:val="40"/>
          <w:szCs w:val="40"/>
          <w:u w:val="single"/>
          <w:lang w:val="en-GB"/>
        </w:rPr>
        <w:t xml:space="preserve">   </w:t>
      </w:r>
    </w:p>
    <w:p w14:paraId="175D4F6A" w14:textId="73E6E363" w:rsidR="00923FA1" w:rsidRPr="00923FA1" w:rsidRDefault="00923FA1" w:rsidP="00F73518">
      <w:pPr>
        <w:pStyle w:val="Normal1"/>
        <w:spacing w:before="200" w:line="240" w:lineRule="auto"/>
        <w:rPr>
          <w:rFonts w:ascii="Agency FB" w:hAnsi="Agency FB"/>
          <w:bCs/>
          <w:sz w:val="40"/>
          <w:szCs w:val="40"/>
          <w:lang w:val="en-GB"/>
        </w:rPr>
      </w:pPr>
      <w:r w:rsidRPr="00923FA1">
        <w:rPr>
          <w:rFonts w:ascii="Agency FB" w:hAnsi="Agency FB"/>
          <w:b/>
          <w:sz w:val="40"/>
          <w:szCs w:val="40"/>
          <w:lang w:val="en-GB"/>
        </w:rPr>
        <w:t xml:space="preserve">STUDENT ID: </w:t>
      </w:r>
      <w:r w:rsidRPr="00923FA1">
        <w:rPr>
          <w:rFonts w:ascii="Agency FB" w:hAnsi="Agency FB"/>
          <w:bCs/>
          <w:sz w:val="40"/>
          <w:szCs w:val="40"/>
          <w:lang w:val="en-GB"/>
        </w:rPr>
        <w:t>21</w:t>
      </w:r>
      <w:r w:rsidRPr="00923FA1">
        <w:rPr>
          <w:rFonts w:ascii="Agency FB" w:hAnsi="Agency FB"/>
          <w:bCs/>
          <w:sz w:val="40"/>
          <w:szCs w:val="40"/>
          <w:lang w:val="en-GB"/>
        </w:rPr>
        <w:t>16942</w:t>
      </w:r>
    </w:p>
    <w:p w14:paraId="71BC6228" w14:textId="33840418" w:rsidR="00923FA1" w:rsidRPr="00923FA1" w:rsidRDefault="00923FA1" w:rsidP="00F73518">
      <w:pPr>
        <w:pStyle w:val="Normal1"/>
        <w:spacing w:before="200" w:line="240" w:lineRule="auto"/>
        <w:rPr>
          <w:rFonts w:ascii="Agency FB" w:hAnsi="Agency FB"/>
          <w:b/>
          <w:sz w:val="40"/>
          <w:szCs w:val="40"/>
          <w:lang w:val="en-GB"/>
        </w:rPr>
      </w:pPr>
      <w:r w:rsidRPr="00923FA1">
        <w:rPr>
          <w:rFonts w:ascii="Agency FB" w:hAnsi="Agency FB"/>
          <w:b/>
          <w:sz w:val="40"/>
          <w:szCs w:val="40"/>
          <w:lang w:val="en-GB"/>
        </w:rPr>
        <w:t>SUBJECT CODE: LCMB7</w:t>
      </w:r>
    </w:p>
    <w:p w14:paraId="630E91C3" w14:textId="77777777" w:rsidR="00923FA1" w:rsidRPr="00923FA1" w:rsidRDefault="00923FA1" w:rsidP="00F73518">
      <w:pPr>
        <w:pStyle w:val="Normal1"/>
        <w:spacing w:before="200" w:line="240" w:lineRule="auto"/>
        <w:rPr>
          <w:rFonts w:ascii="Agency FB" w:hAnsi="Agency FB"/>
          <w:b/>
          <w:i/>
          <w:iCs/>
          <w:sz w:val="40"/>
          <w:szCs w:val="40"/>
          <w:u w:val="single"/>
          <w:lang w:val="en-GB"/>
        </w:rPr>
      </w:pPr>
      <w:r w:rsidRPr="00923FA1">
        <w:rPr>
          <w:rFonts w:ascii="Agency FB" w:hAnsi="Agency FB"/>
          <w:b/>
          <w:sz w:val="40"/>
          <w:szCs w:val="40"/>
          <w:lang w:val="en-GB"/>
        </w:rPr>
        <w:t>LECTURER NAME: JIA MIAO</w:t>
      </w:r>
    </w:p>
    <w:p w14:paraId="42BD97A9" w14:textId="09D69B91" w:rsidR="006F2C68" w:rsidRDefault="006F2C68" w:rsidP="00F73518">
      <w:pPr>
        <w:spacing w:line="240" w:lineRule="auto"/>
      </w:pPr>
    </w:p>
    <w:p w14:paraId="091AAF71" w14:textId="5FC94A81" w:rsidR="00923FA1" w:rsidRDefault="00923FA1" w:rsidP="00F73518">
      <w:pPr>
        <w:spacing w:line="240" w:lineRule="auto"/>
      </w:pPr>
    </w:p>
    <w:p w14:paraId="483C2981" w14:textId="47111041" w:rsidR="00923FA1" w:rsidRDefault="00923FA1" w:rsidP="00F73518">
      <w:pPr>
        <w:spacing w:line="240" w:lineRule="auto"/>
      </w:pPr>
    </w:p>
    <w:p w14:paraId="74A97802" w14:textId="246DE23C" w:rsidR="00923FA1" w:rsidRDefault="00923FA1" w:rsidP="00F73518">
      <w:pPr>
        <w:spacing w:line="240" w:lineRule="auto"/>
      </w:pPr>
    </w:p>
    <w:p w14:paraId="268CD4DE" w14:textId="03CEFD8D" w:rsidR="00923FA1" w:rsidRDefault="00923FA1" w:rsidP="00F73518">
      <w:pPr>
        <w:spacing w:line="240" w:lineRule="auto"/>
      </w:pPr>
    </w:p>
    <w:p w14:paraId="36E1C6D7" w14:textId="0E95FDED" w:rsidR="00923FA1" w:rsidRDefault="00923FA1" w:rsidP="00F73518">
      <w:pPr>
        <w:spacing w:line="240" w:lineRule="auto"/>
      </w:pPr>
    </w:p>
    <w:p w14:paraId="2B3B1C14" w14:textId="15B100D6" w:rsidR="00923FA1" w:rsidRDefault="00923FA1" w:rsidP="00F73518">
      <w:pPr>
        <w:spacing w:line="240" w:lineRule="auto"/>
      </w:pPr>
    </w:p>
    <w:p w14:paraId="4279D5DA" w14:textId="26E2DB01" w:rsidR="00923FA1" w:rsidRDefault="00923FA1" w:rsidP="00F73518">
      <w:pPr>
        <w:spacing w:line="240" w:lineRule="auto"/>
      </w:pPr>
    </w:p>
    <w:p w14:paraId="67F88276" w14:textId="43B1E58C" w:rsidR="00923FA1" w:rsidRDefault="00923FA1" w:rsidP="00F73518">
      <w:pPr>
        <w:spacing w:line="240" w:lineRule="auto"/>
      </w:pPr>
    </w:p>
    <w:p w14:paraId="1AC00F4B" w14:textId="4749C21B" w:rsidR="00923FA1" w:rsidRDefault="00923FA1" w:rsidP="00F73518">
      <w:pPr>
        <w:spacing w:line="240" w:lineRule="auto"/>
      </w:pPr>
    </w:p>
    <w:p w14:paraId="73A87287" w14:textId="203E9464" w:rsidR="00C11AF3" w:rsidRDefault="00C11AF3" w:rsidP="00F73518">
      <w:pPr>
        <w:spacing w:line="240" w:lineRule="auto"/>
      </w:pPr>
    </w:p>
    <w:p w14:paraId="1BCF70CF" w14:textId="00277CAF" w:rsidR="00C11AF3" w:rsidRDefault="00C11AF3" w:rsidP="00F73518">
      <w:pPr>
        <w:spacing w:line="240" w:lineRule="auto"/>
      </w:pPr>
    </w:p>
    <w:p w14:paraId="05E703FE" w14:textId="0A90E685" w:rsidR="00C11AF3" w:rsidRDefault="00C11AF3" w:rsidP="00F73518">
      <w:pPr>
        <w:spacing w:line="240" w:lineRule="auto"/>
      </w:pPr>
    </w:p>
    <w:p w14:paraId="73E8237D" w14:textId="2BA65BA6" w:rsidR="00C11AF3" w:rsidRDefault="00C11AF3" w:rsidP="00F73518">
      <w:pPr>
        <w:spacing w:line="240" w:lineRule="auto"/>
      </w:pPr>
    </w:p>
    <w:p w14:paraId="2816BA76" w14:textId="0AFBFB77" w:rsidR="00C11AF3" w:rsidRDefault="00C11AF3" w:rsidP="00F73518">
      <w:pPr>
        <w:spacing w:line="240" w:lineRule="auto"/>
      </w:pPr>
    </w:p>
    <w:p w14:paraId="7FEAB95A" w14:textId="6AD5A994" w:rsidR="00C11AF3" w:rsidRDefault="00C11AF3" w:rsidP="00F73518">
      <w:pPr>
        <w:spacing w:line="240" w:lineRule="auto"/>
      </w:pPr>
    </w:p>
    <w:p w14:paraId="21D78495" w14:textId="64061EAB" w:rsidR="00C11AF3" w:rsidRDefault="00C11AF3" w:rsidP="00F73518">
      <w:pPr>
        <w:spacing w:line="240" w:lineRule="auto"/>
      </w:pPr>
    </w:p>
    <w:sdt>
      <w:sdtPr>
        <w:id w:val="1083029803"/>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711443ED" w14:textId="7E51B984" w:rsidR="00C217F2" w:rsidRDefault="00C217F2">
          <w:pPr>
            <w:pStyle w:val="TOCHeading"/>
          </w:pPr>
          <w:r>
            <w:t>Table of Contents</w:t>
          </w:r>
        </w:p>
        <w:p w14:paraId="4B8D27DF" w14:textId="23AC6F3E" w:rsidR="00C217F2" w:rsidRDefault="00C217F2">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13410720" w:history="1">
            <w:r w:rsidRPr="00D706E3">
              <w:rPr>
                <w:rStyle w:val="Hyperlink"/>
                <w:rFonts w:ascii="Agency FB" w:hAnsi="Agency FB"/>
                <w:b/>
                <w:bCs/>
                <w:noProof/>
              </w:rPr>
              <w:t>Section A</w:t>
            </w:r>
            <w:r>
              <w:rPr>
                <w:noProof/>
                <w:webHidden/>
              </w:rPr>
              <w:tab/>
            </w:r>
            <w:r>
              <w:rPr>
                <w:noProof/>
                <w:webHidden/>
              </w:rPr>
              <w:fldChar w:fldCharType="begin"/>
            </w:r>
            <w:r>
              <w:rPr>
                <w:noProof/>
                <w:webHidden/>
              </w:rPr>
              <w:instrText xml:space="preserve"> PAGEREF _Toc113410720 \h </w:instrText>
            </w:r>
            <w:r>
              <w:rPr>
                <w:noProof/>
                <w:webHidden/>
              </w:rPr>
            </w:r>
            <w:r>
              <w:rPr>
                <w:noProof/>
                <w:webHidden/>
              </w:rPr>
              <w:fldChar w:fldCharType="separate"/>
            </w:r>
            <w:r>
              <w:rPr>
                <w:noProof/>
                <w:webHidden/>
              </w:rPr>
              <w:t>3</w:t>
            </w:r>
            <w:r>
              <w:rPr>
                <w:noProof/>
                <w:webHidden/>
              </w:rPr>
              <w:fldChar w:fldCharType="end"/>
            </w:r>
          </w:hyperlink>
        </w:p>
        <w:p w14:paraId="013F6C17" w14:textId="7DE31E6F" w:rsidR="00C217F2" w:rsidRDefault="00C217F2">
          <w:pPr>
            <w:pStyle w:val="TOC1"/>
            <w:tabs>
              <w:tab w:val="right" w:leader="dot" w:pos="9350"/>
            </w:tabs>
            <w:rPr>
              <w:rFonts w:eastAsiaTheme="minorEastAsia"/>
              <w:noProof/>
            </w:rPr>
          </w:pPr>
          <w:hyperlink w:anchor="_Toc113410721" w:history="1">
            <w:r w:rsidRPr="00D706E3">
              <w:rPr>
                <w:rStyle w:val="Hyperlink"/>
                <w:rFonts w:ascii="Agency FB" w:hAnsi="Agency FB"/>
                <w:b/>
                <w:bCs/>
                <w:noProof/>
              </w:rPr>
              <w:t>Introduction</w:t>
            </w:r>
            <w:r>
              <w:rPr>
                <w:noProof/>
                <w:webHidden/>
              </w:rPr>
              <w:tab/>
            </w:r>
            <w:r>
              <w:rPr>
                <w:noProof/>
                <w:webHidden/>
              </w:rPr>
              <w:fldChar w:fldCharType="begin"/>
            </w:r>
            <w:r>
              <w:rPr>
                <w:noProof/>
                <w:webHidden/>
              </w:rPr>
              <w:instrText xml:space="preserve"> PAGEREF _Toc113410721 \h </w:instrText>
            </w:r>
            <w:r>
              <w:rPr>
                <w:noProof/>
                <w:webHidden/>
              </w:rPr>
            </w:r>
            <w:r>
              <w:rPr>
                <w:noProof/>
                <w:webHidden/>
              </w:rPr>
              <w:fldChar w:fldCharType="separate"/>
            </w:r>
            <w:r>
              <w:rPr>
                <w:noProof/>
                <w:webHidden/>
              </w:rPr>
              <w:t>3</w:t>
            </w:r>
            <w:r>
              <w:rPr>
                <w:noProof/>
                <w:webHidden/>
              </w:rPr>
              <w:fldChar w:fldCharType="end"/>
            </w:r>
          </w:hyperlink>
        </w:p>
        <w:p w14:paraId="79225E62" w14:textId="5F797AB3" w:rsidR="00C217F2" w:rsidRDefault="00C217F2">
          <w:pPr>
            <w:pStyle w:val="TOC1"/>
            <w:tabs>
              <w:tab w:val="right" w:leader="dot" w:pos="9350"/>
            </w:tabs>
            <w:rPr>
              <w:rFonts w:eastAsiaTheme="minorEastAsia"/>
              <w:noProof/>
            </w:rPr>
          </w:pPr>
          <w:hyperlink w:anchor="_Toc113410722" w:history="1">
            <w:r w:rsidRPr="00D706E3">
              <w:rPr>
                <w:rStyle w:val="Hyperlink"/>
                <w:rFonts w:ascii="Agency FB" w:hAnsi="Agency FB"/>
                <w:b/>
                <w:bCs/>
                <w:noProof/>
              </w:rPr>
              <w:t>History of Sainsbury's</w:t>
            </w:r>
            <w:r>
              <w:rPr>
                <w:noProof/>
                <w:webHidden/>
              </w:rPr>
              <w:tab/>
            </w:r>
            <w:r>
              <w:rPr>
                <w:noProof/>
                <w:webHidden/>
              </w:rPr>
              <w:fldChar w:fldCharType="begin"/>
            </w:r>
            <w:r>
              <w:rPr>
                <w:noProof/>
                <w:webHidden/>
              </w:rPr>
              <w:instrText xml:space="preserve"> PAGEREF _Toc113410722 \h </w:instrText>
            </w:r>
            <w:r>
              <w:rPr>
                <w:noProof/>
                <w:webHidden/>
              </w:rPr>
            </w:r>
            <w:r>
              <w:rPr>
                <w:noProof/>
                <w:webHidden/>
              </w:rPr>
              <w:fldChar w:fldCharType="separate"/>
            </w:r>
            <w:r>
              <w:rPr>
                <w:noProof/>
                <w:webHidden/>
              </w:rPr>
              <w:t>3</w:t>
            </w:r>
            <w:r>
              <w:rPr>
                <w:noProof/>
                <w:webHidden/>
              </w:rPr>
              <w:fldChar w:fldCharType="end"/>
            </w:r>
          </w:hyperlink>
        </w:p>
        <w:p w14:paraId="368BC000" w14:textId="07B44B90" w:rsidR="00C217F2" w:rsidRDefault="00C217F2">
          <w:pPr>
            <w:pStyle w:val="TOC1"/>
            <w:tabs>
              <w:tab w:val="right" w:leader="dot" w:pos="9350"/>
            </w:tabs>
            <w:rPr>
              <w:rFonts w:eastAsiaTheme="minorEastAsia"/>
              <w:noProof/>
            </w:rPr>
          </w:pPr>
          <w:hyperlink w:anchor="_Toc113410723" w:history="1">
            <w:r w:rsidRPr="00D706E3">
              <w:rPr>
                <w:rStyle w:val="Hyperlink"/>
                <w:rFonts w:ascii="Agency FB" w:hAnsi="Agency FB"/>
                <w:b/>
                <w:bCs/>
                <w:noProof/>
              </w:rPr>
              <w:t>Section B</w:t>
            </w:r>
            <w:r>
              <w:rPr>
                <w:noProof/>
                <w:webHidden/>
              </w:rPr>
              <w:tab/>
            </w:r>
            <w:r>
              <w:rPr>
                <w:noProof/>
                <w:webHidden/>
              </w:rPr>
              <w:fldChar w:fldCharType="begin"/>
            </w:r>
            <w:r>
              <w:rPr>
                <w:noProof/>
                <w:webHidden/>
              </w:rPr>
              <w:instrText xml:space="preserve"> PAGEREF _Toc113410723 \h </w:instrText>
            </w:r>
            <w:r>
              <w:rPr>
                <w:noProof/>
                <w:webHidden/>
              </w:rPr>
            </w:r>
            <w:r>
              <w:rPr>
                <w:noProof/>
                <w:webHidden/>
              </w:rPr>
              <w:fldChar w:fldCharType="separate"/>
            </w:r>
            <w:r>
              <w:rPr>
                <w:noProof/>
                <w:webHidden/>
              </w:rPr>
              <w:t>4</w:t>
            </w:r>
            <w:r>
              <w:rPr>
                <w:noProof/>
                <w:webHidden/>
              </w:rPr>
              <w:fldChar w:fldCharType="end"/>
            </w:r>
          </w:hyperlink>
        </w:p>
        <w:p w14:paraId="2A51A2AF" w14:textId="6A1176FB" w:rsidR="00C217F2" w:rsidRDefault="00C217F2">
          <w:pPr>
            <w:pStyle w:val="TOC1"/>
            <w:tabs>
              <w:tab w:val="right" w:leader="dot" w:pos="9350"/>
            </w:tabs>
            <w:rPr>
              <w:rFonts w:eastAsiaTheme="minorEastAsia"/>
              <w:noProof/>
            </w:rPr>
          </w:pPr>
          <w:hyperlink w:anchor="_Toc113410724" w:history="1">
            <w:r w:rsidRPr="00D706E3">
              <w:rPr>
                <w:rStyle w:val="Hyperlink"/>
                <w:rFonts w:ascii="Agency FB" w:hAnsi="Agency FB"/>
                <w:b/>
                <w:bCs/>
                <w:noProof/>
              </w:rPr>
              <w:t>Ratio evaluation or analysis</w:t>
            </w:r>
            <w:r>
              <w:rPr>
                <w:noProof/>
                <w:webHidden/>
              </w:rPr>
              <w:tab/>
            </w:r>
            <w:r>
              <w:rPr>
                <w:noProof/>
                <w:webHidden/>
              </w:rPr>
              <w:fldChar w:fldCharType="begin"/>
            </w:r>
            <w:r>
              <w:rPr>
                <w:noProof/>
                <w:webHidden/>
              </w:rPr>
              <w:instrText xml:space="preserve"> PAGEREF _Toc113410724 \h </w:instrText>
            </w:r>
            <w:r>
              <w:rPr>
                <w:noProof/>
                <w:webHidden/>
              </w:rPr>
            </w:r>
            <w:r>
              <w:rPr>
                <w:noProof/>
                <w:webHidden/>
              </w:rPr>
              <w:fldChar w:fldCharType="separate"/>
            </w:r>
            <w:r>
              <w:rPr>
                <w:noProof/>
                <w:webHidden/>
              </w:rPr>
              <w:t>4</w:t>
            </w:r>
            <w:r>
              <w:rPr>
                <w:noProof/>
                <w:webHidden/>
              </w:rPr>
              <w:fldChar w:fldCharType="end"/>
            </w:r>
          </w:hyperlink>
        </w:p>
        <w:p w14:paraId="18DACF85" w14:textId="2044D0CF" w:rsidR="00C217F2" w:rsidRDefault="00C217F2">
          <w:pPr>
            <w:pStyle w:val="TOC2"/>
            <w:tabs>
              <w:tab w:val="right" w:leader="dot" w:pos="9350"/>
            </w:tabs>
            <w:rPr>
              <w:rFonts w:eastAsiaTheme="minorEastAsia"/>
              <w:noProof/>
            </w:rPr>
          </w:pPr>
          <w:hyperlink w:anchor="_Toc113410725" w:history="1">
            <w:r w:rsidRPr="00D706E3">
              <w:rPr>
                <w:rStyle w:val="Hyperlink"/>
                <w:rFonts w:ascii="Agency FB" w:hAnsi="Agency FB"/>
                <w:b/>
                <w:bCs/>
                <w:noProof/>
              </w:rPr>
              <w:t>Liquidity ratios</w:t>
            </w:r>
            <w:r>
              <w:rPr>
                <w:noProof/>
                <w:webHidden/>
              </w:rPr>
              <w:tab/>
            </w:r>
            <w:r>
              <w:rPr>
                <w:noProof/>
                <w:webHidden/>
              </w:rPr>
              <w:fldChar w:fldCharType="begin"/>
            </w:r>
            <w:r>
              <w:rPr>
                <w:noProof/>
                <w:webHidden/>
              </w:rPr>
              <w:instrText xml:space="preserve"> PAGEREF _Toc113410725 \h </w:instrText>
            </w:r>
            <w:r>
              <w:rPr>
                <w:noProof/>
                <w:webHidden/>
              </w:rPr>
            </w:r>
            <w:r>
              <w:rPr>
                <w:noProof/>
                <w:webHidden/>
              </w:rPr>
              <w:fldChar w:fldCharType="separate"/>
            </w:r>
            <w:r>
              <w:rPr>
                <w:noProof/>
                <w:webHidden/>
              </w:rPr>
              <w:t>4</w:t>
            </w:r>
            <w:r>
              <w:rPr>
                <w:noProof/>
                <w:webHidden/>
              </w:rPr>
              <w:fldChar w:fldCharType="end"/>
            </w:r>
          </w:hyperlink>
        </w:p>
        <w:p w14:paraId="1D57E0C8" w14:textId="20864866" w:rsidR="00C217F2" w:rsidRDefault="00C217F2">
          <w:pPr>
            <w:pStyle w:val="TOC2"/>
            <w:tabs>
              <w:tab w:val="right" w:leader="dot" w:pos="9350"/>
            </w:tabs>
            <w:rPr>
              <w:rFonts w:eastAsiaTheme="minorEastAsia"/>
              <w:noProof/>
            </w:rPr>
          </w:pPr>
          <w:hyperlink w:anchor="_Toc113410726" w:history="1">
            <w:r w:rsidRPr="00D706E3">
              <w:rPr>
                <w:rStyle w:val="Hyperlink"/>
                <w:rFonts w:ascii="Agency FB" w:hAnsi="Agency FB"/>
                <w:b/>
                <w:bCs/>
                <w:noProof/>
              </w:rPr>
              <w:t>Gearing ratio</w:t>
            </w:r>
            <w:r>
              <w:rPr>
                <w:noProof/>
                <w:webHidden/>
              </w:rPr>
              <w:tab/>
            </w:r>
            <w:r>
              <w:rPr>
                <w:noProof/>
                <w:webHidden/>
              </w:rPr>
              <w:fldChar w:fldCharType="begin"/>
            </w:r>
            <w:r>
              <w:rPr>
                <w:noProof/>
                <w:webHidden/>
              </w:rPr>
              <w:instrText xml:space="preserve"> PAGEREF _Toc113410726 \h </w:instrText>
            </w:r>
            <w:r>
              <w:rPr>
                <w:noProof/>
                <w:webHidden/>
              </w:rPr>
            </w:r>
            <w:r>
              <w:rPr>
                <w:noProof/>
                <w:webHidden/>
              </w:rPr>
              <w:fldChar w:fldCharType="separate"/>
            </w:r>
            <w:r>
              <w:rPr>
                <w:noProof/>
                <w:webHidden/>
              </w:rPr>
              <w:t>5</w:t>
            </w:r>
            <w:r>
              <w:rPr>
                <w:noProof/>
                <w:webHidden/>
              </w:rPr>
              <w:fldChar w:fldCharType="end"/>
            </w:r>
          </w:hyperlink>
        </w:p>
        <w:p w14:paraId="4F572CBA" w14:textId="0BE22941" w:rsidR="00C217F2" w:rsidRDefault="00C217F2">
          <w:pPr>
            <w:pStyle w:val="TOC1"/>
            <w:tabs>
              <w:tab w:val="right" w:leader="dot" w:pos="9350"/>
            </w:tabs>
            <w:rPr>
              <w:rFonts w:eastAsiaTheme="minorEastAsia"/>
              <w:noProof/>
            </w:rPr>
          </w:pPr>
          <w:hyperlink w:anchor="_Toc113410727" w:history="1">
            <w:r w:rsidRPr="00D706E3">
              <w:rPr>
                <w:rStyle w:val="Hyperlink"/>
                <w:rFonts w:ascii="Agency FB" w:hAnsi="Agency FB"/>
                <w:b/>
                <w:bCs/>
                <w:noProof/>
              </w:rPr>
              <w:t>Capital structure</w:t>
            </w:r>
            <w:r>
              <w:rPr>
                <w:noProof/>
                <w:webHidden/>
              </w:rPr>
              <w:tab/>
            </w:r>
            <w:r>
              <w:rPr>
                <w:noProof/>
                <w:webHidden/>
              </w:rPr>
              <w:fldChar w:fldCharType="begin"/>
            </w:r>
            <w:r>
              <w:rPr>
                <w:noProof/>
                <w:webHidden/>
              </w:rPr>
              <w:instrText xml:space="preserve"> PAGEREF _Toc113410727 \h </w:instrText>
            </w:r>
            <w:r>
              <w:rPr>
                <w:noProof/>
                <w:webHidden/>
              </w:rPr>
            </w:r>
            <w:r>
              <w:rPr>
                <w:noProof/>
                <w:webHidden/>
              </w:rPr>
              <w:fldChar w:fldCharType="separate"/>
            </w:r>
            <w:r>
              <w:rPr>
                <w:noProof/>
                <w:webHidden/>
              </w:rPr>
              <w:t>6</w:t>
            </w:r>
            <w:r>
              <w:rPr>
                <w:noProof/>
                <w:webHidden/>
              </w:rPr>
              <w:fldChar w:fldCharType="end"/>
            </w:r>
          </w:hyperlink>
        </w:p>
        <w:p w14:paraId="5E5BADC4" w14:textId="20B4D068" w:rsidR="00C217F2" w:rsidRDefault="00C217F2">
          <w:pPr>
            <w:pStyle w:val="TOC2"/>
            <w:tabs>
              <w:tab w:val="right" w:leader="dot" w:pos="9350"/>
            </w:tabs>
            <w:rPr>
              <w:rFonts w:eastAsiaTheme="minorEastAsia"/>
              <w:noProof/>
            </w:rPr>
          </w:pPr>
          <w:hyperlink w:anchor="_Toc113410728" w:history="1">
            <w:r w:rsidRPr="00D706E3">
              <w:rPr>
                <w:rStyle w:val="Hyperlink"/>
                <w:rFonts w:ascii="Agency FB" w:hAnsi="Agency FB"/>
                <w:b/>
                <w:bCs/>
                <w:noProof/>
              </w:rPr>
              <w:t>CAPITAL STRUCTURE THEORIES:</w:t>
            </w:r>
            <w:r>
              <w:rPr>
                <w:noProof/>
                <w:webHidden/>
              </w:rPr>
              <w:tab/>
            </w:r>
            <w:r>
              <w:rPr>
                <w:noProof/>
                <w:webHidden/>
              </w:rPr>
              <w:fldChar w:fldCharType="begin"/>
            </w:r>
            <w:r>
              <w:rPr>
                <w:noProof/>
                <w:webHidden/>
              </w:rPr>
              <w:instrText xml:space="preserve"> PAGEREF _Toc113410728 \h </w:instrText>
            </w:r>
            <w:r>
              <w:rPr>
                <w:noProof/>
                <w:webHidden/>
              </w:rPr>
            </w:r>
            <w:r>
              <w:rPr>
                <w:noProof/>
                <w:webHidden/>
              </w:rPr>
              <w:fldChar w:fldCharType="separate"/>
            </w:r>
            <w:r>
              <w:rPr>
                <w:noProof/>
                <w:webHidden/>
              </w:rPr>
              <w:t>7</w:t>
            </w:r>
            <w:r>
              <w:rPr>
                <w:noProof/>
                <w:webHidden/>
              </w:rPr>
              <w:fldChar w:fldCharType="end"/>
            </w:r>
          </w:hyperlink>
        </w:p>
        <w:p w14:paraId="7E261C01" w14:textId="61891C68" w:rsidR="00C217F2" w:rsidRDefault="00C217F2">
          <w:pPr>
            <w:pStyle w:val="TOC2"/>
            <w:tabs>
              <w:tab w:val="right" w:leader="dot" w:pos="9350"/>
            </w:tabs>
            <w:rPr>
              <w:rFonts w:eastAsiaTheme="minorEastAsia"/>
              <w:noProof/>
            </w:rPr>
          </w:pPr>
          <w:hyperlink w:anchor="_Toc113410729" w:history="1">
            <w:r w:rsidRPr="00D706E3">
              <w:rPr>
                <w:rStyle w:val="Hyperlink"/>
                <w:rFonts w:ascii="Agency FB" w:hAnsi="Agency FB"/>
                <w:b/>
                <w:bCs/>
                <w:noProof/>
              </w:rPr>
              <w:t>Analysis of capital structure</w:t>
            </w:r>
            <w:r>
              <w:rPr>
                <w:noProof/>
                <w:webHidden/>
              </w:rPr>
              <w:tab/>
            </w:r>
            <w:r>
              <w:rPr>
                <w:noProof/>
                <w:webHidden/>
              </w:rPr>
              <w:fldChar w:fldCharType="begin"/>
            </w:r>
            <w:r>
              <w:rPr>
                <w:noProof/>
                <w:webHidden/>
              </w:rPr>
              <w:instrText xml:space="preserve"> PAGEREF _Toc113410729 \h </w:instrText>
            </w:r>
            <w:r>
              <w:rPr>
                <w:noProof/>
                <w:webHidden/>
              </w:rPr>
            </w:r>
            <w:r>
              <w:rPr>
                <w:noProof/>
                <w:webHidden/>
              </w:rPr>
              <w:fldChar w:fldCharType="separate"/>
            </w:r>
            <w:r>
              <w:rPr>
                <w:noProof/>
                <w:webHidden/>
              </w:rPr>
              <w:t>10</w:t>
            </w:r>
            <w:r>
              <w:rPr>
                <w:noProof/>
                <w:webHidden/>
              </w:rPr>
              <w:fldChar w:fldCharType="end"/>
            </w:r>
          </w:hyperlink>
        </w:p>
        <w:p w14:paraId="170D5078" w14:textId="4F23F804" w:rsidR="00C217F2" w:rsidRDefault="00C217F2">
          <w:pPr>
            <w:pStyle w:val="TOC2"/>
            <w:tabs>
              <w:tab w:val="right" w:leader="dot" w:pos="9350"/>
            </w:tabs>
            <w:rPr>
              <w:rFonts w:eastAsiaTheme="minorEastAsia"/>
              <w:noProof/>
            </w:rPr>
          </w:pPr>
          <w:hyperlink w:anchor="_Toc113410730" w:history="1">
            <w:r w:rsidRPr="00D706E3">
              <w:rPr>
                <w:rStyle w:val="Hyperlink"/>
                <w:rFonts w:ascii="Agency FB" w:hAnsi="Agency FB"/>
                <w:b/>
                <w:bCs/>
                <w:noProof/>
              </w:rPr>
              <w:t>Capital structure theoretical Reflections</w:t>
            </w:r>
            <w:r>
              <w:rPr>
                <w:noProof/>
                <w:webHidden/>
              </w:rPr>
              <w:tab/>
            </w:r>
            <w:r>
              <w:rPr>
                <w:noProof/>
                <w:webHidden/>
              </w:rPr>
              <w:fldChar w:fldCharType="begin"/>
            </w:r>
            <w:r>
              <w:rPr>
                <w:noProof/>
                <w:webHidden/>
              </w:rPr>
              <w:instrText xml:space="preserve"> PAGEREF _Toc113410730 \h </w:instrText>
            </w:r>
            <w:r>
              <w:rPr>
                <w:noProof/>
                <w:webHidden/>
              </w:rPr>
            </w:r>
            <w:r>
              <w:rPr>
                <w:noProof/>
                <w:webHidden/>
              </w:rPr>
              <w:fldChar w:fldCharType="separate"/>
            </w:r>
            <w:r>
              <w:rPr>
                <w:noProof/>
                <w:webHidden/>
              </w:rPr>
              <w:t>11</w:t>
            </w:r>
            <w:r>
              <w:rPr>
                <w:noProof/>
                <w:webHidden/>
              </w:rPr>
              <w:fldChar w:fldCharType="end"/>
            </w:r>
          </w:hyperlink>
        </w:p>
        <w:p w14:paraId="74D4DA0A" w14:textId="3B1ACF37" w:rsidR="00C217F2" w:rsidRDefault="00C217F2">
          <w:pPr>
            <w:pStyle w:val="TOC2"/>
            <w:tabs>
              <w:tab w:val="right" w:leader="dot" w:pos="9350"/>
            </w:tabs>
            <w:rPr>
              <w:rFonts w:eastAsiaTheme="minorEastAsia"/>
              <w:noProof/>
            </w:rPr>
          </w:pPr>
          <w:hyperlink w:anchor="_Toc113410731" w:history="1">
            <w:r w:rsidRPr="00D706E3">
              <w:rPr>
                <w:rStyle w:val="Hyperlink"/>
                <w:rFonts w:ascii="Agency FB" w:hAnsi="Agency FB"/>
                <w:b/>
                <w:bCs/>
                <w:noProof/>
              </w:rPr>
              <w:t>Modigliani and Miller (1958)</w:t>
            </w:r>
            <w:r>
              <w:rPr>
                <w:noProof/>
                <w:webHidden/>
              </w:rPr>
              <w:tab/>
            </w:r>
            <w:r>
              <w:rPr>
                <w:noProof/>
                <w:webHidden/>
              </w:rPr>
              <w:fldChar w:fldCharType="begin"/>
            </w:r>
            <w:r>
              <w:rPr>
                <w:noProof/>
                <w:webHidden/>
              </w:rPr>
              <w:instrText xml:space="preserve"> PAGEREF _Toc113410731 \h </w:instrText>
            </w:r>
            <w:r>
              <w:rPr>
                <w:noProof/>
                <w:webHidden/>
              </w:rPr>
            </w:r>
            <w:r>
              <w:rPr>
                <w:noProof/>
                <w:webHidden/>
              </w:rPr>
              <w:fldChar w:fldCharType="separate"/>
            </w:r>
            <w:r>
              <w:rPr>
                <w:noProof/>
                <w:webHidden/>
              </w:rPr>
              <w:t>11</w:t>
            </w:r>
            <w:r>
              <w:rPr>
                <w:noProof/>
                <w:webHidden/>
              </w:rPr>
              <w:fldChar w:fldCharType="end"/>
            </w:r>
          </w:hyperlink>
        </w:p>
        <w:p w14:paraId="24BDB8A8" w14:textId="163CFE51" w:rsidR="00C217F2" w:rsidRDefault="00C217F2">
          <w:pPr>
            <w:pStyle w:val="TOC2"/>
            <w:tabs>
              <w:tab w:val="right" w:leader="dot" w:pos="9350"/>
            </w:tabs>
            <w:rPr>
              <w:rFonts w:eastAsiaTheme="minorEastAsia"/>
              <w:noProof/>
            </w:rPr>
          </w:pPr>
          <w:hyperlink w:anchor="_Toc113410732" w:history="1">
            <w:r w:rsidRPr="00D706E3">
              <w:rPr>
                <w:rStyle w:val="Hyperlink"/>
                <w:rFonts w:ascii="Agency FB" w:hAnsi="Agency FB"/>
                <w:b/>
                <w:bCs/>
                <w:noProof/>
              </w:rPr>
              <w:t>calculating the average yearly share returns for the previous five years</w:t>
            </w:r>
            <w:r>
              <w:rPr>
                <w:noProof/>
                <w:webHidden/>
              </w:rPr>
              <w:tab/>
            </w:r>
            <w:r>
              <w:rPr>
                <w:noProof/>
                <w:webHidden/>
              </w:rPr>
              <w:fldChar w:fldCharType="begin"/>
            </w:r>
            <w:r>
              <w:rPr>
                <w:noProof/>
                <w:webHidden/>
              </w:rPr>
              <w:instrText xml:space="preserve"> PAGEREF _Toc113410732 \h </w:instrText>
            </w:r>
            <w:r>
              <w:rPr>
                <w:noProof/>
                <w:webHidden/>
              </w:rPr>
            </w:r>
            <w:r>
              <w:rPr>
                <w:noProof/>
                <w:webHidden/>
              </w:rPr>
              <w:fldChar w:fldCharType="separate"/>
            </w:r>
            <w:r>
              <w:rPr>
                <w:noProof/>
                <w:webHidden/>
              </w:rPr>
              <w:t>12</w:t>
            </w:r>
            <w:r>
              <w:rPr>
                <w:noProof/>
                <w:webHidden/>
              </w:rPr>
              <w:fldChar w:fldCharType="end"/>
            </w:r>
          </w:hyperlink>
        </w:p>
        <w:p w14:paraId="1D61C4CC" w14:textId="5D77A3EF" w:rsidR="00C217F2" w:rsidRDefault="00C217F2">
          <w:pPr>
            <w:pStyle w:val="TOC1"/>
            <w:tabs>
              <w:tab w:val="right" w:leader="dot" w:pos="9350"/>
            </w:tabs>
            <w:rPr>
              <w:rFonts w:eastAsiaTheme="minorEastAsia"/>
              <w:noProof/>
            </w:rPr>
          </w:pPr>
          <w:hyperlink w:anchor="_Toc113410733" w:history="1">
            <w:r w:rsidRPr="00D706E3">
              <w:rPr>
                <w:rStyle w:val="Hyperlink"/>
                <w:rFonts w:ascii="Agency FB" w:hAnsi="Agency FB"/>
                <w:b/>
                <w:bCs/>
                <w:noProof/>
              </w:rPr>
              <w:t>Section C</w:t>
            </w:r>
            <w:r>
              <w:rPr>
                <w:noProof/>
                <w:webHidden/>
              </w:rPr>
              <w:tab/>
            </w:r>
            <w:r>
              <w:rPr>
                <w:noProof/>
                <w:webHidden/>
              </w:rPr>
              <w:fldChar w:fldCharType="begin"/>
            </w:r>
            <w:r>
              <w:rPr>
                <w:noProof/>
                <w:webHidden/>
              </w:rPr>
              <w:instrText xml:space="preserve"> PAGEREF _Toc113410733 \h </w:instrText>
            </w:r>
            <w:r>
              <w:rPr>
                <w:noProof/>
                <w:webHidden/>
              </w:rPr>
            </w:r>
            <w:r>
              <w:rPr>
                <w:noProof/>
                <w:webHidden/>
              </w:rPr>
              <w:fldChar w:fldCharType="separate"/>
            </w:r>
            <w:r>
              <w:rPr>
                <w:noProof/>
                <w:webHidden/>
              </w:rPr>
              <w:t>13</w:t>
            </w:r>
            <w:r>
              <w:rPr>
                <w:noProof/>
                <w:webHidden/>
              </w:rPr>
              <w:fldChar w:fldCharType="end"/>
            </w:r>
          </w:hyperlink>
        </w:p>
        <w:p w14:paraId="4AC78FB0" w14:textId="48073EFE" w:rsidR="00C217F2" w:rsidRDefault="00C217F2">
          <w:pPr>
            <w:pStyle w:val="TOC1"/>
            <w:tabs>
              <w:tab w:val="right" w:leader="dot" w:pos="9350"/>
            </w:tabs>
            <w:rPr>
              <w:rFonts w:eastAsiaTheme="minorEastAsia"/>
              <w:noProof/>
            </w:rPr>
          </w:pPr>
          <w:hyperlink w:anchor="_Toc113410734" w:history="1">
            <w:r w:rsidRPr="00D706E3">
              <w:rPr>
                <w:rStyle w:val="Hyperlink"/>
                <w:rFonts w:ascii="Agency FB" w:hAnsi="Agency FB"/>
                <w:b/>
                <w:bCs/>
                <w:noProof/>
              </w:rPr>
              <w:t>The Dividend Decision</w:t>
            </w:r>
            <w:r>
              <w:rPr>
                <w:noProof/>
                <w:webHidden/>
              </w:rPr>
              <w:tab/>
            </w:r>
            <w:r>
              <w:rPr>
                <w:noProof/>
                <w:webHidden/>
              </w:rPr>
              <w:fldChar w:fldCharType="begin"/>
            </w:r>
            <w:r>
              <w:rPr>
                <w:noProof/>
                <w:webHidden/>
              </w:rPr>
              <w:instrText xml:space="preserve"> PAGEREF _Toc113410734 \h </w:instrText>
            </w:r>
            <w:r>
              <w:rPr>
                <w:noProof/>
                <w:webHidden/>
              </w:rPr>
            </w:r>
            <w:r>
              <w:rPr>
                <w:noProof/>
                <w:webHidden/>
              </w:rPr>
              <w:fldChar w:fldCharType="separate"/>
            </w:r>
            <w:r>
              <w:rPr>
                <w:noProof/>
                <w:webHidden/>
              </w:rPr>
              <w:t>13</w:t>
            </w:r>
            <w:r>
              <w:rPr>
                <w:noProof/>
                <w:webHidden/>
              </w:rPr>
              <w:fldChar w:fldCharType="end"/>
            </w:r>
          </w:hyperlink>
        </w:p>
        <w:p w14:paraId="64E03B03" w14:textId="37DCA285" w:rsidR="00C217F2" w:rsidRDefault="00C217F2">
          <w:pPr>
            <w:pStyle w:val="TOC1"/>
            <w:tabs>
              <w:tab w:val="right" w:leader="dot" w:pos="9350"/>
            </w:tabs>
            <w:rPr>
              <w:rFonts w:eastAsiaTheme="minorEastAsia"/>
              <w:noProof/>
            </w:rPr>
          </w:pPr>
          <w:hyperlink w:anchor="_Toc113410735" w:history="1">
            <w:r w:rsidRPr="00D706E3">
              <w:rPr>
                <w:rStyle w:val="Hyperlink"/>
                <w:rFonts w:ascii="Agency FB" w:hAnsi="Agency FB"/>
                <w:b/>
                <w:bCs/>
                <w:noProof/>
              </w:rPr>
              <w:t>Factors that influence dividend decisions</w:t>
            </w:r>
            <w:r>
              <w:rPr>
                <w:noProof/>
                <w:webHidden/>
              </w:rPr>
              <w:tab/>
            </w:r>
            <w:r>
              <w:rPr>
                <w:noProof/>
                <w:webHidden/>
              </w:rPr>
              <w:fldChar w:fldCharType="begin"/>
            </w:r>
            <w:r>
              <w:rPr>
                <w:noProof/>
                <w:webHidden/>
              </w:rPr>
              <w:instrText xml:space="preserve"> PAGEREF _Toc113410735 \h </w:instrText>
            </w:r>
            <w:r>
              <w:rPr>
                <w:noProof/>
                <w:webHidden/>
              </w:rPr>
            </w:r>
            <w:r>
              <w:rPr>
                <w:noProof/>
                <w:webHidden/>
              </w:rPr>
              <w:fldChar w:fldCharType="separate"/>
            </w:r>
            <w:r>
              <w:rPr>
                <w:noProof/>
                <w:webHidden/>
              </w:rPr>
              <w:t>15</w:t>
            </w:r>
            <w:r>
              <w:rPr>
                <w:noProof/>
                <w:webHidden/>
              </w:rPr>
              <w:fldChar w:fldCharType="end"/>
            </w:r>
          </w:hyperlink>
        </w:p>
        <w:p w14:paraId="0944C766" w14:textId="5AC35C32" w:rsidR="00C217F2" w:rsidRDefault="00C217F2">
          <w:pPr>
            <w:pStyle w:val="TOC2"/>
            <w:tabs>
              <w:tab w:val="right" w:leader="dot" w:pos="9350"/>
            </w:tabs>
            <w:rPr>
              <w:rFonts w:eastAsiaTheme="minorEastAsia"/>
              <w:noProof/>
            </w:rPr>
          </w:pPr>
          <w:hyperlink w:anchor="_Toc113410736" w:history="1">
            <w:r w:rsidRPr="00D706E3">
              <w:rPr>
                <w:rStyle w:val="Hyperlink"/>
                <w:rFonts w:ascii="Agency FB" w:hAnsi="Agency FB"/>
                <w:b/>
                <w:bCs/>
                <w:noProof/>
              </w:rPr>
              <w:t>The Steps For Finding Dividend Shares</w:t>
            </w:r>
            <w:r>
              <w:rPr>
                <w:noProof/>
                <w:webHidden/>
              </w:rPr>
              <w:tab/>
            </w:r>
            <w:r>
              <w:rPr>
                <w:noProof/>
                <w:webHidden/>
              </w:rPr>
              <w:fldChar w:fldCharType="begin"/>
            </w:r>
            <w:r>
              <w:rPr>
                <w:noProof/>
                <w:webHidden/>
              </w:rPr>
              <w:instrText xml:space="preserve"> PAGEREF _Toc113410736 \h </w:instrText>
            </w:r>
            <w:r>
              <w:rPr>
                <w:noProof/>
                <w:webHidden/>
              </w:rPr>
            </w:r>
            <w:r>
              <w:rPr>
                <w:noProof/>
                <w:webHidden/>
              </w:rPr>
              <w:fldChar w:fldCharType="separate"/>
            </w:r>
            <w:r>
              <w:rPr>
                <w:noProof/>
                <w:webHidden/>
              </w:rPr>
              <w:t>15</w:t>
            </w:r>
            <w:r>
              <w:rPr>
                <w:noProof/>
                <w:webHidden/>
              </w:rPr>
              <w:fldChar w:fldCharType="end"/>
            </w:r>
          </w:hyperlink>
        </w:p>
        <w:p w14:paraId="2EA23759" w14:textId="7787C03A" w:rsidR="00C217F2" w:rsidRDefault="00C217F2">
          <w:pPr>
            <w:pStyle w:val="TOC1"/>
            <w:tabs>
              <w:tab w:val="right" w:leader="dot" w:pos="9350"/>
            </w:tabs>
            <w:rPr>
              <w:rFonts w:eastAsiaTheme="minorEastAsia"/>
              <w:noProof/>
            </w:rPr>
          </w:pPr>
          <w:hyperlink w:anchor="_Toc113410737" w:history="1">
            <w:r w:rsidRPr="00D706E3">
              <w:rPr>
                <w:rStyle w:val="Hyperlink"/>
                <w:rFonts w:ascii="Agency FB" w:hAnsi="Agency FB"/>
                <w:b/>
                <w:bCs/>
                <w:noProof/>
              </w:rPr>
              <w:t>Conclusion</w:t>
            </w:r>
            <w:r>
              <w:rPr>
                <w:noProof/>
                <w:webHidden/>
              </w:rPr>
              <w:tab/>
            </w:r>
            <w:r>
              <w:rPr>
                <w:noProof/>
                <w:webHidden/>
              </w:rPr>
              <w:fldChar w:fldCharType="begin"/>
            </w:r>
            <w:r>
              <w:rPr>
                <w:noProof/>
                <w:webHidden/>
              </w:rPr>
              <w:instrText xml:space="preserve"> PAGEREF _Toc113410737 \h </w:instrText>
            </w:r>
            <w:r>
              <w:rPr>
                <w:noProof/>
                <w:webHidden/>
              </w:rPr>
            </w:r>
            <w:r>
              <w:rPr>
                <w:noProof/>
                <w:webHidden/>
              </w:rPr>
              <w:fldChar w:fldCharType="separate"/>
            </w:r>
            <w:r>
              <w:rPr>
                <w:noProof/>
                <w:webHidden/>
              </w:rPr>
              <w:t>16</w:t>
            </w:r>
            <w:r>
              <w:rPr>
                <w:noProof/>
                <w:webHidden/>
              </w:rPr>
              <w:fldChar w:fldCharType="end"/>
            </w:r>
          </w:hyperlink>
        </w:p>
        <w:p w14:paraId="20321A04" w14:textId="6DCDD95B" w:rsidR="00C217F2" w:rsidRDefault="00C217F2">
          <w:pPr>
            <w:pStyle w:val="TOC1"/>
            <w:tabs>
              <w:tab w:val="right" w:leader="dot" w:pos="9350"/>
            </w:tabs>
            <w:rPr>
              <w:rFonts w:eastAsiaTheme="minorEastAsia"/>
              <w:noProof/>
            </w:rPr>
          </w:pPr>
          <w:hyperlink w:anchor="_Toc113410738" w:history="1">
            <w:r w:rsidRPr="00D706E3">
              <w:rPr>
                <w:rStyle w:val="Hyperlink"/>
                <w:rFonts w:ascii="Agency FB" w:hAnsi="Agency FB"/>
                <w:b/>
                <w:bCs/>
                <w:noProof/>
              </w:rPr>
              <w:t>Reference:</w:t>
            </w:r>
            <w:r>
              <w:rPr>
                <w:noProof/>
                <w:webHidden/>
              </w:rPr>
              <w:tab/>
            </w:r>
            <w:r>
              <w:rPr>
                <w:noProof/>
                <w:webHidden/>
              </w:rPr>
              <w:fldChar w:fldCharType="begin"/>
            </w:r>
            <w:r>
              <w:rPr>
                <w:noProof/>
                <w:webHidden/>
              </w:rPr>
              <w:instrText xml:space="preserve"> PAGEREF _Toc113410738 \h </w:instrText>
            </w:r>
            <w:r>
              <w:rPr>
                <w:noProof/>
                <w:webHidden/>
              </w:rPr>
            </w:r>
            <w:r>
              <w:rPr>
                <w:noProof/>
                <w:webHidden/>
              </w:rPr>
              <w:fldChar w:fldCharType="separate"/>
            </w:r>
            <w:r>
              <w:rPr>
                <w:noProof/>
                <w:webHidden/>
              </w:rPr>
              <w:t>16</w:t>
            </w:r>
            <w:r>
              <w:rPr>
                <w:noProof/>
                <w:webHidden/>
              </w:rPr>
              <w:fldChar w:fldCharType="end"/>
            </w:r>
          </w:hyperlink>
        </w:p>
        <w:p w14:paraId="317EBE3B" w14:textId="0D18751E" w:rsidR="00C217F2" w:rsidRDefault="00C217F2">
          <w:r>
            <w:rPr>
              <w:b/>
              <w:bCs/>
              <w:noProof/>
            </w:rPr>
            <w:fldChar w:fldCharType="end"/>
          </w:r>
        </w:p>
      </w:sdtContent>
    </w:sdt>
    <w:p w14:paraId="59D37E74" w14:textId="21A71D68" w:rsidR="00C11AF3" w:rsidRDefault="00C11AF3" w:rsidP="00F73518">
      <w:pPr>
        <w:spacing w:line="240" w:lineRule="auto"/>
      </w:pPr>
    </w:p>
    <w:p w14:paraId="231FDC86" w14:textId="185BCDEF" w:rsidR="00C11AF3" w:rsidRDefault="00C11AF3" w:rsidP="00F73518">
      <w:pPr>
        <w:spacing w:line="240" w:lineRule="auto"/>
      </w:pPr>
    </w:p>
    <w:p w14:paraId="14F807B8" w14:textId="0A4CD2AC" w:rsidR="00C11AF3" w:rsidRDefault="00C11AF3" w:rsidP="00F73518">
      <w:pPr>
        <w:spacing w:line="240" w:lineRule="auto"/>
      </w:pPr>
    </w:p>
    <w:p w14:paraId="403AC622" w14:textId="3484FE6F" w:rsidR="00C11AF3" w:rsidRDefault="00C11AF3" w:rsidP="00F73518">
      <w:pPr>
        <w:spacing w:line="240" w:lineRule="auto"/>
      </w:pPr>
    </w:p>
    <w:p w14:paraId="6D21C250" w14:textId="5EBD76D3" w:rsidR="00C217F2" w:rsidRDefault="00C217F2" w:rsidP="00F73518">
      <w:pPr>
        <w:spacing w:line="240" w:lineRule="auto"/>
      </w:pPr>
    </w:p>
    <w:p w14:paraId="7B39BF64" w14:textId="366B5B42" w:rsidR="00795104" w:rsidRDefault="00795104" w:rsidP="00F73518">
      <w:pPr>
        <w:spacing w:line="240" w:lineRule="auto"/>
      </w:pPr>
    </w:p>
    <w:p w14:paraId="4F98C1E0" w14:textId="7EE9C613" w:rsidR="00795104" w:rsidRDefault="00795104" w:rsidP="00F73518">
      <w:pPr>
        <w:spacing w:line="240" w:lineRule="auto"/>
      </w:pPr>
    </w:p>
    <w:p w14:paraId="6960C873" w14:textId="098344AC" w:rsidR="00795104" w:rsidRDefault="00795104" w:rsidP="00F73518">
      <w:pPr>
        <w:spacing w:line="240" w:lineRule="auto"/>
      </w:pPr>
    </w:p>
    <w:p w14:paraId="0BEE2D97" w14:textId="3F407705" w:rsidR="00795104" w:rsidRPr="00432974" w:rsidRDefault="00795104" w:rsidP="00432974">
      <w:pPr>
        <w:pStyle w:val="Heading1"/>
        <w:rPr>
          <w:rFonts w:ascii="Agency FB" w:hAnsi="Agency FB"/>
          <w:b/>
          <w:bCs/>
          <w:color w:val="ED7D31" w:themeColor="accent2"/>
          <w:sz w:val="40"/>
          <w:szCs w:val="40"/>
        </w:rPr>
      </w:pPr>
      <w:bookmarkStart w:id="0" w:name="_Toc113410720"/>
      <w:r w:rsidRPr="00432974">
        <w:rPr>
          <w:rFonts w:ascii="Agency FB" w:hAnsi="Agency FB"/>
          <w:b/>
          <w:bCs/>
          <w:color w:val="ED7D31" w:themeColor="accent2"/>
          <w:sz w:val="40"/>
          <w:szCs w:val="40"/>
        </w:rPr>
        <w:lastRenderedPageBreak/>
        <w:t>Section A</w:t>
      </w:r>
      <w:bookmarkEnd w:id="0"/>
    </w:p>
    <w:p w14:paraId="0D984287" w14:textId="3E271B07" w:rsidR="00923FA1" w:rsidRDefault="00923FA1" w:rsidP="00F73518">
      <w:pPr>
        <w:pStyle w:val="Heading1"/>
        <w:spacing w:line="240" w:lineRule="auto"/>
        <w:rPr>
          <w:rFonts w:ascii="Agency FB" w:hAnsi="Agency FB"/>
          <w:b/>
          <w:bCs/>
          <w:color w:val="ED7D31" w:themeColor="accent2"/>
          <w:sz w:val="40"/>
          <w:szCs w:val="40"/>
        </w:rPr>
      </w:pPr>
      <w:bookmarkStart w:id="1" w:name="_Toc113410721"/>
      <w:r w:rsidRPr="00923FA1">
        <w:rPr>
          <w:rFonts w:ascii="Agency FB" w:hAnsi="Agency FB"/>
          <w:b/>
          <w:bCs/>
          <w:color w:val="ED7D31" w:themeColor="accent2"/>
          <w:sz w:val="40"/>
          <w:szCs w:val="40"/>
        </w:rPr>
        <w:t>Introduction</w:t>
      </w:r>
      <w:bookmarkEnd w:id="1"/>
    </w:p>
    <w:p w14:paraId="7D44B168" w14:textId="77777777" w:rsidR="00267462" w:rsidRPr="00267462" w:rsidRDefault="00267462" w:rsidP="00F73518">
      <w:pPr>
        <w:spacing w:line="240" w:lineRule="auto"/>
      </w:pPr>
    </w:p>
    <w:p w14:paraId="7839056D" w14:textId="6B3C5EF1" w:rsidR="00923FA1" w:rsidRPr="00267462" w:rsidRDefault="009F2B75" w:rsidP="00F73518">
      <w:pPr>
        <w:spacing w:line="240" w:lineRule="auto"/>
        <w:rPr>
          <w:rFonts w:ascii="Agency FB" w:hAnsi="Agency FB"/>
          <w:sz w:val="24"/>
          <w:szCs w:val="24"/>
        </w:rPr>
      </w:pPr>
      <w:r w:rsidRPr="00267462">
        <w:rPr>
          <w:rFonts w:ascii="Agency FB" w:hAnsi="Agency FB"/>
          <w:sz w:val="24"/>
          <w:szCs w:val="24"/>
        </w:rPr>
        <w:t>"Corporate finance" in this context refers to activities and exchanges involving financial resources. The Company's decision, which has an impact on money and finances, is also a factor. The report makes clear the funding and analysis of Sainsbury Plc's businesses.</w:t>
      </w:r>
      <w:r w:rsidRPr="00267462">
        <w:rPr>
          <w:rFonts w:ascii="Agency FB" w:hAnsi="Agency FB"/>
          <w:sz w:val="24"/>
          <w:szCs w:val="24"/>
        </w:rPr>
        <w:t xml:space="preserve"> </w:t>
      </w:r>
      <w:r w:rsidRPr="00267462">
        <w:rPr>
          <w:rFonts w:ascii="Agency FB" w:hAnsi="Agency FB"/>
          <w:sz w:val="24"/>
          <w:szCs w:val="24"/>
        </w:rPr>
        <w:t>By comparing Sainsbury's financial data to that of its rivals, the study also assesses the success of Sainsbury and the state of its market over the last few years. The firm's dividend activities have also been evaluated in order to understand the performance of the business.</w:t>
      </w:r>
      <w:r w:rsidRPr="00267462">
        <w:rPr>
          <w:rFonts w:ascii="Agency FB" w:hAnsi="Agency FB"/>
          <w:sz w:val="24"/>
          <w:szCs w:val="24"/>
        </w:rPr>
        <w:t xml:space="preserve"> </w:t>
      </w:r>
      <w:r w:rsidRPr="00267462">
        <w:rPr>
          <w:rFonts w:ascii="Agency FB" w:hAnsi="Agency FB"/>
          <w:sz w:val="24"/>
          <w:szCs w:val="24"/>
        </w:rPr>
        <w:t>The company's sole objective is to provide its customers with the most possible value by offering them premium products and services together with novel and updated ways.</w:t>
      </w:r>
    </w:p>
    <w:p w14:paraId="0613281C" w14:textId="27F664A8" w:rsidR="009F2B75" w:rsidRDefault="009F2B75" w:rsidP="00F73518">
      <w:pPr>
        <w:spacing w:line="240" w:lineRule="auto"/>
      </w:pPr>
    </w:p>
    <w:p w14:paraId="32805A7F" w14:textId="62B1818A" w:rsidR="009F2B75" w:rsidRDefault="009F2B75" w:rsidP="00F73518">
      <w:pPr>
        <w:pStyle w:val="Heading1"/>
        <w:spacing w:line="240" w:lineRule="auto"/>
        <w:rPr>
          <w:rFonts w:ascii="Agency FB" w:hAnsi="Agency FB"/>
          <w:b/>
          <w:bCs/>
          <w:color w:val="ED7D31" w:themeColor="accent2"/>
          <w:sz w:val="40"/>
          <w:szCs w:val="40"/>
        </w:rPr>
      </w:pPr>
      <w:bookmarkStart w:id="2" w:name="_Toc113410722"/>
      <w:r w:rsidRPr="009F2B75">
        <w:rPr>
          <w:rFonts w:ascii="Agency FB" w:hAnsi="Agency FB"/>
          <w:b/>
          <w:bCs/>
          <w:color w:val="ED7D31" w:themeColor="accent2"/>
          <w:sz w:val="40"/>
          <w:szCs w:val="40"/>
        </w:rPr>
        <w:t>History of Sainsbury's</w:t>
      </w:r>
      <w:bookmarkEnd w:id="2"/>
    </w:p>
    <w:p w14:paraId="4EC38737" w14:textId="77777777" w:rsidR="00267462" w:rsidRPr="00267462" w:rsidRDefault="00267462" w:rsidP="00F73518">
      <w:pPr>
        <w:spacing w:line="240" w:lineRule="auto"/>
      </w:pPr>
    </w:p>
    <w:p w14:paraId="0F909ABD" w14:textId="6FD32B7D" w:rsidR="00267462" w:rsidRPr="00267462" w:rsidRDefault="00267462" w:rsidP="00F73518">
      <w:pPr>
        <w:spacing w:line="240" w:lineRule="auto"/>
        <w:rPr>
          <w:rFonts w:ascii="Agency FB" w:hAnsi="Agency FB"/>
          <w:sz w:val="24"/>
          <w:szCs w:val="24"/>
        </w:rPr>
      </w:pPr>
      <w:r w:rsidRPr="00267462">
        <w:rPr>
          <w:rFonts w:ascii="Agency FB" w:hAnsi="Agency FB"/>
          <w:sz w:val="24"/>
          <w:szCs w:val="24"/>
        </w:rPr>
        <w:t>One of the top food store chains in the UK is Sainsbury's. With a 16% market share in the UK retail industry, it is ranked second in terms of market capture by Statista. John James Sainsbury and his wife founded Sainsbury's in 1869 as a partnership company in Holborn's Dury Lane.</w:t>
      </w:r>
      <w:r w:rsidRPr="00267462">
        <w:rPr>
          <w:rFonts w:ascii="Agency FB" w:hAnsi="Agency FB"/>
          <w:sz w:val="24"/>
          <w:szCs w:val="24"/>
        </w:rPr>
        <w:t xml:space="preserve"> </w:t>
      </w:r>
      <w:r w:rsidRPr="00267462">
        <w:rPr>
          <w:rFonts w:ascii="Agency FB" w:hAnsi="Agency FB"/>
          <w:sz w:val="24"/>
          <w:szCs w:val="24"/>
        </w:rPr>
        <w:t>Currently, Sainsbury's runs more than 800 conventional grocery and 600 stores in the UK.</w:t>
      </w:r>
      <w:r w:rsidRPr="00267462">
        <w:rPr>
          <w:rFonts w:ascii="Agency FB" w:hAnsi="Agency FB"/>
          <w:sz w:val="24"/>
          <w:szCs w:val="24"/>
        </w:rPr>
        <w:t xml:space="preserve"> </w:t>
      </w:r>
      <w:r w:rsidRPr="00267462">
        <w:rPr>
          <w:rFonts w:ascii="Agency FB" w:hAnsi="Agency FB"/>
          <w:sz w:val="24"/>
          <w:szCs w:val="24"/>
        </w:rPr>
        <w:t>With businesses including Argos, Tu, Habitat, Nectar, and Sainsbury's Bank, it presently employs 189000 people (About us, 2022). The third-most used retail website in the UK is the Argos website.</w:t>
      </w:r>
    </w:p>
    <w:p w14:paraId="71941A7E" w14:textId="25FD3685" w:rsidR="00923FA1" w:rsidRDefault="00267462" w:rsidP="00F73518">
      <w:pPr>
        <w:spacing w:line="240" w:lineRule="auto"/>
      </w:pPr>
      <w:r>
        <w:rPr>
          <w:noProof/>
        </w:rPr>
        <w:drawing>
          <wp:inline distT="0" distB="0" distL="0" distR="0" wp14:anchorId="2730BCC5" wp14:editId="206035D0">
            <wp:extent cx="5943600" cy="1362075"/>
            <wp:effectExtent l="0" t="0" r="0" b="9525"/>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1362075"/>
                    </a:xfrm>
                    <a:prstGeom prst="rect">
                      <a:avLst/>
                    </a:prstGeom>
                    <a:noFill/>
                    <a:ln>
                      <a:noFill/>
                    </a:ln>
                  </pic:spPr>
                </pic:pic>
              </a:graphicData>
            </a:graphic>
          </wp:inline>
        </w:drawing>
      </w:r>
    </w:p>
    <w:p w14:paraId="7E214A81" w14:textId="6D147208" w:rsidR="00267462" w:rsidRPr="00D019EC" w:rsidRDefault="00267462" w:rsidP="00F73518">
      <w:pPr>
        <w:spacing w:line="240" w:lineRule="auto"/>
        <w:rPr>
          <w:rFonts w:ascii="Agency FB" w:hAnsi="Agency FB"/>
          <w:sz w:val="24"/>
          <w:szCs w:val="24"/>
        </w:rPr>
      </w:pPr>
      <w:r w:rsidRPr="00D019EC">
        <w:rPr>
          <w:rFonts w:ascii="Agency FB" w:hAnsi="Agency FB"/>
          <w:sz w:val="24"/>
          <w:szCs w:val="24"/>
        </w:rPr>
        <w:t>Fig1: Sainsbury</w:t>
      </w:r>
    </w:p>
    <w:p w14:paraId="526E1619" w14:textId="77777777" w:rsidR="00267462" w:rsidRPr="00D019EC" w:rsidRDefault="00267462" w:rsidP="00F73518">
      <w:pPr>
        <w:spacing w:line="240" w:lineRule="auto"/>
        <w:rPr>
          <w:rFonts w:ascii="Agency FB" w:hAnsi="Agency FB"/>
          <w:sz w:val="24"/>
          <w:szCs w:val="24"/>
        </w:rPr>
      </w:pPr>
      <w:r w:rsidRPr="00D019EC">
        <w:rPr>
          <w:rFonts w:ascii="Agency FB" w:hAnsi="Agency FB"/>
          <w:sz w:val="24"/>
          <w:szCs w:val="24"/>
        </w:rPr>
        <w:t>Sainsbury's started as a grocery retailer before progressively expanding its product line. Sainsbury's corporate motto was "Perfect quality, lower cost." In 1903, Sainsbury's purchased a store in Dalston to begin its foray into the food business. Sainsbury's was the finest supermarket throughout most of the 20th century until Tesco overtook it in 1995. (Museum, 2012). (Islington - Docklands).</w:t>
      </w:r>
    </w:p>
    <w:p w14:paraId="50ED3C77" w14:textId="2A0254ED" w:rsidR="00267462" w:rsidRPr="00D019EC" w:rsidRDefault="00267462" w:rsidP="00F73518">
      <w:pPr>
        <w:spacing w:line="240" w:lineRule="auto"/>
        <w:rPr>
          <w:rFonts w:ascii="Agency FB" w:hAnsi="Agency FB"/>
          <w:sz w:val="24"/>
          <w:szCs w:val="24"/>
        </w:rPr>
      </w:pPr>
      <w:r w:rsidRPr="00D019EC">
        <w:rPr>
          <w:rFonts w:ascii="Agency FB" w:hAnsi="Agency FB"/>
          <w:sz w:val="24"/>
          <w:szCs w:val="24"/>
        </w:rPr>
        <w:t>Since then, the company has put a lot of effort into regaining its top position. After that, the emphasis on serving up fresh food was dropped, and the business has since had many ups and downs. However, the company has adjusted its business plan and is once again putting fresh foods at the center of its operations.</w:t>
      </w:r>
    </w:p>
    <w:p w14:paraId="0685C71A" w14:textId="77777777" w:rsidR="00D019EC" w:rsidRPr="00D019EC" w:rsidRDefault="00D019EC" w:rsidP="00F73518">
      <w:pPr>
        <w:spacing w:line="240" w:lineRule="auto"/>
        <w:rPr>
          <w:rFonts w:ascii="Agency FB" w:hAnsi="Agency FB"/>
          <w:sz w:val="24"/>
          <w:szCs w:val="24"/>
        </w:rPr>
      </w:pPr>
      <w:r w:rsidRPr="00D019EC">
        <w:rPr>
          <w:rFonts w:ascii="Agency FB" w:hAnsi="Agency FB"/>
          <w:sz w:val="24"/>
          <w:szCs w:val="24"/>
        </w:rPr>
        <w:t>The company's current mission is to support healthy eating among all people.</w:t>
      </w:r>
    </w:p>
    <w:p w14:paraId="5533D469" w14:textId="77777777" w:rsidR="00D019EC" w:rsidRPr="00D019EC" w:rsidRDefault="00D019EC" w:rsidP="00F73518">
      <w:pPr>
        <w:spacing w:line="240" w:lineRule="auto"/>
        <w:rPr>
          <w:rFonts w:ascii="Agency FB" w:hAnsi="Agency FB"/>
          <w:sz w:val="24"/>
          <w:szCs w:val="24"/>
        </w:rPr>
      </w:pPr>
      <w:r w:rsidRPr="00D019EC">
        <w:rPr>
          <w:rFonts w:ascii="Agency FB" w:hAnsi="Agency FB"/>
          <w:sz w:val="24"/>
          <w:szCs w:val="24"/>
        </w:rPr>
        <w:t xml:space="preserve">The motto "Driven by our enthusiasm for food, together we serve and help every client" sums up the company's current business philosophy. Once more, the company emphasizes its fresh food offerings with the use of information technology </w:t>
      </w:r>
      <w:r w:rsidRPr="00D019EC">
        <w:rPr>
          <w:rFonts w:ascii="Agency FB" w:hAnsi="Agency FB"/>
          <w:sz w:val="24"/>
          <w:szCs w:val="24"/>
        </w:rPr>
        <w:lastRenderedPageBreak/>
        <w:t>and innovation. To attract customers and achieve success, the firm aims to operate with a net-zero carbon intensity by 2040. 2022) (Our Corporate Plan). The corporation seeks to enhance several operationally inefficient areas, including this one.</w:t>
      </w:r>
    </w:p>
    <w:p w14:paraId="4B10353D" w14:textId="77777777" w:rsidR="00D019EC" w:rsidRPr="00D019EC" w:rsidRDefault="00D019EC" w:rsidP="00F73518">
      <w:pPr>
        <w:spacing w:line="240" w:lineRule="auto"/>
        <w:rPr>
          <w:rFonts w:ascii="Agency FB" w:hAnsi="Agency FB"/>
          <w:sz w:val="24"/>
          <w:szCs w:val="24"/>
        </w:rPr>
      </w:pPr>
      <w:r w:rsidRPr="00D019EC">
        <w:rPr>
          <w:rFonts w:ascii="Agency FB" w:hAnsi="Agency FB"/>
          <w:sz w:val="24"/>
          <w:szCs w:val="24"/>
        </w:rPr>
        <w:t>Sainsbury's has two boards of management: an operational board and a board of directors. The CEO is Simon Roberts, the CFO is Kevin O'Byrne, and there are several non-executive directors in addition to Martin Scicluna, who chairs the board. In 2019 Martin Scicluna was proposed as board chairman, and in 2020 Simon Roberts was proposed as CEO. (Our company, 2022). The CEO, CFO, CMO, and heads of other divisions make up the operating board.</w:t>
      </w:r>
    </w:p>
    <w:p w14:paraId="47D730FD" w14:textId="77777777" w:rsidR="00D019EC" w:rsidRPr="00D019EC" w:rsidRDefault="00D019EC" w:rsidP="00F73518">
      <w:pPr>
        <w:spacing w:line="240" w:lineRule="auto"/>
        <w:rPr>
          <w:rFonts w:ascii="Agency FB" w:hAnsi="Agency FB"/>
          <w:sz w:val="24"/>
          <w:szCs w:val="24"/>
        </w:rPr>
      </w:pPr>
      <w:r w:rsidRPr="00D019EC">
        <w:rPr>
          <w:rFonts w:ascii="Agency FB" w:hAnsi="Agency FB"/>
          <w:sz w:val="24"/>
          <w:szCs w:val="24"/>
        </w:rPr>
        <w:t>The company has faced several legal challenges ever since it began operating. Two recent topics worth mentioning are the price of Valentine's Day cards in 2018 and the ethical challenge of removing the Fairtrade label from tea. The business hasn't yet run across any significant moral or legal issues.</w:t>
      </w:r>
    </w:p>
    <w:p w14:paraId="3680CEAE" w14:textId="2D9082C3" w:rsidR="00D019EC" w:rsidRPr="00432974" w:rsidRDefault="00795104" w:rsidP="00432974">
      <w:pPr>
        <w:pStyle w:val="Heading1"/>
        <w:rPr>
          <w:rFonts w:ascii="Agency FB" w:hAnsi="Agency FB"/>
          <w:b/>
          <w:bCs/>
          <w:color w:val="ED7D31" w:themeColor="accent2"/>
          <w:sz w:val="44"/>
          <w:szCs w:val="44"/>
        </w:rPr>
      </w:pPr>
      <w:bookmarkStart w:id="3" w:name="_Toc113410723"/>
      <w:r w:rsidRPr="00432974">
        <w:rPr>
          <w:rFonts w:ascii="Agency FB" w:hAnsi="Agency FB"/>
          <w:b/>
          <w:bCs/>
          <w:color w:val="ED7D31" w:themeColor="accent2"/>
          <w:sz w:val="44"/>
          <w:szCs w:val="44"/>
        </w:rPr>
        <w:t>Section B</w:t>
      </w:r>
      <w:bookmarkEnd w:id="3"/>
    </w:p>
    <w:p w14:paraId="44678535" w14:textId="59750B52" w:rsidR="00267462" w:rsidRPr="008D6DDB" w:rsidRDefault="00D019EC" w:rsidP="00F73518">
      <w:pPr>
        <w:pStyle w:val="Heading1"/>
        <w:spacing w:line="240" w:lineRule="auto"/>
        <w:rPr>
          <w:rFonts w:ascii="Agency FB" w:hAnsi="Agency FB"/>
          <w:b/>
          <w:bCs/>
          <w:color w:val="ED7D31" w:themeColor="accent2"/>
          <w:sz w:val="40"/>
          <w:szCs w:val="40"/>
        </w:rPr>
      </w:pPr>
      <w:bookmarkStart w:id="4" w:name="_Toc113410724"/>
      <w:r w:rsidRPr="008D6DDB">
        <w:rPr>
          <w:rFonts w:ascii="Agency FB" w:hAnsi="Agency FB"/>
          <w:b/>
          <w:bCs/>
          <w:color w:val="ED7D31" w:themeColor="accent2"/>
          <w:sz w:val="40"/>
          <w:szCs w:val="40"/>
        </w:rPr>
        <w:t>Ratio evaluation</w:t>
      </w:r>
      <w:r w:rsidRPr="008D6DDB">
        <w:rPr>
          <w:rFonts w:ascii="Agency FB" w:hAnsi="Agency FB"/>
          <w:b/>
          <w:bCs/>
          <w:color w:val="ED7D31" w:themeColor="accent2"/>
          <w:sz w:val="40"/>
          <w:szCs w:val="40"/>
        </w:rPr>
        <w:t xml:space="preserve"> or analysis</w:t>
      </w:r>
      <w:bookmarkEnd w:id="4"/>
    </w:p>
    <w:p w14:paraId="7A402B2B" w14:textId="3A8AE37D" w:rsidR="00D019EC" w:rsidRDefault="00D019EC" w:rsidP="00F73518">
      <w:pPr>
        <w:spacing w:line="240" w:lineRule="auto"/>
      </w:pPr>
    </w:p>
    <w:p w14:paraId="08B03899" w14:textId="77777777" w:rsidR="00D019EC" w:rsidRPr="008D6DDB" w:rsidRDefault="00D019EC" w:rsidP="00F73518">
      <w:pPr>
        <w:pStyle w:val="Heading2"/>
        <w:spacing w:line="240" w:lineRule="auto"/>
        <w:rPr>
          <w:rFonts w:ascii="Agency FB" w:hAnsi="Agency FB"/>
          <w:b/>
          <w:bCs/>
          <w:sz w:val="32"/>
          <w:szCs w:val="32"/>
        </w:rPr>
      </w:pPr>
      <w:bookmarkStart w:id="5" w:name="_Toc113410725"/>
      <w:r w:rsidRPr="008D6DDB">
        <w:rPr>
          <w:rFonts w:ascii="Agency FB" w:hAnsi="Agency FB"/>
          <w:b/>
          <w:bCs/>
          <w:sz w:val="32"/>
          <w:szCs w:val="32"/>
        </w:rPr>
        <w:t>Liquidity ratios</w:t>
      </w:r>
      <w:bookmarkEnd w:id="5"/>
    </w:p>
    <w:p w14:paraId="7D45F492" w14:textId="023AB679" w:rsidR="00D019EC" w:rsidRDefault="008D6DDB" w:rsidP="00F73518">
      <w:pPr>
        <w:spacing w:line="240" w:lineRule="auto"/>
        <w:rPr>
          <w:rFonts w:ascii="Agency FB" w:hAnsi="Agency FB"/>
          <w:sz w:val="24"/>
          <w:szCs w:val="24"/>
        </w:rPr>
      </w:pPr>
      <w:r w:rsidRPr="008D6DDB">
        <w:rPr>
          <w:rFonts w:ascii="Agency FB" w:hAnsi="Agency FB"/>
          <w:sz w:val="24"/>
          <w:szCs w:val="24"/>
        </w:rPr>
        <w:t>The liquidity ratio gauges a firm's capacity to fulfil debts due in the near future (Hillier, et al., 2014). They assess how effectively a business uses its liquid assets to settle its immediate debts.</w:t>
      </w:r>
    </w:p>
    <w:p w14:paraId="7C37F7CB" w14:textId="17529C7E" w:rsidR="008D6DDB" w:rsidRDefault="008D6DDB" w:rsidP="00F73518">
      <w:pPr>
        <w:spacing w:line="240" w:lineRule="auto"/>
        <w:rPr>
          <w:rFonts w:ascii="Agency FB" w:hAnsi="Agency FB"/>
          <w:sz w:val="28"/>
          <w:szCs w:val="28"/>
        </w:rPr>
      </w:pPr>
      <w:r w:rsidRPr="008D6DDB">
        <w:rPr>
          <w:rFonts w:ascii="Agency FB" w:hAnsi="Agency FB"/>
          <w:sz w:val="28"/>
          <w:szCs w:val="28"/>
        </w:rPr>
        <w:t>Current ratio:</w:t>
      </w:r>
    </w:p>
    <w:p w14:paraId="574A4405" w14:textId="0173749B" w:rsidR="008D6DDB" w:rsidRDefault="008D6DDB" w:rsidP="00F73518">
      <w:pPr>
        <w:spacing w:line="240" w:lineRule="auto"/>
        <w:rPr>
          <w:rFonts w:ascii="Agency FB" w:hAnsi="Agency FB"/>
          <w:sz w:val="24"/>
          <w:szCs w:val="24"/>
        </w:rPr>
      </w:pPr>
      <w:r w:rsidRPr="008D6DDB">
        <w:rPr>
          <w:rFonts w:ascii="Agency FB" w:hAnsi="Agency FB"/>
          <w:sz w:val="24"/>
          <w:szCs w:val="24"/>
        </w:rPr>
        <w:t>A business has the potential to cover its current liabilities with its current assets is measured by the current ratio.</w:t>
      </w:r>
    </w:p>
    <w:p w14:paraId="7D0777AD" w14:textId="77777777" w:rsidR="000F3CA0" w:rsidRDefault="000F3CA0" w:rsidP="00F73518">
      <w:pPr>
        <w:spacing w:line="240" w:lineRule="auto"/>
      </w:pPr>
      <w:r>
        <w:t xml:space="preserve">Current ratio = </w:t>
      </w:r>
      <w:r>
        <w:rPr>
          <w:rFonts w:ascii="Cambria Math" w:hAnsi="Cambria Math" w:cs="Cambria Math"/>
        </w:rPr>
        <w:t>𝑐𝑢𝑟𝑟𝑒𝑛𝑡</w:t>
      </w:r>
      <w:r>
        <w:t xml:space="preserve"> </w:t>
      </w:r>
      <w:r>
        <w:rPr>
          <w:rFonts w:ascii="Cambria Math" w:hAnsi="Cambria Math" w:cs="Cambria Math"/>
        </w:rPr>
        <w:t>𝑎𝑠𝑠𝑒𝑡𝑠/𝐶𝑢𝑟𝑟𝑒𝑛𝑡</w:t>
      </w:r>
      <w:r>
        <w:t xml:space="preserve"> </w:t>
      </w:r>
      <w:r>
        <w:rPr>
          <w:rFonts w:ascii="Cambria Math" w:hAnsi="Cambria Math" w:cs="Cambria Math"/>
        </w:rPr>
        <w:t>𝑙𝑖𝑎𝑏𝑖𝑙𝑖𝑡𝑖𝑒s</w:t>
      </w:r>
    </w:p>
    <w:p w14:paraId="33552C49" w14:textId="77777777" w:rsidR="000F3CA0" w:rsidRPr="000F3CA0" w:rsidRDefault="000F3CA0" w:rsidP="00F73518">
      <w:pPr>
        <w:spacing w:line="240" w:lineRule="auto"/>
        <w:rPr>
          <w:rFonts w:ascii="Agency FB" w:hAnsi="Agency FB"/>
          <w:sz w:val="28"/>
          <w:szCs w:val="28"/>
        </w:rPr>
      </w:pPr>
      <w:r w:rsidRPr="000F3CA0">
        <w:rPr>
          <w:rFonts w:ascii="Agency FB" w:hAnsi="Agency FB"/>
          <w:sz w:val="28"/>
          <w:szCs w:val="28"/>
        </w:rPr>
        <w:t>Quick Ratio:</w:t>
      </w:r>
    </w:p>
    <w:p w14:paraId="454D08CB" w14:textId="79F8F97E" w:rsidR="008D6DDB" w:rsidRDefault="000F3CA0" w:rsidP="00F73518">
      <w:pPr>
        <w:spacing w:line="240" w:lineRule="auto"/>
        <w:rPr>
          <w:rFonts w:ascii="Agency FB" w:hAnsi="Agency FB"/>
          <w:sz w:val="24"/>
          <w:szCs w:val="24"/>
        </w:rPr>
      </w:pPr>
      <w:r w:rsidRPr="000F3CA0">
        <w:rPr>
          <w:rFonts w:ascii="Agency FB" w:hAnsi="Agency FB"/>
          <w:sz w:val="24"/>
          <w:szCs w:val="24"/>
        </w:rPr>
        <w:t>The quick ratio gauges a firm's ability to use its money and cash equivalents to satisfy its short-term obligations (Brigham, and Ehrhardt, 2019). The following formula is used to get the quick ratio:</w:t>
      </w:r>
    </w:p>
    <w:p w14:paraId="74FC9690" w14:textId="77777777" w:rsidR="000F3CA0" w:rsidRDefault="000F3CA0" w:rsidP="00F73518">
      <w:pPr>
        <w:spacing w:line="240" w:lineRule="auto"/>
        <w:rPr>
          <w:rFonts w:ascii="Cambria Math" w:hAnsi="Cambria Math" w:cs="Cambria Math"/>
        </w:rPr>
      </w:pPr>
      <w:r>
        <w:t>Quick ratio = (</w:t>
      </w:r>
      <w:r>
        <w:rPr>
          <w:rFonts w:ascii="Cambria Math" w:hAnsi="Cambria Math" w:cs="Cambria Math"/>
        </w:rPr>
        <w:t>𝑐𝑢𝑟𝑟𝑒𝑛𝑡</w:t>
      </w:r>
      <w:r>
        <w:t xml:space="preserve"> </w:t>
      </w:r>
      <w:r>
        <w:rPr>
          <w:rFonts w:ascii="Cambria Math" w:hAnsi="Cambria Math" w:cs="Cambria Math"/>
        </w:rPr>
        <w:t>𝑎𝑠𝑠𝑒𝑡𝑠</w:t>
      </w:r>
      <w:r>
        <w:t>−</w:t>
      </w:r>
      <w:r>
        <w:rPr>
          <w:rFonts w:ascii="Cambria Math" w:hAnsi="Cambria Math" w:cs="Cambria Math"/>
        </w:rPr>
        <w:t>𝑖𝑛𝑣𝑒𝑛𝑡𝑜𝑟𝑦)</w:t>
      </w:r>
      <w:r>
        <w:t xml:space="preserve"> /</w:t>
      </w:r>
      <w:r>
        <w:rPr>
          <w:rFonts w:ascii="Cambria Math" w:hAnsi="Cambria Math" w:cs="Cambria Math"/>
        </w:rPr>
        <w:t>𝐶𝑢𝑟𝑟𝑒𝑛𝑡</w:t>
      </w:r>
      <w:r>
        <w:t xml:space="preserve"> </w:t>
      </w:r>
      <w:r>
        <w:rPr>
          <w:rFonts w:ascii="Cambria Math" w:hAnsi="Cambria Math" w:cs="Cambria Math"/>
        </w:rPr>
        <w:t>𝑙𝑖𝑎𝑏𝑖𝑙𝑖𝑡𝑖𝑒s.</w:t>
      </w:r>
    </w:p>
    <w:p w14:paraId="58FA1537" w14:textId="77777777" w:rsidR="000F3CA0" w:rsidRPr="000F3CA0" w:rsidRDefault="000F3CA0" w:rsidP="00F73518">
      <w:pPr>
        <w:spacing w:line="240" w:lineRule="auto"/>
        <w:rPr>
          <w:rFonts w:ascii="Agency FB" w:hAnsi="Agency FB"/>
          <w:sz w:val="28"/>
          <w:szCs w:val="28"/>
        </w:rPr>
      </w:pPr>
      <w:r w:rsidRPr="000F3CA0">
        <w:rPr>
          <w:rFonts w:ascii="Agency FB" w:hAnsi="Agency FB"/>
          <w:sz w:val="28"/>
          <w:szCs w:val="28"/>
        </w:rPr>
        <w:t>Cash ratio:</w:t>
      </w:r>
    </w:p>
    <w:p w14:paraId="5F885C38" w14:textId="60D9492C" w:rsidR="000F3CA0" w:rsidRDefault="00F54816" w:rsidP="00F73518">
      <w:pPr>
        <w:spacing w:line="240" w:lineRule="auto"/>
        <w:rPr>
          <w:rFonts w:ascii="Agency FB" w:hAnsi="Agency FB"/>
          <w:sz w:val="24"/>
          <w:szCs w:val="24"/>
        </w:rPr>
      </w:pPr>
      <w:r w:rsidRPr="00F54816">
        <w:rPr>
          <w:rFonts w:ascii="Agency FB" w:hAnsi="Agency FB"/>
          <w:sz w:val="24"/>
          <w:szCs w:val="24"/>
        </w:rPr>
        <w:t>The ability of a business to pay off all of its current liabilities with cash and cash equivalents is measured by the cash ratio.</w:t>
      </w:r>
    </w:p>
    <w:p w14:paraId="32FB82E2" w14:textId="77777777" w:rsidR="00F54816" w:rsidRDefault="00F54816" w:rsidP="00F73518">
      <w:pPr>
        <w:spacing w:line="240" w:lineRule="auto"/>
        <w:rPr>
          <w:rFonts w:ascii="Cambria Math" w:hAnsi="Cambria Math" w:cs="Cambria Math"/>
        </w:rPr>
      </w:pPr>
      <w:r>
        <w:t>Cash ratio = (</w:t>
      </w:r>
      <w:r>
        <w:rPr>
          <w:rFonts w:ascii="Cambria Math" w:hAnsi="Cambria Math" w:cs="Cambria Math"/>
        </w:rPr>
        <w:t>𝑐𝑎𝑠ℎ</w:t>
      </w:r>
      <w:r>
        <w:t>+</w:t>
      </w:r>
      <w:r>
        <w:rPr>
          <w:rFonts w:ascii="Cambria Math" w:hAnsi="Cambria Math" w:cs="Cambria Math"/>
        </w:rPr>
        <w:t>𝑐𝑎𝑠ℎ</w:t>
      </w:r>
      <w:r>
        <w:t xml:space="preserve"> </w:t>
      </w:r>
      <w:r>
        <w:rPr>
          <w:rFonts w:ascii="Cambria Math" w:hAnsi="Cambria Math" w:cs="Cambria Math"/>
        </w:rPr>
        <w:t>𝑒𝑞𝑢𝑖𝑣𝑎𝑙𝑒𝑛𝑡𝑠)/𝐶𝑢𝑟𝑟𝑒𝑛𝑡</w:t>
      </w:r>
      <w:r>
        <w:t xml:space="preserve"> </w:t>
      </w:r>
      <w:r>
        <w:rPr>
          <w:rFonts w:ascii="Cambria Math" w:hAnsi="Cambria Math" w:cs="Cambria Math"/>
        </w:rPr>
        <w:t>𝑙𝑖𝑎𝑏𝑖𝑙𝑖𝑡𝑖𝑒s.</w:t>
      </w:r>
    </w:p>
    <w:p w14:paraId="1E4DC1A8" w14:textId="77777777" w:rsidR="00F54816" w:rsidRDefault="00F54816" w:rsidP="00F73518">
      <w:pPr>
        <w:spacing w:line="240" w:lineRule="auto"/>
      </w:pPr>
      <w:r w:rsidRPr="008F3E2C">
        <w:t xml:space="preserve">The amount of current obligations and current assets directly affects each of these liquidity indicators. A drop in current commitments is more likely to increase a company's liquidity than a rise in current liabilities. The liquidity of a corporation, on the other hand, increases with an increase in current assets and decreases with an increase in current assets. Higher liquidity is desired over lower liquidity in the corporate sector (Hillier, et al., 2014). </w:t>
      </w:r>
      <w:r>
        <w:t>To</w:t>
      </w:r>
      <w:r w:rsidRPr="008F3E2C">
        <w:t xml:space="preserve"> boost liquidity, businesses usually raise current assets while reducing current obligations. The liquidity ratios for Tesco in 2021 and Sainsbury's from 2017 to 2021 are displayed in the table below.</w:t>
      </w:r>
    </w:p>
    <w:tbl>
      <w:tblPr>
        <w:tblStyle w:val="GridTable7Colorful"/>
        <w:tblW w:w="0" w:type="auto"/>
        <w:tblLook w:val="04A0" w:firstRow="1" w:lastRow="0" w:firstColumn="1" w:lastColumn="0" w:noHBand="0" w:noVBand="1"/>
      </w:tblPr>
      <w:tblGrid>
        <w:gridCol w:w="1335"/>
        <w:gridCol w:w="1335"/>
        <w:gridCol w:w="1336"/>
        <w:gridCol w:w="1336"/>
        <w:gridCol w:w="1336"/>
        <w:gridCol w:w="1336"/>
        <w:gridCol w:w="1336"/>
      </w:tblGrid>
      <w:tr w:rsidR="00F54816" w14:paraId="0F179C47" w14:textId="77777777" w:rsidTr="00F65D1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335" w:type="dxa"/>
          </w:tcPr>
          <w:p w14:paraId="2A293590" w14:textId="77777777" w:rsidR="00F54816" w:rsidRDefault="00F54816" w:rsidP="00F73518">
            <w:r>
              <w:t>Sainsbury’s</w:t>
            </w:r>
          </w:p>
        </w:tc>
        <w:tc>
          <w:tcPr>
            <w:tcW w:w="1335" w:type="dxa"/>
          </w:tcPr>
          <w:p w14:paraId="09F894B5" w14:textId="77777777" w:rsidR="00F54816" w:rsidRDefault="00F54816" w:rsidP="00F73518">
            <w:pPr>
              <w:cnfStyle w:val="100000000000" w:firstRow="1" w:lastRow="0" w:firstColumn="0" w:lastColumn="0" w:oddVBand="0" w:evenVBand="0" w:oddHBand="0" w:evenHBand="0" w:firstRowFirstColumn="0" w:firstRowLastColumn="0" w:lastRowFirstColumn="0" w:lastRowLastColumn="0"/>
            </w:pPr>
            <w:r>
              <w:t>2021</w:t>
            </w:r>
          </w:p>
        </w:tc>
        <w:tc>
          <w:tcPr>
            <w:tcW w:w="1336" w:type="dxa"/>
          </w:tcPr>
          <w:p w14:paraId="206D8A7E" w14:textId="77777777" w:rsidR="00F54816" w:rsidRDefault="00F54816" w:rsidP="00F73518">
            <w:pPr>
              <w:cnfStyle w:val="100000000000" w:firstRow="1" w:lastRow="0" w:firstColumn="0" w:lastColumn="0" w:oddVBand="0" w:evenVBand="0" w:oddHBand="0" w:evenHBand="0" w:firstRowFirstColumn="0" w:firstRowLastColumn="0" w:lastRowFirstColumn="0" w:lastRowLastColumn="0"/>
            </w:pPr>
            <w:r>
              <w:t xml:space="preserve">2020 </w:t>
            </w:r>
          </w:p>
        </w:tc>
        <w:tc>
          <w:tcPr>
            <w:tcW w:w="1336" w:type="dxa"/>
          </w:tcPr>
          <w:p w14:paraId="2566DA18" w14:textId="77777777" w:rsidR="00F54816" w:rsidRDefault="00F54816" w:rsidP="00F73518">
            <w:pPr>
              <w:cnfStyle w:val="100000000000" w:firstRow="1" w:lastRow="0" w:firstColumn="0" w:lastColumn="0" w:oddVBand="0" w:evenVBand="0" w:oddHBand="0" w:evenHBand="0" w:firstRowFirstColumn="0" w:firstRowLastColumn="0" w:lastRowFirstColumn="0" w:lastRowLastColumn="0"/>
            </w:pPr>
            <w:r>
              <w:t xml:space="preserve">2019 </w:t>
            </w:r>
          </w:p>
        </w:tc>
        <w:tc>
          <w:tcPr>
            <w:tcW w:w="1336" w:type="dxa"/>
          </w:tcPr>
          <w:p w14:paraId="75C987C8" w14:textId="77777777" w:rsidR="00F54816" w:rsidRDefault="00F54816" w:rsidP="00F73518">
            <w:pPr>
              <w:cnfStyle w:val="100000000000" w:firstRow="1" w:lastRow="0" w:firstColumn="0" w:lastColumn="0" w:oddVBand="0" w:evenVBand="0" w:oddHBand="0" w:evenHBand="0" w:firstRowFirstColumn="0" w:firstRowLastColumn="0" w:lastRowFirstColumn="0" w:lastRowLastColumn="0"/>
            </w:pPr>
            <w:r>
              <w:t xml:space="preserve">2018 </w:t>
            </w:r>
          </w:p>
        </w:tc>
        <w:tc>
          <w:tcPr>
            <w:tcW w:w="1336" w:type="dxa"/>
          </w:tcPr>
          <w:p w14:paraId="4F6B0548" w14:textId="77777777" w:rsidR="00F54816" w:rsidRDefault="00F54816" w:rsidP="00F73518">
            <w:pPr>
              <w:cnfStyle w:val="100000000000" w:firstRow="1" w:lastRow="0" w:firstColumn="0" w:lastColumn="0" w:oddVBand="0" w:evenVBand="0" w:oddHBand="0" w:evenHBand="0" w:firstRowFirstColumn="0" w:firstRowLastColumn="0" w:lastRowFirstColumn="0" w:lastRowLastColumn="0"/>
            </w:pPr>
            <w:r>
              <w:t xml:space="preserve">2017 </w:t>
            </w:r>
          </w:p>
        </w:tc>
        <w:tc>
          <w:tcPr>
            <w:tcW w:w="1336" w:type="dxa"/>
          </w:tcPr>
          <w:p w14:paraId="57B67E49" w14:textId="77777777" w:rsidR="00F54816" w:rsidRDefault="00F54816" w:rsidP="00F73518">
            <w:pPr>
              <w:jc w:val="center"/>
              <w:cnfStyle w:val="100000000000" w:firstRow="1" w:lastRow="0" w:firstColumn="0" w:lastColumn="0" w:oddVBand="0" w:evenVBand="0" w:oddHBand="0" w:evenHBand="0" w:firstRowFirstColumn="0" w:firstRowLastColumn="0" w:lastRowFirstColumn="0" w:lastRowLastColumn="0"/>
            </w:pPr>
            <w:r>
              <w:t>Tesco 2021</w:t>
            </w:r>
          </w:p>
        </w:tc>
      </w:tr>
      <w:tr w:rsidR="00F54816" w14:paraId="4358E823" w14:textId="77777777" w:rsidTr="00F65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5" w:type="dxa"/>
          </w:tcPr>
          <w:p w14:paraId="17D2F689" w14:textId="77777777" w:rsidR="00F54816" w:rsidRDefault="00F54816" w:rsidP="00F73518">
            <w:r>
              <w:lastRenderedPageBreak/>
              <w:t>Current ratio</w:t>
            </w:r>
          </w:p>
        </w:tc>
        <w:tc>
          <w:tcPr>
            <w:tcW w:w="1335" w:type="dxa"/>
          </w:tcPr>
          <w:p w14:paraId="134895BA" w14:textId="6CE88F03" w:rsidR="00F54816" w:rsidRDefault="00F54816" w:rsidP="00F73518">
            <w:pPr>
              <w:cnfStyle w:val="000000100000" w:firstRow="0" w:lastRow="0" w:firstColumn="0" w:lastColumn="0" w:oddVBand="0" w:evenVBand="0" w:oddHBand="1" w:evenHBand="0" w:firstRowFirstColumn="0" w:firstRowLastColumn="0" w:lastRowFirstColumn="0" w:lastRowLastColumn="0"/>
            </w:pPr>
            <w:r>
              <w:t xml:space="preserve">.60 </w:t>
            </w:r>
          </w:p>
        </w:tc>
        <w:tc>
          <w:tcPr>
            <w:tcW w:w="1336" w:type="dxa"/>
          </w:tcPr>
          <w:p w14:paraId="62A4BDA3" w14:textId="4F47838E" w:rsidR="00F54816" w:rsidRDefault="00F54816" w:rsidP="00F73518">
            <w:pPr>
              <w:cnfStyle w:val="000000100000" w:firstRow="0" w:lastRow="0" w:firstColumn="0" w:lastColumn="0" w:oddVBand="0" w:evenVBand="0" w:oddHBand="1" w:evenHBand="0" w:firstRowFirstColumn="0" w:firstRowLastColumn="0" w:lastRowFirstColumn="0" w:lastRowLastColumn="0"/>
            </w:pPr>
            <w:r>
              <w:t xml:space="preserve">.63 </w:t>
            </w:r>
          </w:p>
        </w:tc>
        <w:tc>
          <w:tcPr>
            <w:tcW w:w="1336" w:type="dxa"/>
          </w:tcPr>
          <w:p w14:paraId="650BF17A" w14:textId="058EBA87" w:rsidR="00F54816" w:rsidRDefault="00F54816" w:rsidP="00F73518">
            <w:pPr>
              <w:cnfStyle w:val="000000100000" w:firstRow="0" w:lastRow="0" w:firstColumn="0" w:lastColumn="0" w:oddVBand="0" w:evenVBand="0" w:oddHBand="1" w:evenHBand="0" w:firstRowFirstColumn="0" w:firstRowLastColumn="0" w:lastRowFirstColumn="0" w:lastRowLastColumn="0"/>
            </w:pPr>
            <w:r>
              <w:t xml:space="preserve">.66 </w:t>
            </w:r>
          </w:p>
        </w:tc>
        <w:tc>
          <w:tcPr>
            <w:tcW w:w="1336" w:type="dxa"/>
          </w:tcPr>
          <w:p w14:paraId="163BB84E" w14:textId="290C4516" w:rsidR="00F54816" w:rsidRDefault="00F54816" w:rsidP="00F73518">
            <w:pPr>
              <w:cnfStyle w:val="000000100000" w:firstRow="0" w:lastRow="0" w:firstColumn="0" w:lastColumn="0" w:oddVBand="0" w:evenVBand="0" w:oddHBand="1" w:evenHBand="0" w:firstRowFirstColumn="0" w:firstRowLastColumn="0" w:lastRowFirstColumn="0" w:lastRowLastColumn="0"/>
            </w:pPr>
            <w:r>
              <w:t xml:space="preserve">.76 </w:t>
            </w:r>
          </w:p>
        </w:tc>
        <w:tc>
          <w:tcPr>
            <w:tcW w:w="1336" w:type="dxa"/>
          </w:tcPr>
          <w:p w14:paraId="0C1A39CB" w14:textId="56C32B84" w:rsidR="00F54816" w:rsidRDefault="00F54816" w:rsidP="00F73518">
            <w:pPr>
              <w:cnfStyle w:val="000000100000" w:firstRow="0" w:lastRow="0" w:firstColumn="0" w:lastColumn="0" w:oddVBand="0" w:evenVBand="0" w:oddHBand="1" w:evenHBand="0" w:firstRowFirstColumn="0" w:firstRowLastColumn="0" w:lastRowFirstColumn="0" w:lastRowLastColumn="0"/>
            </w:pPr>
            <w:r>
              <w:t xml:space="preserve">.74 </w:t>
            </w:r>
          </w:p>
        </w:tc>
        <w:tc>
          <w:tcPr>
            <w:tcW w:w="1336" w:type="dxa"/>
          </w:tcPr>
          <w:p w14:paraId="6527CFB9" w14:textId="5504BCDF" w:rsidR="00F54816" w:rsidRDefault="00F54816" w:rsidP="00F73518">
            <w:pPr>
              <w:cnfStyle w:val="000000100000" w:firstRow="0" w:lastRow="0" w:firstColumn="0" w:lastColumn="0" w:oddVBand="0" w:evenVBand="0" w:oddHBand="1" w:evenHBand="0" w:firstRowFirstColumn="0" w:firstRowLastColumn="0" w:lastRowFirstColumn="0" w:lastRowLastColumn="0"/>
            </w:pPr>
            <w:r>
              <w:t>.68</w:t>
            </w:r>
          </w:p>
        </w:tc>
      </w:tr>
      <w:tr w:rsidR="00F54816" w14:paraId="4EB45848" w14:textId="77777777" w:rsidTr="00F65D10">
        <w:tc>
          <w:tcPr>
            <w:cnfStyle w:val="001000000000" w:firstRow="0" w:lastRow="0" w:firstColumn="1" w:lastColumn="0" w:oddVBand="0" w:evenVBand="0" w:oddHBand="0" w:evenHBand="0" w:firstRowFirstColumn="0" w:firstRowLastColumn="0" w:lastRowFirstColumn="0" w:lastRowLastColumn="0"/>
            <w:tcW w:w="1335" w:type="dxa"/>
          </w:tcPr>
          <w:p w14:paraId="44CE7130" w14:textId="77777777" w:rsidR="00F54816" w:rsidRDefault="00F54816" w:rsidP="00F73518">
            <w:r>
              <w:t>Quick ratio</w:t>
            </w:r>
          </w:p>
        </w:tc>
        <w:tc>
          <w:tcPr>
            <w:tcW w:w="1335" w:type="dxa"/>
          </w:tcPr>
          <w:p w14:paraId="3ED91C8C" w14:textId="30C34A32" w:rsidR="00F54816" w:rsidRDefault="00F54816" w:rsidP="00F73518">
            <w:pPr>
              <w:cnfStyle w:val="000000000000" w:firstRow="0" w:lastRow="0" w:firstColumn="0" w:lastColumn="0" w:oddVBand="0" w:evenVBand="0" w:oddHBand="0" w:evenHBand="0" w:firstRowFirstColumn="0" w:firstRowLastColumn="0" w:lastRowFirstColumn="0" w:lastRowLastColumn="0"/>
            </w:pPr>
            <w:r>
              <w:t xml:space="preserve">.46 </w:t>
            </w:r>
          </w:p>
        </w:tc>
        <w:tc>
          <w:tcPr>
            <w:tcW w:w="1336" w:type="dxa"/>
          </w:tcPr>
          <w:p w14:paraId="2A290618" w14:textId="70F05706" w:rsidR="00F54816" w:rsidRDefault="00F54816" w:rsidP="00F73518">
            <w:pPr>
              <w:cnfStyle w:val="000000000000" w:firstRow="0" w:lastRow="0" w:firstColumn="0" w:lastColumn="0" w:oddVBand="0" w:evenVBand="0" w:oddHBand="0" w:evenHBand="0" w:firstRowFirstColumn="0" w:firstRowLastColumn="0" w:lastRowFirstColumn="0" w:lastRowLastColumn="0"/>
            </w:pPr>
            <w:r>
              <w:t xml:space="preserve">.49 </w:t>
            </w:r>
          </w:p>
        </w:tc>
        <w:tc>
          <w:tcPr>
            <w:tcW w:w="1336" w:type="dxa"/>
          </w:tcPr>
          <w:p w14:paraId="02DB9B64" w14:textId="4F967BA6" w:rsidR="00F54816" w:rsidRDefault="00F54816" w:rsidP="00F73518">
            <w:pPr>
              <w:cnfStyle w:val="000000000000" w:firstRow="0" w:lastRow="0" w:firstColumn="0" w:lastColumn="0" w:oddVBand="0" w:evenVBand="0" w:oddHBand="0" w:evenHBand="0" w:firstRowFirstColumn="0" w:firstRowLastColumn="0" w:lastRowFirstColumn="0" w:lastRowLastColumn="0"/>
            </w:pPr>
            <w:r>
              <w:t xml:space="preserve">.50 </w:t>
            </w:r>
          </w:p>
        </w:tc>
        <w:tc>
          <w:tcPr>
            <w:tcW w:w="1336" w:type="dxa"/>
          </w:tcPr>
          <w:p w14:paraId="3DE5088C" w14:textId="4BC44905" w:rsidR="00F54816" w:rsidRDefault="00F54816" w:rsidP="00F73518">
            <w:pPr>
              <w:cnfStyle w:val="000000000000" w:firstRow="0" w:lastRow="0" w:firstColumn="0" w:lastColumn="0" w:oddVBand="0" w:evenVBand="0" w:oddHBand="0" w:evenHBand="0" w:firstRowFirstColumn="0" w:firstRowLastColumn="0" w:lastRowFirstColumn="0" w:lastRowLastColumn="0"/>
            </w:pPr>
            <w:r>
              <w:t xml:space="preserve">.59 </w:t>
            </w:r>
          </w:p>
        </w:tc>
        <w:tc>
          <w:tcPr>
            <w:tcW w:w="1336" w:type="dxa"/>
          </w:tcPr>
          <w:p w14:paraId="1685A5B3" w14:textId="18694E95" w:rsidR="00F54816" w:rsidRDefault="00F54816" w:rsidP="00F73518">
            <w:pPr>
              <w:cnfStyle w:val="000000000000" w:firstRow="0" w:lastRow="0" w:firstColumn="0" w:lastColumn="0" w:oddVBand="0" w:evenVBand="0" w:oddHBand="0" w:evenHBand="0" w:firstRowFirstColumn="0" w:firstRowLastColumn="0" w:lastRowFirstColumn="0" w:lastRowLastColumn="0"/>
            </w:pPr>
            <w:r>
              <w:t xml:space="preserve">.53 </w:t>
            </w:r>
          </w:p>
        </w:tc>
        <w:tc>
          <w:tcPr>
            <w:tcW w:w="1336" w:type="dxa"/>
          </w:tcPr>
          <w:p w14:paraId="20328F68" w14:textId="465F6724" w:rsidR="00F54816" w:rsidRDefault="00F54816" w:rsidP="00F73518">
            <w:pPr>
              <w:cnfStyle w:val="000000000000" w:firstRow="0" w:lastRow="0" w:firstColumn="0" w:lastColumn="0" w:oddVBand="0" w:evenVBand="0" w:oddHBand="0" w:evenHBand="0" w:firstRowFirstColumn="0" w:firstRowLastColumn="0" w:lastRowFirstColumn="0" w:lastRowLastColumn="0"/>
            </w:pPr>
            <w:r>
              <w:t>.55</w:t>
            </w:r>
          </w:p>
        </w:tc>
      </w:tr>
      <w:tr w:rsidR="00F54816" w14:paraId="3F92CA9D" w14:textId="77777777" w:rsidTr="00F65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5" w:type="dxa"/>
          </w:tcPr>
          <w:p w14:paraId="77AB9147" w14:textId="77777777" w:rsidR="00F54816" w:rsidRDefault="00F54816" w:rsidP="00F73518">
            <w:r>
              <w:t>Cash ratio</w:t>
            </w:r>
          </w:p>
        </w:tc>
        <w:tc>
          <w:tcPr>
            <w:tcW w:w="1335" w:type="dxa"/>
          </w:tcPr>
          <w:p w14:paraId="0BF149CE" w14:textId="4F022D6A" w:rsidR="00F54816" w:rsidRDefault="00F54816" w:rsidP="00F73518">
            <w:pPr>
              <w:cnfStyle w:val="000000100000" w:firstRow="0" w:lastRow="0" w:firstColumn="0" w:lastColumn="0" w:oddVBand="0" w:evenVBand="0" w:oddHBand="1" w:evenHBand="0" w:firstRowFirstColumn="0" w:firstRowLastColumn="0" w:lastRowFirstColumn="0" w:lastRowLastColumn="0"/>
            </w:pPr>
            <w:r>
              <w:t xml:space="preserve">.13 </w:t>
            </w:r>
          </w:p>
        </w:tc>
        <w:tc>
          <w:tcPr>
            <w:tcW w:w="1336" w:type="dxa"/>
          </w:tcPr>
          <w:p w14:paraId="42A924CD" w14:textId="21951FC4" w:rsidR="00F54816" w:rsidRDefault="00F54816" w:rsidP="00F73518">
            <w:pPr>
              <w:cnfStyle w:val="000000100000" w:firstRow="0" w:lastRow="0" w:firstColumn="0" w:lastColumn="0" w:oddVBand="0" w:evenVBand="0" w:oddHBand="1" w:evenHBand="0" w:firstRowFirstColumn="0" w:firstRowLastColumn="0" w:lastRowFirstColumn="0" w:lastRowLastColumn="0"/>
            </w:pPr>
            <w:r>
              <w:t xml:space="preserve">.08 </w:t>
            </w:r>
          </w:p>
        </w:tc>
        <w:tc>
          <w:tcPr>
            <w:tcW w:w="1336" w:type="dxa"/>
          </w:tcPr>
          <w:p w14:paraId="6DF59274" w14:textId="5B126865" w:rsidR="00F54816" w:rsidRDefault="00F54816" w:rsidP="00F73518">
            <w:pPr>
              <w:cnfStyle w:val="000000100000" w:firstRow="0" w:lastRow="0" w:firstColumn="0" w:lastColumn="0" w:oddVBand="0" w:evenVBand="0" w:oddHBand="1" w:evenHBand="0" w:firstRowFirstColumn="0" w:firstRowLastColumn="0" w:lastRowFirstColumn="0" w:lastRowLastColumn="0"/>
            </w:pPr>
            <w:r>
              <w:t xml:space="preserve">.10 </w:t>
            </w:r>
          </w:p>
        </w:tc>
        <w:tc>
          <w:tcPr>
            <w:tcW w:w="1336" w:type="dxa"/>
          </w:tcPr>
          <w:p w14:paraId="01005F03" w14:textId="6C3BC367" w:rsidR="00F54816" w:rsidRDefault="00F54816" w:rsidP="00F73518">
            <w:pPr>
              <w:cnfStyle w:val="000000100000" w:firstRow="0" w:lastRow="0" w:firstColumn="0" w:lastColumn="0" w:oddVBand="0" w:evenVBand="0" w:oddHBand="1" w:evenHBand="0" w:firstRowFirstColumn="0" w:firstRowLastColumn="0" w:lastRowFirstColumn="0" w:lastRowLastColumn="0"/>
            </w:pPr>
            <w:r>
              <w:t xml:space="preserve">.17 </w:t>
            </w:r>
          </w:p>
        </w:tc>
        <w:tc>
          <w:tcPr>
            <w:tcW w:w="1336" w:type="dxa"/>
          </w:tcPr>
          <w:p w14:paraId="064994BD" w14:textId="1AF865A0" w:rsidR="00F54816" w:rsidRDefault="00F54816" w:rsidP="00F73518">
            <w:pPr>
              <w:cnfStyle w:val="000000100000" w:firstRow="0" w:lastRow="0" w:firstColumn="0" w:lastColumn="0" w:oddVBand="0" w:evenVBand="0" w:oddHBand="1" w:evenHBand="0" w:firstRowFirstColumn="0" w:firstRowLastColumn="0" w:lastRowFirstColumn="0" w:lastRowLastColumn="0"/>
            </w:pPr>
            <w:r>
              <w:t xml:space="preserve">.13 </w:t>
            </w:r>
          </w:p>
        </w:tc>
        <w:tc>
          <w:tcPr>
            <w:tcW w:w="1336" w:type="dxa"/>
          </w:tcPr>
          <w:p w14:paraId="4FDBD54D" w14:textId="77777777" w:rsidR="00F54816" w:rsidRDefault="00F54816" w:rsidP="00F73518">
            <w:pPr>
              <w:cnfStyle w:val="000000100000" w:firstRow="0" w:lastRow="0" w:firstColumn="0" w:lastColumn="0" w:oddVBand="0" w:evenVBand="0" w:oddHBand="1" w:evenHBand="0" w:firstRowFirstColumn="0" w:firstRowLastColumn="0" w:lastRowFirstColumn="0" w:lastRowLastColumn="0"/>
            </w:pPr>
            <w:r>
              <w:t>.22</w:t>
            </w:r>
          </w:p>
        </w:tc>
      </w:tr>
    </w:tbl>
    <w:p w14:paraId="241445B6" w14:textId="77777777" w:rsidR="00CE57E6" w:rsidRDefault="00CE57E6" w:rsidP="00F73518">
      <w:pPr>
        <w:spacing w:line="240" w:lineRule="auto"/>
      </w:pPr>
      <w:r>
        <w:t>Source: (author)</w:t>
      </w:r>
    </w:p>
    <w:p w14:paraId="5437802A" w14:textId="18F13CA0" w:rsidR="00084BCA" w:rsidRPr="00F96555" w:rsidRDefault="00084BCA" w:rsidP="00F73518">
      <w:pPr>
        <w:spacing w:line="240" w:lineRule="auto"/>
        <w:rPr>
          <w:rFonts w:ascii="Agency FB" w:hAnsi="Agency FB"/>
          <w:sz w:val="24"/>
          <w:szCs w:val="24"/>
        </w:rPr>
      </w:pPr>
      <w:r w:rsidRPr="00F96555">
        <w:rPr>
          <w:rFonts w:ascii="Agency FB" w:hAnsi="Agency FB"/>
          <w:sz w:val="24"/>
          <w:szCs w:val="24"/>
        </w:rPr>
        <w:t xml:space="preserve">The cash ratio shows how well a company's money and money equivalents can cover its short-term or </w:t>
      </w:r>
      <w:r w:rsidRPr="00F96555">
        <w:rPr>
          <w:rFonts w:ascii="Agency FB" w:hAnsi="Agency FB"/>
          <w:sz w:val="24"/>
          <w:szCs w:val="24"/>
        </w:rPr>
        <w:t>present small</w:t>
      </w:r>
      <w:r w:rsidRPr="00F96555">
        <w:rPr>
          <w:rFonts w:ascii="Agency FB" w:hAnsi="Agency FB"/>
          <w:sz w:val="24"/>
          <w:szCs w:val="24"/>
        </w:rPr>
        <w:t xml:space="preserve"> liabilities. The cash ratio for Sainsbury's throughout time is depicted in the following table. In contrast to its high cash ratio throughout the previous five years, Sainsbury's had a low cash ratio in 2020. With a cash ratio of 0.13 in 2021, Sainsbury's only has enough cash on hand to satisfy 13% of its current liabilities. The most conservative liquidity metric to </w:t>
      </w:r>
      <w:r w:rsidRPr="00F96555">
        <w:rPr>
          <w:rFonts w:ascii="Agency FB" w:hAnsi="Agency FB"/>
          <w:sz w:val="24"/>
          <w:szCs w:val="24"/>
        </w:rPr>
        <w:t>assess</w:t>
      </w:r>
      <w:r w:rsidRPr="00F96555">
        <w:rPr>
          <w:rFonts w:ascii="Agency FB" w:hAnsi="Agency FB"/>
          <w:sz w:val="24"/>
          <w:szCs w:val="24"/>
        </w:rPr>
        <w:t xml:space="preserve"> a </w:t>
      </w:r>
      <w:r w:rsidRPr="00F96555">
        <w:rPr>
          <w:rFonts w:ascii="Agency FB" w:hAnsi="Agency FB"/>
          <w:sz w:val="24"/>
          <w:szCs w:val="24"/>
        </w:rPr>
        <w:t>firm's</w:t>
      </w:r>
      <w:r w:rsidRPr="00F96555">
        <w:rPr>
          <w:rFonts w:ascii="Agency FB" w:hAnsi="Agency FB"/>
          <w:sz w:val="24"/>
          <w:szCs w:val="24"/>
        </w:rPr>
        <w:t xml:space="preserve"> liquidity position is the cash ratio. As a firm's cash ratio increases, so does its ability to fulfil its current obligations in cash. Babalola and Abiola.</w:t>
      </w:r>
    </w:p>
    <w:p w14:paraId="2B4DBA09" w14:textId="28F9C04E" w:rsidR="00084BCA" w:rsidRPr="00F96555" w:rsidRDefault="00084BCA" w:rsidP="00F73518">
      <w:pPr>
        <w:spacing w:line="240" w:lineRule="auto"/>
        <w:rPr>
          <w:rFonts w:ascii="Agency FB" w:hAnsi="Agency FB"/>
          <w:sz w:val="24"/>
          <w:szCs w:val="24"/>
        </w:rPr>
      </w:pPr>
      <w:r w:rsidRPr="00F96555">
        <w:rPr>
          <w:rFonts w:ascii="Agency FB" w:hAnsi="Agency FB"/>
          <w:sz w:val="24"/>
          <w:szCs w:val="24"/>
        </w:rPr>
        <w:t>Therefore, businesses want to increase their cash-to-debt ratio. Sainsbury's cash ratio indicates that the corporation needs to use more</w:t>
      </w:r>
      <w:r w:rsidRPr="00F96555">
        <w:rPr>
          <w:rFonts w:ascii="Agency FB" w:hAnsi="Agency FB"/>
          <w:sz w:val="24"/>
          <w:szCs w:val="24"/>
        </w:rPr>
        <w:t xml:space="preserve"> money</w:t>
      </w:r>
      <w:r w:rsidRPr="00F96555">
        <w:rPr>
          <w:rFonts w:ascii="Agency FB" w:hAnsi="Agency FB"/>
          <w:sz w:val="24"/>
          <w:szCs w:val="24"/>
        </w:rPr>
        <w:t xml:space="preserve"> and </w:t>
      </w:r>
      <w:r w:rsidRPr="00F96555">
        <w:rPr>
          <w:rFonts w:ascii="Agency FB" w:hAnsi="Agency FB"/>
          <w:sz w:val="24"/>
          <w:szCs w:val="24"/>
        </w:rPr>
        <w:t>money</w:t>
      </w:r>
      <w:r w:rsidRPr="00F96555">
        <w:rPr>
          <w:rFonts w:ascii="Agency FB" w:hAnsi="Agency FB"/>
          <w:sz w:val="24"/>
          <w:szCs w:val="24"/>
        </w:rPr>
        <w:t xml:space="preserve"> equivalents to cover its </w:t>
      </w:r>
      <w:r w:rsidR="00BD2043" w:rsidRPr="00F96555">
        <w:rPr>
          <w:rFonts w:ascii="Agency FB" w:hAnsi="Agency FB"/>
          <w:sz w:val="24"/>
          <w:szCs w:val="24"/>
        </w:rPr>
        <w:t>recent</w:t>
      </w:r>
      <w:r w:rsidRPr="00F96555">
        <w:rPr>
          <w:rFonts w:ascii="Agency FB" w:hAnsi="Agency FB"/>
          <w:sz w:val="24"/>
          <w:szCs w:val="24"/>
        </w:rPr>
        <w:t xml:space="preserve"> </w:t>
      </w:r>
      <w:r w:rsidR="00BD2043" w:rsidRPr="00F96555">
        <w:rPr>
          <w:rFonts w:ascii="Agency FB" w:hAnsi="Agency FB"/>
          <w:sz w:val="24"/>
          <w:szCs w:val="24"/>
        </w:rPr>
        <w:t xml:space="preserve">small </w:t>
      </w:r>
      <w:r w:rsidRPr="00F96555">
        <w:rPr>
          <w:rFonts w:ascii="Agency FB" w:hAnsi="Agency FB"/>
          <w:sz w:val="24"/>
          <w:szCs w:val="24"/>
        </w:rPr>
        <w:t>liabilities. Tesco's cash-to-debt ratio in 2021 was 0.22, which means it has enough cash on hand to cover 22% of its current commitments. Given that Tesco's cash ratio is just a hair higher than Sainsbury's, Tesco may be in a little better financial situation than Sainsbury.</w:t>
      </w:r>
    </w:p>
    <w:p w14:paraId="662C13B3" w14:textId="06E0F025" w:rsidR="00BD2043" w:rsidRPr="00F96555" w:rsidRDefault="00BD2043" w:rsidP="00F73518">
      <w:pPr>
        <w:spacing w:line="240" w:lineRule="auto"/>
        <w:rPr>
          <w:rFonts w:ascii="Agency FB" w:hAnsi="Agency FB"/>
          <w:sz w:val="24"/>
          <w:szCs w:val="24"/>
        </w:rPr>
      </w:pPr>
      <w:r w:rsidRPr="00F96555">
        <w:rPr>
          <w:rFonts w:ascii="Agency FB" w:hAnsi="Agency FB"/>
          <w:sz w:val="24"/>
          <w:szCs w:val="24"/>
        </w:rPr>
        <w:t xml:space="preserve">The </w:t>
      </w:r>
      <w:r w:rsidRPr="00F96555">
        <w:rPr>
          <w:rFonts w:ascii="Agency FB" w:hAnsi="Agency FB"/>
          <w:sz w:val="24"/>
          <w:szCs w:val="24"/>
        </w:rPr>
        <w:t>quick</w:t>
      </w:r>
      <w:r w:rsidRPr="00F96555">
        <w:rPr>
          <w:rFonts w:ascii="Agency FB" w:hAnsi="Agency FB"/>
          <w:sz w:val="24"/>
          <w:szCs w:val="24"/>
        </w:rPr>
        <w:t xml:space="preserve"> ratio shows how easily a business may use cash and cash equivalents to pay its current debts, excluding inventory. With time, Sainsbury's fast ratio tends to decline. With a </w:t>
      </w:r>
      <w:r w:rsidRPr="00F96555">
        <w:rPr>
          <w:rFonts w:ascii="Agency FB" w:hAnsi="Agency FB"/>
          <w:sz w:val="24"/>
          <w:szCs w:val="24"/>
        </w:rPr>
        <w:t>quick</w:t>
      </w:r>
      <w:r w:rsidRPr="00F96555">
        <w:rPr>
          <w:rFonts w:ascii="Agency FB" w:hAnsi="Agency FB"/>
          <w:sz w:val="24"/>
          <w:szCs w:val="24"/>
        </w:rPr>
        <w:t xml:space="preserve"> ratio of 0.46 in 2021, Sainsbury's could pay off 46% of its short-term loans with current assets without selling any inventory. Changes in a variety of factors, including sales, the turnover of accounts receivable and payable, and others, can be blamed for Sainsbury's rapidly declining ratio. If the company's quick ratio is declining, it may be because it is having trouble growing revenues, collecting receivables slowly, paying payables swiftly, or taking on too much debt (Babalola, and Abiola, 2013). Tesco's quick ratio in 2021 was 0.55, which is significantly greater than Sainsbury's cash ratio. It implies that Tesco won't need to sell any of its inventory to better meet its short-term obligations.</w:t>
      </w:r>
    </w:p>
    <w:p w14:paraId="2EBCB471" w14:textId="5B452C4E" w:rsidR="00BD2043" w:rsidRPr="00F96555" w:rsidRDefault="00BD2043" w:rsidP="00F73518">
      <w:pPr>
        <w:spacing w:line="240" w:lineRule="auto"/>
        <w:rPr>
          <w:rFonts w:ascii="Agency FB" w:hAnsi="Agency FB"/>
          <w:sz w:val="24"/>
          <w:szCs w:val="24"/>
        </w:rPr>
      </w:pPr>
      <w:r w:rsidRPr="00F96555">
        <w:rPr>
          <w:rFonts w:ascii="Agency FB" w:hAnsi="Agency FB"/>
          <w:sz w:val="24"/>
          <w:szCs w:val="24"/>
        </w:rPr>
        <w:t xml:space="preserve">The most transparent measure of liquidity is the current ratio, which determines how much of a </w:t>
      </w:r>
      <w:r w:rsidR="00F96555" w:rsidRPr="00F96555">
        <w:rPr>
          <w:rFonts w:ascii="Agency FB" w:hAnsi="Agency FB"/>
          <w:sz w:val="24"/>
          <w:szCs w:val="24"/>
        </w:rPr>
        <w:t>firm</w:t>
      </w:r>
      <w:r w:rsidRPr="00F96555">
        <w:rPr>
          <w:rFonts w:ascii="Agency FB" w:hAnsi="Agency FB"/>
          <w:sz w:val="24"/>
          <w:szCs w:val="24"/>
        </w:rPr>
        <w:t>'s current liabilities can be paid by its current assets</w:t>
      </w:r>
      <w:r w:rsidR="00F96555" w:rsidRPr="00F96555">
        <w:rPr>
          <w:rFonts w:ascii="Agency FB" w:hAnsi="Agency FB"/>
          <w:sz w:val="24"/>
          <w:szCs w:val="24"/>
        </w:rPr>
        <w:t xml:space="preserve">. </w:t>
      </w:r>
      <w:r w:rsidR="00F96555" w:rsidRPr="00F96555">
        <w:rPr>
          <w:rFonts w:ascii="Agency FB" w:hAnsi="Agency FB"/>
          <w:sz w:val="24"/>
          <w:szCs w:val="24"/>
        </w:rPr>
        <w:t>If the ratio is higher, a corporation is more likely to be able to repay its short-term loans.</w:t>
      </w:r>
      <w:r w:rsidRPr="00F96555">
        <w:rPr>
          <w:rFonts w:ascii="Agency FB" w:hAnsi="Agency FB"/>
          <w:sz w:val="24"/>
          <w:szCs w:val="24"/>
        </w:rPr>
        <w:t xml:space="preserve"> A decent current ratio typically ranges from 1 to 3. 2018's Jathurika and Madushanka. Sainsbury's current ratio declined steadily from 0.7635 to 0.6037 between 2018 and 2021. Since 2018, Sainsbury's current assets have been declining. </w:t>
      </w:r>
      <w:r w:rsidR="00F96555" w:rsidRPr="00F96555">
        <w:rPr>
          <w:rFonts w:ascii="Agency FB" w:hAnsi="Agency FB"/>
          <w:sz w:val="24"/>
          <w:szCs w:val="24"/>
        </w:rPr>
        <w:t>Both a decline in current assets and an increase in current liabilities over that period may be responsible for this decline (Macrotrends, 2022).</w:t>
      </w:r>
      <w:r w:rsidRPr="00F96555">
        <w:rPr>
          <w:rFonts w:ascii="Agency FB" w:hAnsi="Agency FB"/>
          <w:sz w:val="24"/>
          <w:szCs w:val="24"/>
        </w:rPr>
        <w:t xml:space="preserve"> Tesco appears to be in a better liquidity situation than Sainsbury's, as seen by its 2021 current ratio of 0.68. Additionally, Tesco's current ratio fluctuates between accounting periods whereas Sainsbury's is rising.</w:t>
      </w:r>
    </w:p>
    <w:p w14:paraId="10534934" w14:textId="77777777" w:rsidR="00BD2043" w:rsidRDefault="00BD2043" w:rsidP="00F73518">
      <w:pPr>
        <w:spacing w:line="240" w:lineRule="auto"/>
      </w:pPr>
    </w:p>
    <w:p w14:paraId="2A01F555" w14:textId="1C7EBB1D" w:rsidR="00F96555" w:rsidRDefault="00F96555" w:rsidP="00F73518">
      <w:pPr>
        <w:pStyle w:val="Heading2"/>
        <w:spacing w:line="240" w:lineRule="auto"/>
        <w:rPr>
          <w:rFonts w:ascii="Agency FB" w:hAnsi="Agency FB"/>
          <w:b/>
          <w:bCs/>
          <w:sz w:val="32"/>
          <w:szCs w:val="32"/>
        </w:rPr>
      </w:pPr>
      <w:bookmarkStart w:id="6" w:name="_Toc113410726"/>
      <w:r w:rsidRPr="00F96555">
        <w:rPr>
          <w:rFonts w:ascii="Agency FB" w:hAnsi="Agency FB"/>
          <w:b/>
          <w:bCs/>
          <w:sz w:val="32"/>
          <w:szCs w:val="32"/>
        </w:rPr>
        <w:t>Gearing ratio</w:t>
      </w:r>
      <w:bookmarkEnd w:id="6"/>
    </w:p>
    <w:p w14:paraId="44DD07E6" w14:textId="77777777" w:rsidR="00F96555" w:rsidRPr="00F96555" w:rsidRDefault="00F96555" w:rsidP="00F73518">
      <w:pPr>
        <w:spacing w:line="240" w:lineRule="auto"/>
      </w:pPr>
    </w:p>
    <w:p w14:paraId="2177032B" w14:textId="584EC873" w:rsidR="008D6DDB" w:rsidRDefault="00F96555" w:rsidP="00F73518">
      <w:pPr>
        <w:spacing w:line="240" w:lineRule="auto"/>
        <w:rPr>
          <w:rFonts w:ascii="Agency FB" w:hAnsi="Agency FB"/>
          <w:sz w:val="24"/>
          <w:szCs w:val="24"/>
        </w:rPr>
      </w:pPr>
      <w:r w:rsidRPr="00F96555">
        <w:rPr>
          <w:rFonts w:ascii="Agency FB" w:hAnsi="Agency FB"/>
          <w:sz w:val="24"/>
          <w:szCs w:val="24"/>
        </w:rPr>
        <w:t>The term "gearing ratio" refers to a set of financial statistics that assesses the ratio of a company's ownership equity to its debt. It is possible to assess a firm's financial leverage by comparing the proportion of operations funded by debt versus capital given by owners (Karale, 2020).</w:t>
      </w:r>
    </w:p>
    <w:p w14:paraId="616CD032" w14:textId="3489BF4C" w:rsidR="00575FAE" w:rsidRDefault="00575FAE" w:rsidP="00F73518">
      <w:pPr>
        <w:spacing w:line="240" w:lineRule="auto"/>
        <w:rPr>
          <w:rFonts w:ascii="Agency FB" w:hAnsi="Agency FB"/>
          <w:sz w:val="24"/>
          <w:szCs w:val="24"/>
        </w:rPr>
      </w:pPr>
      <w:r>
        <w:rPr>
          <w:rFonts w:ascii="Agency FB" w:hAnsi="Agency FB"/>
          <w:sz w:val="24"/>
          <w:szCs w:val="24"/>
        </w:rPr>
        <w:t>Few gearing ratios are :</w:t>
      </w:r>
    </w:p>
    <w:p w14:paraId="398E5A37" w14:textId="3A51D132" w:rsidR="00575FAE" w:rsidRDefault="00575FAE" w:rsidP="00F73518">
      <w:pPr>
        <w:spacing w:line="240" w:lineRule="auto"/>
        <w:rPr>
          <w:rFonts w:ascii="Agency FB" w:hAnsi="Agency FB"/>
          <w:b/>
          <w:bCs/>
          <w:sz w:val="28"/>
          <w:szCs w:val="28"/>
        </w:rPr>
      </w:pPr>
      <w:r w:rsidRPr="00575FAE">
        <w:rPr>
          <w:rFonts w:ascii="Agency FB" w:hAnsi="Agency FB"/>
          <w:b/>
          <w:bCs/>
          <w:sz w:val="28"/>
          <w:szCs w:val="28"/>
        </w:rPr>
        <w:t>Debt-to-equity ratio:</w:t>
      </w:r>
    </w:p>
    <w:p w14:paraId="6FD3454D" w14:textId="1C433CC6" w:rsidR="00575FAE" w:rsidRPr="00575FAE" w:rsidRDefault="00575FAE" w:rsidP="00F73518">
      <w:pPr>
        <w:spacing w:line="240" w:lineRule="auto"/>
        <w:rPr>
          <w:rFonts w:ascii="Agency FB" w:hAnsi="Agency FB"/>
          <w:sz w:val="24"/>
          <w:szCs w:val="24"/>
        </w:rPr>
      </w:pPr>
      <w:r w:rsidRPr="00575FAE">
        <w:rPr>
          <w:rFonts w:ascii="Agency FB" w:hAnsi="Agency FB"/>
          <w:sz w:val="24"/>
          <w:szCs w:val="24"/>
        </w:rPr>
        <w:lastRenderedPageBreak/>
        <w:t>To assess how dangerous the company's financial structure is, the debt-to-equity ratio compares the firm's total equity and total debt (Nuryani and Sunarsi, 2020). As the ratio changes, the risk also changes.</w:t>
      </w:r>
    </w:p>
    <w:p w14:paraId="7818198D" w14:textId="4F9929E9" w:rsidR="00575FAE" w:rsidRDefault="00575FAE" w:rsidP="00F73518">
      <w:pPr>
        <w:spacing w:line="240" w:lineRule="auto"/>
        <w:rPr>
          <w:rFonts w:ascii="Cambria Math" w:hAnsi="Cambria Math" w:cs="Cambria Math"/>
        </w:rPr>
      </w:pPr>
      <w:r>
        <w:t xml:space="preserve">Debt-to-equity ratio = </w:t>
      </w:r>
      <w:r>
        <w:rPr>
          <w:rFonts w:ascii="Cambria Math" w:hAnsi="Cambria Math" w:cs="Cambria Math"/>
        </w:rPr>
        <w:t>𝑇𝑜𝑡𝑎𝑙</w:t>
      </w:r>
      <w:r>
        <w:t xml:space="preserve"> </w:t>
      </w:r>
      <w:r>
        <w:rPr>
          <w:rFonts w:ascii="Cambria Math" w:hAnsi="Cambria Math" w:cs="Cambria Math"/>
        </w:rPr>
        <w:t>𝐷𝑒𝑏𝑡/</w:t>
      </w:r>
      <w:r>
        <w:t xml:space="preserve"> </w:t>
      </w:r>
      <w:r>
        <w:rPr>
          <w:rFonts w:ascii="Cambria Math" w:hAnsi="Cambria Math" w:cs="Cambria Math"/>
        </w:rPr>
        <w:t>𝑇𝑜𝑡𝑎𝑙</w:t>
      </w:r>
      <w:r>
        <w:t xml:space="preserve"> </w:t>
      </w:r>
      <w:r>
        <w:rPr>
          <w:rFonts w:ascii="Cambria Math" w:hAnsi="Cambria Math" w:cs="Cambria Math"/>
        </w:rPr>
        <w:t>𝐸𝑞𝑢𝑖𝑡y</w:t>
      </w:r>
    </w:p>
    <w:p w14:paraId="67BF21DD" w14:textId="77777777" w:rsidR="00575FAE" w:rsidRPr="00575FAE" w:rsidRDefault="00575FAE" w:rsidP="00F73518">
      <w:pPr>
        <w:spacing w:line="240" w:lineRule="auto"/>
        <w:rPr>
          <w:rFonts w:ascii="Agency FB" w:hAnsi="Agency FB"/>
          <w:b/>
          <w:bCs/>
          <w:sz w:val="28"/>
          <w:szCs w:val="28"/>
        </w:rPr>
      </w:pPr>
      <w:r w:rsidRPr="00575FAE">
        <w:rPr>
          <w:rFonts w:ascii="Agency FB" w:hAnsi="Agency FB"/>
          <w:b/>
          <w:bCs/>
          <w:sz w:val="28"/>
          <w:szCs w:val="28"/>
        </w:rPr>
        <w:t>Equity ratio:</w:t>
      </w:r>
    </w:p>
    <w:p w14:paraId="7BAF91F0" w14:textId="77777777" w:rsidR="00575FAE" w:rsidRPr="00575FAE" w:rsidRDefault="00575FAE" w:rsidP="00F73518">
      <w:pPr>
        <w:spacing w:line="240" w:lineRule="auto"/>
        <w:rPr>
          <w:rFonts w:ascii="Agency FB" w:hAnsi="Agency FB"/>
          <w:sz w:val="24"/>
          <w:szCs w:val="24"/>
        </w:rPr>
      </w:pPr>
      <w:r w:rsidRPr="00575FAE">
        <w:rPr>
          <w:rFonts w:ascii="Agency FB" w:hAnsi="Agency FB"/>
          <w:sz w:val="24"/>
          <w:szCs w:val="24"/>
        </w:rPr>
        <w:t>The equity ratio calculates a company's capital structure's degree of leverage. In other words, it evaluates the proportion of debt a firm utilizes to finance its operations as compared to equity.</w:t>
      </w:r>
    </w:p>
    <w:p w14:paraId="197EA870" w14:textId="77777777" w:rsidR="00575FAE" w:rsidRDefault="00575FAE" w:rsidP="00F73518">
      <w:pPr>
        <w:spacing w:line="240" w:lineRule="auto"/>
      </w:pPr>
      <w:r>
        <w:t xml:space="preserve">Equity ratio= </w:t>
      </w:r>
      <w:r>
        <w:rPr>
          <w:rFonts w:ascii="Cambria Math" w:hAnsi="Cambria Math" w:cs="Cambria Math"/>
        </w:rPr>
        <w:t>𝑇𝑜𝑡𝑎𝑙</w:t>
      </w:r>
      <w:r>
        <w:t xml:space="preserve"> </w:t>
      </w:r>
      <w:r>
        <w:rPr>
          <w:rFonts w:ascii="Cambria Math" w:hAnsi="Cambria Math" w:cs="Cambria Math"/>
        </w:rPr>
        <w:t>𝐸𝑞𝑢𝑖𝑡𝑦/</w:t>
      </w:r>
      <w:r>
        <w:t xml:space="preserve"> </w:t>
      </w:r>
      <w:r>
        <w:rPr>
          <w:rFonts w:ascii="Cambria Math" w:hAnsi="Cambria Math" w:cs="Cambria Math"/>
        </w:rPr>
        <w:t>𝑇𝑜𝑡𝑎𝑙</w:t>
      </w:r>
      <w:r>
        <w:t xml:space="preserve"> </w:t>
      </w:r>
      <w:r>
        <w:rPr>
          <w:rFonts w:ascii="Cambria Math" w:hAnsi="Cambria Math" w:cs="Cambria Math"/>
        </w:rPr>
        <w:t>𝐴𝑠𝑠𝑒ts</w:t>
      </w:r>
    </w:p>
    <w:p w14:paraId="41E9BADE" w14:textId="42910184" w:rsidR="00575FAE" w:rsidRPr="00CE57E6" w:rsidRDefault="00CE57E6" w:rsidP="00F73518">
      <w:pPr>
        <w:spacing w:line="240" w:lineRule="auto"/>
        <w:rPr>
          <w:rFonts w:ascii="Agency FB" w:hAnsi="Agency FB" w:cs="Cambria Math"/>
          <w:sz w:val="24"/>
          <w:szCs w:val="24"/>
        </w:rPr>
      </w:pPr>
      <w:r w:rsidRPr="00CE57E6">
        <w:rPr>
          <w:rFonts w:ascii="Agency FB" w:hAnsi="Agency FB" w:cs="Cambria Math"/>
          <w:sz w:val="24"/>
          <w:szCs w:val="24"/>
        </w:rPr>
        <w:t>The following table shows the debt-to-equity ratio and equity ratio for Sainsbury's from 2017 to 2021 as well as those for Tesco in 2021.</w:t>
      </w:r>
    </w:p>
    <w:tbl>
      <w:tblPr>
        <w:tblStyle w:val="GridTable3"/>
        <w:tblW w:w="0" w:type="auto"/>
        <w:tblInd w:w="5" w:type="dxa"/>
        <w:tblLook w:val="04A0" w:firstRow="1" w:lastRow="0" w:firstColumn="1" w:lastColumn="0" w:noHBand="0" w:noVBand="1"/>
      </w:tblPr>
      <w:tblGrid>
        <w:gridCol w:w="1335"/>
        <w:gridCol w:w="1335"/>
        <w:gridCol w:w="1336"/>
        <w:gridCol w:w="1336"/>
        <w:gridCol w:w="1336"/>
        <w:gridCol w:w="1336"/>
        <w:gridCol w:w="1336"/>
      </w:tblGrid>
      <w:tr w:rsidR="00CE57E6" w14:paraId="5B566678" w14:textId="77777777" w:rsidTr="00CE57E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335" w:type="dxa"/>
          </w:tcPr>
          <w:p w14:paraId="43BAD150" w14:textId="77777777" w:rsidR="00CE57E6" w:rsidRDefault="00CE57E6" w:rsidP="00F73518">
            <w:r>
              <w:t>Sainsbury’s</w:t>
            </w:r>
          </w:p>
        </w:tc>
        <w:tc>
          <w:tcPr>
            <w:tcW w:w="1335" w:type="dxa"/>
          </w:tcPr>
          <w:p w14:paraId="70FCCA0B" w14:textId="77777777" w:rsidR="00CE57E6" w:rsidRDefault="00CE57E6" w:rsidP="00F73518">
            <w:pPr>
              <w:cnfStyle w:val="100000000000" w:firstRow="1" w:lastRow="0" w:firstColumn="0" w:lastColumn="0" w:oddVBand="0" w:evenVBand="0" w:oddHBand="0" w:evenHBand="0" w:firstRowFirstColumn="0" w:firstRowLastColumn="0" w:lastRowFirstColumn="0" w:lastRowLastColumn="0"/>
            </w:pPr>
            <w:r>
              <w:t xml:space="preserve">2017 </w:t>
            </w:r>
          </w:p>
        </w:tc>
        <w:tc>
          <w:tcPr>
            <w:tcW w:w="1336" w:type="dxa"/>
          </w:tcPr>
          <w:p w14:paraId="2CDFFBFD" w14:textId="77777777" w:rsidR="00CE57E6" w:rsidRDefault="00CE57E6" w:rsidP="00F73518">
            <w:pPr>
              <w:cnfStyle w:val="100000000000" w:firstRow="1" w:lastRow="0" w:firstColumn="0" w:lastColumn="0" w:oddVBand="0" w:evenVBand="0" w:oddHBand="0" w:evenHBand="0" w:firstRowFirstColumn="0" w:firstRowLastColumn="0" w:lastRowFirstColumn="0" w:lastRowLastColumn="0"/>
            </w:pPr>
            <w:r>
              <w:t xml:space="preserve">2018 </w:t>
            </w:r>
          </w:p>
        </w:tc>
        <w:tc>
          <w:tcPr>
            <w:tcW w:w="1336" w:type="dxa"/>
          </w:tcPr>
          <w:p w14:paraId="27D2D348" w14:textId="77777777" w:rsidR="00CE57E6" w:rsidRDefault="00CE57E6" w:rsidP="00F73518">
            <w:pPr>
              <w:cnfStyle w:val="100000000000" w:firstRow="1" w:lastRow="0" w:firstColumn="0" w:lastColumn="0" w:oddVBand="0" w:evenVBand="0" w:oddHBand="0" w:evenHBand="0" w:firstRowFirstColumn="0" w:firstRowLastColumn="0" w:lastRowFirstColumn="0" w:lastRowLastColumn="0"/>
            </w:pPr>
            <w:r>
              <w:t xml:space="preserve">2019 </w:t>
            </w:r>
          </w:p>
        </w:tc>
        <w:tc>
          <w:tcPr>
            <w:tcW w:w="1336" w:type="dxa"/>
          </w:tcPr>
          <w:p w14:paraId="5E0037BD" w14:textId="77777777" w:rsidR="00CE57E6" w:rsidRDefault="00CE57E6" w:rsidP="00F73518">
            <w:pPr>
              <w:cnfStyle w:val="100000000000" w:firstRow="1" w:lastRow="0" w:firstColumn="0" w:lastColumn="0" w:oddVBand="0" w:evenVBand="0" w:oddHBand="0" w:evenHBand="0" w:firstRowFirstColumn="0" w:firstRowLastColumn="0" w:lastRowFirstColumn="0" w:lastRowLastColumn="0"/>
            </w:pPr>
            <w:r>
              <w:t xml:space="preserve">2020 </w:t>
            </w:r>
          </w:p>
        </w:tc>
        <w:tc>
          <w:tcPr>
            <w:tcW w:w="1336" w:type="dxa"/>
          </w:tcPr>
          <w:p w14:paraId="49672B8C" w14:textId="77777777" w:rsidR="00CE57E6" w:rsidRDefault="00CE57E6" w:rsidP="00F73518">
            <w:pPr>
              <w:cnfStyle w:val="100000000000" w:firstRow="1" w:lastRow="0" w:firstColumn="0" w:lastColumn="0" w:oddVBand="0" w:evenVBand="0" w:oddHBand="0" w:evenHBand="0" w:firstRowFirstColumn="0" w:firstRowLastColumn="0" w:lastRowFirstColumn="0" w:lastRowLastColumn="0"/>
            </w:pPr>
            <w:r>
              <w:t xml:space="preserve">2021 </w:t>
            </w:r>
          </w:p>
        </w:tc>
        <w:tc>
          <w:tcPr>
            <w:tcW w:w="1336" w:type="dxa"/>
          </w:tcPr>
          <w:p w14:paraId="15FE6431" w14:textId="77777777" w:rsidR="00CE57E6" w:rsidRDefault="00CE57E6" w:rsidP="00F73518">
            <w:pPr>
              <w:cnfStyle w:val="100000000000" w:firstRow="1" w:lastRow="0" w:firstColumn="0" w:lastColumn="0" w:oddVBand="0" w:evenVBand="0" w:oddHBand="0" w:evenHBand="0" w:firstRowFirstColumn="0" w:firstRowLastColumn="0" w:lastRowFirstColumn="0" w:lastRowLastColumn="0"/>
            </w:pPr>
            <w:r>
              <w:t>Tesco 2021</w:t>
            </w:r>
          </w:p>
        </w:tc>
      </w:tr>
      <w:tr w:rsidR="00CE57E6" w14:paraId="1B45C4AC" w14:textId="77777777" w:rsidTr="00CE57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5" w:type="dxa"/>
          </w:tcPr>
          <w:p w14:paraId="1CA5EC0D" w14:textId="77777777" w:rsidR="00CE57E6" w:rsidRDefault="00CE57E6" w:rsidP="00F73518">
            <w:r>
              <w:t>Debt-to-equity ratio</w:t>
            </w:r>
          </w:p>
        </w:tc>
        <w:tc>
          <w:tcPr>
            <w:tcW w:w="1335" w:type="dxa"/>
          </w:tcPr>
          <w:p w14:paraId="245D7C20" w14:textId="77777777" w:rsidR="00CE57E6" w:rsidRDefault="00CE57E6" w:rsidP="00F73518">
            <w:pPr>
              <w:cnfStyle w:val="000000100000" w:firstRow="0" w:lastRow="0" w:firstColumn="0" w:lastColumn="0" w:oddVBand="0" w:evenVBand="0" w:oddHBand="1" w:evenHBand="0" w:firstRowFirstColumn="0" w:firstRowLastColumn="0" w:lastRowFirstColumn="0" w:lastRowLastColumn="0"/>
            </w:pPr>
            <w:r>
              <w:t xml:space="preserve">1.87 </w:t>
            </w:r>
          </w:p>
        </w:tc>
        <w:tc>
          <w:tcPr>
            <w:tcW w:w="1336" w:type="dxa"/>
          </w:tcPr>
          <w:p w14:paraId="316FA374" w14:textId="77777777" w:rsidR="00CE57E6" w:rsidRDefault="00CE57E6" w:rsidP="00F73518">
            <w:pPr>
              <w:cnfStyle w:val="000000100000" w:firstRow="0" w:lastRow="0" w:firstColumn="0" w:lastColumn="0" w:oddVBand="0" w:evenVBand="0" w:oddHBand="1" w:evenHBand="0" w:firstRowFirstColumn="0" w:firstRowLastColumn="0" w:lastRowFirstColumn="0" w:lastRowLastColumn="0"/>
            </w:pPr>
            <w:r>
              <w:t xml:space="preserve">1.97 </w:t>
            </w:r>
          </w:p>
        </w:tc>
        <w:tc>
          <w:tcPr>
            <w:tcW w:w="1336" w:type="dxa"/>
          </w:tcPr>
          <w:p w14:paraId="22DE6C17" w14:textId="77777777" w:rsidR="00CE57E6" w:rsidRDefault="00CE57E6" w:rsidP="00F73518">
            <w:pPr>
              <w:cnfStyle w:val="000000100000" w:firstRow="0" w:lastRow="0" w:firstColumn="0" w:lastColumn="0" w:oddVBand="0" w:evenVBand="0" w:oddHBand="1" w:evenHBand="0" w:firstRowFirstColumn="0" w:firstRowLastColumn="0" w:lastRowFirstColumn="0" w:lastRowLastColumn="0"/>
            </w:pPr>
            <w:r>
              <w:t xml:space="preserve">1.78 </w:t>
            </w:r>
          </w:p>
        </w:tc>
        <w:tc>
          <w:tcPr>
            <w:tcW w:w="1336" w:type="dxa"/>
          </w:tcPr>
          <w:p w14:paraId="49E564C1" w14:textId="77777777" w:rsidR="00CE57E6" w:rsidRDefault="00CE57E6" w:rsidP="00F73518">
            <w:pPr>
              <w:cnfStyle w:val="000000100000" w:firstRow="0" w:lastRow="0" w:firstColumn="0" w:lastColumn="0" w:oddVBand="0" w:evenVBand="0" w:oddHBand="1" w:evenHBand="0" w:firstRowFirstColumn="0" w:firstRowLastColumn="0" w:lastRowFirstColumn="0" w:lastRowLastColumn="0"/>
            </w:pPr>
            <w:r>
              <w:t xml:space="preserve">2.59 </w:t>
            </w:r>
          </w:p>
        </w:tc>
        <w:tc>
          <w:tcPr>
            <w:tcW w:w="1336" w:type="dxa"/>
          </w:tcPr>
          <w:p w14:paraId="00571503" w14:textId="77777777" w:rsidR="00CE57E6" w:rsidRDefault="00CE57E6" w:rsidP="00F73518">
            <w:pPr>
              <w:cnfStyle w:val="000000100000" w:firstRow="0" w:lastRow="0" w:firstColumn="0" w:lastColumn="0" w:oddVBand="0" w:evenVBand="0" w:oddHBand="1" w:evenHBand="0" w:firstRowFirstColumn="0" w:firstRowLastColumn="0" w:lastRowFirstColumn="0" w:lastRowLastColumn="0"/>
            </w:pPr>
            <w:r>
              <w:t xml:space="preserve">2.81 </w:t>
            </w:r>
          </w:p>
        </w:tc>
        <w:tc>
          <w:tcPr>
            <w:tcW w:w="1336" w:type="dxa"/>
          </w:tcPr>
          <w:p w14:paraId="27CDBFDA" w14:textId="77777777" w:rsidR="00CE57E6" w:rsidRDefault="00CE57E6" w:rsidP="00F73518">
            <w:pPr>
              <w:cnfStyle w:val="000000100000" w:firstRow="0" w:lastRow="0" w:firstColumn="0" w:lastColumn="0" w:oddVBand="0" w:evenVBand="0" w:oddHBand="1" w:evenHBand="0" w:firstRowFirstColumn="0" w:firstRowLastColumn="0" w:lastRowFirstColumn="0" w:lastRowLastColumn="0"/>
            </w:pPr>
            <w:r>
              <w:t>2.71</w:t>
            </w:r>
          </w:p>
        </w:tc>
      </w:tr>
      <w:tr w:rsidR="00CE57E6" w14:paraId="33672A9E" w14:textId="77777777" w:rsidTr="00CE57E6">
        <w:tc>
          <w:tcPr>
            <w:cnfStyle w:val="001000000000" w:firstRow="0" w:lastRow="0" w:firstColumn="1" w:lastColumn="0" w:oddVBand="0" w:evenVBand="0" w:oddHBand="0" w:evenHBand="0" w:firstRowFirstColumn="0" w:firstRowLastColumn="0" w:lastRowFirstColumn="0" w:lastRowLastColumn="0"/>
            <w:tcW w:w="1335" w:type="dxa"/>
          </w:tcPr>
          <w:p w14:paraId="5E96BE5E" w14:textId="77777777" w:rsidR="00CE57E6" w:rsidRDefault="00CE57E6" w:rsidP="00F73518">
            <w:r>
              <w:t>Equity ratio</w:t>
            </w:r>
          </w:p>
        </w:tc>
        <w:tc>
          <w:tcPr>
            <w:tcW w:w="1335" w:type="dxa"/>
          </w:tcPr>
          <w:p w14:paraId="58120BB7" w14:textId="77777777" w:rsidR="00CE57E6" w:rsidRDefault="00CE57E6" w:rsidP="00F73518">
            <w:pPr>
              <w:cnfStyle w:val="000000000000" w:firstRow="0" w:lastRow="0" w:firstColumn="0" w:lastColumn="0" w:oddVBand="0" w:evenVBand="0" w:oddHBand="0" w:evenHBand="0" w:firstRowFirstColumn="0" w:firstRowLastColumn="0" w:lastRowFirstColumn="0" w:lastRowLastColumn="0"/>
            </w:pPr>
            <w:r>
              <w:t xml:space="preserve">0.35 </w:t>
            </w:r>
          </w:p>
        </w:tc>
        <w:tc>
          <w:tcPr>
            <w:tcW w:w="1336" w:type="dxa"/>
          </w:tcPr>
          <w:p w14:paraId="47585714" w14:textId="77777777" w:rsidR="00CE57E6" w:rsidRDefault="00CE57E6" w:rsidP="00F73518">
            <w:pPr>
              <w:cnfStyle w:val="000000000000" w:firstRow="0" w:lastRow="0" w:firstColumn="0" w:lastColumn="0" w:oddVBand="0" w:evenVBand="0" w:oddHBand="0" w:evenHBand="0" w:firstRowFirstColumn="0" w:firstRowLastColumn="0" w:lastRowFirstColumn="0" w:lastRowLastColumn="0"/>
            </w:pPr>
            <w:r>
              <w:t xml:space="preserve">0.34 </w:t>
            </w:r>
          </w:p>
        </w:tc>
        <w:tc>
          <w:tcPr>
            <w:tcW w:w="1336" w:type="dxa"/>
          </w:tcPr>
          <w:p w14:paraId="23116DD0" w14:textId="77777777" w:rsidR="00CE57E6" w:rsidRDefault="00CE57E6" w:rsidP="00F73518">
            <w:pPr>
              <w:cnfStyle w:val="000000000000" w:firstRow="0" w:lastRow="0" w:firstColumn="0" w:lastColumn="0" w:oddVBand="0" w:evenVBand="0" w:oddHBand="0" w:evenHBand="0" w:firstRowFirstColumn="0" w:firstRowLastColumn="0" w:lastRowFirstColumn="0" w:lastRowLastColumn="0"/>
            </w:pPr>
            <w:r>
              <w:t xml:space="preserve">0.36 </w:t>
            </w:r>
          </w:p>
        </w:tc>
        <w:tc>
          <w:tcPr>
            <w:tcW w:w="1336" w:type="dxa"/>
          </w:tcPr>
          <w:p w14:paraId="6EAE8C57" w14:textId="77777777" w:rsidR="00CE57E6" w:rsidRDefault="00CE57E6" w:rsidP="00F73518">
            <w:pPr>
              <w:cnfStyle w:val="000000000000" w:firstRow="0" w:lastRow="0" w:firstColumn="0" w:lastColumn="0" w:oddVBand="0" w:evenVBand="0" w:oddHBand="0" w:evenHBand="0" w:firstRowFirstColumn="0" w:firstRowLastColumn="0" w:lastRowFirstColumn="0" w:lastRowLastColumn="0"/>
            </w:pPr>
            <w:r>
              <w:t xml:space="preserve">0.28 </w:t>
            </w:r>
          </w:p>
        </w:tc>
        <w:tc>
          <w:tcPr>
            <w:tcW w:w="1336" w:type="dxa"/>
          </w:tcPr>
          <w:p w14:paraId="394AE642" w14:textId="77777777" w:rsidR="00CE57E6" w:rsidRDefault="00CE57E6" w:rsidP="00F73518">
            <w:pPr>
              <w:cnfStyle w:val="000000000000" w:firstRow="0" w:lastRow="0" w:firstColumn="0" w:lastColumn="0" w:oddVBand="0" w:evenVBand="0" w:oddHBand="0" w:evenHBand="0" w:firstRowFirstColumn="0" w:firstRowLastColumn="0" w:lastRowFirstColumn="0" w:lastRowLastColumn="0"/>
            </w:pPr>
            <w:r>
              <w:t xml:space="preserve">0.26 </w:t>
            </w:r>
          </w:p>
        </w:tc>
        <w:tc>
          <w:tcPr>
            <w:tcW w:w="1336" w:type="dxa"/>
          </w:tcPr>
          <w:p w14:paraId="0970472C" w14:textId="77777777" w:rsidR="00CE57E6" w:rsidRDefault="00CE57E6" w:rsidP="00F73518">
            <w:pPr>
              <w:cnfStyle w:val="000000000000" w:firstRow="0" w:lastRow="0" w:firstColumn="0" w:lastColumn="0" w:oddVBand="0" w:evenVBand="0" w:oddHBand="0" w:evenHBand="0" w:firstRowFirstColumn="0" w:firstRowLastColumn="0" w:lastRowFirstColumn="0" w:lastRowLastColumn="0"/>
            </w:pPr>
            <w:r>
              <w:t>0.27</w:t>
            </w:r>
          </w:p>
        </w:tc>
      </w:tr>
    </w:tbl>
    <w:p w14:paraId="650FA405" w14:textId="77777777" w:rsidR="00CE57E6" w:rsidRDefault="00CE57E6" w:rsidP="00F73518">
      <w:pPr>
        <w:spacing w:line="240" w:lineRule="auto"/>
      </w:pPr>
      <w:r>
        <w:t>Source: (author)</w:t>
      </w:r>
    </w:p>
    <w:p w14:paraId="7265F0F7" w14:textId="77777777" w:rsidR="00CE57E6" w:rsidRPr="00CE57E6" w:rsidRDefault="00CE57E6" w:rsidP="00F73518">
      <w:pPr>
        <w:spacing w:line="240" w:lineRule="auto"/>
        <w:rPr>
          <w:rFonts w:ascii="Agency FB" w:hAnsi="Agency FB"/>
          <w:sz w:val="24"/>
          <w:szCs w:val="24"/>
        </w:rPr>
      </w:pPr>
      <w:r w:rsidRPr="00CE57E6">
        <w:rPr>
          <w:rFonts w:ascii="Agency FB" w:hAnsi="Agency FB"/>
          <w:sz w:val="24"/>
          <w:szCs w:val="24"/>
        </w:rPr>
        <w:t>The debt to equity ratio increased in 2021 as compared to 2017. In 2021, Tesco and Sainsbury's had a debt to equity ratios of 2.71 and 2.81, respectively. These two rivals' debt-to-equity ratios are relatively close, while Tesco's DE ratio is far lower. The smaller the DE ratio, the lesser the likelihood that a firm would declare bankruptcy. Businesses should make an effort to finance their investments with as little debt as possible to lower risk. The increase in the company's debt to equity ratio between 2017 and 2021 is what caused Sainsbury's total liabilities to increase (Nuryani, and Sunarsi, 2020). The financial reports for this period show that while total liabilities increased dramatically, total shareholder equity increased just somewhat. This had a considerable influence on the company's DE ratio. As the DE ratio increases, the corporation's vulnerability to the threat of insolvency increases. Tesco has lowered its DE ratio while seeking to reduce this leverage.</w:t>
      </w:r>
    </w:p>
    <w:p w14:paraId="4BDA3A4D" w14:textId="77777777" w:rsidR="00CE57E6" w:rsidRDefault="00CE57E6" w:rsidP="00F73518">
      <w:pPr>
        <w:spacing w:line="240" w:lineRule="auto"/>
      </w:pPr>
      <w:r w:rsidRPr="00CE57E6">
        <w:rPr>
          <w:rFonts w:ascii="Agency FB" w:hAnsi="Agency FB"/>
          <w:sz w:val="24"/>
          <w:szCs w:val="24"/>
        </w:rPr>
        <w:t>What portion of assets were financed by shareholder equity is shown by the equity ratio. If the ratio is smaller, the firm is riskier and has higher debt. Because the company is using debt, a lower than 50% equity ratio shows that it is a dangerous business. Sainsbury's is borrowing more money to fund its assets, as seen by the drop in equity ratio throughout the period. As a result, the organization's risk level increases yearly (My Accounting Course, 2022). Tesco's equity ratio is somewhat close to Sainsbury's with a score of 0.27. It shows that both businesses have about the same equity to fund their assets.</w:t>
      </w:r>
    </w:p>
    <w:p w14:paraId="6925602E" w14:textId="09303AFB" w:rsidR="00CE57E6" w:rsidRPr="00C11AF3" w:rsidRDefault="00CE57E6" w:rsidP="00F73518">
      <w:pPr>
        <w:pStyle w:val="Heading1"/>
        <w:spacing w:line="240" w:lineRule="auto"/>
        <w:rPr>
          <w:rFonts w:ascii="Agency FB" w:hAnsi="Agency FB"/>
          <w:b/>
          <w:bCs/>
          <w:color w:val="ED7D31" w:themeColor="accent2"/>
          <w:sz w:val="40"/>
          <w:szCs w:val="40"/>
        </w:rPr>
      </w:pPr>
      <w:bookmarkStart w:id="7" w:name="_Toc113410727"/>
      <w:r w:rsidRPr="00C11AF3">
        <w:rPr>
          <w:rFonts w:ascii="Agency FB" w:hAnsi="Agency FB"/>
          <w:b/>
          <w:bCs/>
          <w:color w:val="ED7D31" w:themeColor="accent2"/>
          <w:sz w:val="40"/>
          <w:szCs w:val="40"/>
        </w:rPr>
        <w:t>Capital structure</w:t>
      </w:r>
      <w:bookmarkEnd w:id="7"/>
    </w:p>
    <w:p w14:paraId="1A53533A" w14:textId="77777777" w:rsidR="00F1750F" w:rsidRPr="00F1750F" w:rsidRDefault="00F1750F" w:rsidP="00F73518">
      <w:pPr>
        <w:spacing w:line="240" w:lineRule="auto"/>
      </w:pPr>
    </w:p>
    <w:p w14:paraId="563A2337" w14:textId="5895E2F2" w:rsidR="00CE57E6" w:rsidRPr="00F1750F" w:rsidRDefault="00F1750F" w:rsidP="00F73518">
      <w:pPr>
        <w:spacing w:line="240" w:lineRule="auto"/>
        <w:rPr>
          <w:rFonts w:ascii="Agency FB" w:hAnsi="Agency FB"/>
          <w:sz w:val="24"/>
          <w:szCs w:val="24"/>
        </w:rPr>
      </w:pPr>
      <w:r w:rsidRPr="00F1750F">
        <w:rPr>
          <w:rFonts w:ascii="Agency FB" w:hAnsi="Agency FB"/>
          <w:sz w:val="24"/>
          <w:szCs w:val="24"/>
        </w:rPr>
        <w:t>The capital structure of a firm refers to the combination or blend of debt and equity that it uses to finance its extensive operations.</w:t>
      </w:r>
    </w:p>
    <w:p w14:paraId="237C8481" w14:textId="281566A9" w:rsidR="00575FAE" w:rsidRDefault="00F1750F" w:rsidP="00F73518">
      <w:pPr>
        <w:spacing w:line="240" w:lineRule="auto"/>
        <w:rPr>
          <w:rFonts w:ascii="Agency FB" w:hAnsi="Agency FB"/>
          <w:sz w:val="24"/>
          <w:szCs w:val="24"/>
        </w:rPr>
      </w:pPr>
      <w:r w:rsidRPr="00F1750F">
        <w:rPr>
          <w:rFonts w:ascii="Agency FB" w:hAnsi="Agency FB"/>
          <w:sz w:val="24"/>
          <w:szCs w:val="24"/>
        </w:rPr>
        <w:t>The decision to raise money from various sources and invest it in various assets is guided by a set of rules that create a capital structure that enables a corporation to get the best rate of return at the lowest cost. A capital structure is a term used to describe this type of capital system.</w:t>
      </w:r>
    </w:p>
    <w:p w14:paraId="5810170B" w14:textId="12477386" w:rsidR="00F1750F" w:rsidRDefault="00F1750F" w:rsidP="00F73518">
      <w:pPr>
        <w:spacing w:line="240" w:lineRule="auto"/>
        <w:rPr>
          <w:rFonts w:ascii="Agency FB" w:hAnsi="Agency FB"/>
          <w:sz w:val="24"/>
          <w:szCs w:val="24"/>
        </w:rPr>
      </w:pPr>
      <w:r w:rsidRPr="00F1750F">
        <w:rPr>
          <w:rFonts w:ascii="Agency FB" w:hAnsi="Agency FB"/>
          <w:sz w:val="24"/>
          <w:szCs w:val="24"/>
        </w:rPr>
        <w:t xml:space="preserve">Capital structure analysis can be conducted using a variety of theories. The fundamental principle of these theories is that variations in predicted earnings and capital expenditures regularly affect the value of the company as a whole. Reflectively, when leverage debt increases, earnings per share increase (Helfert, 2001, p.67). In practise, this continuous theoretical </w:t>
      </w:r>
      <w:r w:rsidRPr="00F1750F">
        <w:rPr>
          <w:rFonts w:ascii="Agency FB" w:hAnsi="Agency FB"/>
          <w:sz w:val="24"/>
          <w:szCs w:val="24"/>
        </w:rPr>
        <w:lastRenderedPageBreak/>
        <w:t>approach falls short of representing the conceptual underpinnings of the primary objective because the effect of leverage on capital costs is still not obvious. According to capital structure theories, the ideal capital structure can only be realised when leverage affects capital costs.</w:t>
      </w:r>
    </w:p>
    <w:p w14:paraId="5A27A6E8" w14:textId="719C73CB" w:rsidR="00F1750F" w:rsidRPr="004E2DA0" w:rsidRDefault="00401363" w:rsidP="00F73518">
      <w:pPr>
        <w:pStyle w:val="Heading2"/>
        <w:spacing w:line="240" w:lineRule="auto"/>
        <w:rPr>
          <w:rFonts w:ascii="Agency FB" w:hAnsi="Agency FB"/>
          <w:b/>
          <w:bCs/>
          <w:sz w:val="32"/>
          <w:szCs w:val="32"/>
        </w:rPr>
      </w:pPr>
      <w:bookmarkStart w:id="8" w:name="_Toc113410728"/>
      <w:r w:rsidRPr="004E2DA0">
        <w:rPr>
          <w:rFonts w:ascii="Agency FB" w:hAnsi="Agency FB"/>
          <w:b/>
          <w:bCs/>
          <w:sz w:val="32"/>
          <w:szCs w:val="32"/>
        </w:rPr>
        <w:t>CAPITAL STRUCTURE THEORIES</w:t>
      </w:r>
      <w:r w:rsidRPr="004E2DA0">
        <w:rPr>
          <w:rFonts w:ascii="Agency FB" w:hAnsi="Agency FB"/>
          <w:b/>
          <w:bCs/>
          <w:sz w:val="32"/>
          <w:szCs w:val="32"/>
        </w:rPr>
        <w:t>:</w:t>
      </w:r>
      <w:bookmarkEnd w:id="8"/>
    </w:p>
    <w:p w14:paraId="1A1339D8" w14:textId="77777777" w:rsidR="00622A99" w:rsidRPr="00622A99" w:rsidRDefault="00622A99" w:rsidP="00622A99"/>
    <w:p w14:paraId="7C827C2F" w14:textId="7BF9F3D9" w:rsidR="00401363" w:rsidRPr="00401363" w:rsidRDefault="00D12D47" w:rsidP="00F73518">
      <w:pPr>
        <w:pStyle w:val="ListParagraph"/>
        <w:numPr>
          <w:ilvl w:val="0"/>
          <w:numId w:val="1"/>
        </w:numPr>
        <w:spacing w:line="240" w:lineRule="auto"/>
        <w:rPr>
          <w:rFonts w:ascii="Agency FB" w:hAnsi="Agency FB"/>
          <w:sz w:val="24"/>
          <w:szCs w:val="24"/>
        </w:rPr>
      </w:pPr>
      <w:r>
        <w:rPr>
          <w:rFonts w:ascii="Agency FB" w:hAnsi="Agency FB"/>
          <w:sz w:val="24"/>
          <w:szCs w:val="24"/>
        </w:rPr>
        <w:t>T</w:t>
      </w:r>
      <w:r w:rsidR="00401363" w:rsidRPr="00401363">
        <w:rPr>
          <w:rFonts w:ascii="Agency FB" w:hAnsi="Agency FB"/>
          <w:sz w:val="24"/>
          <w:szCs w:val="24"/>
        </w:rPr>
        <w:t>he M-M (Modigliani-Miller) Theory.</w:t>
      </w:r>
    </w:p>
    <w:p w14:paraId="43CDE5F8" w14:textId="3F0CBFF9" w:rsidR="00401363" w:rsidRDefault="00D12D47" w:rsidP="00F73518">
      <w:pPr>
        <w:pStyle w:val="ListParagraph"/>
        <w:numPr>
          <w:ilvl w:val="0"/>
          <w:numId w:val="1"/>
        </w:numPr>
        <w:spacing w:line="240" w:lineRule="auto"/>
        <w:rPr>
          <w:rFonts w:ascii="Agency FB" w:hAnsi="Agency FB"/>
          <w:sz w:val="24"/>
          <w:szCs w:val="24"/>
        </w:rPr>
      </w:pPr>
      <w:r w:rsidRPr="00D12D47">
        <w:rPr>
          <w:rFonts w:ascii="Agency FB" w:hAnsi="Agency FB"/>
          <w:sz w:val="24"/>
          <w:szCs w:val="24"/>
        </w:rPr>
        <w:t>Traditional Theory</w:t>
      </w:r>
    </w:p>
    <w:p w14:paraId="672D7BE9" w14:textId="0F46F226" w:rsidR="00D12D47" w:rsidRDefault="00D12D47" w:rsidP="00F73518">
      <w:pPr>
        <w:pStyle w:val="ListParagraph"/>
        <w:numPr>
          <w:ilvl w:val="0"/>
          <w:numId w:val="1"/>
        </w:numPr>
        <w:spacing w:line="240" w:lineRule="auto"/>
        <w:rPr>
          <w:rFonts w:ascii="Agency FB" w:hAnsi="Agency FB"/>
          <w:sz w:val="24"/>
          <w:szCs w:val="24"/>
        </w:rPr>
      </w:pPr>
      <w:r w:rsidRPr="00D12D47">
        <w:rPr>
          <w:rFonts w:ascii="Agency FB" w:hAnsi="Agency FB"/>
          <w:sz w:val="24"/>
          <w:szCs w:val="24"/>
        </w:rPr>
        <w:t>Theorem of Net Operating Income (NOI)</w:t>
      </w:r>
    </w:p>
    <w:p w14:paraId="2FC450B5" w14:textId="4AD931E2" w:rsidR="00D12D47" w:rsidRDefault="00D12D47" w:rsidP="00F73518">
      <w:pPr>
        <w:pStyle w:val="ListParagraph"/>
        <w:numPr>
          <w:ilvl w:val="0"/>
          <w:numId w:val="1"/>
        </w:numPr>
        <w:spacing w:line="240" w:lineRule="auto"/>
        <w:rPr>
          <w:rFonts w:ascii="Agency FB" w:hAnsi="Agency FB"/>
          <w:sz w:val="24"/>
          <w:szCs w:val="24"/>
        </w:rPr>
      </w:pPr>
      <w:r w:rsidRPr="00D12D47">
        <w:rPr>
          <w:rFonts w:ascii="Agency FB" w:hAnsi="Agency FB"/>
          <w:sz w:val="24"/>
          <w:szCs w:val="24"/>
        </w:rPr>
        <w:t>Theory of Net Income (NI)</w:t>
      </w:r>
    </w:p>
    <w:p w14:paraId="2D686123" w14:textId="665194E7" w:rsidR="009A6121" w:rsidRDefault="009A6121" w:rsidP="00F73518">
      <w:pPr>
        <w:spacing w:line="240" w:lineRule="auto"/>
        <w:rPr>
          <w:rFonts w:ascii="Agency FB" w:hAnsi="Agency FB"/>
          <w:b/>
          <w:bCs/>
          <w:sz w:val="28"/>
          <w:szCs w:val="28"/>
        </w:rPr>
      </w:pPr>
      <w:r w:rsidRPr="009A6121">
        <w:rPr>
          <w:rFonts w:ascii="Agency FB" w:hAnsi="Agency FB"/>
          <w:b/>
          <w:bCs/>
          <w:sz w:val="28"/>
          <w:szCs w:val="28"/>
        </w:rPr>
        <w:t>"Theory of Modigliani and Miller"</w:t>
      </w:r>
    </w:p>
    <w:p w14:paraId="0C8431F1" w14:textId="77777777" w:rsidR="009A6121" w:rsidRPr="009A6121" w:rsidRDefault="009A6121" w:rsidP="00F73518">
      <w:pPr>
        <w:spacing w:line="240" w:lineRule="auto"/>
        <w:rPr>
          <w:rFonts w:ascii="Agency FB" w:hAnsi="Agency FB"/>
          <w:sz w:val="24"/>
          <w:szCs w:val="24"/>
        </w:rPr>
      </w:pPr>
      <w:r w:rsidRPr="009A6121">
        <w:rPr>
          <w:rFonts w:ascii="Agency FB" w:hAnsi="Agency FB"/>
          <w:sz w:val="24"/>
          <w:szCs w:val="24"/>
        </w:rPr>
        <w:t>This concept was proposed by Merton Miller and Franco Modigliani.</w:t>
      </w:r>
    </w:p>
    <w:p w14:paraId="467C9D81" w14:textId="77777777" w:rsidR="009A6121" w:rsidRPr="009A6121" w:rsidRDefault="009A6121" w:rsidP="00F73518">
      <w:pPr>
        <w:spacing w:line="240" w:lineRule="auto"/>
        <w:rPr>
          <w:rFonts w:ascii="Agency FB" w:hAnsi="Agency FB"/>
          <w:sz w:val="24"/>
          <w:szCs w:val="24"/>
        </w:rPr>
      </w:pPr>
      <w:r w:rsidRPr="009A6121">
        <w:rPr>
          <w:rFonts w:ascii="Agency FB" w:hAnsi="Agency FB"/>
          <w:sz w:val="24"/>
          <w:szCs w:val="24"/>
        </w:rPr>
        <w:t>They gave us two choices.</w:t>
      </w:r>
    </w:p>
    <w:p w14:paraId="35B3251F" w14:textId="77777777" w:rsidR="009A6121" w:rsidRPr="009A6121" w:rsidRDefault="009A6121" w:rsidP="00F73518">
      <w:pPr>
        <w:spacing w:line="240" w:lineRule="auto"/>
        <w:rPr>
          <w:rFonts w:ascii="Agency FB" w:hAnsi="Agency FB"/>
          <w:sz w:val="24"/>
          <w:szCs w:val="24"/>
        </w:rPr>
      </w:pPr>
      <w:r w:rsidRPr="009A6121">
        <w:rPr>
          <w:rFonts w:ascii="Agency FB" w:hAnsi="Agency FB"/>
          <w:sz w:val="24"/>
          <w:szCs w:val="24"/>
        </w:rPr>
        <w:t>• Non-Payment of Corporate Taxes</w:t>
      </w:r>
    </w:p>
    <w:p w14:paraId="62CA44E5" w14:textId="6C02EC17" w:rsidR="009A6121" w:rsidRDefault="009A6121" w:rsidP="00F73518">
      <w:pPr>
        <w:spacing w:line="240" w:lineRule="auto"/>
        <w:rPr>
          <w:rFonts w:ascii="Agency FB" w:hAnsi="Agency FB"/>
          <w:sz w:val="24"/>
          <w:szCs w:val="24"/>
        </w:rPr>
      </w:pPr>
      <w:r w:rsidRPr="009A6121">
        <w:rPr>
          <w:rFonts w:ascii="Agency FB" w:hAnsi="Agency FB"/>
          <w:sz w:val="24"/>
          <w:szCs w:val="24"/>
        </w:rPr>
        <w:t>•</w:t>
      </w:r>
      <w:r>
        <w:rPr>
          <w:rFonts w:ascii="Agency FB" w:hAnsi="Agency FB"/>
          <w:sz w:val="24"/>
          <w:szCs w:val="24"/>
        </w:rPr>
        <w:t xml:space="preserve"> </w:t>
      </w:r>
      <w:r w:rsidRPr="009A6121">
        <w:rPr>
          <w:rFonts w:ascii="Agency FB" w:hAnsi="Agency FB"/>
          <w:sz w:val="24"/>
          <w:szCs w:val="24"/>
        </w:rPr>
        <w:t>When when corporate taxes are levied.</w:t>
      </w:r>
    </w:p>
    <w:p w14:paraId="472822DE" w14:textId="5B2409A2" w:rsidR="009A6121" w:rsidRDefault="00A108C3" w:rsidP="00F73518">
      <w:pPr>
        <w:spacing w:line="240" w:lineRule="auto"/>
        <w:rPr>
          <w:rFonts w:ascii="Agency FB" w:hAnsi="Agency FB"/>
          <w:b/>
          <w:bCs/>
          <w:sz w:val="24"/>
          <w:szCs w:val="24"/>
        </w:rPr>
      </w:pPr>
      <w:r w:rsidRPr="00A108C3">
        <w:rPr>
          <w:rFonts w:ascii="Agency FB" w:hAnsi="Agency FB"/>
          <w:b/>
          <w:bCs/>
          <w:sz w:val="24"/>
          <w:szCs w:val="24"/>
        </w:rPr>
        <w:t>when a corporation fails to pay its taxes</w:t>
      </w:r>
    </w:p>
    <w:p w14:paraId="10927654" w14:textId="0F8E1B1A" w:rsidR="00A108C3" w:rsidRDefault="00A108C3" w:rsidP="00F73518">
      <w:pPr>
        <w:spacing w:line="240" w:lineRule="auto"/>
        <w:rPr>
          <w:rFonts w:ascii="Agency FB" w:hAnsi="Agency FB"/>
          <w:sz w:val="24"/>
          <w:szCs w:val="24"/>
        </w:rPr>
      </w:pPr>
      <w:r w:rsidRPr="00A108C3">
        <w:rPr>
          <w:rFonts w:ascii="Agency FB" w:hAnsi="Agency FB"/>
          <w:sz w:val="24"/>
          <w:szCs w:val="24"/>
        </w:rPr>
        <w:t>According to this theory, the capital structure has no bearing on the "V" or its "Ko."</w:t>
      </w:r>
    </w:p>
    <w:p w14:paraId="3F67D8BE" w14:textId="77777777" w:rsidR="00A108C3" w:rsidRPr="00A108C3" w:rsidRDefault="00A108C3" w:rsidP="00F73518">
      <w:pPr>
        <w:spacing w:line="240" w:lineRule="auto"/>
        <w:rPr>
          <w:rFonts w:ascii="Agency FB" w:hAnsi="Agency FB"/>
          <w:sz w:val="24"/>
          <w:szCs w:val="24"/>
        </w:rPr>
      </w:pPr>
      <w:r w:rsidRPr="00A108C3">
        <w:rPr>
          <w:rFonts w:ascii="Agency FB" w:hAnsi="Agency FB"/>
          <w:sz w:val="24"/>
          <w:szCs w:val="24"/>
        </w:rPr>
        <w:t>The debt-to-equity ratio of the corporation is unrelated to its overall value.</w:t>
      </w:r>
    </w:p>
    <w:p w14:paraId="59B2745C" w14:textId="36A52EBA" w:rsidR="00A108C3" w:rsidRDefault="00A108C3" w:rsidP="00F73518">
      <w:pPr>
        <w:spacing w:line="240" w:lineRule="auto"/>
        <w:rPr>
          <w:rFonts w:ascii="Agency FB" w:hAnsi="Agency FB"/>
          <w:sz w:val="24"/>
          <w:szCs w:val="24"/>
        </w:rPr>
      </w:pPr>
      <w:r w:rsidRPr="00A108C3">
        <w:rPr>
          <w:rFonts w:ascii="Agency FB" w:hAnsi="Agency FB"/>
          <w:sz w:val="24"/>
          <w:szCs w:val="24"/>
        </w:rPr>
        <w:t>Since "Ke" increases as debt is used more frequently as a source of funding, the advantage of a low-cost loan is also countered by the rising "Ke."</w:t>
      </w:r>
    </w:p>
    <w:p w14:paraId="79FE54A8" w14:textId="16C937D1" w:rsidR="00A108C3" w:rsidRDefault="00A108C3" w:rsidP="00F73518">
      <w:pPr>
        <w:spacing w:line="240" w:lineRule="auto"/>
        <w:rPr>
          <w:rFonts w:ascii="Agency FB" w:hAnsi="Agency FB"/>
          <w:sz w:val="24"/>
          <w:szCs w:val="24"/>
        </w:rPr>
      </w:pPr>
      <w:r w:rsidRPr="00A108C3">
        <w:rPr>
          <w:rFonts w:ascii="Agency FB" w:hAnsi="Agency FB"/>
          <w:sz w:val="24"/>
          <w:szCs w:val="24"/>
        </w:rPr>
        <w:t>They contend that the arbitrage mechanism prevents two otherwise comparable enterprises from having different market valuations or capital costs due to differences in capital structure.</w:t>
      </w:r>
    </w:p>
    <w:p w14:paraId="406F19BA" w14:textId="0E291AF4" w:rsidR="00A108C3" w:rsidRDefault="00A108C3" w:rsidP="00F73518">
      <w:pPr>
        <w:spacing w:line="240" w:lineRule="auto"/>
        <w:rPr>
          <w:rFonts w:ascii="Agency FB" w:hAnsi="Agency FB"/>
          <w:b/>
          <w:bCs/>
          <w:sz w:val="24"/>
          <w:szCs w:val="24"/>
        </w:rPr>
      </w:pPr>
      <w:r w:rsidRPr="00A108C3">
        <w:rPr>
          <w:rFonts w:ascii="Agency FB" w:hAnsi="Agency FB"/>
          <w:b/>
          <w:bCs/>
          <w:sz w:val="24"/>
          <w:szCs w:val="24"/>
        </w:rPr>
        <w:t>when corporation taxes are present</w:t>
      </w:r>
    </w:p>
    <w:p w14:paraId="685BF5AC" w14:textId="77777777" w:rsidR="00AF203F" w:rsidRPr="00AF203F" w:rsidRDefault="00AF203F" w:rsidP="00F73518">
      <w:pPr>
        <w:spacing w:line="240" w:lineRule="auto"/>
        <w:rPr>
          <w:rFonts w:ascii="Agency FB" w:hAnsi="Agency FB"/>
          <w:sz w:val="24"/>
          <w:szCs w:val="24"/>
        </w:rPr>
      </w:pPr>
      <w:r w:rsidRPr="00AF203F">
        <w:rPr>
          <w:rFonts w:ascii="Agency FB" w:hAnsi="Agency FB"/>
          <w:sz w:val="24"/>
          <w:szCs w:val="24"/>
        </w:rPr>
        <w:t>The assertion made by M-original M that the "V" and "Ko" remain constant with the increase in debt in the capital structure is no longer true when corporate taxes are supposed to exist.</w:t>
      </w:r>
    </w:p>
    <w:p w14:paraId="59FBBFC8" w14:textId="57D266D3" w:rsidR="00A108C3" w:rsidRDefault="00AF203F" w:rsidP="00F73518">
      <w:pPr>
        <w:spacing w:line="240" w:lineRule="auto"/>
        <w:rPr>
          <w:rFonts w:ascii="Agency FB" w:hAnsi="Agency FB"/>
          <w:sz w:val="24"/>
          <w:szCs w:val="24"/>
        </w:rPr>
      </w:pPr>
      <w:r w:rsidRPr="00AF203F">
        <w:rPr>
          <w:rFonts w:ascii="Agency FB" w:hAnsi="Agency FB"/>
          <w:sz w:val="24"/>
          <w:szCs w:val="24"/>
        </w:rPr>
        <w:t>They recognised that the "V" would rise and the "Ko" would decline as debt in the capital structure increased.</w:t>
      </w:r>
    </w:p>
    <w:p w14:paraId="3DBF98B3" w14:textId="32083C0F" w:rsidR="00AF203F" w:rsidRDefault="00AF203F" w:rsidP="00F73518">
      <w:pPr>
        <w:spacing w:line="240" w:lineRule="auto"/>
        <w:rPr>
          <w:rFonts w:ascii="Agency FB" w:hAnsi="Agency FB"/>
          <w:sz w:val="24"/>
          <w:szCs w:val="24"/>
        </w:rPr>
      </w:pPr>
      <w:r w:rsidRPr="00AF203F">
        <w:rPr>
          <w:rFonts w:ascii="Agency FB" w:hAnsi="Agency FB"/>
          <w:sz w:val="24"/>
          <w:szCs w:val="24"/>
        </w:rPr>
        <w:t>They concurred that a company with leverage (VL) will be worth more than one without it (Vu).</w:t>
      </w:r>
    </w:p>
    <w:p w14:paraId="0E074DF2" w14:textId="72DF7A45" w:rsidR="00AF203F" w:rsidRPr="00AF203F" w:rsidRDefault="00AF203F" w:rsidP="00F73518">
      <w:pPr>
        <w:spacing w:line="240" w:lineRule="auto"/>
        <w:rPr>
          <w:rFonts w:ascii="Agency FB" w:hAnsi="Agency FB"/>
          <w:sz w:val="24"/>
          <w:szCs w:val="24"/>
        </w:rPr>
      </w:pPr>
      <w:r w:rsidRPr="00AF203F">
        <w:rPr>
          <w:rFonts w:ascii="Agency FB" w:hAnsi="Agency FB"/>
          <w:sz w:val="24"/>
          <w:szCs w:val="24"/>
        </w:rPr>
        <w:t>Value of unlevered businesses computation</w:t>
      </w:r>
    </w:p>
    <w:p w14:paraId="2172B3B7" w14:textId="77777777" w:rsidR="00AF203F" w:rsidRDefault="00AF203F" w:rsidP="00F73518">
      <w:pPr>
        <w:spacing w:line="240" w:lineRule="auto"/>
        <w:rPr>
          <w:rFonts w:eastAsiaTheme="minorEastAsia"/>
          <w:sz w:val="24"/>
          <w:szCs w:val="24"/>
        </w:rPr>
      </w:pPr>
      <w:r>
        <w:rPr>
          <w:sz w:val="24"/>
          <w:szCs w:val="24"/>
        </w:rPr>
        <w:t xml:space="preserve">u = </w:t>
      </w:r>
      <m:oMath>
        <m:f>
          <m:fPr>
            <m:type m:val="skw"/>
            <m:ctrlPr>
              <w:rPr>
                <w:rFonts w:ascii="Cambria Math" w:hAnsi="Cambria Math"/>
                <w:i/>
                <w:sz w:val="24"/>
                <w:szCs w:val="24"/>
              </w:rPr>
            </m:ctrlPr>
          </m:fPr>
          <m:num>
            <m:r>
              <w:rPr>
                <w:rFonts w:ascii="Cambria Math" w:hAnsi="Cambria Math"/>
                <w:sz w:val="24"/>
                <w:szCs w:val="24"/>
              </w:rPr>
              <m:t>EBIT(1-T)</m:t>
            </m:r>
          </m:num>
          <m:den>
            <m:r>
              <w:rPr>
                <w:rFonts w:ascii="Cambria Math" w:hAnsi="Cambria Math"/>
                <w:sz w:val="24"/>
                <w:szCs w:val="24"/>
              </w:rPr>
              <m:t>Ke</m:t>
            </m:r>
          </m:den>
        </m:f>
      </m:oMath>
    </w:p>
    <w:p w14:paraId="3E115DC2" w14:textId="29186985" w:rsidR="00AF203F" w:rsidRPr="00AF203F" w:rsidRDefault="00AF203F" w:rsidP="00F73518">
      <w:pPr>
        <w:spacing w:line="240" w:lineRule="auto"/>
        <w:rPr>
          <w:rFonts w:ascii="Agency FB" w:hAnsi="Agency FB"/>
          <w:sz w:val="24"/>
          <w:szCs w:val="24"/>
        </w:rPr>
      </w:pPr>
      <w:r w:rsidRPr="00AF203F">
        <w:rPr>
          <w:rFonts w:ascii="Agency FB" w:hAnsi="Agency FB"/>
          <w:sz w:val="24"/>
          <w:szCs w:val="24"/>
        </w:rPr>
        <w:t>Value of a levered corporation in ke</w:t>
      </w:r>
    </w:p>
    <w:p w14:paraId="2003347E" w14:textId="7543120D" w:rsidR="00AF203F" w:rsidRPr="00AF203F" w:rsidRDefault="00AF203F" w:rsidP="00F73518">
      <w:pPr>
        <w:spacing w:line="240" w:lineRule="auto"/>
        <w:rPr>
          <w:rFonts w:ascii="Agency FB" w:hAnsi="Agency FB"/>
          <w:sz w:val="24"/>
          <w:szCs w:val="24"/>
        </w:rPr>
      </w:pPr>
      <w:r w:rsidRPr="00AF203F">
        <w:rPr>
          <w:rFonts w:ascii="Agency FB" w:hAnsi="Agency FB"/>
          <w:sz w:val="24"/>
          <w:szCs w:val="24"/>
        </w:rPr>
        <w:t>VU + DT = VL</w:t>
      </w:r>
    </w:p>
    <w:p w14:paraId="72EB6E87" w14:textId="472F1B9C" w:rsidR="00AF203F" w:rsidRPr="00AF203F" w:rsidRDefault="00AF203F" w:rsidP="00F73518">
      <w:pPr>
        <w:spacing w:line="240" w:lineRule="auto"/>
        <w:rPr>
          <w:rFonts w:ascii="Agency FB" w:hAnsi="Agency FB"/>
          <w:sz w:val="24"/>
          <w:szCs w:val="24"/>
        </w:rPr>
      </w:pPr>
      <w:r w:rsidRPr="00AF203F">
        <w:rPr>
          <w:rFonts w:ascii="Agency FB" w:hAnsi="Agency FB"/>
          <w:sz w:val="24"/>
          <w:szCs w:val="24"/>
        </w:rPr>
        <w:t>Where,</w:t>
      </w:r>
    </w:p>
    <w:p w14:paraId="0327E1FC" w14:textId="1E3DE2B6" w:rsidR="00AF203F" w:rsidRPr="00AF203F" w:rsidRDefault="00AF203F" w:rsidP="00F73518">
      <w:pPr>
        <w:spacing w:line="240" w:lineRule="auto"/>
        <w:rPr>
          <w:rFonts w:ascii="Agency FB" w:hAnsi="Agency FB"/>
          <w:sz w:val="24"/>
          <w:szCs w:val="24"/>
        </w:rPr>
      </w:pPr>
      <w:r w:rsidRPr="00AF203F">
        <w:rPr>
          <w:rFonts w:ascii="Agency FB" w:hAnsi="Agency FB"/>
          <w:sz w:val="24"/>
          <w:szCs w:val="24"/>
        </w:rPr>
        <w:t>Value of an Unlevered Firm (Vu).</w:t>
      </w:r>
    </w:p>
    <w:p w14:paraId="42CD4F20" w14:textId="53166C19" w:rsidR="00AF203F" w:rsidRPr="00AF203F" w:rsidRDefault="00AF203F" w:rsidP="00F73518">
      <w:pPr>
        <w:spacing w:line="240" w:lineRule="auto"/>
        <w:rPr>
          <w:rFonts w:ascii="Agency FB" w:hAnsi="Agency FB"/>
          <w:sz w:val="24"/>
          <w:szCs w:val="24"/>
        </w:rPr>
      </w:pPr>
      <w:r w:rsidRPr="00AF203F">
        <w:rPr>
          <w:rFonts w:ascii="Agency FB" w:hAnsi="Agency FB"/>
          <w:sz w:val="24"/>
          <w:szCs w:val="24"/>
        </w:rPr>
        <w:lastRenderedPageBreak/>
        <w:t>Value of Levered Firm, or VL.</w:t>
      </w:r>
    </w:p>
    <w:p w14:paraId="0435B9CE" w14:textId="7244C3BF" w:rsidR="00AF203F" w:rsidRPr="00AF203F" w:rsidRDefault="00AF203F" w:rsidP="00F73518">
      <w:pPr>
        <w:spacing w:line="240" w:lineRule="auto"/>
        <w:rPr>
          <w:rFonts w:ascii="Agency FB" w:hAnsi="Agency FB"/>
          <w:sz w:val="24"/>
          <w:szCs w:val="24"/>
        </w:rPr>
      </w:pPr>
      <w:r w:rsidRPr="00AF203F">
        <w:rPr>
          <w:rFonts w:ascii="Agency FB" w:hAnsi="Agency FB"/>
          <w:sz w:val="24"/>
          <w:szCs w:val="24"/>
        </w:rPr>
        <w:t>D: Debt Amount</w:t>
      </w:r>
    </w:p>
    <w:p w14:paraId="7E644E16" w14:textId="77777777" w:rsidR="00946EB5" w:rsidRDefault="00AF203F" w:rsidP="00F73518">
      <w:pPr>
        <w:spacing w:line="240" w:lineRule="auto"/>
        <w:rPr>
          <w:rFonts w:ascii="Agency FB" w:hAnsi="Agency FB"/>
          <w:sz w:val="24"/>
          <w:szCs w:val="24"/>
        </w:rPr>
      </w:pPr>
      <w:r w:rsidRPr="00AF203F">
        <w:rPr>
          <w:rFonts w:ascii="Agency FB" w:hAnsi="Agency FB"/>
          <w:sz w:val="24"/>
          <w:szCs w:val="24"/>
        </w:rPr>
        <w:t>T: the levy amount</w:t>
      </w:r>
    </w:p>
    <w:p w14:paraId="1EFBC2B2" w14:textId="6914A929" w:rsidR="00AF203F" w:rsidRDefault="00946EB5" w:rsidP="00F73518">
      <w:pPr>
        <w:spacing w:line="240" w:lineRule="auto"/>
        <w:rPr>
          <w:rFonts w:ascii="Agency FB" w:hAnsi="Agency FB"/>
          <w:b/>
          <w:bCs/>
          <w:sz w:val="28"/>
          <w:szCs w:val="28"/>
        </w:rPr>
      </w:pPr>
      <w:r w:rsidRPr="00946EB5">
        <w:rPr>
          <w:rFonts w:ascii="Agency FB" w:hAnsi="Agency FB"/>
          <w:b/>
          <w:bCs/>
          <w:sz w:val="28"/>
          <w:szCs w:val="28"/>
        </w:rPr>
        <w:t>“</w:t>
      </w:r>
      <w:r w:rsidR="00AF203F" w:rsidRPr="00946EB5">
        <w:rPr>
          <w:rFonts w:ascii="Agency FB" w:hAnsi="Agency FB"/>
          <w:b/>
          <w:bCs/>
          <w:sz w:val="28"/>
          <w:szCs w:val="28"/>
        </w:rPr>
        <w:t>Traditional Theory</w:t>
      </w:r>
      <w:r w:rsidRPr="00946EB5">
        <w:rPr>
          <w:rFonts w:ascii="Agency FB" w:hAnsi="Agency FB"/>
          <w:b/>
          <w:bCs/>
          <w:sz w:val="28"/>
          <w:szCs w:val="28"/>
        </w:rPr>
        <w:t>”</w:t>
      </w:r>
    </w:p>
    <w:p w14:paraId="03FE7F4F" w14:textId="77777777" w:rsidR="00946EB5" w:rsidRPr="00946EB5" w:rsidRDefault="00946EB5" w:rsidP="00F73518">
      <w:pPr>
        <w:spacing w:line="240" w:lineRule="auto"/>
        <w:rPr>
          <w:rFonts w:ascii="Agency FB" w:hAnsi="Agency FB"/>
          <w:b/>
          <w:bCs/>
          <w:sz w:val="24"/>
          <w:szCs w:val="24"/>
        </w:rPr>
      </w:pPr>
      <w:r w:rsidRPr="00946EB5">
        <w:rPr>
          <w:rFonts w:ascii="Agency FB" w:hAnsi="Agency FB"/>
          <w:b/>
          <w:bCs/>
          <w:sz w:val="24"/>
          <w:szCs w:val="24"/>
        </w:rPr>
        <w:t>Ezra Solomon promoted this notion.</w:t>
      </w:r>
    </w:p>
    <w:p w14:paraId="55669CEA" w14:textId="77777777" w:rsidR="00946EB5" w:rsidRPr="00946EB5" w:rsidRDefault="00946EB5" w:rsidP="00F73518">
      <w:pPr>
        <w:spacing w:line="240" w:lineRule="auto"/>
        <w:rPr>
          <w:rFonts w:ascii="Agency FB" w:hAnsi="Agency FB"/>
          <w:sz w:val="24"/>
          <w:szCs w:val="24"/>
        </w:rPr>
      </w:pPr>
      <w:r w:rsidRPr="00946EB5">
        <w:rPr>
          <w:rFonts w:ascii="Agency FB" w:hAnsi="Agency FB"/>
          <w:sz w:val="24"/>
          <w:szCs w:val="24"/>
        </w:rPr>
        <w:t>This theory states that by increasing the debt percentage in its capital structure up to a particular level, a firm can reduce its overall cost of capital or raise its overall value. as a source of financing, debt has a lower cost of capital than equity.</w:t>
      </w:r>
    </w:p>
    <w:p w14:paraId="58AA7DCF" w14:textId="360690A8" w:rsidR="00946EB5" w:rsidRDefault="00946EB5" w:rsidP="00F73518">
      <w:pPr>
        <w:spacing w:line="240" w:lineRule="auto"/>
        <w:rPr>
          <w:rFonts w:ascii="Agency FB" w:hAnsi="Agency FB"/>
          <w:sz w:val="24"/>
          <w:szCs w:val="24"/>
        </w:rPr>
      </w:pPr>
      <w:r w:rsidRPr="00946EB5">
        <w:rPr>
          <w:rFonts w:ascii="Agency FB" w:hAnsi="Agency FB"/>
          <w:sz w:val="24"/>
          <w:szCs w:val="24"/>
        </w:rPr>
        <w:t>Changes in the capital structure's impact on "Ko" and "V"</w:t>
      </w:r>
    </w:p>
    <w:p w14:paraId="7E93C625" w14:textId="77777777" w:rsidR="00946EB5" w:rsidRPr="00946EB5" w:rsidRDefault="00946EB5" w:rsidP="00F73518">
      <w:pPr>
        <w:spacing w:line="240" w:lineRule="auto"/>
        <w:rPr>
          <w:rFonts w:ascii="Agency FB" w:hAnsi="Agency FB"/>
          <w:sz w:val="24"/>
          <w:szCs w:val="24"/>
        </w:rPr>
      </w:pPr>
      <w:r w:rsidRPr="00946EB5">
        <w:rPr>
          <w:rFonts w:ascii="Agency FB" w:hAnsi="Agency FB"/>
          <w:sz w:val="24"/>
          <w:szCs w:val="24"/>
        </w:rPr>
        <w:t>First Stage: Using debt in a capital structure raises "V" and lowers "Ko," according to Ezra Solomon.</w:t>
      </w:r>
    </w:p>
    <w:p w14:paraId="0625833D" w14:textId="77777777" w:rsidR="00946EB5" w:rsidRPr="00946EB5" w:rsidRDefault="00946EB5" w:rsidP="00F73518">
      <w:pPr>
        <w:spacing w:line="240" w:lineRule="auto"/>
        <w:rPr>
          <w:rFonts w:ascii="Agency FB" w:hAnsi="Agency FB"/>
          <w:sz w:val="24"/>
          <w:szCs w:val="24"/>
        </w:rPr>
      </w:pPr>
      <w:r w:rsidRPr="00946EB5">
        <w:rPr>
          <w:rFonts w:ascii="Agency FB" w:hAnsi="Agency FB"/>
          <w:sz w:val="24"/>
          <w:szCs w:val="24"/>
        </w:rPr>
        <w:t>• As debt accumulates, "Ke" either remains constant or just marginally increases, but not quickly enough to offset the advantages of inexpensive debt.</w:t>
      </w:r>
    </w:p>
    <w:p w14:paraId="34E8457D" w14:textId="7262B24C" w:rsidR="00946EB5" w:rsidRDefault="00946EB5" w:rsidP="00F73518">
      <w:pPr>
        <w:spacing w:line="240" w:lineRule="auto"/>
        <w:rPr>
          <w:rFonts w:ascii="Agency FB" w:hAnsi="Agency FB"/>
          <w:sz w:val="24"/>
          <w:szCs w:val="24"/>
        </w:rPr>
      </w:pPr>
      <w:r w:rsidRPr="00946EB5">
        <w:rPr>
          <w:rFonts w:ascii="Agency FB" w:hAnsi="Agency FB"/>
          <w:sz w:val="24"/>
          <w:szCs w:val="24"/>
        </w:rPr>
        <w:t>• "Kd" remains unchanged or only slightly increases.</w:t>
      </w:r>
    </w:p>
    <w:p w14:paraId="39C89D25" w14:textId="77777777" w:rsidR="00946EB5" w:rsidRPr="00946EB5" w:rsidRDefault="00946EB5" w:rsidP="00F73518">
      <w:pPr>
        <w:spacing w:line="240" w:lineRule="auto"/>
        <w:rPr>
          <w:rFonts w:ascii="Agency FB" w:hAnsi="Agency FB"/>
          <w:b/>
          <w:bCs/>
          <w:sz w:val="24"/>
          <w:szCs w:val="24"/>
        </w:rPr>
      </w:pPr>
      <w:r w:rsidRPr="00946EB5">
        <w:rPr>
          <w:rFonts w:ascii="Agency FB" w:hAnsi="Agency FB"/>
          <w:b/>
          <w:bCs/>
          <w:sz w:val="24"/>
          <w:szCs w:val="24"/>
        </w:rPr>
        <w:t>Changes in the capital structure's impact on "Ko" and "V"</w:t>
      </w:r>
    </w:p>
    <w:p w14:paraId="60415434" w14:textId="77777777" w:rsidR="00946EB5" w:rsidRPr="00946EB5" w:rsidRDefault="00946EB5" w:rsidP="00F73518">
      <w:pPr>
        <w:spacing w:line="240" w:lineRule="auto"/>
        <w:rPr>
          <w:rFonts w:ascii="Agency FB" w:hAnsi="Agency FB"/>
          <w:sz w:val="24"/>
          <w:szCs w:val="24"/>
        </w:rPr>
      </w:pPr>
      <w:r w:rsidRPr="00946EB5">
        <w:rPr>
          <w:rFonts w:ascii="Agency FB" w:hAnsi="Agency FB"/>
          <w:sz w:val="24"/>
          <w:szCs w:val="24"/>
        </w:rPr>
        <w:t>• Second Stage: The "V" and the "Ko" will be at their highest and lowest points, respectively, during this Stage.</w:t>
      </w:r>
    </w:p>
    <w:p w14:paraId="45483ED5" w14:textId="77777777" w:rsidR="00946EB5" w:rsidRPr="00946EB5" w:rsidRDefault="00946EB5" w:rsidP="00F73518">
      <w:pPr>
        <w:spacing w:line="240" w:lineRule="auto"/>
        <w:rPr>
          <w:rFonts w:ascii="Agency FB" w:hAnsi="Agency FB"/>
          <w:sz w:val="24"/>
          <w:szCs w:val="24"/>
        </w:rPr>
      </w:pPr>
      <w:r w:rsidRPr="00946EB5">
        <w:rPr>
          <w:rFonts w:ascii="Agency FB" w:hAnsi="Agency FB"/>
          <w:sz w:val="24"/>
          <w:szCs w:val="24"/>
        </w:rPr>
        <w:t>• As a result of a rise in "Ke" brought on by an increase in financial risk, the benefit of using low cost loans was outweighed.</w:t>
      </w:r>
    </w:p>
    <w:p w14:paraId="7F9F5973" w14:textId="77777777" w:rsidR="00946EB5" w:rsidRPr="00946EB5" w:rsidRDefault="00946EB5" w:rsidP="00F73518">
      <w:pPr>
        <w:spacing w:line="240" w:lineRule="auto"/>
        <w:rPr>
          <w:rFonts w:ascii="Agency FB" w:hAnsi="Agency FB"/>
          <w:sz w:val="24"/>
          <w:szCs w:val="24"/>
        </w:rPr>
      </w:pPr>
      <w:r w:rsidRPr="00946EB5">
        <w:rPr>
          <w:rFonts w:ascii="Agency FB" w:hAnsi="Agency FB"/>
          <w:sz w:val="24"/>
          <w:szCs w:val="24"/>
        </w:rPr>
        <w:t>• Third Stage: The "Ko" increases as the "V" falls.</w:t>
      </w:r>
    </w:p>
    <w:p w14:paraId="4F5F07AB" w14:textId="33798B12" w:rsidR="00946EB5" w:rsidRDefault="00946EB5" w:rsidP="00F73518">
      <w:pPr>
        <w:spacing w:line="240" w:lineRule="auto"/>
        <w:rPr>
          <w:rFonts w:ascii="Agency FB" w:hAnsi="Agency FB"/>
          <w:sz w:val="24"/>
          <w:szCs w:val="24"/>
        </w:rPr>
      </w:pPr>
      <w:r w:rsidRPr="00946EB5">
        <w:rPr>
          <w:rFonts w:ascii="Agency FB" w:hAnsi="Agency FB"/>
          <w:sz w:val="24"/>
          <w:szCs w:val="24"/>
        </w:rPr>
        <w:t>• Because increasing the capital structure of debt above what is necessary increases the risk to the economy.</w:t>
      </w:r>
    </w:p>
    <w:p w14:paraId="58D8FA38" w14:textId="1C1AE03C" w:rsidR="00946EB5" w:rsidRPr="00946EB5" w:rsidRDefault="00946EB5" w:rsidP="00F73518">
      <w:pPr>
        <w:spacing w:line="240" w:lineRule="auto"/>
        <w:rPr>
          <w:rFonts w:ascii="Agency FB" w:hAnsi="Agency FB"/>
          <w:b/>
          <w:bCs/>
          <w:sz w:val="24"/>
          <w:szCs w:val="24"/>
        </w:rPr>
      </w:pPr>
      <w:r w:rsidRPr="00946EB5">
        <w:rPr>
          <w:rFonts w:ascii="Agency FB" w:hAnsi="Agency FB"/>
          <w:b/>
          <w:bCs/>
          <w:sz w:val="24"/>
          <w:szCs w:val="24"/>
        </w:rPr>
        <w:t>How to Determine the Market Value of Shares and the Value of the Company</w:t>
      </w:r>
    </w:p>
    <w:p w14:paraId="30046C7B" w14:textId="77777777" w:rsidR="00946EB5" w:rsidRDefault="00946EB5" w:rsidP="00F73518">
      <w:pPr>
        <w:spacing w:line="240" w:lineRule="auto"/>
        <w:rPr>
          <w:sz w:val="24"/>
          <w:szCs w:val="24"/>
        </w:rPr>
      </w:pPr>
      <w:r>
        <w:rPr>
          <w:sz w:val="24"/>
          <w:szCs w:val="24"/>
        </w:rPr>
        <w:t>S=</w:t>
      </w:r>
      <m:oMath>
        <m:f>
          <m:fPr>
            <m:type m:val="skw"/>
            <m:ctrlPr>
              <w:rPr>
                <w:rFonts w:ascii="Cambria Math" w:hAnsi="Cambria Math"/>
                <w:i/>
                <w:sz w:val="24"/>
                <w:szCs w:val="24"/>
              </w:rPr>
            </m:ctrlPr>
          </m:fPr>
          <m:num>
            <m:r>
              <w:rPr>
                <w:rFonts w:ascii="Cambria Math" w:hAnsi="Cambria Math"/>
                <w:sz w:val="24"/>
                <w:szCs w:val="24"/>
              </w:rPr>
              <m:t>EBIT-I</m:t>
            </m:r>
          </m:num>
          <m:den>
            <m:r>
              <w:rPr>
                <w:rFonts w:ascii="Cambria Math" w:hAnsi="Cambria Math"/>
                <w:sz w:val="24"/>
                <w:szCs w:val="24"/>
              </w:rPr>
              <m:t>Ke</m:t>
            </m:r>
          </m:den>
        </m:f>
      </m:oMath>
      <w:r>
        <w:rPr>
          <w:sz w:val="24"/>
          <w:szCs w:val="24"/>
        </w:rPr>
        <w:t xml:space="preserve">         </w:t>
      </w:r>
    </w:p>
    <w:p w14:paraId="34C279E2" w14:textId="77777777" w:rsidR="00946EB5" w:rsidRDefault="00946EB5" w:rsidP="00F73518">
      <w:pPr>
        <w:spacing w:line="240" w:lineRule="auto"/>
        <w:rPr>
          <w:sz w:val="24"/>
          <w:szCs w:val="24"/>
        </w:rPr>
      </w:pPr>
      <w:r>
        <w:rPr>
          <w:sz w:val="24"/>
          <w:szCs w:val="24"/>
        </w:rPr>
        <w:t>V = S + D</w:t>
      </w:r>
    </w:p>
    <w:p w14:paraId="23CAACB8" w14:textId="77777777" w:rsidR="00946EB5" w:rsidRDefault="00946EB5" w:rsidP="00F73518">
      <w:pPr>
        <w:spacing w:line="240" w:lineRule="auto"/>
        <w:rPr>
          <w:rFonts w:eastAsiaTheme="minorEastAsia"/>
          <w:sz w:val="24"/>
          <w:szCs w:val="24"/>
        </w:rPr>
      </w:pPr>
      <w:r>
        <w:rPr>
          <w:sz w:val="24"/>
          <w:szCs w:val="24"/>
        </w:rPr>
        <w:t xml:space="preserve">Ko = </w:t>
      </w:r>
      <m:oMath>
        <m:f>
          <m:fPr>
            <m:type m:val="skw"/>
            <m:ctrlPr>
              <w:rPr>
                <w:rFonts w:ascii="Cambria Math" w:hAnsi="Cambria Math"/>
                <w:i/>
                <w:sz w:val="24"/>
                <w:szCs w:val="24"/>
              </w:rPr>
            </m:ctrlPr>
          </m:fPr>
          <m:num>
            <m:r>
              <w:rPr>
                <w:rFonts w:ascii="Cambria Math" w:hAnsi="Cambria Math"/>
                <w:sz w:val="24"/>
                <w:szCs w:val="24"/>
              </w:rPr>
              <m:t>EBIT</m:t>
            </m:r>
          </m:num>
          <m:den>
            <m:r>
              <w:rPr>
                <w:rFonts w:ascii="Cambria Math" w:hAnsi="Cambria Math"/>
                <w:sz w:val="24"/>
                <w:szCs w:val="24"/>
              </w:rPr>
              <m:t>V</m:t>
            </m:r>
          </m:den>
        </m:f>
      </m:oMath>
    </w:p>
    <w:p w14:paraId="291C5167" w14:textId="77777777" w:rsidR="0024097E" w:rsidRDefault="0024097E" w:rsidP="00F73518">
      <w:pPr>
        <w:spacing w:line="240" w:lineRule="auto"/>
        <w:rPr>
          <w:rFonts w:ascii="Agency FB" w:hAnsi="Agency FB"/>
          <w:b/>
          <w:bCs/>
          <w:sz w:val="32"/>
          <w:szCs w:val="32"/>
        </w:rPr>
      </w:pPr>
    </w:p>
    <w:p w14:paraId="4E191159" w14:textId="18D471BE" w:rsidR="00946EB5" w:rsidRDefault="0024097E" w:rsidP="00F73518">
      <w:pPr>
        <w:spacing w:line="240" w:lineRule="auto"/>
        <w:rPr>
          <w:rFonts w:ascii="Agency FB" w:hAnsi="Agency FB"/>
          <w:b/>
          <w:bCs/>
          <w:sz w:val="32"/>
          <w:szCs w:val="32"/>
        </w:rPr>
      </w:pPr>
      <w:r>
        <w:rPr>
          <w:rFonts w:ascii="Agency FB" w:hAnsi="Agency FB"/>
          <w:b/>
          <w:bCs/>
          <w:sz w:val="32"/>
          <w:szCs w:val="32"/>
        </w:rPr>
        <w:t>“</w:t>
      </w:r>
      <w:r w:rsidRPr="0024097E">
        <w:rPr>
          <w:rFonts w:ascii="Agency FB" w:hAnsi="Agency FB"/>
          <w:b/>
          <w:bCs/>
          <w:sz w:val="32"/>
          <w:szCs w:val="32"/>
        </w:rPr>
        <w:t>Theory of Net Operating Income</w:t>
      </w:r>
      <w:r>
        <w:rPr>
          <w:rFonts w:ascii="Agency FB" w:hAnsi="Agency FB"/>
          <w:b/>
          <w:bCs/>
          <w:sz w:val="32"/>
          <w:szCs w:val="32"/>
        </w:rPr>
        <w:t>”</w:t>
      </w:r>
    </w:p>
    <w:p w14:paraId="43B4D561" w14:textId="77777777" w:rsidR="0024097E" w:rsidRPr="0024097E" w:rsidRDefault="0024097E" w:rsidP="00F73518">
      <w:pPr>
        <w:spacing w:line="240" w:lineRule="auto"/>
        <w:rPr>
          <w:rFonts w:ascii="Agency FB" w:hAnsi="Agency FB"/>
          <w:sz w:val="28"/>
          <w:szCs w:val="28"/>
        </w:rPr>
      </w:pPr>
      <w:r w:rsidRPr="0024097E">
        <w:rPr>
          <w:rFonts w:ascii="Agency FB" w:hAnsi="Agency FB"/>
          <w:sz w:val="28"/>
          <w:szCs w:val="28"/>
        </w:rPr>
        <w:t>The "Irrelevant Theory," also referred to as "David Durand's" theory, was put out.</w:t>
      </w:r>
    </w:p>
    <w:p w14:paraId="753F01D8" w14:textId="11BC23B3" w:rsidR="0024097E" w:rsidRDefault="0024097E" w:rsidP="00F73518">
      <w:pPr>
        <w:spacing w:line="240" w:lineRule="auto"/>
        <w:rPr>
          <w:rFonts w:ascii="Agency FB" w:hAnsi="Agency FB"/>
          <w:sz w:val="28"/>
          <w:szCs w:val="28"/>
        </w:rPr>
      </w:pPr>
      <w:r w:rsidRPr="0024097E">
        <w:rPr>
          <w:rFonts w:ascii="Agency FB" w:hAnsi="Agency FB"/>
          <w:sz w:val="28"/>
          <w:szCs w:val="28"/>
        </w:rPr>
        <w:t>This theory states that regardless of the debt-to-equity ratio, the overall cost of capital (Ko) remains constant and has no impact on the company's total market value (V).</w:t>
      </w:r>
    </w:p>
    <w:p w14:paraId="79B257A6" w14:textId="33146DC2" w:rsidR="0024097E" w:rsidRPr="0024097E" w:rsidRDefault="0024097E" w:rsidP="00F73518">
      <w:pPr>
        <w:spacing w:line="240" w:lineRule="auto"/>
        <w:rPr>
          <w:rFonts w:ascii="Agency FB" w:hAnsi="Agency FB"/>
          <w:b/>
          <w:bCs/>
          <w:sz w:val="24"/>
          <w:szCs w:val="24"/>
        </w:rPr>
      </w:pPr>
      <w:r w:rsidRPr="0024097E">
        <w:rPr>
          <w:rFonts w:ascii="Agency FB" w:hAnsi="Agency FB"/>
          <w:b/>
          <w:bCs/>
          <w:sz w:val="24"/>
          <w:szCs w:val="24"/>
        </w:rPr>
        <w:t>Total Value of the Company Calculation</w:t>
      </w:r>
    </w:p>
    <w:p w14:paraId="43773EA5" w14:textId="77777777" w:rsidR="0024097E" w:rsidRDefault="0024097E" w:rsidP="00F73518">
      <w:pPr>
        <w:spacing w:line="240" w:lineRule="auto"/>
        <w:rPr>
          <w:rFonts w:eastAsiaTheme="minorEastAsia"/>
          <w:sz w:val="24"/>
          <w:szCs w:val="24"/>
        </w:rPr>
      </w:pPr>
      <w:r>
        <w:rPr>
          <w:sz w:val="24"/>
          <w:szCs w:val="24"/>
        </w:rPr>
        <w:t xml:space="preserve">V = </w:t>
      </w:r>
      <m:oMath>
        <m:f>
          <m:fPr>
            <m:type m:val="skw"/>
            <m:ctrlPr>
              <w:rPr>
                <w:rFonts w:ascii="Cambria Math" w:hAnsi="Cambria Math"/>
                <w:i/>
                <w:sz w:val="24"/>
                <w:szCs w:val="24"/>
              </w:rPr>
            </m:ctrlPr>
          </m:fPr>
          <m:num>
            <m:r>
              <w:rPr>
                <w:rFonts w:ascii="Cambria Math" w:hAnsi="Cambria Math"/>
                <w:sz w:val="24"/>
                <w:szCs w:val="24"/>
              </w:rPr>
              <m:t>EBIT</m:t>
            </m:r>
          </m:num>
          <m:den>
            <m:r>
              <w:rPr>
                <w:rFonts w:ascii="Cambria Math" w:hAnsi="Cambria Math"/>
                <w:sz w:val="24"/>
                <w:szCs w:val="24"/>
              </w:rPr>
              <m:t>Ko</m:t>
            </m:r>
          </m:den>
        </m:f>
      </m:oMath>
    </w:p>
    <w:p w14:paraId="50AB088C" w14:textId="77777777" w:rsidR="0024097E" w:rsidRDefault="0024097E" w:rsidP="00F73518">
      <w:pPr>
        <w:spacing w:line="240" w:lineRule="auto"/>
        <w:rPr>
          <w:rFonts w:eastAsiaTheme="minorEastAsia"/>
          <w:sz w:val="24"/>
          <w:szCs w:val="24"/>
        </w:rPr>
      </w:pPr>
      <w:r>
        <w:rPr>
          <w:rFonts w:eastAsiaTheme="minorEastAsia"/>
          <w:sz w:val="24"/>
          <w:szCs w:val="24"/>
        </w:rPr>
        <w:lastRenderedPageBreak/>
        <w:t>Where,</w:t>
      </w:r>
    </w:p>
    <w:p w14:paraId="4C73BD13" w14:textId="77777777" w:rsidR="0024097E" w:rsidRDefault="0024097E" w:rsidP="00F73518">
      <w:pPr>
        <w:spacing w:line="240" w:lineRule="auto"/>
        <w:rPr>
          <w:rFonts w:eastAsiaTheme="minorEastAsia"/>
          <w:sz w:val="24"/>
          <w:szCs w:val="24"/>
        </w:rPr>
      </w:pPr>
      <w:r>
        <w:rPr>
          <w:rFonts w:eastAsiaTheme="minorEastAsia"/>
          <w:sz w:val="24"/>
          <w:szCs w:val="24"/>
        </w:rPr>
        <w:t>Ko = overall cost of capital.</w:t>
      </w:r>
    </w:p>
    <w:p w14:paraId="31C371B0" w14:textId="4EB490F2" w:rsidR="0024097E" w:rsidRDefault="0024097E" w:rsidP="00F73518">
      <w:pPr>
        <w:spacing w:line="240" w:lineRule="auto"/>
        <w:rPr>
          <w:rFonts w:ascii="Agency FB" w:hAnsi="Agency FB"/>
          <w:b/>
          <w:bCs/>
          <w:sz w:val="24"/>
          <w:szCs w:val="24"/>
        </w:rPr>
      </w:pPr>
      <w:r w:rsidRPr="0024097E">
        <w:rPr>
          <w:rFonts w:ascii="Agency FB" w:hAnsi="Agency FB"/>
          <w:b/>
          <w:bCs/>
          <w:sz w:val="24"/>
          <w:szCs w:val="24"/>
        </w:rPr>
        <w:t>Value for Equity Capital at Market</w:t>
      </w:r>
    </w:p>
    <w:p w14:paraId="5EA70303" w14:textId="77777777" w:rsidR="00A605C7" w:rsidRPr="00FE7E69" w:rsidRDefault="00A605C7" w:rsidP="00F73518">
      <w:pPr>
        <w:spacing w:line="240" w:lineRule="auto"/>
        <w:rPr>
          <w:sz w:val="24"/>
          <w:szCs w:val="24"/>
        </w:rPr>
      </w:pPr>
      <w:r w:rsidRPr="00FE7E69">
        <w:rPr>
          <w:sz w:val="24"/>
          <w:szCs w:val="24"/>
        </w:rPr>
        <w:t>S = V – D</w:t>
      </w:r>
    </w:p>
    <w:p w14:paraId="482B82A6" w14:textId="77777777" w:rsidR="00A605C7" w:rsidRPr="00FE7E69" w:rsidRDefault="00A605C7" w:rsidP="00F73518">
      <w:pPr>
        <w:spacing w:line="240" w:lineRule="auto"/>
        <w:rPr>
          <w:sz w:val="24"/>
          <w:szCs w:val="24"/>
        </w:rPr>
      </w:pPr>
      <w:r w:rsidRPr="00FE7E69">
        <w:rPr>
          <w:sz w:val="24"/>
          <w:szCs w:val="24"/>
        </w:rPr>
        <w:t>Where,</w:t>
      </w:r>
    </w:p>
    <w:p w14:paraId="483FFE1C" w14:textId="77777777" w:rsidR="00A605C7" w:rsidRDefault="00A605C7" w:rsidP="00F73518">
      <w:pPr>
        <w:spacing w:line="240" w:lineRule="auto"/>
        <w:rPr>
          <w:sz w:val="24"/>
          <w:szCs w:val="24"/>
        </w:rPr>
      </w:pPr>
      <w:r w:rsidRPr="00FE7E69">
        <w:rPr>
          <w:sz w:val="24"/>
          <w:szCs w:val="24"/>
        </w:rPr>
        <w:t xml:space="preserve">S = </w:t>
      </w:r>
      <w:r>
        <w:rPr>
          <w:sz w:val="24"/>
          <w:szCs w:val="24"/>
        </w:rPr>
        <w:t>M</w:t>
      </w:r>
      <w:r w:rsidRPr="00FE7E69">
        <w:rPr>
          <w:sz w:val="24"/>
          <w:szCs w:val="24"/>
        </w:rPr>
        <w:t xml:space="preserve">arket </w:t>
      </w:r>
      <w:r>
        <w:rPr>
          <w:sz w:val="24"/>
          <w:szCs w:val="24"/>
        </w:rPr>
        <w:t>value of equity capital</w:t>
      </w:r>
    </w:p>
    <w:p w14:paraId="4174DF34" w14:textId="77777777" w:rsidR="00A605C7" w:rsidRDefault="00A605C7" w:rsidP="00F73518">
      <w:pPr>
        <w:spacing w:line="240" w:lineRule="auto"/>
        <w:rPr>
          <w:sz w:val="24"/>
          <w:szCs w:val="24"/>
        </w:rPr>
      </w:pPr>
      <w:r>
        <w:rPr>
          <w:sz w:val="24"/>
          <w:szCs w:val="24"/>
        </w:rPr>
        <w:t>V = Value of the firm.</w:t>
      </w:r>
    </w:p>
    <w:p w14:paraId="0029770C" w14:textId="3BA39479" w:rsidR="0024097E" w:rsidRDefault="00A605C7" w:rsidP="00F73518">
      <w:pPr>
        <w:spacing w:line="240" w:lineRule="auto"/>
        <w:rPr>
          <w:sz w:val="24"/>
          <w:szCs w:val="24"/>
        </w:rPr>
      </w:pPr>
      <w:r>
        <w:rPr>
          <w:sz w:val="24"/>
          <w:szCs w:val="24"/>
        </w:rPr>
        <w:t>D = Market value of the Debt.</w:t>
      </w:r>
    </w:p>
    <w:p w14:paraId="0D83C3D8" w14:textId="63EC6A21" w:rsidR="00A605C7" w:rsidRDefault="00A605C7" w:rsidP="00F73518">
      <w:pPr>
        <w:spacing w:line="240" w:lineRule="auto"/>
        <w:rPr>
          <w:b/>
          <w:bCs/>
          <w:sz w:val="24"/>
          <w:szCs w:val="24"/>
        </w:rPr>
      </w:pPr>
      <w:r w:rsidRPr="00A605C7">
        <w:rPr>
          <w:b/>
          <w:bCs/>
          <w:sz w:val="24"/>
          <w:szCs w:val="24"/>
        </w:rPr>
        <w:t>Equity Capital Cost</w:t>
      </w:r>
    </w:p>
    <w:p w14:paraId="29A0CFF3" w14:textId="77777777" w:rsidR="00A605C7" w:rsidRDefault="00A605C7" w:rsidP="00F73518">
      <w:pPr>
        <w:spacing w:line="240" w:lineRule="auto"/>
        <w:rPr>
          <w:rFonts w:eastAsiaTheme="minorEastAsia"/>
          <w:sz w:val="24"/>
          <w:szCs w:val="24"/>
        </w:rPr>
      </w:pPr>
      <w:r>
        <w:rPr>
          <w:sz w:val="24"/>
          <w:szCs w:val="24"/>
        </w:rPr>
        <w:t>Ke =</w:t>
      </w:r>
      <m:oMath>
        <m:f>
          <m:fPr>
            <m:ctrlPr>
              <w:rPr>
                <w:rFonts w:ascii="Cambria Math" w:hAnsi="Cambria Math"/>
                <w:i/>
                <w:sz w:val="24"/>
                <w:szCs w:val="24"/>
              </w:rPr>
            </m:ctrlPr>
          </m:fPr>
          <m:num>
            <m:r>
              <w:rPr>
                <w:rFonts w:ascii="Cambria Math" w:hAnsi="Cambria Math"/>
                <w:sz w:val="24"/>
                <w:szCs w:val="24"/>
              </w:rPr>
              <m:t>EBIT-I</m:t>
            </m:r>
          </m:num>
          <m:den>
            <m:r>
              <w:rPr>
                <w:rFonts w:ascii="Cambria Math" w:hAnsi="Cambria Math"/>
                <w:sz w:val="24"/>
                <w:szCs w:val="24"/>
              </w:rPr>
              <m:t>S</m:t>
            </m:r>
          </m:den>
        </m:f>
        <m:r>
          <w:rPr>
            <w:rFonts w:ascii="Cambria Math" w:hAnsi="Cambria Math"/>
            <w:sz w:val="24"/>
            <w:szCs w:val="24"/>
          </w:rPr>
          <m:t>*100</m:t>
        </m:r>
      </m:oMath>
    </w:p>
    <w:p w14:paraId="7EB86C45" w14:textId="77777777" w:rsidR="00A605C7" w:rsidRPr="00A605C7" w:rsidRDefault="00A605C7" w:rsidP="00F73518">
      <w:pPr>
        <w:spacing w:line="240" w:lineRule="auto"/>
        <w:rPr>
          <w:rFonts w:ascii="Agency FB" w:hAnsi="Agency FB"/>
          <w:sz w:val="24"/>
          <w:szCs w:val="24"/>
        </w:rPr>
      </w:pPr>
      <w:r w:rsidRPr="00A605C7">
        <w:rPr>
          <w:rFonts w:ascii="Agency FB" w:hAnsi="Agency FB"/>
          <w:sz w:val="24"/>
          <w:szCs w:val="24"/>
        </w:rPr>
        <w:t>where,</w:t>
      </w:r>
    </w:p>
    <w:p w14:paraId="041E893B" w14:textId="77777777" w:rsidR="00A605C7" w:rsidRPr="00A605C7" w:rsidRDefault="00A605C7" w:rsidP="00F73518">
      <w:pPr>
        <w:spacing w:line="240" w:lineRule="auto"/>
        <w:rPr>
          <w:rFonts w:ascii="Agency FB" w:hAnsi="Agency FB"/>
          <w:sz w:val="24"/>
          <w:szCs w:val="24"/>
        </w:rPr>
      </w:pPr>
      <w:r w:rsidRPr="00A605C7">
        <w:rPr>
          <w:rFonts w:ascii="Agency FB" w:hAnsi="Agency FB"/>
          <w:sz w:val="24"/>
          <w:szCs w:val="24"/>
        </w:rPr>
        <w:t> Ke is the cost of equity or the equity capitalization rate.</w:t>
      </w:r>
    </w:p>
    <w:p w14:paraId="22836125" w14:textId="77777777" w:rsidR="00A605C7" w:rsidRPr="00A605C7" w:rsidRDefault="00A605C7" w:rsidP="00F73518">
      <w:pPr>
        <w:spacing w:line="240" w:lineRule="auto"/>
        <w:rPr>
          <w:rFonts w:ascii="Agency FB" w:hAnsi="Agency FB"/>
          <w:sz w:val="24"/>
          <w:szCs w:val="24"/>
        </w:rPr>
      </w:pPr>
      <w:r w:rsidRPr="00A605C7">
        <w:rPr>
          <w:rFonts w:ascii="Agency FB" w:hAnsi="Agency FB"/>
          <w:sz w:val="24"/>
          <w:szCs w:val="24"/>
        </w:rPr>
        <w:t>Interest on Debt = I</w:t>
      </w:r>
    </w:p>
    <w:p w14:paraId="697BD558" w14:textId="0074219A" w:rsidR="0024097E" w:rsidRDefault="00A605C7" w:rsidP="00F73518">
      <w:pPr>
        <w:spacing w:line="240" w:lineRule="auto"/>
        <w:rPr>
          <w:rFonts w:ascii="Agency FB" w:hAnsi="Agency FB"/>
          <w:sz w:val="24"/>
          <w:szCs w:val="24"/>
        </w:rPr>
      </w:pPr>
      <w:r w:rsidRPr="00A605C7">
        <w:rPr>
          <w:rFonts w:ascii="Agency FB" w:hAnsi="Agency FB"/>
          <w:sz w:val="24"/>
          <w:szCs w:val="24"/>
        </w:rPr>
        <w:t>S is the equity capital's market value.</w:t>
      </w:r>
    </w:p>
    <w:p w14:paraId="0239C6F9" w14:textId="47D49F76" w:rsidR="00A605C7" w:rsidRDefault="00622A99" w:rsidP="00F73518">
      <w:pPr>
        <w:spacing w:line="240" w:lineRule="auto"/>
        <w:rPr>
          <w:rFonts w:ascii="Agency FB" w:hAnsi="Agency FB"/>
          <w:b/>
          <w:bCs/>
          <w:sz w:val="28"/>
          <w:szCs w:val="28"/>
        </w:rPr>
      </w:pPr>
      <w:r>
        <w:rPr>
          <w:rFonts w:ascii="Agency FB" w:hAnsi="Agency FB"/>
          <w:b/>
          <w:bCs/>
          <w:sz w:val="28"/>
          <w:szCs w:val="28"/>
        </w:rPr>
        <w:t xml:space="preserve">“ </w:t>
      </w:r>
      <w:r w:rsidR="00A605C7" w:rsidRPr="00A605C7">
        <w:rPr>
          <w:rFonts w:ascii="Agency FB" w:hAnsi="Agency FB"/>
          <w:b/>
          <w:bCs/>
          <w:sz w:val="28"/>
          <w:szCs w:val="28"/>
        </w:rPr>
        <w:t>CONCEPT OF NET INCOME (NI)</w:t>
      </w:r>
      <w:r>
        <w:rPr>
          <w:rFonts w:ascii="Agency FB" w:hAnsi="Agency FB"/>
          <w:b/>
          <w:bCs/>
          <w:sz w:val="28"/>
          <w:szCs w:val="28"/>
        </w:rPr>
        <w:t xml:space="preserve"> “</w:t>
      </w:r>
    </w:p>
    <w:p w14:paraId="7357F99F" w14:textId="77777777" w:rsidR="00EB2F90" w:rsidRPr="00EB2F90" w:rsidRDefault="00EB2F90" w:rsidP="00F73518">
      <w:pPr>
        <w:spacing w:line="240" w:lineRule="auto"/>
        <w:rPr>
          <w:rFonts w:ascii="Agency FB" w:hAnsi="Agency FB"/>
          <w:sz w:val="24"/>
          <w:szCs w:val="24"/>
        </w:rPr>
      </w:pPr>
      <w:r w:rsidRPr="00EB2F90">
        <w:rPr>
          <w:rFonts w:ascii="Agency FB" w:hAnsi="Agency FB"/>
          <w:sz w:val="24"/>
          <w:szCs w:val="24"/>
        </w:rPr>
        <w:t>The "Fixed "Ke" Theory," as it is known, was developed by David Durand.</w:t>
      </w:r>
    </w:p>
    <w:p w14:paraId="17074F72" w14:textId="3131A9FB" w:rsidR="00A605C7" w:rsidRDefault="00EB2F90" w:rsidP="00F73518">
      <w:pPr>
        <w:spacing w:line="240" w:lineRule="auto"/>
        <w:rPr>
          <w:rFonts w:ascii="Agency FB" w:hAnsi="Agency FB"/>
          <w:sz w:val="24"/>
          <w:szCs w:val="24"/>
        </w:rPr>
      </w:pPr>
      <w:r w:rsidRPr="00EB2F90">
        <w:rPr>
          <w:rFonts w:ascii="Agency FB" w:hAnsi="Agency FB"/>
          <w:sz w:val="24"/>
          <w:szCs w:val="24"/>
        </w:rPr>
        <w:t>According to this theory, a company can boost its worth and lower its overall cost of capital by maximising the amount of debt that makes up its capital structure. Because: Debt is typically a less expensive source of funds;</w:t>
      </w:r>
    </w:p>
    <w:p w14:paraId="1D228243" w14:textId="77777777" w:rsidR="00EB2F90" w:rsidRPr="00EB2F90" w:rsidRDefault="00EB2F90" w:rsidP="00F73518">
      <w:pPr>
        <w:spacing w:line="240" w:lineRule="auto"/>
        <w:rPr>
          <w:rFonts w:ascii="Agency FB" w:hAnsi="Agency FB"/>
          <w:sz w:val="24"/>
          <w:szCs w:val="24"/>
        </w:rPr>
      </w:pPr>
      <w:r w:rsidRPr="00EB2F90">
        <w:rPr>
          <w:rFonts w:ascii="Agency FB" w:hAnsi="Agency FB"/>
          <w:sz w:val="24"/>
          <w:szCs w:val="24"/>
        </w:rPr>
        <w:t>(1) Interest rates are lower than dividend rates because there is a risk aspect.</w:t>
      </w:r>
    </w:p>
    <w:p w14:paraId="5952DFEB" w14:textId="2F7FA5B2" w:rsidR="00EB2F90" w:rsidRDefault="00EB2F90" w:rsidP="00F73518">
      <w:pPr>
        <w:spacing w:line="240" w:lineRule="auto"/>
        <w:rPr>
          <w:rFonts w:ascii="Agency FB" w:hAnsi="Agency FB"/>
          <w:sz w:val="24"/>
          <w:szCs w:val="24"/>
        </w:rPr>
      </w:pPr>
      <w:r w:rsidRPr="00EB2F90">
        <w:rPr>
          <w:rFonts w:ascii="Agency FB" w:hAnsi="Agency FB"/>
          <w:sz w:val="24"/>
          <w:szCs w:val="24"/>
        </w:rPr>
        <w:t>(2) The tax advantage is deductible as an expense for income tax purposes.</w:t>
      </w:r>
    </w:p>
    <w:p w14:paraId="4F046CDD" w14:textId="0C7CA09C" w:rsidR="00EB2F90" w:rsidRDefault="00EB2F90" w:rsidP="00F73518">
      <w:pPr>
        <w:spacing w:line="240" w:lineRule="auto"/>
        <w:rPr>
          <w:rFonts w:ascii="Agency FB" w:hAnsi="Agency FB"/>
          <w:b/>
          <w:bCs/>
          <w:sz w:val="24"/>
          <w:szCs w:val="24"/>
        </w:rPr>
      </w:pPr>
      <w:r w:rsidRPr="00EB2F90">
        <w:rPr>
          <w:rFonts w:ascii="Agency FB" w:hAnsi="Agency FB"/>
          <w:b/>
          <w:bCs/>
          <w:sz w:val="24"/>
          <w:szCs w:val="24"/>
        </w:rPr>
        <w:t>Calculating the total company value</w:t>
      </w:r>
    </w:p>
    <w:p w14:paraId="242A3E1D" w14:textId="0BAEE6BF" w:rsidR="00EB2F90" w:rsidRDefault="00EB2F90" w:rsidP="00F73518">
      <w:pPr>
        <w:spacing w:line="240" w:lineRule="auto"/>
        <w:rPr>
          <w:rFonts w:ascii="Agency FB" w:hAnsi="Agency FB"/>
          <w:b/>
          <w:bCs/>
          <w:sz w:val="24"/>
          <w:szCs w:val="24"/>
        </w:rPr>
      </w:pPr>
      <w:r w:rsidRPr="00EB2F90">
        <w:rPr>
          <w:rFonts w:ascii="Agency FB" w:hAnsi="Agency FB"/>
          <w:b/>
          <w:bCs/>
          <w:sz w:val="24"/>
          <w:szCs w:val="24"/>
        </w:rPr>
        <w:t>Total Firm Value (V) = S + D</w:t>
      </w:r>
    </w:p>
    <w:p w14:paraId="39C92FF9" w14:textId="77777777" w:rsidR="00EB2F90" w:rsidRDefault="00EB2F90" w:rsidP="00F73518">
      <w:pPr>
        <w:spacing w:line="240" w:lineRule="auto"/>
        <w:rPr>
          <w:sz w:val="24"/>
          <w:szCs w:val="24"/>
        </w:rPr>
      </w:pPr>
      <w:r w:rsidRPr="0033627C">
        <w:rPr>
          <w:sz w:val="24"/>
          <w:szCs w:val="24"/>
        </w:rPr>
        <w:t>Where,</w:t>
      </w:r>
    </w:p>
    <w:p w14:paraId="7642301B" w14:textId="77777777" w:rsidR="00EB2F90" w:rsidRPr="0033627C" w:rsidRDefault="00EB2F90" w:rsidP="00F73518">
      <w:pPr>
        <w:spacing w:line="240" w:lineRule="auto"/>
        <w:rPr>
          <w:sz w:val="24"/>
          <w:szCs w:val="24"/>
        </w:rPr>
      </w:pPr>
      <w:r w:rsidRPr="0033627C">
        <w:rPr>
          <w:sz w:val="24"/>
          <w:szCs w:val="24"/>
        </w:rPr>
        <w:t>S</w:t>
      </w:r>
      <w:r>
        <w:rPr>
          <w:sz w:val="24"/>
          <w:szCs w:val="24"/>
        </w:rPr>
        <w:t xml:space="preserve"> = market value</w:t>
      </w:r>
      <w:r w:rsidRPr="0033627C">
        <w:rPr>
          <w:sz w:val="24"/>
          <w:szCs w:val="24"/>
        </w:rPr>
        <w:t xml:space="preserve"> of Shares = </w:t>
      </w:r>
      <m:oMath>
        <m:f>
          <m:fPr>
            <m:type m:val="skw"/>
            <m:ctrlPr>
              <w:rPr>
                <w:rFonts w:ascii="Cambria Math" w:hAnsi="Cambria Math"/>
                <w:i/>
                <w:sz w:val="24"/>
                <w:szCs w:val="24"/>
              </w:rPr>
            </m:ctrlPr>
          </m:fPr>
          <m:num>
            <m:r>
              <w:rPr>
                <w:rFonts w:ascii="Cambria Math" w:hAnsi="Cambria Math"/>
                <w:sz w:val="24"/>
                <w:szCs w:val="24"/>
              </w:rPr>
              <m:t>EBIT-1</m:t>
            </m:r>
          </m:num>
          <m:den>
            <m:r>
              <w:rPr>
                <w:rFonts w:ascii="Cambria Math" w:hAnsi="Cambria Math"/>
                <w:sz w:val="24"/>
                <w:szCs w:val="24"/>
              </w:rPr>
              <m:t>Ke</m:t>
            </m:r>
          </m:den>
        </m:f>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E</m:t>
            </m:r>
          </m:num>
          <m:den>
            <m:r>
              <w:rPr>
                <w:rFonts w:ascii="Cambria Math" w:hAnsi="Cambria Math"/>
                <w:sz w:val="24"/>
                <w:szCs w:val="24"/>
              </w:rPr>
              <m:t>Ke</m:t>
            </m:r>
          </m:den>
        </m:f>
      </m:oMath>
    </w:p>
    <w:p w14:paraId="4F89B54D" w14:textId="71973A24" w:rsidR="00EB2F90" w:rsidRPr="00EB2F90" w:rsidRDefault="00EB2F90" w:rsidP="00F73518">
      <w:pPr>
        <w:spacing w:line="240" w:lineRule="auto"/>
        <w:rPr>
          <w:rFonts w:ascii="Agency FB" w:hAnsi="Agency FB"/>
          <w:sz w:val="24"/>
          <w:szCs w:val="24"/>
        </w:rPr>
      </w:pPr>
      <w:r w:rsidRPr="00EB2F90">
        <w:rPr>
          <w:rFonts w:ascii="Agency FB" w:hAnsi="Agency FB"/>
          <w:sz w:val="24"/>
          <w:szCs w:val="24"/>
        </w:rPr>
        <w:t xml:space="preserve">D </w:t>
      </w:r>
      <w:r>
        <w:rPr>
          <w:rFonts w:ascii="Agency FB" w:hAnsi="Agency FB"/>
          <w:sz w:val="24"/>
          <w:szCs w:val="24"/>
        </w:rPr>
        <w:t xml:space="preserve">is equal </w:t>
      </w:r>
      <w:r w:rsidR="00F4372B">
        <w:rPr>
          <w:rFonts w:ascii="Agency FB" w:hAnsi="Agency FB"/>
          <w:sz w:val="24"/>
          <w:szCs w:val="24"/>
        </w:rPr>
        <w:t>to</w:t>
      </w:r>
      <w:r w:rsidRPr="00EB2F90">
        <w:rPr>
          <w:rFonts w:ascii="Agency FB" w:hAnsi="Agency FB"/>
          <w:sz w:val="24"/>
          <w:szCs w:val="24"/>
        </w:rPr>
        <w:t xml:space="preserve"> Face Value x Market Value of Dent</w:t>
      </w:r>
    </w:p>
    <w:p w14:paraId="70FD240F" w14:textId="77777777" w:rsidR="00EB2F90" w:rsidRPr="00EB2F90" w:rsidRDefault="00EB2F90" w:rsidP="00F73518">
      <w:pPr>
        <w:spacing w:line="240" w:lineRule="auto"/>
        <w:rPr>
          <w:rFonts w:ascii="Agency FB" w:hAnsi="Agency FB"/>
          <w:sz w:val="24"/>
          <w:szCs w:val="24"/>
        </w:rPr>
      </w:pPr>
      <w:r w:rsidRPr="00EB2F90">
        <w:rPr>
          <w:rFonts w:ascii="Agency FB" w:hAnsi="Agency FB"/>
          <w:sz w:val="24"/>
          <w:szCs w:val="24"/>
        </w:rPr>
        <w:t>E stands for earnings available to stock investors.</w:t>
      </w:r>
    </w:p>
    <w:p w14:paraId="4FD6D480" w14:textId="1F860DD3" w:rsidR="00EB2F90" w:rsidRDefault="00EB2F90" w:rsidP="00F73518">
      <w:pPr>
        <w:spacing w:line="240" w:lineRule="auto"/>
        <w:rPr>
          <w:rFonts w:ascii="Agency FB" w:hAnsi="Agency FB"/>
          <w:sz w:val="24"/>
          <w:szCs w:val="24"/>
        </w:rPr>
      </w:pPr>
      <w:r w:rsidRPr="00EB2F90">
        <w:rPr>
          <w:rFonts w:ascii="Agency FB" w:hAnsi="Agency FB"/>
          <w:sz w:val="24"/>
          <w:szCs w:val="24"/>
        </w:rPr>
        <w:t>Ke is the capitalization rate or cost of equity capital.</w:t>
      </w:r>
    </w:p>
    <w:p w14:paraId="74CD2CD8" w14:textId="53383690" w:rsidR="00F4372B" w:rsidRDefault="00F4372B" w:rsidP="00F73518">
      <w:pPr>
        <w:spacing w:line="240" w:lineRule="auto"/>
        <w:rPr>
          <w:rFonts w:ascii="Agency FB" w:hAnsi="Agency FB"/>
          <w:b/>
          <w:bCs/>
          <w:sz w:val="24"/>
          <w:szCs w:val="24"/>
        </w:rPr>
      </w:pPr>
      <w:r w:rsidRPr="00F4372B">
        <w:rPr>
          <w:rFonts w:ascii="Agency FB" w:hAnsi="Agency FB"/>
          <w:b/>
          <w:bCs/>
          <w:sz w:val="24"/>
          <w:szCs w:val="24"/>
        </w:rPr>
        <w:t>determining the capitalization rate or the capital cost</w:t>
      </w:r>
    </w:p>
    <w:p w14:paraId="4722177B" w14:textId="77777777" w:rsidR="00F4372B" w:rsidRDefault="00F4372B" w:rsidP="00F73518">
      <w:pPr>
        <w:spacing w:line="240" w:lineRule="auto"/>
        <w:rPr>
          <w:rFonts w:eastAsiaTheme="minorEastAsia"/>
          <w:sz w:val="24"/>
          <w:szCs w:val="24"/>
        </w:rPr>
      </w:pPr>
      <w:r w:rsidRPr="005A1A6C">
        <w:rPr>
          <w:sz w:val="24"/>
          <w:szCs w:val="24"/>
        </w:rPr>
        <w:lastRenderedPageBreak/>
        <w:t>Ko</w:t>
      </w:r>
      <w:r>
        <w:rPr>
          <w:sz w:val="24"/>
          <w:szCs w:val="24"/>
        </w:rPr>
        <w:t xml:space="preserve"> </w:t>
      </w:r>
      <w:r w:rsidRPr="005A1A6C">
        <w:rPr>
          <w:sz w:val="24"/>
          <w:szCs w:val="24"/>
        </w:rPr>
        <w:t>=</w:t>
      </w:r>
      <w:r>
        <w:rPr>
          <w:sz w:val="24"/>
          <w:szCs w:val="24"/>
        </w:rPr>
        <w:t xml:space="preserve"> </w:t>
      </w:r>
      <m:oMath>
        <m:f>
          <m:fPr>
            <m:type m:val="skw"/>
            <m:ctrlPr>
              <w:rPr>
                <w:rFonts w:ascii="Cambria Math" w:hAnsi="Cambria Math"/>
                <w:i/>
                <w:sz w:val="24"/>
                <w:szCs w:val="24"/>
              </w:rPr>
            </m:ctrlPr>
          </m:fPr>
          <m:num>
            <m:r>
              <w:rPr>
                <w:rFonts w:ascii="Cambria Math" w:hAnsi="Cambria Math"/>
                <w:sz w:val="24"/>
                <w:szCs w:val="24"/>
              </w:rPr>
              <m:t>EBIT</m:t>
            </m:r>
          </m:num>
          <m:den>
            <m:r>
              <w:rPr>
                <w:rFonts w:ascii="Cambria Math" w:hAnsi="Cambria Math"/>
                <w:sz w:val="24"/>
                <w:szCs w:val="24"/>
              </w:rPr>
              <m:t>V</m:t>
            </m:r>
          </m:den>
        </m:f>
      </m:oMath>
    </w:p>
    <w:p w14:paraId="43C88F87" w14:textId="77777777" w:rsidR="00F4372B" w:rsidRPr="00F4372B" w:rsidRDefault="00F4372B" w:rsidP="00F73518">
      <w:pPr>
        <w:spacing w:line="240" w:lineRule="auto"/>
        <w:rPr>
          <w:rFonts w:ascii="Agency FB" w:hAnsi="Agency FB"/>
          <w:sz w:val="24"/>
          <w:szCs w:val="24"/>
        </w:rPr>
      </w:pPr>
      <w:r w:rsidRPr="00F4372B">
        <w:rPr>
          <w:rFonts w:ascii="Agency FB" w:hAnsi="Agency FB"/>
          <w:sz w:val="24"/>
          <w:szCs w:val="24"/>
        </w:rPr>
        <w:t>Where Ko is the capitalization rate or overall cost of capital.</w:t>
      </w:r>
    </w:p>
    <w:p w14:paraId="2E921F8F" w14:textId="5AA93599" w:rsidR="00F4372B" w:rsidRDefault="00F4372B" w:rsidP="00F73518">
      <w:pPr>
        <w:spacing w:line="240" w:lineRule="auto"/>
        <w:rPr>
          <w:rFonts w:ascii="Agency FB" w:hAnsi="Agency FB"/>
          <w:sz w:val="24"/>
          <w:szCs w:val="24"/>
        </w:rPr>
      </w:pPr>
      <w:r w:rsidRPr="00F4372B">
        <w:rPr>
          <w:rFonts w:ascii="Agency FB" w:hAnsi="Agency FB"/>
          <w:sz w:val="24"/>
          <w:szCs w:val="24"/>
        </w:rPr>
        <w:t>V is the firm's value.</w:t>
      </w:r>
    </w:p>
    <w:p w14:paraId="19F73A23" w14:textId="42F63F0B" w:rsidR="00F4372B" w:rsidRPr="00622A99" w:rsidRDefault="00F4372B" w:rsidP="00F73518">
      <w:pPr>
        <w:pStyle w:val="Heading2"/>
        <w:spacing w:line="240" w:lineRule="auto"/>
        <w:rPr>
          <w:rFonts w:ascii="Agency FB" w:hAnsi="Agency FB"/>
          <w:b/>
          <w:bCs/>
          <w:sz w:val="32"/>
          <w:szCs w:val="32"/>
        </w:rPr>
      </w:pPr>
      <w:bookmarkStart w:id="9" w:name="_Toc113410729"/>
      <w:r w:rsidRPr="00622A99">
        <w:rPr>
          <w:rFonts w:ascii="Agency FB" w:hAnsi="Agency FB"/>
          <w:b/>
          <w:bCs/>
          <w:sz w:val="32"/>
          <w:szCs w:val="32"/>
        </w:rPr>
        <w:t>Analysis of capital structure</w:t>
      </w:r>
      <w:bookmarkEnd w:id="9"/>
    </w:p>
    <w:p w14:paraId="7BDD6647" w14:textId="77777777" w:rsidR="00622A99" w:rsidRPr="00622A99" w:rsidRDefault="00622A99" w:rsidP="00622A99"/>
    <w:p w14:paraId="6D977C19" w14:textId="34628D17" w:rsidR="00F4372B" w:rsidRPr="008E20BE" w:rsidRDefault="008E20BE" w:rsidP="00F73518">
      <w:pPr>
        <w:spacing w:line="240" w:lineRule="auto"/>
        <w:rPr>
          <w:rFonts w:ascii="Agency FB" w:eastAsiaTheme="minorEastAsia" w:hAnsi="Agency FB"/>
          <w:sz w:val="24"/>
          <w:szCs w:val="24"/>
        </w:rPr>
      </w:pPr>
      <w:r w:rsidRPr="008E20BE">
        <w:rPr>
          <w:rFonts w:ascii="Agency FB" w:eastAsiaTheme="minorEastAsia" w:hAnsi="Agency FB"/>
          <w:sz w:val="24"/>
          <w:szCs w:val="24"/>
        </w:rPr>
        <w:t>Tesco reported a capital leverage of 49.21 between 2017 and 2021, with the majority of this sum going toward expansion through diversification. In addition, the income leverage showed that the interest rate on the loans was 42.52 percent.</w:t>
      </w:r>
      <w:r w:rsidR="00F4372B" w:rsidRPr="008E20BE">
        <w:rPr>
          <w:rFonts w:ascii="Agency FB" w:eastAsiaTheme="minorEastAsia" w:hAnsi="Agency FB"/>
          <w:sz w:val="24"/>
          <w:szCs w:val="24"/>
        </w:rPr>
        <w:t xml:space="preserve"> Some of this was also used to raise money for required debt payback. Sainsbury's financial statements for the same period, in comparison, revealed average capital and income leverage of 43.61% and 3.9%, respectively (Deieda, 2021, p. 11).</w:t>
      </w:r>
    </w:p>
    <w:p w14:paraId="3BF7A012" w14:textId="77777777" w:rsidR="008E20BE" w:rsidRPr="008E20BE" w:rsidRDefault="008E20BE" w:rsidP="00F73518">
      <w:pPr>
        <w:spacing w:line="240" w:lineRule="auto"/>
        <w:rPr>
          <w:rFonts w:ascii="Agency FB" w:eastAsiaTheme="minorEastAsia" w:hAnsi="Agency FB"/>
          <w:sz w:val="24"/>
          <w:szCs w:val="24"/>
        </w:rPr>
      </w:pPr>
      <w:r w:rsidRPr="008E20BE">
        <w:rPr>
          <w:rFonts w:ascii="Agency FB" w:eastAsiaTheme="minorEastAsia" w:hAnsi="Agency FB"/>
          <w:sz w:val="24"/>
          <w:szCs w:val="24"/>
        </w:rPr>
        <w:t>Reflectively, despite evidence of significant investment incentives, this is not a desirable duty to repay debt position. Tesco Company's risk-free rate is 4.61%, while market returns are generally 14.36%. Tesco's 2021 Annual Report and Financial Statements. Tesco Company's cost of debt before tax is, as previously said, 5.31%. Additionally, a maximum tax rate of 30% is expected to be estimated. This company is now better positioned for future investment as a result of our investigation.</w:t>
      </w:r>
    </w:p>
    <w:p w14:paraId="5271B998" w14:textId="6992B4E3" w:rsidR="008E20BE" w:rsidRPr="008E20BE" w:rsidRDefault="008E20BE" w:rsidP="00F73518">
      <w:pPr>
        <w:spacing w:line="240" w:lineRule="auto"/>
        <w:rPr>
          <w:rFonts w:ascii="Agency FB" w:eastAsiaTheme="minorEastAsia" w:hAnsi="Agency FB"/>
          <w:sz w:val="24"/>
          <w:szCs w:val="24"/>
        </w:rPr>
      </w:pPr>
      <w:r w:rsidRPr="008E20BE">
        <w:rPr>
          <w:rFonts w:ascii="Agency FB" w:eastAsiaTheme="minorEastAsia" w:hAnsi="Agency FB"/>
          <w:sz w:val="24"/>
          <w:szCs w:val="24"/>
        </w:rPr>
        <w:t>For both Tesco Company and Sainsbury Company, the weighted average cost of capital is the same, but its percentage of debt before taxes—5.61%—is substantially different. This is an indication of the favorable conditions for investor confidence. Tesco's loan cost is 5.31% while its equity cost is 11.65%. Tesco's 2020 Annual Report and Financial Statements. This is valued at 36,222.8 million pounds on the equity market. Tesco's WACC is currently at a cozy 10.7%. (2021, Deida, p. 06).</w:t>
      </w:r>
    </w:p>
    <w:p w14:paraId="7DFE0D0A" w14:textId="77777777" w:rsidR="008E20BE" w:rsidRPr="008E20BE" w:rsidRDefault="008E20BE" w:rsidP="00F73518">
      <w:pPr>
        <w:spacing w:line="240" w:lineRule="auto"/>
        <w:rPr>
          <w:rFonts w:ascii="Agency FB" w:eastAsiaTheme="minorEastAsia" w:hAnsi="Agency FB"/>
          <w:sz w:val="24"/>
          <w:szCs w:val="24"/>
        </w:rPr>
      </w:pPr>
      <w:r w:rsidRPr="008E20BE">
        <w:rPr>
          <w:rFonts w:ascii="Agency FB" w:eastAsiaTheme="minorEastAsia" w:hAnsi="Agency FB"/>
          <w:sz w:val="24"/>
          <w:szCs w:val="24"/>
        </w:rPr>
        <w:t>In contrast, Sainsbury's WACC is 13.54%. Even though the two companies' relative WACC figures are different, their position demonstrates that both have favorable investment climates. The high WACC% that Sainsbury demonstrated is insufficient proof that Sainsbury investors will probably also invest in Tesco. Tesco favours stocks more than Sainsbury does.</w:t>
      </w:r>
    </w:p>
    <w:p w14:paraId="16472462" w14:textId="77777777" w:rsidR="008E20BE" w:rsidRPr="008E20BE" w:rsidRDefault="008E20BE" w:rsidP="00F73518">
      <w:pPr>
        <w:spacing w:line="240" w:lineRule="auto"/>
        <w:rPr>
          <w:rFonts w:ascii="Agency FB" w:eastAsiaTheme="minorEastAsia" w:hAnsi="Agency FB"/>
          <w:sz w:val="24"/>
          <w:szCs w:val="24"/>
        </w:rPr>
      </w:pPr>
      <w:r w:rsidRPr="008E20BE">
        <w:rPr>
          <w:rFonts w:ascii="Agency FB" w:eastAsiaTheme="minorEastAsia" w:hAnsi="Agency FB"/>
          <w:sz w:val="24"/>
          <w:szCs w:val="24"/>
        </w:rPr>
        <w:t>However, exchange rates, liquidity, and credit risk are the primary threats that Sainsbury must manage. Because some of the company's locations are outside of the UK, interest rate risk and market fluctuations are a possibility. To match interest rate profiles and reduce volatility, the firm is responding by inventing methods to manage the appropriate balance between borrowing, inflation, and floating-link interest rates.</w:t>
      </w:r>
    </w:p>
    <w:p w14:paraId="30C840C0" w14:textId="0903704D" w:rsidR="008E20BE" w:rsidRPr="008E20BE" w:rsidRDefault="008E20BE" w:rsidP="00F73518">
      <w:pPr>
        <w:spacing w:line="240" w:lineRule="auto"/>
        <w:rPr>
          <w:rFonts w:ascii="Agency FB" w:eastAsiaTheme="minorEastAsia" w:hAnsi="Agency FB"/>
          <w:sz w:val="24"/>
          <w:szCs w:val="24"/>
        </w:rPr>
      </w:pPr>
      <w:r w:rsidRPr="008E20BE">
        <w:rPr>
          <w:rFonts w:ascii="Agency FB" w:hAnsi="Agency FB"/>
          <w:sz w:val="24"/>
          <w:szCs w:val="24"/>
        </w:rPr>
        <w:t>There was a 33% balance between the net debt and fixed interest rates following the swap in 2017. Deieda, 2021, p. The corporation needs to take steps to lower its level of debt because 40% of its income is transferred in US dollars.</w:t>
      </w:r>
      <w:r w:rsidRPr="008E20BE">
        <w:rPr>
          <w:rFonts w:ascii="Agency FB" w:eastAsiaTheme="minorEastAsia" w:hAnsi="Agency FB"/>
          <w:sz w:val="24"/>
          <w:szCs w:val="24"/>
        </w:rPr>
        <w:t xml:space="preserve"> </w:t>
      </w:r>
      <w:r w:rsidRPr="008E20BE">
        <w:rPr>
          <w:rFonts w:ascii="Agency FB" w:eastAsiaTheme="minorEastAsia" w:hAnsi="Agency FB"/>
          <w:sz w:val="24"/>
          <w:szCs w:val="24"/>
        </w:rPr>
        <w:t>The cash flows demonstrate the corporation's exposure to a liquidity risk as well. Repaying real estate assets over a range of maturities, however, can limit these. The paper demonstrates that a debt financing approach can balance the liquidity contingent by doing this (Collis and Hussey, 2021, p. 23).</w:t>
      </w:r>
    </w:p>
    <w:p w14:paraId="6BA618A0" w14:textId="77777777" w:rsidR="008E20BE" w:rsidRPr="008E20BE" w:rsidRDefault="008E20BE" w:rsidP="00F73518">
      <w:pPr>
        <w:spacing w:line="240" w:lineRule="auto"/>
        <w:rPr>
          <w:rFonts w:ascii="Agency FB" w:eastAsiaTheme="minorEastAsia" w:hAnsi="Agency FB"/>
          <w:b/>
          <w:bCs/>
          <w:sz w:val="28"/>
          <w:szCs w:val="28"/>
        </w:rPr>
      </w:pPr>
      <w:r w:rsidRPr="008E20BE">
        <w:rPr>
          <w:rFonts w:ascii="Agency FB" w:eastAsiaTheme="minorEastAsia" w:hAnsi="Agency FB"/>
          <w:b/>
          <w:bCs/>
          <w:sz w:val="28"/>
          <w:szCs w:val="28"/>
        </w:rPr>
        <w:t>Basic Presumptions</w:t>
      </w:r>
    </w:p>
    <w:p w14:paraId="592DBDD1" w14:textId="071EFE82" w:rsidR="00F4372B" w:rsidRPr="00E94A48" w:rsidRDefault="00E94A48" w:rsidP="00F73518">
      <w:pPr>
        <w:spacing w:line="240" w:lineRule="auto"/>
        <w:rPr>
          <w:rFonts w:ascii="Agency FB" w:eastAsiaTheme="minorEastAsia" w:hAnsi="Agency FB"/>
          <w:sz w:val="24"/>
          <w:szCs w:val="24"/>
        </w:rPr>
      </w:pPr>
      <w:r w:rsidRPr="00E94A48">
        <w:rPr>
          <w:rFonts w:ascii="Agency FB" w:hAnsi="Agency FB"/>
          <w:sz w:val="24"/>
          <w:szCs w:val="24"/>
        </w:rPr>
        <w:t>One of the fundamental underlying assumptions used in the computation of the Weighted Average Cost of Capital for Tesco and Sainsbury Companies is that UK government bonds would have a risk-free rate during the analysis period.</w:t>
      </w:r>
      <w:r w:rsidRPr="00E94A48">
        <w:rPr>
          <w:rFonts w:ascii="Agency FB" w:eastAsiaTheme="minorEastAsia" w:hAnsi="Agency FB"/>
          <w:sz w:val="24"/>
          <w:szCs w:val="24"/>
        </w:rPr>
        <w:t xml:space="preserve"> </w:t>
      </w:r>
      <w:r w:rsidRPr="00E94A48">
        <w:rPr>
          <w:rFonts w:ascii="Agency FB" w:eastAsiaTheme="minorEastAsia" w:hAnsi="Agency FB"/>
          <w:sz w:val="24"/>
          <w:szCs w:val="24"/>
        </w:rPr>
        <w:t xml:space="preserve">Furthermore, it is assumed that the relationship between beta and return is linear. Tesco and Sainsbury are also thought to operate in a perfect market. The weighted average also shows the loan's amortization period. It displays the leases' debt value. The current worth of operational leases. The debt's present market value is determined using the annuity of prior interest payments. Theoretical default spread formulas were created using calculations by Prof. Damodaran. The </w:t>
      </w:r>
      <w:r w:rsidRPr="00E94A48">
        <w:rPr>
          <w:rFonts w:ascii="Agency FB" w:eastAsiaTheme="minorEastAsia" w:hAnsi="Agency FB"/>
          <w:sz w:val="24"/>
          <w:szCs w:val="24"/>
        </w:rPr>
        <w:lastRenderedPageBreak/>
        <w:t>performance of the market during the analysis period is also believed to be reflected in the FTSE index (Eugene and Michael, 2009, p. 89).</w:t>
      </w:r>
    </w:p>
    <w:p w14:paraId="411DA257" w14:textId="226E4C2C" w:rsidR="00E94A48" w:rsidRDefault="00E94A48" w:rsidP="00F73518">
      <w:pPr>
        <w:pStyle w:val="Heading2"/>
        <w:shd w:val="clear" w:color="auto" w:fill="FFFFFF"/>
        <w:spacing w:line="240" w:lineRule="auto"/>
        <w:rPr>
          <w:rFonts w:ascii="Agency FB" w:hAnsi="Agency FB"/>
          <w:b/>
          <w:bCs/>
          <w:color w:val="4472C4" w:themeColor="accent1"/>
          <w:sz w:val="32"/>
          <w:szCs w:val="32"/>
        </w:rPr>
      </w:pPr>
      <w:bookmarkStart w:id="10" w:name="_Toc113410730"/>
      <w:r w:rsidRPr="00E94A48">
        <w:rPr>
          <w:rFonts w:ascii="Agency FB" w:hAnsi="Agency FB"/>
          <w:b/>
          <w:bCs/>
          <w:color w:val="4472C4" w:themeColor="accent1"/>
          <w:sz w:val="32"/>
          <w:szCs w:val="32"/>
        </w:rPr>
        <w:t>Capital structure theoretical Reflections</w:t>
      </w:r>
      <w:bookmarkEnd w:id="10"/>
    </w:p>
    <w:p w14:paraId="7C6CE6C8" w14:textId="77777777" w:rsidR="00F73518" w:rsidRPr="00F73518" w:rsidRDefault="00F73518" w:rsidP="00F73518"/>
    <w:p w14:paraId="55087133" w14:textId="77777777" w:rsidR="00E94A48" w:rsidRPr="00E94A48" w:rsidRDefault="00E94A48" w:rsidP="00F73518">
      <w:pPr>
        <w:spacing w:line="240" w:lineRule="auto"/>
        <w:rPr>
          <w:rFonts w:ascii="Agency FB" w:eastAsiaTheme="minorEastAsia" w:hAnsi="Agency FB"/>
          <w:sz w:val="24"/>
          <w:szCs w:val="24"/>
        </w:rPr>
      </w:pPr>
      <w:r w:rsidRPr="00E94A48">
        <w:rPr>
          <w:rFonts w:ascii="Agency FB" w:eastAsiaTheme="minorEastAsia" w:hAnsi="Agency FB"/>
          <w:sz w:val="24"/>
          <w:szCs w:val="24"/>
        </w:rPr>
        <w:t>Various theories can be applied to capital structure analysis. The underlying assumption of these theories is that variations in capital costs and anticipated earnings frequently have an effect on the value of the organisation across all levels. Reflectively, when leverage debt increases, earnings per share increase (Helfert, 2001, p.67). In fact, this continuous theoretical viewpoint falls short of capturing the conceptual foundations of the primary purpose because the effect of leverage on capital costs is still not clear. According to capital structure theories, the optimal capital structure only occurs when leverage affects capital costs.</w:t>
      </w:r>
    </w:p>
    <w:p w14:paraId="4B166A36" w14:textId="42621C0B" w:rsidR="00E94A48" w:rsidRDefault="00E94A48" w:rsidP="00F73518">
      <w:pPr>
        <w:spacing w:line="240" w:lineRule="auto"/>
        <w:rPr>
          <w:rFonts w:ascii="Agency FB" w:eastAsiaTheme="minorEastAsia" w:hAnsi="Agency FB"/>
          <w:sz w:val="24"/>
          <w:szCs w:val="24"/>
        </w:rPr>
      </w:pPr>
      <w:r w:rsidRPr="00E94A48">
        <w:rPr>
          <w:rFonts w:ascii="Agency FB" w:eastAsiaTheme="minorEastAsia" w:hAnsi="Agency FB"/>
          <w:sz w:val="24"/>
          <w:szCs w:val="24"/>
        </w:rPr>
        <w:t>There are various theories that can be applied to capital structure analysis. The underlying assumption of these theories is that variations in capital costs and anticipated earnings frequently have an effect on the value of the organisation across all levels. Reflectively, when leverage debt increases, earnings per share increase (Helfert, 2001, p.67). In fact, because it is still unclear how leverage affects capital costs, this continuous theoretical viewpoint falls short of expressing the conceptual underpinnings of the fundamental goal. The ideal capital structure, in accordance with capital structure theories, only materialises when leverage impacts capital costs.</w:t>
      </w:r>
    </w:p>
    <w:p w14:paraId="48DAB6ED" w14:textId="09B7FF07" w:rsidR="00E94A48" w:rsidRPr="00622A99" w:rsidRDefault="00E94A48" w:rsidP="00F73518">
      <w:pPr>
        <w:pStyle w:val="Heading2"/>
        <w:spacing w:line="240" w:lineRule="auto"/>
        <w:rPr>
          <w:rFonts w:ascii="Agency FB" w:hAnsi="Agency FB"/>
          <w:b/>
          <w:bCs/>
          <w:sz w:val="32"/>
          <w:szCs w:val="32"/>
        </w:rPr>
      </w:pPr>
      <w:bookmarkStart w:id="11" w:name="_Toc113410731"/>
      <w:r w:rsidRPr="00622A99">
        <w:rPr>
          <w:rFonts w:ascii="Agency FB" w:hAnsi="Agency FB"/>
          <w:b/>
          <w:bCs/>
          <w:sz w:val="32"/>
          <w:szCs w:val="32"/>
        </w:rPr>
        <w:t>Modigliani and Miller (1958)</w:t>
      </w:r>
      <w:bookmarkEnd w:id="11"/>
      <w:r w:rsidRPr="00622A99">
        <w:rPr>
          <w:rFonts w:ascii="Agency FB" w:hAnsi="Agency FB"/>
          <w:b/>
          <w:bCs/>
          <w:sz w:val="32"/>
          <w:szCs w:val="32"/>
        </w:rPr>
        <w:t xml:space="preserve"> </w:t>
      </w:r>
    </w:p>
    <w:p w14:paraId="0CC8AD96" w14:textId="77777777" w:rsidR="00F73518" w:rsidRPr="00F73518" w:rsidRDefault="00F73518" w:rsidP="00F73518"/>
    <w:p w14:paraId="61740389" w14:textId="0D14A1FC" w:rsidR="00E94A48" w:rsidRPr="008823CD" w:rsidRDefault="00C2475E" w:rsidP="00F73518">
      <w:pPr>
        <w:spacing w:line="240" w:lineRule="auto"/>
        <w:rPr>
          <w:rFonts w:ascii="Agency FB" w:eastAsiaTheme="minorEastAsia" w:hAnsi="Agency FB"/>
          <w:sz w:val="24"/>
          <w:szCs w:val="24"/>
        </w:rPr>
      </w:pPr>
      <w:r w:rsidRPr="008823CD">
        <w:rPr>
          <w:rFonts w:ascii="Agency FB" w:eastAsiaTheme="minorEastAsia" w:hAnsi="Agency FB"/>
          <w:sz w:val="24"/>
          <w:szCs w:val="24"/>
        </w:rPr>
        <w:t xml:space="preserve">"In the absence of taxes, bankruptcy cost, asymmetric knowledge, and in an efficient market, a company's worth is unaffected by how it is financed, regardless of whether the company's capital consists of equity or debt, or a combination of these, or what the dividend policy is" ( </w:t>
      </w:r>
      <w:r w:rsidR="00320503" w:rsidRPr="008823CD">
        <w:rPr>
          <w:rFonts w:ascii="Agency FB" w:eastAsiaTheme="minorEastAsia" w:hAnsi="Agency FB"/>
          <w:sz w:val="24"/>
          <w:szCs w:val="24"/>
        </w:rPr>
        <w:t>“</w:t>
      </w:r>
      <w:r w:rsidRPr="008823CD">
        <w:rPr>
          <w:rFonts w:ascii="Agency FB" w:eastAsiaTheme="minorEastAsia" w:hAnsi="Agency FB"/>
          <w:sz w:val="24"/>
          <w:szCs w:val="24"/>
        </w:rPr>
        <w:t>Modigliani and Miller</w:t>
      </w:r>
      <w:r w:rsidR="00320503" w:rsidRPr="008823CD">
        <w:rPr>
          <w:rFonts w:ascii="Agency FB" w:eastAsiaTheme="minorEastAsia" w:hAnsi="Agency FB"/>
          <w:sz w:val="24"/>
          <w:szCs w:val="24"/>
        </w:rPr>
        <w:t>”</w:t>
      </w:r>
      <w:r w:rsidRPr="008823CD">
        <w:rPr>
          <w:rFonts w:ascii="Agency FB" w:eastAsiaTheme="minorEastAsia" w:hAnsi="Agency FB"/>
          <w:sz w:val="24"/>
          <w:szCs w:val="24"/>
        </w:rPr>
        <w:t>, 1958, p. 79)</w:t>
      </w:r>
    </w:p>
    <w:p w14:paraId="6B96F61E" w14:textId="430743AD" w:rsidR="00320503" w:rsidRPr="008823CD" w:rsidRDefault="00320503" w:rsidP="00F73518">
      <w:pPr>
        <w:spacing w:line="240" w:lineRule="auto"/>
        <w:rPr>
          <w:rFonts w:ascii="Agency FB" w:hAnsi="Agency FB"/>
          <w:sz w:val="24"/>
          <w:szCs w:val="24"/>
        </w:rPr>
      </w:pPr>
      <w:r w:rsidRPr="008823CD">
        <w:rPr>
          <w:rFonts w:ascii="Agency FB" w:hAnsi="Agency FB"/>
          <w:sz w:val="24"/>
          <w:szCs w:val="24"/>
        </w:rPr>
        <w:t>Introspectively, this theorem is based on the notion that diverse options are presented in situations involving taxation and tax exemption (Brealey, Stewart, and Franklin, 2008, p.46). When taxation is present, leverage is added or enhanced, which has a number of benefits.</w:t>
      </w:r>
    </w:p>
    <w:p w14:paraId="08BC1BF8" w14:textId="75C0AE17" w:rsidR="00320503" w:rsidRPr="008823CD" w:rsidRDefault="00320503" w:rsidP="00F73518">
      <w:pPr>
        <w:spacing w:line="240" w:lineRule="auto"/>
        <w:rPr>
          <w:rFonts w:ascii="Agency FB" w:hAnsi="Agency FB"/>
          <w:sz w:val="24"/>
          <w:szCs w:val="24"/>
        </w:rPr>
      </w:pPr>
      <w:r w:rsidRPr="008823CD">
        <w:rPr>
          <w:rFonts w:ascii="Agency FB" w:hAnsi="Agency FB"/>
          <w:sz w:val="24"/>
          <w:szCs w:val="24"/>
        </w:rPr>
        <w:t>However, benefits like wealth growth through increasing leverage are not realised in the absence of taxation, i.e., in the absence of a tax haven (Brealey, Stewart, and Franklin, 2008, p.46). This theory was most relevant for the circumstance because it contrasted two businesses. The premise would hold true when comparing two enterprises, one without debt and the other with debt. If they accept the suggested inference, the theory comes to the conclusion that these companies are the same ("Erricos and Cristian", 2007, p. 54).</w:t>
      </w:r>
    </w:p>
    <w:p w14:paraId="7BE3AAE1" w14:textId="08236F25" w:rsidR="00320503" w:rsidRPr="008823CD" w:rsidRDefault="00382CB1" w:rsidP="00F73518">
      <w:pPr>
        <w:spacing w:line="240" w:lineRule="auto"/>
        <w:rPr>
          <w:rFonts w:ascii="Agency FB" w:hAnsi="Agency FB"/>
          <w:sz w:val="24"/>
          <w:szCs w:val="24"/>
        </w:rPr>
      </w:pPr>
      <w:r w:rsidRPr="008823CD">
        <w:rPr>
          <w:rFonts w:ascii="Agency FB" w:hAnsi="Agency FB"/>
          <w:sz w:val="24"/>
          <w:szCs w:val="24"/>
        </w:rPr>
        <w:t>In the illustration, a potential investor will apply this idea to choose the best investment opportunity amongst two businesses that are performing almost comparably on the market. Stock purchases to reach a specified return on investment matrix would be a terrific opportunity in a leveraged company. But in 1958, Modigliani and Miller assert the following:</w:t>
      </w:r>
    </w:p>
    <w:p w14:paraId="2427C3D4" w14:textId="77777777" w:rsidR="00382CB1" w:rsidRPr="008823CD" w:rsidRDefault="00382CB1" w:rsidP="00F73518">
      <w:pPr>
        <w:tabs>
          <w:tab w:val="left" w:pos="6076"/>
        </w:tabs>
        <w:spacing w:line="240" w:lineRule="auto"/>
        <w:rPr>
          <w:rFonts w:ascii="Agency FB" w:eastAsiaTheme="minorEastAsia" w:hAnsi="Agency FB"/>
          <w:sz w:val="24"/>
          <w:szCs w:val="24"/>
        </w:rPr>
      </w:pPr>
      <w:r w:rsidRPr="008823CD">
        <w:rPr>
          <w:rFonts w:ascii="Agency FB" w:eastAsiaTheme="minorEastAsia" w:hAnsi="Agency FB"/>
          <w:sz w:val="24"/>
          <w:szCs w:val="24"/>
        </w:rPr>
        <w:t>The weighted average cost of capital for a company with dangerous debt remains constant as the ratio of debt to equity rises, but the necessary return on equity is higher due to the greater risk faced by equity investors in a company with risky debt. "There is an underlying assumption that the cost of borrowing for the investor and the leveraged company are equal, but this is not always the case when there is asymmetric knowledge or when there aren't efficient markets (1958, p. 89, Modigliani and Miller)</w:t>
      </w:r>
    </w:p>
    <w:p w14:paraId="0B5B954C" w14:textId="77777777" w:rsidR="00471D3B" w:rsidRPr="008823CD" w:rsidRDefault="00471D3B" w:rsidP="00F73518">
      <w:pPr>
        <w:tabs>
          <w:tab w:val="left" w:pos="6076"/>
        </w:tabs>
        <w:spacing w:line="240" w:lineRule="auto"/>
        <w:rPr>
          <w:rFonts w:ascii="Agency FB" w:eastAsiaTheme="minorEastAsia" w:hAnsi="Agency FB"/>
          <w:sz w:val="24"/>
          <w:szCs w:val="24"/>
        </w:rPr>
      </w:pPr>
      <w:r w:rsidRPr="008823CD">
        <w:rPr>
          <w:rFonts w:ascii="Agency FB" w:eastAsiaTheme="minorEastAsia" w:hAnsi="Agency FB"/>
          <w:sz w:val="24"/>
          <w:szCs w:val="24"/>
        </w:rPr>
        <w:lastRenderedPageBreak/>
        <w:t>The cost of debt and financial leverage (including operating, financial, and combined leverage) are the two main ideas in this theory.</w:t>
      </w:r>
    </w:p>
    <w:p w14:paraId="526B82A2" w14:textId="271B1646" w:rsidR="00382CB1" w:rsidRPr="008823CD" w:rsidRDefault="008823CD" w:rsidP="00F73518">
      <w:pPr>
        <w:spacing w:line="240" w:lineRule="auto"/>
        <w:rPr>
          <w:rFonts w:ascii="Agency FB" w:hAnsi="Agency FB"/>
          <w:sz w:val="24"/>
          <w:szCs w:val="24"/>
        </w:rPr>
      </w:pPr>
      <w:r w:rsidRPr="008823CD">
        <w:rPr>
          <w:rFonts w:ascii="Agency FB" w:hAnsi="Agency FB"/>
          <w:sz w:val="24"/>
          <w:szCs w:val="24"/>
        </w:rPr>
        <w:t>By weighing the benefits and drawbacks, trade-off theory, on the other hand, clarifies the justification for mixing debt and equity funding. Similar to the pecking order capital structure hypothesis, this theory employs agency costs, debt financing, and equity financing to establish a firm's capital structure.</w:t>
      </w:r>
    </w:p>
    <w:p w14:paraId="55323041" w14:textId="5EAA60DB" w:rsidR="008823CD" w:rsidRDefault="008823CD" w:rsidP="00F73518">
      <w:pPr>
        <w:spacing w:line="240" w:lineRule="auto"/>
      </w:pPr>
      <w:r>
        <w:rPr>
          <w:rFonts w:eastAsiaTheme="minorEastAsia"/>
          <w:noProof/>
          <w:sz w:val="24"/>
          <w:szCs w:val="24"/>
        </w:rPr>
        <w:drawing>
          <wp:inline distT="0" distB="0" distL="0" distR="0" wp14:anchorId="7E7319A9" wp14:editId="50B22E63">
            <wp:extent cx="2990876" cy="2126974"/>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9">
                      <a:extLst>
                        <a:ext uri="{28A0092B-C50C-407E-A947-70E740481C1C}">
                          <a14:useLocalDpi xmlns:a14="http://schemas.microsoft.com/office/drawing/2010/main" val="0"/>
                        </a:ext>
                      </a:extLst>
                    </a:blip>
                    <a:srcRect l="9302" t="21963" r="54851" b="38937"/>
                    <a:stretch/>
                  </pic:blipFill>
                  <pic:spPr bwMode="auto">
                    <a:xfrm>
                      <a:off x="0" y="0"/>
                      <a:ext cx="3011792" cy="2141849"/>
                    </a:xfrm>
                    <a:prstGeom prst="rect">
                      <a:avLst/>
                    </a:prstGeom>
                    <a:ln>
                      <a:noFill/>
                    </a:ln>
                    <a:extLst>
                      <a:ext uri="{53640926-AAD7-44D8-BBD7-CCE9431645EC}">
                        <a14:shadowObscured xmlns:a14="http://schemas.microsoft.com/office/drawing/2010/main"/>
                      </a:ext>
                    </a:extLst>
                  </pic:spPr>
                </pic:pic>
              </a:graphicData>
            </a:graphic>
          </wp:inline>
        </w:drawing>
      </w:r>
    </w:p>
    <w:p w14:paraId="4952AA0B" w14:textId="7E5E6A42" w:rsidR="008823CD" w:rsidRDefault="008823CD" w:rsidP="00F73518">
      <w:pPr>
        <w:spacing w:line="240" w:lineRule="auto"/>
      </w:pPr>
      <w:r>
        <w:t xml:space="preserve">Fig. from Sainsbury </w:t>
      </w:r>
    </w:p>
    <w:p w14:paraId="071F5A1F" w14:textId="2FB4AE79" w:rsidR="008823CD" w:rsidRDefault="008823CD" w:rsidP="00F73518">
      <w:pPr>
        <w:spacing w:line="240" w:lineRule="auto"/>
        <w:rPr>
          <w:rFonts w:ascii="Agency FB" w:hAnsi="Agency FB"/>
          <w:sz w:val="24"/>
          <w:szCs w:val="24"/>
        </w:rPr>
      </w:pPr>
      <w:r w:rsidRPr="008823CD">
        <w:rPr>
          <w:rFonts w:ascii="Agency FB" w:hAnsi="Agency FB"/>
          <w:sz w:val="24"/>
          <w:szCs w:val="24"/>
        </w:rPr>
        <w:t>As was previously demonstrated, increasing leverage (debt-equity ratio) produces the best capital structure and strikes a compromise between bankruptcy and tax shelter (Helfert, 2001, p.69). Despite Myers' criticism, the Trade-off Theory is still a favourite among most analysts since it provides a helpful explanation for changes in asset prices and capital structure. It is also adaptable when it comes to data matching and analysis.</w:t>
      </w:r>
    </w:p>
    <w:p w14:paraId="65B4415D" w14:textId="6391D371" w:rsidR="004D1774" w:rsidRDefault="004D1774" w:rsidP="00F73518">
      <w:pPr>
        <w:pStyle w:val="Heading2"/>
        <w:spacing w:line="240" w:lineRule="auto"/>
        <w:rPr>
          <w:rFonts w:ascii="Agency FB" w:eastAsiaTheme="minorEastAsia" w:hAnsi="Agency FB"/>
          <w:b/>
          <w:bCs/>
          <w:sz w:val="32"/>
          <w:szCs w:val="32"/>
        </w:rPr>
      </w:pPr>
      <w:bookmarkStart w:id="12" w:name="_Toc113410732"/>
      <w:r w:rsidRPr="00F73518">
        <w:rPr>
          <w:rFonts w:ascii="Agency FB" w:eastAsiaTheme="minorEastAsia" w:hAnsi="Agency FB"/>
          <w:b/>
          <w:bCs/>
          <w:sz w:val="32"/>
          <w:szCs w:val="32"/>
        </w:rPr>
        <w:t>calculating the average yearly share returns for the previous five years</w:t>
      </w:r>
      <w:bookmarkEnd w:id="12"/>
    </w:p>
    <w:p w14:paraId="6C69726F" w14:textId="77777777" w:rsidR="00C217F2" w:rsidRPr="00C217F2" w:rsidRDefault="00C217F2" w:rsidP="00C217F2"/>
    <w:p w14:paraId="4F3C8904" w14:textId="3D91426E" w:rsidR="004D1774" w:rsidRDefault="004D1774" w:rsidP="00F73518">
      <w:pPr>
        <w:tabs>
          <w:tab w:val="left" w:pos="6076"/>
        </w:tabs>
        <w:spacing w:line="240" w:lineRule="auto"/>
        <w:rPr>
          <w:rFonts w:ascii="Agency FB" w:eastAsiaTheme="minorEastAsia" w:hAnsi="Agency FB"/>
          <w:sz w:val="24"/>
          <w:szCs w:val="24"/>
        </w:rPr>
      </w:pPr>
      <w:r w:rsidRPr="004D1774">
        <w:rPr>
          <w:rFonts w:ascii="Agency FB" w:eastAsiaTheme="minorEastAsia" w:hAnsi="Agency FB"/>
          <w:sz w:val="24"/>
          <w:szCs w:val="24"/>
        </w:rPr>
        <w:t>Calculating the annual returns on the share value is an efficient way to analyse a corporate financing arrangement. This is a calculation of the profits and losses of a mutual fund over a specific time period. For external shareholders looking for the optimum investment strategy, this is an essential component. It is useful to compute annual share returns in order to evaluate and compare investment success. The returns are computed using a "simple mathematical average of a series of returns generated over a given period of time."</w:t>
      </w:r>
    </w:p>
    <w:p w14:paraId="08AE54E6" w14:textId="77A9B776" w:rsidR="004D1774" w:rsidRDefault="004340BB" w:rsidP="00F73518">
      <w:pPr>
        <w:tabs>
          <w:tab w:val="left" w:pos="6076"/>
        </w:tabs>
        <w:spacing w:line="240" w:lineRule="auto"/>
        <w:rPr>
          <w:rFonts w:ascii="Agency FB" w:eastAsiaTheme="minorEastAsia" w:hAnsi="Agency FB"/>
          <w:sz w:val="24"/>
          <w:szCs w:val="24"/>
        </w:rPr>
      </w:pPr>
      <w:r w:rsidRPr="004340BB">
        <w:rPr>
          <w:rFonts w:ascii="Agency FB" w:eastAsiaTheme="minorEastAsia" w:hAnsi="Agency FB"/>
          <w:sz w:val="24"/>
          <w:szCs w:val="24"/>
        </w:rPr>
        <w:t>The average yearly share returns over the previous five years have been compared and thoroughly examined in order to evaluate Tesco Plc's investment track record and goals. A presentation of a research of the yearly returns from 2017 through 2021 has also been made.</w:t>
      </w:r>
    </w:p>
    <w:p w14:paraId="44F02BDE" w14:textId="77777777" w:rsidR="00622A99" w:rsidRDefault="00622A99" w:rsidP="00F73518">
      <w:pPr>
        <w:tabs>
          <w:tab w:val="left" w:pos="6076"/>
        </w:tabs>
        <w:spacing w:line="240" w:lineRule="auto"/>
        <w:rPr>
          <w:rFonts w:ascii="Agency FB" w:eastAsiaTheme="minorEastAsia" w:hAnsi="Agency FB"/>
          <w:sz w:val="24"/>
          <w:szCs w:val="24"/>
        </w:rPr>
      </w:pPr>
    </w:p>
    <w:tbl>
      <w:tblPr>
        <w:tblStyle w:val="PlainTable3"/>
        <w:tblW w:w="0" w:type="auto"/>
        <w:tblLook w:val="04A0" w:firstRow="1" w:lastRow="0" w:firstColumn="1" w:lastColumn="0" w:noHBand="0" w:noVBand="1"/>
      </w:tblPr>
      <w:tblGrid>
        <w:gridCol w:w="4675"/>
        <w:gridCol w:w="4675"/>
      </w:tblGrid>
      <w:tr w:rsidR="004340BB" w14:paraId="62143828" w14:textId="77777777" w:rsidTr="00F65D1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675" w:type="dxa"/>
          </w:tcPr>
          <w:p w14:paraId="5E4C7600" w14:textId="77777777" w:rsidR="004340BB" w:rsidRDefault="004340BB" w:rsidP="00F73518">
            <w:pPr>
              <w:tabs>
                <w:tab w:val="left" w:pos="6076"/>
              </w:tabs>
              <w:rPr>
                <w:rFonts w:eastAsiaTheme="minorEastAsia"/>
                <w:sz w:val="28"/>
                <w:szCs w:val="28"/>
              </w:rPr>
            </w:pPr>
            <w:r>
              <w:rPr>
                <w:rFonts w:eastAsiaTheme="minorEastAsia"/>
                <w:sz w:val="28"/>
                <w:szCs w:val="28"/>
              </w:rPr>
              <w:t>years</w:t>
            </w:r>
          </w:p>
        </w:tc>
        <w:tc>
          <w:tcPr>
            <w:tcW w:w="4675" w:type="dxa"/>
          </w:tcPr>
          <w:p w14:paraId="3657D1B1" w14:textId="77777777" w:rsidR="004340BB" w:rsidRDefault="004340BB" w:rsidP="00F73518">
            <w:pPr>
              <w:tabs>
                <w:tab w:val="left" w:pos="6076"/>
              </w:tabs>
              <w:cnfStyle w:val="100000000000" w:firstRow="1" w:lastRow="0" w:firstColumn="0" w:lastColumn="0" w:oddVBand="0" w:evenVBand="0" w:oddHBand="0" w:evenHBand="0" w:firstRowFirstColumn="0" w:firstRowLastColumn="0" w:lastRowFirstColumn="0" w:lastRowLastColumn="0"/>
              <w:rPr>
                <w:rFonts w:eastAsiaTheme="minorEastAsia"/>
                <w:sz w:val="28"/>
                <w:szCs w:val="28"/>
              </w:rPr>
            </w:pPr>
            <w:r>
              <w:rPr>
                <w:rFonts w:eastAsiaTheme="minorEastAsia"/>
                <w:sz w:val="28"/>
                <w:szCs w:val="28"/>
              </w:rPr>
              <w:t>Average Annual Share Return</w:t>
            </w:r>
          </w:p>
        </w:tc>
      </w:tr>
      <w:tr w:rsidR="004340BB" w14:paraId="460B2487" w14:textId="77777777" w:rsidTr="00F65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3CBB53F6" w14:textId="77777777" w:rsidR="004340BB" w:rsidRDefault="004340BB" w:rsidP="00F73518">
            <w:pPr>
              <w:tabs>
                <w:tab w:val="left" w:pos="6076"/>
              </w:tabs>
              <w:rPr>
                <w:rFonts w:eastAsiaTheme="minorEastAsia"/>
                <w:sz w:val="28"/>
                <w:szCs w:val="28"/>
              </w:rPr>
            </w:pPr>
            <w:r>
              <w:rPr>
                <w:rFonts w:eastAsiaTheme="minorEastAsia"/>
                <w:sz w:val="28"/>
                <w:szCs w:val="28"/>
              </w:rPr>
              <w:t>2017</w:t>
            </w:r>
          </w:p>
        </w:tc>
        <w:tc>
          <w:tcPr>
            <w:tcW w:w="4675" w:type="dxa"/>
          </w:tcPr>
          <w:p w14:paraId="7990E0C0" w14:textId="77777777" w:rsidR="004340BB" w:rsidRDefault="004340BB" w:rsidP="00F73518">
            <w:pPr>
              <w:tabs>
                <w:tab w:val="left" w:pos="6076"/>
              </w:tabs>
              <w:cnfStyle w:val="000000100000" w:firstRow="0" w:lastRow="0" w:firstColumn="0" w:lastColumn="0" w:oddVBand="0" w:evenVBand="0" w:oddHBand="1" w:evenHBand="0" w:firstRowFirstColumn="0" w:firstRowLastColumn="0" w:lastRowFirstColumn="0" w:lastRowLastColumn="0"/>
              <w:rPr>
                <w:rFonts w:eastAsiaTheme="minorEastAsia"/>
                <w:sz w:val="28"/>
                <w:szCs w:val="28"/>
              </w:rPr>
            </w:pPr>
            <w:r>
              <w:rPr>
                <w:rFonts w:eastAsiaTheme="minorEastAsia"/>
                <w:sz w:val="28"/>
                <w:szCs w:val="28"/>
              </w:rPr>
              <w:t>0.96%</w:t>
            </w:r>
          </w:p>
        </w:tc>
      </w:tr>
      <w:tr w:rsidR="004340BB" w14:paraId="637DA583" w14:textId="77777777" w:rsidTr="00F65D10">
        <w:tc>
          <w:tcPr>
            <w:cnfStyle w:val="001000000000" w:firstRow="0" w:lastRow="0" w:firstColumn="1" w:lastColumn="0" w:oddVBand="0" w:evenVBand="0" w:oddHBand="0" w:evenHBand="0" w:firstRowFirstColumn="0" w:firstRowLastColumn="0" w:lastRowFirstColumn="0" w:lastRowLastColumn="0"/>
            <w:tcW w:w="4675" w:type="dxa"/>
          </w:tcPr>
          <w:p w14:paraId="348535C5" w14:textId="77777777" w:rsidR="004340BB" w:rsidRDefault="004340BB" w:rsidP="00F73518">
            <w:pPr>
              <w:tabs>
                <w:tab w:val="left" w:pos="6076"/>
              </w:tabs>
              <w:rPr>
                <w:rFonts w:eastAsiaTheme="minorEastAsia"/>
                <w:sz w:val="28"/>
                <w:szCs w:val="28"/>
              </w:rPr>
            </w:pPr>
            <w:r>
              <w:rPr>
                <w:rFonts w:eastAsiaTheme="minorEastAsia"/>
                <w:sz w:val="28"/>
                <w:szCs w:val="28"/>
              </w:rPr>
              <w:t>2018</w:t>
            </w:r>
          </w:p>
        </w:tc>
        <w:tc>
          <w:tcPr>
            <w:tcW w:w="4675" w:type="dxa"/>
          </w:tcPr>
          <w:p w14:paraId="756CA187" w14:textId="77777777" w:rsidR="004340BB" w:rsidRDefault="004340BB" w:rsidP="00F73518">
            <w:pPr>
              <w:tabs>
                <w:tab w:val="left" w:pos="6076"/>
              </w:tabs>
              <w:cnfStyle w:val="000000000000" w:firstRow="0" w:lastRow="0" w:firstColumn="0" w:lastColumn="0" w:oddVBand="0" w:evenVBand="0" w:oddHBand="0" w:evenHBand="0" w:firstRowFirstColumn="0" w:firstRowLastColumn="0" w:lastRowFirstColumn="0" w:lastRowLastColumn="0"/>
              <w:rPr>
                <w:rFonts w:eastAsiaTheme="minorEastAsia"/>
                <w:sz w:val="28"/>
                <w:szCs w:val="28"/>
              </w:rPr>
            </w:pPr>
            <w:r>
              <w:rPr>
                <w:rFonts w:eastAsiaTheme="minorEastAsia"/>
                <w:sz w:val="28"/>
                <w:szCs w:val="28"/>
              </w:rPr>
              <w:t>-0.57%</w:t>
            </w:r>
          </w:p>
        </w:tc>
      </w:tr>
      <w:tr w:rsidR="004340BB" w14:paraId="05402409" w14:textId="77777777" w:rsidTr="00F65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66437AF7" w14:textId="77777777" w:rsidR="004340BB" w:rsidRDefault="004340BB" w:rsidP="00F73518">
            <w:pPr>
              <w:tabs>
                <w:tab w:val="left" w:pos="6076"/>
              </w:tabs>
              <w:rPr>
                <w:rFonts w:eastAsiaTheme="minorEastAsia"/>
                <w:sz w:val="28"/>
                <w:szCs w:val="28"/>
              </w:rPr>
            </w:pPr>
            <w:r>
              <w:rPr>
                <w:rFonts w:eastAsiaTheme="minorEastAsia"/>
                <w:sz w:val="28"/>
                <w:szCs w:val="28"/>
              </w:rPr>
              <w:t>2019</w:t>
            </w:r>
          </w:p>
        </w:tc>
        <w:tc>
          <w:tcPr>
            <w:tcW w:w="4675" w:type="dxa"/>
          </w:tcPr>
          <w:p w14:paraId="45D1308B" w14:textId="77777777" w:rsidR="004340BB" w:rsidRDefault="004340BB" w:rsidP="00F73518">
            <w:pPr>
              <w:tabs>
                <w:tab w:val="left" w:pos="6076"/>
              </w:tabs>
              <w:cnfStyle w:val="000000100000" w:firstRow="0" w:lastRow="0" w:firstColumn="0" w:lastColumn="0" w:oddVBand="0" w:evenVBand="0" w:oddHBand="1" w:evenHBand="0" w:firstRowFirstColumn="0" w:firstRowLastColumn="0" w:lastRowFirstColumn="0" w:lastRowLastColumn="0"/>
              <w:rPr>
                <w:rFonts w:eastAsiaTheme="minorEastAsia"/>
                <w:sz w:val="28"/>
                <w:szCs w:val="28"/>
              </w:rPr>
            </w:pPr>
            <w:r>
              <w:rPr>
                <w:rFonts w:eastAsiaTheme="minorEastAsia"/>
                <w:sz w:val="28"/>
                <w:szCs w:val="28"/>
              </w:rPr>
              <w:t>1.32%</w:t>
            </w:r>
          </w:p>
        </w:tc>
      </w:tr>
      <w:tr w:rsidR="004340BB" w14:paraId="0BAAD2B2" w14:textId="77777777" w:rsidTr="00F65D10">
        <w:trPr>
          <w:trHeight w:val="323"/>
        </w:trPr>
        <w:tc>
          <w:tcPr>
            <w:cnfStyle w:val="001000000000" w:firstRow="0" w:lastRow="0" w:firstColumn="1" w:lastColumn="0" w:oddVBand="0" w:evenVBand="0" w:oddHBand="0" w:evenHBand="0" w:firstRowFirstColumn="0" w:firstRowLastColumn="0" w:lastRowFirstColumn="0" w:lastRowLastColumn="0"/>
            <w:tcW w:w="4675" w:type="dxa"/>
          </w:tcPr>
          <w:p w14:paraId="08B31117" w14:textId="77777777" w:rsidR="004340BB" w:rsidRDefault="004340BB" w:rsidP="00F73518">
            <w:pPr>
              <w:tabs>
                <w:tab w:val="left" w:pos="6076"/>
              </w:tabs>
              <w:rPr>
                <w:rFonts w:eastAsiaTheme="minorEastAsia"/>
                <w:sz w:val="28"/>
                <w:szCs w:val="28"/>
              </w:rPr>
            </w:pPr>
            <w:r>
              <w:rPr>
                <w:rFonts w:eastAsiaTheme="minorEastAsia"/>
                <w:sz w:val="28"/>
                <w:szCs w:val="28"/>
              </w:rPr>
              <w:t>2020</w:t>
            </w:r>
          </w:p>
        </w:tc>
        <w:tc>
          <w:tcPr>
            <w:tcW w:w="4675" w:type="dxa"/>
          </w:tcPr>
          <w:p w14:paraId="58A34C16" w14:textId="77777777" w:rsidR="004340BB" w:rsidRDefault="004340BB" w:rsidP="00F73518">
            <w:pPr>
              <w:tabs>
                <w:tab w:val="left" w:pos="6076"/>
              </w:tabs>
              <w:cnfStyle w:val="000000000000" w:firstRow="0" w:lastRow="0" w:firstColumn="0" w:lastColumn="0" w:oddVBand="0" w:evenVBand="0" w:oddHBand="0" w:evenHBand="0" w:firstRowFirstColumn="0" w:firstRowLastColumn="0" w:lastRowFirstColumn="0" w:lastRowLastColumn="0"/>
              <w:rPr>
                <w:rFonts w:eastAsiaTheme="minorEastAsia"/>
                <w:sz w:val="28"/>
                <w:szCs w:val="28"/>
              </w:rPr>
            </w:pPr>
            <w:r>
              <w:rPr>
                <w:rFonts w:eastAsiaTheme="minorEastAsia"/>
                <w:sz w:val="28"/>
                <w:szCs w:val="28"/>
              </w:rPr>
              <w:t>-.27%</w:t>
            </w:r>
          </w:p>
        </w:tc>
      </w:tr>
      <w:tr w:rsidR="004340BB" w14:paraId="1C92EA63" w14:textId="77777777" w:rsidTr="00F65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33619CF4" w14:textId="77777777" w:rsidR="004340BB" w:rsidRDefault="004340BB" w:rsidP="00F73518">
            <w:pPr>
              <w:tabs>
                <w:tab w:val="left" w:pos="6076"/>
              </w:tabs>
              <w:rPr>
                <w:rFonts w:eastAsiaTheme="minorEastAsia"/>
                <w:sz w:val="28"/>
                <w:szCs w:val="28"/>
              </w:rPr>
            </w:pPr>
            <w:r>
              <w:rPr>
                <w:rFonts w:eastAsiaTheme="minorEastAsia"/>
                <w:sz w:val="28"/>
                <w:szCs w:val="28"/>
              </w:rPr>
              <w:t>2021</w:t>
            </w:r>
          </w:p>
        </w:tc>
        <w:tc>
          <w:tcPr>
            <w:tcW w:w="4675" w:type="dxa"/>
          </w:tcPr>
          <w:p w14:paraId="42CF0F83" w14:textId="77777777" w:rsidR="004340BB" w:rsidRDefault="004340BB" w:rsidP="00F73518">
            <w:pPr>
              <w:tabs>
                <w:tab w:val="left" w:pos="6076"/>
              </w:tabs>
              <w:cnfStyle w:val="000000100000" w:firstRow="0" w:lastRow="0" w:firstColumn="0" w:lastColumn="0" w:oddVBand="0" w:evenVBand="0" w:oddHBand="1" w:evenHBand="0" w:firstRowFirstColumn="0" w:firstRowLastColumn="0" w:lastRowFirstColumn="0" w:lastRowLastColumn="0"/>
              <w:rPr>
                <w:rFonts w:eastAsiaTheme="minorEastAsia"/>
                <w:sz w:val="28"/>
                <w:szCs w:val="28"/>
              </w:rPr>
            </w:pPr>
            <w:r>
              <w:rPr>
                <w:rFonts w:eastAsiaTheme="minorEastAsia"/>
                <w:sz w:val="28"/>
                <w:szCs w:val="28"/>
              </w:rPr>
              <w:t>2.16%</w:t>
            </w:r>
          </w:p>
        </w:tc>
      </w:tr>
    </w:tbl>
    <w:p w14:paraId="710A673B" w14:textId="1A470129" w:rsidR="00CE5302" w:rsidRDefault="00CE5302" w:rsidP="00F73518">
      <w:pPr>
        <w:tabs>
          <w:tab w:val="left" w:pos="6076"/>
        </w:tabs>
        <w:spacing w:line="240" w:lineRule="auto"/>
        <w:rPr>
          <w:rFonts w:ascii="Agency FB" w:eastAsiaTheme="minorEastAsia" w:hAnsi="Agency FB"/>
          <w:sz w:val="24"/>
          <w:szCs w:val="24"/>
        </w:rPr>
      </w:pPr>
      <w:r>
        <w:rPr>
          <w:rFonts w:ascii="Agency FB" w:eastAsiaTheme="minorEastAsia" w:hAnsi="Agency FB"/>
          <w:sz w:val="24"/>
          <w:szCs w:val="24"/>
        </w:rPr>
        <w:lastRenderedPageBreak/>
        <w:t>Source:( author)</w:t>
      </w:r>
    </w:p>
    <w:p w14:paraId="347C68D6" w14:textId="310430F3" w:rsidR="004340BB" w:rsidRDefault="00CE5302" w:rsidP="00F73518">
      <w:pPr>
        <w:tabs>
          <w:tab w:val="left" w:pos="6076"/>
        </w:tabs>
        <w:spacing w:line="240" w:lineRule="auto"/>
        <w:rPr>
          <w:rFonts w:ascii="Agency FB" w:eastAsiaTheme="minorEastAsia" w:hAnsi="Agency FB"/>
          <w:sz w:val="24"/>
          <w:szCs w:val="24"/>
        </w:rPr>
      </w:pPr>
      <w:r w:rsidRPr="00CE5302">
        <w:rPr>
          <w:rFonts w:ascii="Agency FB" w:eastAsiaTheme="minorEastAsia" w:hAnsi="Agency FB"/>
          <w:sz w:val="24"/>
          <w:szCs w:val="24"/>
        </w:rPr>
        <w:t>The value of the return in 2017 is projected to be close to 0.96% on a monthly basis based on performance. The value of the return, on the other hand, was around -0.57% in 2018. The return for 2019 will be close to or almost 1.32%, it was also established. (2022a, Yahoo Finance). In 2020, the return was about -0.15%. Additionally, it is obvious that each return in 2021 will be 2.16 percent. It follows that the biggest return is predicted for 2019 in particular.</w:t>
      </w:r>
    </w:p>
    <w:p w14:paraId="08D6B6D1" w14:textId="7739F23D" w:rsidR="00CE5302" w:rsidRPr="00622A99" w:rsidRDefault="00CE5302" w:rsidP="00F73518">
      <w:pPr>
        <w:pStyle w:val="Heading1"/>
        <w:spacing w:line="240" w:lineRule="auto"/>
        <w:rPr>
          <w:rFonts w:ascii="Agency FB" w:eastAsiaTheme="minorEastAsia" w:hAnsi="Agency FB"/>
          <w:b/>
          <w:bCs/>
          <w:color w:val="ED7D31" w:themeColor="accent2"/>
          <w:sz w:val="40"/>
          <w:szCs w:val="40"/>
        </w:rPr>
      </w:pPr>
      <w:bookmarkStart w:id="13" w:name="_Toc113410733"/>
      <w:r w:rsidRPr="00622A99">
        <w:rPr>
          <w:rFonts w:ascii="Agency FB" w:eastAsiaTheme="minorEastAsia" w:hAnsi="Agency FB"/>
          <w:b/>
          <w:bCs/>
          <w:color w:val="ED7D31" w:themeColor="accent2"/>
          <w:sz w:val="40"/>
          <w:szCs w:val="40"/>
        </w:rPr>
        <w:t>Section C</w:t>
      </w:r>
      <w:bookmarkEnd w:id="13"/>
    </w:p>
    <w:p w14:paraId="6101793D" w14:textId="72BF7779" w:rsidR="00CE5302" w:rsidRDefault="00CE5302" w:rsidP="00F73518">
      <w:pPr>
        <w:pStyle w:val="Heading1"/>
        <w:spacing w:line="240" w:lineRule="auto"/>
        <w:rPr>
          <w:rFonts w:ascii="Agency FB" w:eastAsiaTheme="minorEastAsia" w:hAnsi="Agency FB"/>
          <w:b/>
          <w:bCs/>
        </w:rPr>
      </w:pPr>
      <w:bookmarkStart w:id="14" w:name="_Toc113410734"/>
      <w:r w:rsidRPr="00622A99">
        <w:rPr>
          <w:rFonts w:ascii="Agency FB" w:eastAsiaTheme="minorEastAsia" w:hAnsi="Agency FB"/>
          <w:b/>
          <w:bCs/>
          <w:color w:val="ED7D31" w:themeColor="accent2"/>
          <w:sz w:val="36"/>
          <w:szCs w:val="36"/>
        </w:rPr>
        <w:t xml:space="preserve">The </w:t>
      </w:r>
      <w:r w:rsidRPr="00622A99">
        <w:rPr>
          <w:rFonts w:ascii="Agency FB" w:eastAsiaTheme="minorEastAsia" w:hAnsi="Agency FB"/>
          <w:b/>
          <w:bCs/>
          <w:color w:val="ED7D31" w:themeColor="accent2"/>
          <w:sz w:val="36"/>
          <w:szCs w:val="36"/>
        </w:rPr>
        <w:t>D</w:t>
      </w:r>
      <w:r w:rsidRPr="00622A99">
        <w:rPr>
          <w:rFonts w:ascii="Agency FB" w:eastAsiaTheme="minorEastAsia" w:hAnsi="Agency FB"/>
          <w:b/>
          <w:bCs/>
          <w:color w:val="ED7D31" w:themeColor="accent2"/>
          <w:sz w:val="36"/>
          <w:szCs w:val="36"/>
        </w:rPr>
        <w:t xml:space="preserve">ividend </w:t>
      </w:r>
      <w:r w:rsidRPr="00622A99">
        <w:rPr>
          <w:rFonts w:ascii="Agency FB" w:eastAsiaTheme="minorEastAsia" w:hAnsi="Agency FB"/>
          <w:b/>
          <w:bCs/>
          <w:color w:val="ED7D31" w:themeColor="accent2"/>
          <w:sz w:val="36"/>
          <w:szCs w:val="36"/>
        </w:rPr>
        <w:t>D</w:t>
      </w:r>
      <w:r w:rsidRPr="00622A99">
        <w:rPr>
          <w:rFonts w:ascii="Agency FB" w:eastAsiaTheme="minorEastAsia" w:hAnsi="Agency FB"/>
          <w:b/>
          <w:bCs/>
          <w:color w:val="ED7D31" w:themeColor="accent2"/>
          <w:sz w:val="36"/>
          <w:szCs w:val="36"/>
        </w:rPr>
        <w:t>ecision</w:t>
      </w:r>
      <w:bookmarkEnd w:id="14"/>
    </w:p>
    <w:p w14:paraId="3657452F" w14:textId="77777777" w:rsidR="00F73518" w:rsidRPr="00F73518" w:rsidRDefault="00F73518" w:rsidP="00F73518"/>
    <w:p w14:paraId="6B247584" w14:textId="00F06AB2" w:rsidR="00994822" w:rsidRDefault="00994822" w:rsidP="00F73518">
      <w:pPr>
        <w:spacing w:line="240" w:lineRule="auto"/>
      </w:pPr>
      <w:r w:rsidRPr="00994822">
        <w:t>The dividend is one of the most crucial elements in a stock market for providing earnings to owners. The amount of dividends a firm pays out is based on the capital growth it has seen over a specific period of time. The dividend that a firm pays is significantly influenced by its earnings per share and financial operations' profit (Sari and Suharti, 2021).</w:t>
      </w:r>
      <w:r w:rsidRPr="00994822">
        <w:t xml:space="preserve"> </w:t>
      </w:r>
      <w:r w:rsidRPr="00994822">
        <w:t>Over the past five years, "Sainsbury Plc's" dividend operations have been monitored using the annual reports of the firms. According to a study, a company's "profitability and capital growth" will increase in 2021 as a result of the market's intense competition. The corporation has raised the amount of shares it has bought in the competitive market due to its effective dividend distribution rate.</w:t>
      </w:r>
    </w:p>
    <w:p w14:paraId="2239DD0C" w14:textId="014A2929" w:rsidR="00994822" w:rsidRDefault="00994822" w:rsidP="00F73518">
      <w:pPr>
        <w:spacing w:line="240" w:lineRule="auto"/>
      </w:pPr>
      <w:r w:rsidRPr="00994822">
        <w:t>The flexibility of "Sainsbury plc's" dividend actions during the previous five years in the competitive market was examined in this study's component. Shareholders received a special dividend from the company of 5.95 pence per share, which will rise to 9.15 pence per share by the end of 2021. (2012). (Sainsbury) The business paid dividends to holders of common stock on the stock market totaling 5.95 pence.</w:t>
      </w:r>
      <w:r w:rsidRPr="00994822">
        <w:t xml:space="preserve"> </w:t>
      </w:r>
      <w:r w:rsidRPr="00994822">
        <w:t>Additionally, the business used to distribute 3.20 pence in dividends every quarter to each ordinary shareholder. Including both the regular and interim dividends, the total dividend paid to shareholders at the end of the year is 9.15 pence per share.</w:t>
      </w:r>
    </w:p>
    <w:tbl>
      <w:tblPr>
        <w:tblStyle w:val="PlainTable3"/>
        <w:tblW w:w="0" w:type="auto"/>
        <w:tblLook w:val="04A0" w:firstRow="1" w:lastRow="0" w:firstColumn="1" w:lastColumn="0" w:noHBand="0" w:noVBand="1"/>
      </w:tblPr>
      <w:tblGrid>
        <w:gridCol w:w="4675"/>
        <w:gridCol w:w="4675"/>
      </w:tblGrid>
      <w:tr w:rsidR="00994822" w14:paraId="61A57007" w14:textId="77777777" w:rsidTr="00F65D1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675" w:type="dxa"/>
          </w:tcPr>
          <w:p w14:paraId="50349DB6" w14:textId="77777777" w:rsidR="00994822" w:rsidRDefault="00994822" w:rsidP="00F73518">
            <w:pPr>
              <w:tabs>
                <w:tab w:val="left" w:pos="6076"/>
              </w:tabs>
              <w:rPr>
                <w:rFonts w:eastAsiaTheme="minorEastAsia"/>
                <w:sz w:val="28"/>
                <w:szCs w:val="28"/>
              </w:rPr>
            </w:pPr>
            <w:r>
              <w:rPr>
                <w:rFonts w:eastAsiaTheme="minorEastAsia"/>
                <w:sz w:val="28"/>
                <w:szCs w:val="28"/>
              </w:rPr>
              <w:t>years</w:t>
            </w:r>
          </w:p>
        </w:tc>
        <w:tc>
          <w:tcPr>
            <w:tcW w:w="4675" w:type="dxa"/>
          </w:tcPr>
          <w:p w14:paraId="0D932956" w14:textId="77777777" w:rsidR="00994822" w:rsidRDefault="00994822" w:rsidP="00F73518">
            <w:pPr>
              <w:tabs>
                <w:tab w:val="left" w:pos="6076"/>
              </w:tabs>
              <w:cnfStyle w:val="100000000000" w:firstRow="1" w:lastRow="0" w:firstColumn="0" w:lastColumn="0" w:oddVBand="0" w:evenVBand="0" w:oddHBand="0" w:evenHBand="0" w:firstRowFirstColumn="0" w:firstRowLastColumn="0" w:lastRowFirstColumn="0" w:lastRowLastColumn="0"/>
              <w:rPr>
                <w:rFonts w:eastAsiaTheme="minorEastAsia"/>
                <w:sz w:val="28"/>
                <w:szCs w:val="28"/>
              </w:rPr>
            </w:pPr>
            <w:r>
              <w:rPr>
                <w:rFonts w:eastAsiaTheme="minorEastAsia"/>
                <w:sz w:val="28"/>
                <w:szCs w:val="28"/>
              </w:rPr>
              <w:t>dividend paid</w:t>
            </w:r>
          </w:p>
        </w:tc>
      </w:tr>
      <w:tr w:rsidR="00994822" w14:paraId="1D378691" w14:textId="77777777" w:rsidTr="00F65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2C7A7B1" w14:textId="77777777" w:rsidR="00994822" w:rsidRDefault="00994822" w:rsidP="00F73518">
            <w:pPr>
              <w:tabs>
                <w:tab w:val="left" w:pos="6076"/>
              </w:tabs>
              <w:rPr>
                <w:rFonts w:eastAsiaTheme="minorEastAsia"/>
                <w:sz w:val="28"/>
                <w:szCs w:val="28"/>
              </w:rPr>
            </w:pPr>
            <w:r>
              <w:rPr>
                <w:rFonts w:eastAsiaTheme="minorEastAsia"/>
                <w:sz w:val="28"/>
                <w:szCs w:val="28"/>
              </w:rPr>
              <w:t>17/12/21</w:t>
            </w:r>
          </w:p>
        </w:tc>
        <w:tc>
          <w:tcPr>
            <w:tcW w:w="4675" w:type="dxa"/>
          </w:tcPr>
          <w:p w14:paraId="60790166" w14:textId="77777777" w:rsidR="00994822" w:rsidRDefault="00994822" w:rsidP="00F73518">
            <w:pPr>
              <w:tabs>
                <w:tab w:val="left" w:pos="6076"/>
              </w:tabs>
              <w:cnfStyle w:val="000000100000" w:firstRow="0" w:lastRow="0" w:firstColumn="0" w:lastColumn="0" w:oddVBand="0" w:evenVBand="0" w:oddHBand="1" w:evenHBand="0" w:firstRowFirstColumn="0" w:firstRowLastColumn="0" w:lastRowFirstColumn="0" w:lastRowLastColumn="0"/>
              <w:rPr>
                <w:rFonts w:eastAsiaTheme="minorEastAsia"/>
                <w:sz w:val="28"/>
                <w:szCs w:val="28"/>
              </w:rPr>
            </w:pPr>
            <w:r>
              <w:rPr>
                <w:rFonts w:eastAsiaTheme="minorEastAsia"/>
                <w:sz w:val="28"/>
                <w:szCs w:val="28"/>
              </w:rPr>
              <w:t>2.14</w:t>
            </w:r>
          </w:p>
        </w:tc>
      </w:tr>
      <w:tr w:rsidR="00994822" w14:paraId="0F748546" w14:textId="77777777" w:rsidTr="00F65D10">
        <w:tc>
          <w:tcPr>
            <w:cnfStyle w:val="001000000000" w:firstRow="0" w:lastRow="0" w:firstColumn="1" w:lastColumn="0" w:oddVBand="0" w:evenVBand="0" w:oddHBand="0" w:evenHBand="0" w:firstRowFirstColumn="0" w:firstRowLastColumn="0" w:lastRowFirstColumn="0" w:lastRowLastColumn="0"/>
            <w:tcW w:w="4675" w:type="dxa"/>
          </w:tcPr>
          <w:p w14:paraId="76321A5A" w14:textId="77777777" w:rsidR="00994822" w:rsidRDefault="00994822" w:rsidP="00F73518">
            <w:pPr>
              <w:tabs>
                <w:tab w:val="left" w:pos="6076"/>
              </w:tabs>
              <w:rPr>
                <w:rFonts w:eastAsiaTheme="minorEastAsia"/>
                <w:sz w:val="28"/>
                <w:szCs w:val="28"/>
              </w:rPr>
            </w:pPr>
            <w:r>
              <w:rPr>
                <w:rFonts w:eastAsiaTheme="minorEastAsia"/>
                <w:sz w:val="28"/>
                <w:szCs w:val="28"/>
              </w:rPr>
              <w:t>16/07/21</w:t>
            </w:r>
          </w:p>
        </w:tc>
        <w:tc>
          <w:tcPr>
            <w:tcW w:w="4675" w:type="dxa"/>
          </w:tcPr>
          <w:p w14:paraId="7B29D8F1" w14:textId="77777777" w:rsidR="00994822" w:rsidRDefault="00994822" w:rsidP="00F73518">
            <w:pPr>
              <w:tabs>
                <w:tab w:val="left" w:pos="6076"/>
              </w:tabs>
              <w:cnfStyle w:val="000000000000" w:firstRow="0" w:lastRow="0" w:firstColumn="0" w:lastColumn="0" w:oddVBand="0" w:evenVBand="0" w:oddHBand="0" w:evenHBand="0" w:firstRowFirstColumn="0" w:firstRowLastColumn="0" w:lastRowFirstColumn="0" w:lastRowLastColumn="0"/>
              <w:rPr>
                <w:rFonts w:eastAsiaTheme="minorEastAsia"/>
                <w:sz w:val="28"/>
                <w:szCs w:val="28"/>
              </w:rPr>
            </w:pPr>
            <w:r>
              <w:rPr>
                <w:rFonts w:eastAsiaTheme="minorEastAsia"/>
                <w:sz w:val="28"/>
                <w:szCs w:val="28"/>
              </w:rPr>
              <w:t>2.74</w:t>
            </w:r>
          </w:p>
        </w:tc>
      </w:tr>
      <w:tr w:rsidR="00994822" w14:paraId="737A391E" w14:textId="77777777" w:rsidTr="00F65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04297B51" w14:textId="77777777" w:rsidR="00994822" w:rsidRDefault="00994822" w:rsidP="00F73518">
            <w:pPr>
              <w:tabs>
                <w:tab w:val="left" w:pos="6076"/>
              </w:tabs>
              <w:rPr>
                <w:rFonts w:eastAsiaTheme="minorEastAsia"/>
                <w:b w:val="0"/>
                <w:bCs w:val="0"/>
                <w:caps w:val="0"/>
                <w:sz w:val="28"/>
                <w:szCs w:val="28"/>
              </w:rPr>
            </w:pPr>
            <w:r>
              <w:rPr>
                <w:rFonts w:eastAsiaTheme="minorEastAsia"/>
                <w:sz w:val="28"/>
                <w:szCs w:val="28"/>
              </w:rPr>
              <w:t>18/12/20</w:t>
            </w:r>
          </w:p>
          <w:p w14:paraId="466C7E55" w14:textId="77777777" w:rsidR="00994822" w:rsidRDefault="00994822" w:rsidP="00F73518">
            <w:pPr>
              <w:tabs>
                <w:tab w:val="left" w:pos="6076"/>
              </w:tabs>
              <w:rPr>
                <w:rFonts w:eastAsiaTheme="minorEastAsia"/>
                <w:b w:val="0"/>
                <w:bCs w:val="0"/>
                <w:caps w:val="0"/>
                <w:sz w:val="28"/>
                <w:szCs w:val="28"/>
              </w:rPr>
            </w:pPr>
            <w:r>
              <w:rPr>
                <w:rFonts w:eastAsiaTheme="minorEastAsia"/>
                <w:sz w:val="28"/>
                <w:szCs w:val="28"/>
              </w:rPr>
              <w:t>20/12/19</w:t>
            </w:r>
          </w:p>
          <w:p w14:paraId="4B376DA7" w14:textId="77777777" w:rsidR="00994822" w:rsidRDefault="00994822" w:rsidP="00F73518">
            <w:pPr>
              <w:tabs>
                <w:tab w:val="left" w:pos="6076"/>
              </w:tabs>
              <w:rPr>
                <w:rFonts w:eastAsiaTheme="minorEastAsia"/>
                <w:b w:val="0"/>
                <w:bCs w:val="0"/>
                <w:caps w:val="0"/>
                <w:sz w:val="28"/>
                <w:szCs w:val="28"/>
              </w:rPr>
            </w:pPr>
            <w:r>
              <w:rPr>
                <w:rFonts w:eastAsiaTheme="minorEastAsia"/>
                <w:sz w:val="28"/>
                <w:szCs w:val="28"/>
              </w:rPr>
              <w:t>17/07/19</w:t>
            </w:r>
          </w:p>
          <w:p w14:paraId="2876734A" w14:textId="77777777" w:rsidR="00994822" w:rsidRPr="00C038AE" w:rsidRDefault="00994822" w:rsidP="00F73518">
            <w:pPr>
              <w:tabs>
                <w:tab w:val="left" w:pos="6076"/>
              </w:tabs>
              <w:rPr>
                <w:rFonts w:eastAsiaTheme="minorEastAsia"/>
                <w:b w:val="0"/>
                <w:bCs w:val="0"/>
                <w:caps w:val="0"/>
                <w:sz w:val="28"/>
                <w:szCs w:val="28"/>
              </w:rPr>
            </w:pPr>
            <w:r>
              <w:rPr>
                <w:rFonts w:eastAsiaTheme="minorEastAsia"/>
                <w:sz w:val="28"/>
                <w:szCs w:val="28"/>
              </w:rPr>
              <w:t>21/12/18</w:t>
            </w:r>
          </w:p>
        </w:tc>
        <w:tc>
          <w:tcPr>
            <w:tcW w:w="4675" w:type="dxa"/>
          </w:tcPr>
          <w:p w14:paraId="6331ACA1" w14:textId="77777777" w:rsidR="00994822" w:rsidRDefault="00994822" w:rsidP="00F73518">
            <w:pPr>
              <w:tabs>
                <w:tab w:val="left" w:pos="6076"/>
              </w:tabs>
              <w:cnfStyle w:val="000000100000" w:firstRow="0" w:lastRow="0" w:firstColumn="0" w:lastColumn="0" w:oddVBand="0" w:evenVBand="0" w:oddHBand="1" w:evenHBand="0" w:firstRowFirstColumn="0" w:firstRowLastColumn="0" w:lastRowFirstColumn="0" w:lastRowLastColumn="0"/>
              <w:rPr>
                <w:rFonts w:eastAsiaTheme="minorEastAsia"/>
                <w:sz w:val="28"/>
                <w:szCs w:val="28"/>
              </w:rPr>
            </w:pPr>
            <w:r>
              <w:rPr>
                <w:rFonts w:eastAsiaTheme="minorEastAsia"/>
                <w:sz w:val="28"/>
                <w:szCs w:val="28"/>
              </w:rPr>
              <w:t>2.85</w:t>
            </w:r>
          </w:p>
          <w:p w14:paraId="03B89906" w14:textId="77777777" w:rsidR="00994822" w:rsidRDefault="00994822" w:rsidP="00F73518">
            <w:pPr>
              <w:tabs>
                <w:tab w:val="left" w:pos="6076"/>
              </w:tabs>
              <w:cnfStyle w:val="000000100000" w:firstRow="0" w:lastRow="0" w:firstColumn="0" w:lastColumn="0" w:oddVBand="0" w:evenVBand="0" w:oddHBand="1" w:evenHBand="0" w:firstRowFirstColumn="0" w:firstRowLastColumn="0" w:lastRowFirstColumn="0" w:lastRowLastColumn="0"/>
              <w:rPr>
                <w:rFonts w:eastAsiaTheme="minorEastAsia"/>
                <w:sz w:val="28"/>
                <w:szCs w:val="28"/>
              </w:rPr>
            </w:pPr>
            <w:r>
              <w:rPr>
                <w:rFonts w:eastAsiaTheme="minorEastAsia"/>
                <w:sz w:val="28"/>
                <w:szCs w:val="28"/>
              </w:rPr>
              <w:t>2.33</w:t>
            </w:r>
          </w:p>
          <w:p w14:paraId="5BD32A4F" w14:textId="77777777" w:rsidR="00994822" w:rsidRDefault="00994822" w:rsidP="00F73518">
            <w:pPr>
              <w:tabs>
                <w:tab w:val="left" w:pos="6076"/>
              </w:tabs>
              <w:cnfStyle w:val="000000100000" w:firstRow="0" w:lastRow="0" w:firstColumn="0" w:lastColumn="0" w:oddVBand="0" w:evenVBand="0" w:oddHBand="1" w:evenHBand="0" w:firstRowFirstColumn="0" w:firstRowLastColumn="0" w:lastRowFirstColumn="0" w:lastRowLastColumn="0"/>
              <w:rPr>
                <w:rFonts w:eastAsiaTheme="minorEastAsia"/>
                <w:sz w:val="28"/>
                <w:szCs w:val="28"/>
              </w:rPr>
            </w:pPr>
            <w:r>
              <w:rPr>
                <w:rFonts w:eastAsiaTheme="minorEastAsia"/>
                <w:sz w:val="28"/>
                <w:szCs w:val="28"/>
              </w:rPr>
              <w:t>2.01</w:t>
            </w:r>
          </w:p>
          <w:p w14:paraId="4F0AFC34" w14:textId="77777777" w:rsidR="00994822" w:rsidRDefault="00994822" w:rsidP="00F73518">
            <w:pPr>
              <w:tabs>
                <w:tab w:val="left" w:pos="6076"/>
              </w:tabs>
              <w:cnfStyle w:val="000000100000" w:firstRow="0" w:lastRow="0" w:firstColumn="0" w:lastColumn="0" w:oddVBand="0" w:evenVBand="0" w:oddHBand="1" w:evenHBand="0" w:firstRowFirstColumn="0" w:firstRowLastColumn="0" w:lastRowFirstColumn="0" w:lastRowLastColumn="0"/>
              <w:rPr>
                <w:rFonts w:eastAsiaTheme="minorEastAsia"/>
                <w:sz w:val="28"/>
                <w:szCs w:val="28"/>
              </w:rPr>
            </w:pPr>
            <w:r>
              <w:rPr>
                <w:rFonts w:eastAsiaTheme="minorEastAsia"/>
                <w:sz w:val="28"/>
                <w:szCs w:val="28"/>
              </w:rPr>
              <w:t>2.69</w:t>
            </w:r>
          </w:p>
        </w:tc>
      </w:tr>
      <w:tr w:rsidR="00994822" w14:paraId="6D2C1DB4" w14:textId="77777777" w:rsidTr="00F65D10">
        <w:tc>
          <w:tcPr>
            <w:cnfStyle w:val="001000000000" w:firstRow="0" w:lastRow="0" w:firstColumn="1" w:lastColumn="0" w:oddVBand="0" w:evenVBand="0" w:oddHBand="0" w:evenHBand="0" w:firstRowFirstColumn="0" w:firstRowLastColumn="0" w:lastRowFirstColumn="0" w:lastRowLastColumn="0"/>
            <w:tcW w:w="4675" w:type="dxa"/>
          </w:tcPr>
          <w:p w14:paraId="32EE391F" w14:textId="77777777" w:rsidR="00994822" w:rsidRDefault="00994822" w:rsidP="00F73518">
            <w:pPr>
              <w:tabs>
                <w:tab w:val="left" w:pos="6076"/>
              </w:tabs>
              <w:rPr>
                <w:rFonts w:eastAsiaTheme="minorEastAsia"/>
                <w:sz w:val="28"/>
                <w:szCs w:val="28"/>
              </w:rPr>
            </w:pPr>
            <w:r>
              <w:rPr>
                <w:rFonts w:eastAsiaTheme="minorEastAsia"/>
                <w:sz w:val="28"/>
                <w:szCs w:val="28"/>
              </w:rPr>
              <w:t>13/07/18</w:t>
            </w:r>
          </w:p>
        </w:tc>
        <w:tc>
          <w:tcPr>
            <w:tcW w:w="4675" w:type="dxa"/>
          </w:tcPr>
          <w:p w14:paraId="78123299" w14:textId="77777777" w:rsidR="00994822" w:rsidRDefault="00994822" w:rsidP="00F73518">
            <w:pPr>
              <w:tabs>
                <w:tab w:val="left" w:pos="6076"/>
              </w:tabs>
              <w:cnfStyle w:val="000000000000" w:firstRow="0" w:lastRow="0" w:firstColumn="0" w:lastColumn="0" w:oddVBand="0" w:evenVBand="0" w:oddHBand="0" w:evenHBand="0" w:firstRowFirstColumn="0" w:firstRowLastColumn="0" w:lastRowFirstColumn="0" w:lastRowLastColumn="0"/>
              <w:rPr>
                <w:rFonts w:eastAsiaTheme="minorEastAsia"/>
                <w:sz w:val="28"/>
                <w:szCs w:val="28"/>
              </w:rPr>
            </w:pPr>
            <w:r>
              <w:rPr>
                <w:rFonts w:eastAsiaTheme="minorEastAsia"/>
                <w:sz w:val="28"/>
                <w:szCs w:val="28"/>
              </w:rPr>
              <w:t>3.32</w:t>
            </w:r>
          </w:p>
        </w:tc>
      </w:tr>
      <w:tr w:rsidR="00994822" w14:paraId="52662E32" w14:textId="77777777" w:rsidTr="00F65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507C61A0" w14:textId="77777777" w:rsidR="00994822" w:rsidRDefault="00994822" w:rsidP="00F73518">
            <w:pPr>
              <w:tabs>
                <w:tab w:val="left" w:pos="6076"/>
              </w:tabs>
              <w:rPr>
                <w:rFonts w:eastAsiaTheme="minorEastAsia"/>
                <w:sz w:val="28"/>
                <w:szCs w:val="28"/>
              </w:rPr>
            </w:pPr>
            <w:r>
              <w:rPr>
                <w:rFonts w:eastAsiaTheme="minorEastAsia"/>
                <w:sz w:val="28"/>
                <w:szCs w:val="28"/>
              </w:rPr>
              <w:t>02/01/18</w:t>
            </w:r>
          </w:p>
        </w:tc>
        <w:tc>
          <w:tcPr>
            <w:tcW w:w="4675" w:type="dxa"/>
          </w:tcPr>
          <w:p w14:paraId="4EBA0BDE" w14:textId="77777777" w:rsidR="00994822" w:rsidRDefault="00994822" w:rsidP="00F73518">
            <w:pPr>
              <w:tabs>
                <w:tab w:val="left" w:pos="6076"/>
              </w:tabs>
              <w:cnfStyle w:val="000000100000" w:firstRow="0" w:lastRow="0" w:firstColumn="0" w:lastColumn="0" w:oddVBand="0" w:evenVBand="0" w:oddHBand="1" w:evenHBand="0" w:firstRowFirstColumn="0" w:firstRowLastColumn="0" w:lastRowFirstColumn="0" w:lastRowLastColumn="0"/>
              <w:rPr>
                <w:rFonts w:eastAsiaTheme="minorEastAsia"/>
                <w:sz w:val="28"/>
                <w:szCs w:val="28"/>
              </w:rPr>
            </w:pPr>
            <w:r>
              <w:rPr>
                <w:rFonts w:eastAsiaTheme="minorEastAsia"/>
                <w:sz w:val="28"/>
                <w:szCs w:val="28"/>
              </w:rPr>
              <w:t>2.41</w:t>
            </w:r>
          </w:p>
        </w:tc>
      </w:tr>
      <w:tr w:rsidR="00994822" w14:paraId="42B65442" w14:textId="77777777" w:rsidTr="00F65D10">
        <w:tc>
          <w:tcPr>
            <w:cnfStyle w:val="001000000000" w:firstRow="0" w:lastRow="0" w:firstColumn="1" w:lastColumn="0" w:oddVBand="0" w:evenVBand="0" w:oddHBand="0" w:evenHBand="0" w:firstRowFirstColumn="0" w:firstRowLastColumn="0" w:lastRowFirstColumn="0" w:lastRowLastColumn="0"/>
            <w:tcW w:w="4675" w:type="dxa"/>
          </w:tcPr>
          <w:p w14:paraId="3507193E" w14:textId="77777777" w:rsidR="00994822" w:rsidRDefault="00994822" w:rsidP="00F73518">
            <w:pPr>
              <w:tabs>
                <w:tab w:val="left" w:pos="6076"/>
              </w:tabs>
              <w:rPr>
                <w:rFonts w:eastAsiaTheme="minorEastAsia"/>
                <w:sz w:val="28"/>
                <w:szCs w:val="28"/>
              </w:rPr>
            </w:pPr>
            <w:r>
              <w:rPr>
                <w:rFonts w:eastAsiaTheme="minorEastAsia"/>
                <w:sz w:val="28"/>
                <w:szCs w:val="28"/>
              </w:rPr>
              <w:t>07/07/17</w:t>
            </w:r>
          </w:p>
        </w:tc>
        <w:tc>
          <w:tcPr>
            <w:tcW w:w="4675" w:type="dxa"/>
          </w:tcPr>
          <w:p w14:paraId="6C603AA2" w14:textId="77777777" w:rsidR="00994822" w:rsidRDefault="00994822" w:rsidP="00F73518">
            <w:pPr>
              <w:tabs>
                <w:tab w:val="left" w:pos="6076"/>
              </w:tabs>
              <w:cnfStyle w:val="000000000000" w:firstRow="0" w:lastRow="0" w:firstColumn="0" w:lastColumn="0" w:oddVBand="0" w:evenVBand="0" w:oddHBand="0" w:evenHBand="0" w:firstRowFirstColumn="0" w:firstRowLastColumn="0" w:lastRowFirstColumn="0" w:lastRowLastColumn="0"/>
              <w:rPr>
                <w:rFonts w:eastAsiaTheme="minorEastAsia"/>
                <w:sz w:val="28"/>
                <w:szCs w:val="28"/>
              </w:rPr>
            </w:pPr>
            <w:r>
              <w:rPr>
                <w:rFonts w:eastAsiaTheme="minorEastAsia"/>
                <w:sz w:val="28"/>
                <w:szCs w:val="28"/>
              </w:rPr>
              <w:t>2.45</w:t>
            </w:r>
          </w:p>
        </w:tc>
      </w:tr>
      <w:tr w:rsidR="00994822" w14:paraId="430C45CA" w14:textId="77777777" w:rsidTr="00F65D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67CB481C" w14:textId="77777777" w:rsidR="00994822" w:rsidRDefault="00994822" w:rsidP="00F73518">
            <w:pPr>
              <w:tabs>
                <w:tab w:val="left" w:pos="6076"/>
              </w:tabs>
              <w:rPr>
                <w:rFonts w:eastAsiaTheme="minorEastAsia"/>
                <w:sz w:val="28"/>
                <w:szCs w:val="28"/>
              </w:rPr>
            </w:pPr>
            <w:r>
              <w:rPr>
                <w:rFonts w:eastAsiaTheme="minorEastAsia"/>
                <w:sz w:val="28"/>
                <w:szCs w:val="28"/>
              </w:rPr>
              <w:t>04/01/17</w:t>
            </w:r>
          </w:p>
        </w:tc>
        <w:tc>
          <w:tcPr>
            <w:tcW w:w="4675" w:type="dxa"/>
          </w:tcPr>
          <w:p w14:paraId="7C9A35BB" w14:textId="77777777" w:rsidR="00994822" w:rsidRDefault="00994822" w:rsidP="00F73518">
            <w:pPr>
              <w:tabs>
                <w:tab w:val="left" w:pos="6076"/>
              </w:tabs>
              <w:cnfStyle w:val="000000100000" w:firstRow="0" w:lastRow="0" w:firstColumn="0" w:lastColumn="0" w:oddVBand="0" w:evenVBand="0" w:oddHBand="1" w:evenHBand="0" w:firstRowFirstColumn="0" w:firstRowLastColumn="0" w:lastRowFirstColumn="0" w:lastRowLastColumn="0"/>
              <w:rPr>
                <w:rFonts w:eastAsiaTheme="minorEastAsia"/>
                <w:sz w:val="28"/>
                <w:szCs w:val="28"/>
              </w:rPr>
            </w:pPr>
            <w:r>
              <w:rPr>
                <w:rFonts w:eastAsiaTheme="minorEastAsia"/>
                <w:sz w:val="28"/>
                <w:szCs w:val="28"/>
              </w:rPr>
              <w:t>2.45</w:t>
            </w:r>
          </w:p>
        </w:tc>
      </w:tr>
    </w:tbl>
    <w:p w14:paraId="5B0EAC47" w14:textId="77777777" w:rsidR="00994822" w:rsidRDefault="00994822" w:rsidP="00F73518">
      <w:pPr>
        <w:pStyle w:val="Normal1"/>
        <w:spacing w:line="240" w:lineRule="auto"/>
        <w:jc w:val="center"/>
        <w:rPr>
          <w:rFonts w:ascii="Agency FB" w:hAnsi="Agency FB"/>
          <w:b/>
          <w:bCs/>
          <w:sz w:val="24"/>
          <w:szCs w:val="24"/>
          <w:lang w:val="en-GB"/>
        </w:rPr>
      </w:pPr>
      <w:r w:rsidRPr="00994822">
        <w:rPr>
          <w:rFonts w:ascii="Agency FB" w:hAnsi="Agency FB"/>
          <w:b/>
          <w:bCs/>
          <w:sz w:val="24"/>
          <w:szCs w:val="24"/>
          <w:lang w:val="en-GB"/>
        </w:rPr>
        <w:t>Dividend paid</w:t>
      </w:r>
    </w:p>
    <w:p w14:paraId="711D1DB7" w14:textId="23B11210" w:rsidR="00994822" w:rsidRPr="00994822" w:rsidRDefault="00994822" w:rsidP="00F73518">
      <w:pPr>
        <w:pStyle w:val="Normal1"/>
        <w:spacing w:line="240" w:lineRule="auto"/>
        <w:jc w:val="center"/>
        <w:rPr>
          <w:rFonts w:ascii="Agency FB" w:hAnsi="Agency FB"/>
          <w:b/>
          <w:bCs/>
          <w:sz w:val="24"/>
          <w:szCs w:val="24"/>
          <w:lang w:val="en-GB"/>
        </w:rPr>
      </w:pPr>
      <w:r w:rsidRPr="00994822">
        <w:rPr>
          <w:rFonts w:ascii="Agency FB" w:hAnsi="Agency FB"/>
          <w:b/>
          <w:bCs/>
          <w:sz w:val="24"/>
          <w:szCs w:val="24"/>
          <w:lang w:val="en-GB"/>
        </w:rPr>
        <w:t>(Source: Sainsbury, 2021)</w:t>
      </w:r>
    </w:p>
    <w:p w14:paraId="6CE8FB5F" w14:textId="77777777" w:rsidR="00994822" w:rsidRPr="00CE5302" w:rsidRDefault="00994822" w:rsidP="00F73518">
      <w:pPr>
        <w:spacing w:line="240" w:lineRule="auto"/>
      </w:pPr>
    </w:p>
    <w:p w14:paraId="675BD777" w14:textId="77777777" w:rsidR="00F73518" w:rsidRPr="00F73518" w:rsidRDefault="00F73518" w:rsidP="00F73518">
      <w:pPr>
        <w:pStyle w:val="Normal1"/>
        <w:spacing w:after="240" w:line="240" w:lineRule="auto"/>
        <w:rPr>
          <w:rFonts w:ascii="Agency FB" w:hAnsi="Agency FB"/>
          <w:bCs/>
          <w:sz w:val="24"/>
          <w:szCs w:val="24"/>
          <w:lang w:val="en-GB"/>
        </w:rPr>
      </w:pPr>
      <w:r w:rsidRPr="00F73518">
        <w:rPr>
          <w:rFonts w:ascii="Agency FB" w:hAnsi="Agency FB"/>
          <w:bCs/>
          <w:sz w:val="24"/>
          <w:szCs w:val="24"/>
          <w:lang w:val="en-GB"/>
        </w:rPr>
        <w:lastRenderedPageBreak/>
        <w:t>At the end of 2020 and 2019, the company paid equity shareholders an ordinary dividend of 4.10 pence per share and common shareholders an interim dividend of 1.67 pence per share. 2020 (Sainsburry). The company has paid its shareholders a total dividend of 5.77 pence per share. Shareholders have the option of withdrawing or maintaining their dividend in the corporation, according to the corporation.</w:t>
      </w:r>
    </w:p>
    <w:p w14:paraId="76C979EC" w14:textId="77777777" w:rsidR="00F73518" w:rsidRPr="00F73518" w:rsidRDefault="00F73518" w:rsidP="00F73518">
      <w:pPr>
        <w:pStyle w:val="Normal1"/>
        <w:spacing w:before="200" w:line="240" w:lineRule="auto"/>
        <w:rPr>
          <w:rFonts w:ascii="Agency FB" w:hAnsi="Agency FB"/>
          <w:bCs/>
          <w:sz w:val="24"/>
          <w:szCs w:val="24"/>
          <w:lang w:val="en-GB"/>
        </w:rPr>
      </w:pPr>
      <w:r w:rsidRPr="00F73518">
        <w:rPr>
          <w:rFonts w:ascii="Agency FB" w:hAnsi="Agency FB"/>
          <w:bCs/>
          <w:sz w:val="24"/>
          <w:szCs w:val="24"/>
          <w:lang w:val="en-GB"/>
        </w:rPr>
        <w:t>Checks will no longer be used to pay dividends. You can also sign up for our Dividend Reinvestment Plan to earn dividends in the form of additional shares. Direct deposit of dividends into shareholders' bank or building society accounts will be made.</w:t>
      </w:r>
    </w:p>
    <w:p w14:paraId="48782DDF" w14:textId="637F2937" w:rsidR="00E83E17" w:rsidRDefault="00A54333" w:rsidP="00F73518">
      <w:pPr>
        <w:spacing w:line="240" w:lineRule="auto"/>
        <w:rPr>
          <w:rFonts w:ascii="Agency FB" w:hAnsi="Agency FB"/>
          <w:sz w:val="24"/>
          <w:szCs w:val="24"/>
        </w:rPr>
      </w:pPr>
      <w:r w:rsidRPr="00A54333">
        <w:rPr>
          <w:rFonts w:ascii="Agency FB" w:hAnsi="Agency FB"/>
          <w:sz w:val="24"/>
          <w:szCs w:val="24"/>
        </w:rPr>
        <w:t>Through the DRIP scheme, shareholders can reinvest their cash dividends in the company's equity. On the day of the dividend payout, the shares are purchased on the market using a specifically created share dealing facility offered by Equiniti. As part of this DRIP, no more shares are distributed. (sainsburry,2019)</w:t>
      </w:r>
      <w:r w:rsidR="00E83E17">
        <w:rPr>
          <w:rFonts w:ascii="Agency FB" w:hAnsi="Agency FB"/>
          <w:sz w:val="24"/>
          <w:szCs w:val="24"/>
        </w:rPr>
        <w:t>.</w:t>
      </w:r>
    </w:p>
    <w:p w14:paraId="205D06CA" w14:textId="3E6EABB5" w:rsidR="00E83E17" w:rsidRDefault="00BA391B" w:rsidP="00F73518">
      <w:pPr>
        <w:spacing w:line="240" w:lineRule="auto"/>
        <w:rPr>
          <w:rFonts w:ascii="Agency FB" w:hAnsi="Agency FB"/>
          <w:sz w:val="24"/>
          <w:szCs w:val="24"/>
        </w:rPr>
      </w:pPr>
      <w:r w:rsidRPr="00BA391B">
        <w:rPr>
          <w:rFonts w:ascii="Agency FB" w:hAnsi="Agency FB"/>
          <w:sz w:val="24"/>
          <w:szCs w:val="24"/>
        </w:rPr>
        <w:t>The DRIP should be viewed as one component of a well-rounded portfolio since it can only be used to invest in one company. You should be aware that the cost, value, and potential income from these investments are all susceptible to change, and such change might not be in your best interests. It's probable that you won't make your first investment back. If you have any questions regarding the suitability of this investment, you should speak with an impartial, licenced financial advisor. Past performance is rarely a reliable indicator of future success. (sainsburry,2021)</w:t>
      </w:r>
    </w:p>
    <w:p w14:paraId="36BE0A82" w14:textId="666B7A4C" w:rsidR="00BA391B" w:rsidRDefault="00BA391B" w:rsidP="00F73518">
      <w:pPr>
        <w:spacing w:line="240" w:lineRule="auto"/>
        <w:rPr>
          <w:rFonts w:ascii="Agency FB" w:hAnsi="Agency FB"/>
          <w:sz w:val="24"/>
          <w:szCs w:val="24"/>
        </w:rPr>
      </w:pPr>
      <w:r w:rsidRPr="00BA391B">
        <w:rPr>
          <w:rFonts w:ascii="Agency FB" w:hAnsi="Agency FB"/>
          <w:sz w:val="24"/>
          <w:szCs w:val="24"/>
        </w:rPr>
        <w:t>In connection with dividend payments, the company issues an Annual Dividend Confirmation (ADC). An ADC including a list of all the payments made during the previous year will be sent to stockholders who get their dividends directly into their bank accounts once a year. (sainsburry,2021).</w:t>
      </w:r>
    </w:p>
    <w:p w14:paraId="443F936B" w14:textId="0EE6AC8E" w:rsidR="007D1A37" w:rsidRDefault="007D1A37" w:rsidP="00F73518">
      <w:pPr>
        <w:spacing w:line="240" w:lineRule="auto"/>
        <w:rPr>
          <w:rFonts w:ascii="Agency FB" w:hAnsi="Agency FB"/>
          <w:sz w:val="24"/>
          <w:szCs w:val="24"/>
        </w:rPr>
      </w:pPr>
      <w:r w:rsidRPr="007D1A37">
        <w:rPr>
          <w:rFonts w:ascii="Agency FB" w:hAnsi="Agency FB"/>
          <w:sz w:val="24"/>
          <w:szCs w:val="24"/>
        </w:rPr>
        <w:t>Additionally, the firm paid shareholders 4 pence per share at the end of 2017–2018. 2018 (Sainsbury). The corporation distributed a two-cent interim dividend to common shareholders at the conclusion of the financial period. The corporation's final dividend to common shareholders for the 2017–2018 fiscal year was 3 pence per share.</w:t>
      </w:r>
    </w:p>
    <w:p w14:paraId="58E46E67" w14:textId="708B1CE9" w:rsidR="007D1A37" w:rsidRDefault="007D1A37" w:rsidP="007D1A37">
      <w:pPr>
        <w:pStyle w:val="Normal1"/>
        <w:spacing w:before="200" w:line="240" w:lineRule="auto"/>
        <w:rPr>
          <w:rFonts w:ascii="Agency FB" w:hAnsi="Agency FB"/>
          <w:bCs/>
          <w:sz w:val="24"/>
          <w:szCs w:val="24"/>
          <w:lang w:val="en-GB"/>
        </w:rPr>
      </w:pPr>
      <w:r w:rsidRPr="007D1A37">
        <w:rPr>
          <w:rFonts w:ascii="Agency FB" w:hAnsi="Agency FB"/>
          <w:bCs/>
          <w:sz w:val="24"/>
          <w:szCs w:val="24"/>
          <w:lang w:val="en-GB"/>
        </w:rPr>
        <w:t>In comparison to the dividend it paid to its shareholders in the market, the firm sought to earn a two-fold return on the shares. For each share of the entity that has not been located, the company has deducted £1 as divided. In order to prevent a financial disaster for the company, the CEO has concentrated on cutting the dividend paid on the bonus share.</w:t>
      </w:r>
    </w:p>
    <w:p w14:paraId="23E0FC79" w14:textId="77777777" w:rsidR="007D1A37" w:rsidRPr="007D1A37" w:rsidRDefault="007D1A37" w:rsidP="007D1A37">
      <w:pPr>
        <w:pStyle w:val="Normal1"/>
        <w:spacing w:before="200" w:line="240" w:lineRule="auto"/>
        <w:rPr>
          <w:rFonts w:ascii="Agency FB" w:hAnsi="Agency FB"/>
          <w:bCs/>
          <w:sz w:val="24"/>
          <w:szCs w:val="24"/>
          <w:lang w:val="en-GB"/>
        </w:rPr>
      </w:pPr>
    </w:p>
    <w:p w14:paraId="42768BF8" w14:textId="0F7B70BE" w:rsidR="007D1A37" w:rsidRDefault="007D1A37" w:rsidP="00F73518">
      <w:pPr>
        <w:spacing w:line="240" w:lineRule="auto"/>
        <w:rPr>
          <w:rFonts w:ascii="Agency FB" w:hAnsi="Agency FB"/>
          <w:sz w:val="24"/>
          <w:szCs w:val="24"/>
        </w:rPr>
      </w:pPr>
      <w:r>
        <w:rPr>
          <w:bCs/>
          <w:noProof/>
          <w:sz w:val="24"/>
          <w:szCs w:val="24"/>
          <w:lang w:val="en-GB"/>
        </w:rPr>
        <w:drawing>
          <wp:inline distT="0" distB="0" distL="0" distR="0" wp14:anchorId="0FB16D1F" wp14:editId="46719C06">
            <wp:extent cx="5943600" cy="27101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0">
                      <a:extLst>
                        <a:ext uri="{28A0092B-C50C-407E-A947-70E740481C1C}">
                          <a14:useLocalDpi xmlns:a14="http://schemas.microsoft.com/office/drawing/2010/main" val="0"/>
                        </a:ext>
                      </a:extLst>
                    </a:blip>
                    <a:srcRect l="5242" t="15037" r="6149" b="13084"/>
                    <a:stretch/>
                  </pic:blipFill>
                  <pic:spPr bwMode="auto">
                    <a:xfrm>
                      <a:off x="0" y="0"/>
                      <a:ext cx="5943600" cy="2710145"/>
                    </a:xfrm>
                    <a:prstGeom prst="rect">
                      <a:avLst/>
                    </a:prstGeom>
                    <a:ln>
                      <a:noFill/>
                    </a:ln>
                    <a:extLst>
                      <a:ext uri="{53640926-AAD7-44D8-BBD7-CCE9431645EC}">
                        <a14:shadowObscured xmlns:a14="http://schemas.microsoft.com/office/drawing/2010/main"/>
                      </a:ext>
                    </a:extLst>
                  </pic:spPr>
                </pic:pic>
              </a:graphicData>
            </a:graphic>
          </wp:inline>
        </w:drawing>
      </w:r>
    </w:p>
    <w:p w14:paraId="010D732E" w14:textId="77777777" w:rsidR="007D1A37" w:rsidRPr="007D1A37" w:rsidRDefault="007D1A37" w:rsidP="007D1A37">
      <w:pPr>
        <w:pStyle w:val="Normal1"/>
        <w:spacing w:before="200" w:line="240" w:lineRule="auto"/>
        <w:jc w:val="center"/>
        <w:rPr>
          <w:rFonts w:ascii="Agency FB" w:hAnsi="Agency FB"/>
          <w:b/>
          <w:bCs/>
          <w:sz w:val="24"/>
          <w:szCs w:val="24"/>
          <w:lang w:val="en-GB"/>
        </w:rPr>
      </w:pPr>
      <w:r w:rsidRPr="007D1A37">
        <w:rPr>
          <w:rFonts w:ascii="Agency FB" w:hAnsi="Agency FB"/>
          <w:b/>
          <w:bCs/>
          <w:sz w:val="24"/>
          <w:szCs w:val="24"/>
          <w:lang w:val="en-GB"/>
        </w:rPr>
        <w:t>Dividend overview of Sainsburys</w:t>
      </w:r>
    </w:p>
    <w:p w14:paraId="7C085033" w14:textId="77777777" w:rsidR="007D1A37" w:rsidRPr="007D1A37" w:rsidRDefault="007D1A37" w:rsidP="007D1A37">
      <w:pPr>
        <w:pStyle w:val="Normal1"/>
        <w:spacing w:before="200" w:line="240" w:lineRule="auto"/>
        <w:jc w:val="center"/>
        <w:rPr>
          <w:rFonts w:ascii="Agency FB" w:hAnsi="Agency FB"/>
          <w:sz w:val="24"/>
          <w:szCs w:val="24"/>
          <w:lang w:val="en-GB"/>
        </w:rPr>
      </w:pPr>
      <w:r w:rsidRPr="007D1A37">
        <w:rPr>
          <w:rFonts w:ascii="Agency FB" w:hAnsi="Agency FB"/>
          <w:sz w:val="24"/>
          <w:szCs w:val="24"/>
          <w:lang w:val="en-GB"/>
        </w:rPr>
        <w:lastRenderedPageBreak/>
        <w:t>(Source: hl.co.uk, 2021)</w:t>
      </w:r>
    </w:p>
    <w:p w14:paraId="0DA0E558" w14:textId="1CCBAF71" w:rsidR="007D1A37" w:rsidRDefault="007D1A37" w:rsidP="00F73518">
      <w:pPr>
        <w:spacing w:line="240" w:lineRule="auto"/>
        <w:rPr>
          <w:rFonts w:ascii="Agency FB" w:hAnsi="Agency FB"/>
          <w:sz w:val="24"/>
          <w:szCs w:val="24"/>
        </w:rPr>
      </w:pPr>
      <w:r w:rsidRPr="007D1A37">
        <w:rPr>
          <w:rFonts w:ascii="Agency FB" w:hAnsi="Agency FB"/>
          <w:sz w:val="24"/>
          <w:szCs w:val="24"/>
        </w:rPr>
        <w:t>In the competitive market, the company's "board of directors" has authorised the "proposed final dividend." The company has increased the amount of dividends paid to common shareholders as a result of its good financial success, which is demonstrated by its dividend actions over the previous five years. The corporation's final dividend payment in 2021 was 6.37 pence per share, or 9.10 pence. Due to the company's capital and financial performance exceeding projections in 2021, the actual dividend payout grew by 53.3%. However, the company did raise the dividend it paid to stockholders in 2019 from 3 pence to 4.36 pence. According to sources, the corporation increased the dividend it distributed in 2019 by 64%.</w:t>
      </w:r>
    </w:p>
    <w:p w14:paraId="6AA29019" w14:textId="24580B1B" w:rsidR="007D1A37" w:rsidRDefault="007D1A37" w:rsidP="00622A99">
      <w:pPr>
        <w:pStyle w:val="Heading1"/>
        <w:rPr>
          <w:rFonts w:ascii="Agency FB" w:eastAsiaTheme="minorEastAsia" w:hAnsi="Agency FB"/>
          <w:b/>
          <w:bCs/>
          <w:color w:val="ED7D31" w:themeColor="accent2"/>
          <w:sz w:val="40"/>
          <w:szCs w:val="40"/>
        </w:rPr>
      </w:pPr>
      <w:bookmarkStart w:id="15" w:name="_Toc113410735"/>
      <w:r w:rsidRPr="00032CDD">
        <w:rPr>
          <w:rFonts w:ascii="Agency FB" w:eastAsiaTheme="minorEastAsia" w:hAnsi="Agency FB"/>
          <w:b/>
          <w:bCs/>
          <w:color w:val="ED7D31" w:themeColor="accent2"/>
          <w:sz w:val="40"/>
          <w:szCs w:val="40"/>
        </w:rPr>
        <w:t>F</w:t>
      </w:r>
      <w:r w:rsidRPr="00032CDD">
        <w:rPr>
          <w:rFonts w:ascii="Agency FB" w:eastAsiaTheme="minorEastAsia" w:hAnsi="Agency FB"/>
          <w:b/>
          <w:bCs/>
          <w:color w:val="ED7D31" w:themeColor="accent2"/>
          <w:sz w:val="40"/>
          <w:szCs w:val="40"/>
        </w:rPr>
        <w:t>actors that influence dividend decisions</w:t>
      </w:r>
      <w:bookmarkEnd w:id="15"/>
    </w:p>
    <w:p w14:paraId="60AECB2C" w14:textId="77777777" w:rsidR="00C217F2" w:rsidRPr="00C217F2" w:rsidRDefault="00C217F2" w:rsidP="00C217F2"/>
    <w:p w14:paraId="4D1646AF" w14:textId="612BD296" w:rsidR="007D1A37" w:rsidRDefault="00554184" w:rsidP="00F73518">
      <w:pPr>
        <w:spacing w:line="240" w:lineRule="auto"/>
        <w:rPr>
          <w:rFonts w:ascii="Agency FB" w:hAnsi="Agency FB"/>
          <w:sz w:val="24"/>
          <w:szCs w:val="24"/>
        </w:rPr>
      </w:pPr>
      <w:r w:rsidRPr="00554184">
        <w:rPr>
          <w:rFonts w:ascii="Agency FB" w:hAnsi="Agency FB"/>
          <w:sz w:val="24"/>
          <w:szCs w:val="24"/>
        </w:rPr>
        <w:t>Regular dividend payments offer a lot of comfort, especially in tumultuous economic periods. However, it can be challenging to locate shares that will pay them. High yields might be seductive, but they can also be the first sign of prospective dividend cuts, so it's important to move cautiously.</w:t>
      </w:r>
    </w:p>
    <w:p w14:paraId="693ABE19" w14:textId="710BC606" w:rsidR="00554184" w:rsidRDefault="00554184" w:rsidP="00F73518">
      <w:pPr>
        <w:spacing w:line="240" w:lineRule="auto"/>
        <w:rPr>
          <w:rFonts w:ascii="Agency FB" w:hAnsi="Agency FB"/>
          <w:sz w:val="24"/>
          <w:szCs w:val="24"/>
        </w:rPr>
      </w:pPr>
      <w:r w:rsidRPr="00554184">
        <w:rPr>
          <w:rFonts w:ascii="Agency FB" w:hAnsi="Agency FB"/>
          <w:sz w:val="24"/>
          <w:szCs w:val="24"/>
        </w:rPr>
        <w:t>Investors can lessen this uncertainty by using a handy checklist that enumerates the essential components of dividend investment programmes. This also helps separate decision-making from emotion.</w:t>
      </w:r>
    </w:p>
    <w:p w14:paraId="6BB8D009" w14:textId="5E91ACF7" w:rsidR="00554184" w:rsidRDefault="00554184" w:rsidP="00F73518">
      <w:pPr>
        <w:spacing w:line="240" w:lineRule="auto"/>
        <w:rPr>
          <w:rFonts w:ascii="Agency FB" w:hAnsi="Agency FB"/>
          <w:sz w:val="24"/>
          <w:szCs w:val="24"/>
        </w:rPr>
      </w:pPr>
      <w:r w:rsidRPr="00554184">
        <w:rPr>
          <w:rFonts w:ascii="Agency FB" w:hAnsi="Agency FB"/>
          <w:sz w:val="24"/>
          <w:szCs w:val="24"/>
        </w:rPr>
        <w:t>It will be much simpler for you to methodically pick higher quality dividend stocks if you follow a few basic rules. J Sainsbury's (LON:SBRYdividend )'s payout serves as an illustration of how to apply this checklist technique.</w:t>
      </w:r>
    </w:p>
    <w:p w14:paraId="15A562DD" w14:textId="57F20718" w:rsidR="00554184" w:rsidRDefault="00554184" w:rsidP="00902FC5">
      <w:pPr>
        <w:pStyle w:val="Heading2"/>
        <w:rPr>
          <w:rFonts w:ascii="Agency FB" w:hAnsi="Agency FB"/>
          <w:b/>
          <w:bCs/>
          <w:sz w:val="32"/>
          <w:szCs w:val="32"/>
        </w:rPr>
      </w:pPr>
      <w:bookmarkStart w:id="16" w:name="_Toc113410736"/>
      <w:r w:rsidRPr="00902FC5">
        <w:rPr>
          <w:rFonts w:ascii="Agency FB" w:hAnsi="Agency FB"/>
          <w:b/>
          <w:bCs/>
          <w:sz w:val="32"/>
          <w:szCs w:val="32"/>
        </w:rPr>
        <w:t>T</w:t>
      </w:r>
      <w:r w:rsidRPr="00902FC5">
        <w:rPr>
          <w:rFonts w:ascii="Agency FB" w:hAnsi="Agency FB"/>
          <w:b/>
          <w:bCs/>
          <w:sz w:val="32"/>
          <w:szCs w:val="32"/>
        </w:rPr>
        <w:t xml:space="preserve">he </w:t>
      </w:r>
      <w:r w:rsidRPr="00902FC5">
        <w:rPr>
          <w:rFonts w:ascii="Agency FB" w:hAnsi="Agency FB"/>
          <w:b/>
          <w:bCs/>
          <w:sz w:val="32"/>
          <w:szCs w:val="32"/>
        </w:rPr>
        <w:t>S</w:t>
      </w:r>
      <w:r w:rsidRPr="00902FC5">
        <w:rPr>
          <w:rFonts w:ascii="Agency FB" w:hAnsi="Agency FB"/>
          <w:b/>
          <w:bCs/>
          <w:sz w:val="32"/>
          <w:szCs w:val="32"/>
        </w:rPr>
        <w:t xml:space="preserve">teps </w:t>
      </w:r>
      <w:r w:rsidRPr="00902FC5">
        <w:rPr>
          <w:rFonts w:ascii="Agency FB" w:hAnsi="Agency FB"/>
          <w:b/>
          <w:bCs/>
          <w:sz w:val="32"/>
          <w:szCs w:val="32"/>
        </w:rPr>
        <w:t>F</w:t>
      </w:r>
      <w:r w:rsidRPr="00902FC5">
        <w:rPr>
          <w:rFonts w:ascii="Agency FB" w:hAnsi="Agency FB"/>
          <w:b/>
          <w:bCs/>
          <w:sz w:val="32"/>
          <w:szCs w:val="32"/>
        </w:rPr>
        <w:t xml:space="preserve">or </w:t>
      </w:r>
      <w:r w:rsidRPr="00902FC5">
        <w:rPr>
          <w:rFonts w:ascii="Agency FB" w:hAnsi="Agency FB"/>
          <w:b/>
          <w:bCs/>
          <w:sz w:val="32"/>
          <w:szCs w:val="32"/>
        </w:rPr>
        <w:t>F</w:t>
      </w:r>
      <w:r w:rsidRPr="00902FC5">
        <w:rPr>
          <w:rFonts w:ascii="Agency FB" w:hAnsi="Agency FB"/>
          <w:b/>
          <w:bCs/>
          <w:sz w:val="32"/>
          <w:szCs w:val="32"/>
        </w:rPr>
        <w:t xml:space="preserve">inding </w:t>
      </w:r>
      <w:r w:rsidRPr="00902FC5">
        <w:rPr>
          <w:rFonts w:ascii="Agency FB" w:hAnsi="Agency FB"/>
          <w:b/>
          <w:bCs/>
          <w:sz w:val="32"/>
          <w:szCs w:val="32"/>
        </w:rPr>
        <w:t>D</w:t>
      </w:r>
      <w:r w:rsidRPr="00902FC5">
        <w:rPr>
          <w:rFonts w:ascii="Agency FB" w:hAnsi="Agency FB"/>
          <w:b/>
          <w:bCs/>
          <w:sz w:val="32"/>
          <w:szCs w:val="32"/>
        </w:rPr>
        <w:t xml:space="preserve">ividend </w:t>
      </w:r>
      <w:r w:rsidRPr="00902FC5">
        <w:rPr>
          <w:rFonts w:ascii="Agency FB" w:hAnsi="Agency FB"/>
          <w:b/>
          <w:bCs/>
          <w:sz w:val="32"/>
          <w:szCs w:val="32"/>
        </w:rPr>
        <w:t>S</w:t>
      </w:r>
      <w:r w:rsidRPr="00902FC5">
        <w:rPr>
          <w:rFonts w:ascii="Agency FB" w:hAnsi="Agency FB"/>
          <w:b/>
          <w:bCs/>
          <w:sz w:val="32"/>
          <w:szCs w:val="32"/>
        </w:rPr>
        <w:t>hares</w:t>
      </w:r>
      <w:bookmarkEnd w:id="16"/>
    </w:p>
    <w:p w14:paraId="7B06FFF4" w14:textId="77777777" w:rsidR="00622A99" w:rsidRPr="00622A99" w:rsidRDefault="00622A99" w:rsidP="00622A99"/>
    <w:p w14:paraId="50773C24" w14:textId="5921E9DA" w:rsidR="007D55EE" w:rsidRDefault="007D55EE" w:rsidP="007D55EE">
      <w:pPr>
        <w:tabs>
          <w:tab w:val="left" w:pos="6076"/>
        </w:tabs>
        <w:rPr>
          <w:rFonts w:ascii="Agency FB" w:eastAsiaTheme="minorEastAsia" w:hAnsi="Agency FB"/>
          <w:b/>
          <w:bCs/>
          <w:sz w:val="32"/>
          <w:szCs w:val="32"/>
        </w:rPr>
      </w:pPr>
      <w:r w:rsidRPr="00902FC5">
        <w:rPr>
          <w:rFonts w:ascii="Agency FB" w:eastAsiaTheme="minorEastAsia" w:hAnsi="Agency FB"/>
          <w:b/>
          <w:bCs/>
          <w:sz w:val="28"/>
          <w:szCs w:val="28"/>
        </w:rPr>
        <w:t xml:space="preserve">Dividend </w:t>
      </w:r>
      <w:r w:rsidRPr="00902FC5">
        <w:rPr>
          <w:rFonts w:ascii="Agency FB" w:eastAsiaTheme="minorEastAsia" w:hAnsi="Agency FB"/>
          <w:b/>
          <w:bCs/>
          <w:sz w:val="28"/>
          <w:szCs w:val="28"/>
        </w:rPr>
        <w:t>S</w:t>
      </w:r>
      <w:r w:rsidRPr="00902FC5">
        <w:rPr>
          <w:rFonts w:ascii="Agency FB" w:eastAsiaTheme="minorEastAsia" w:hAnsi="Agency FB"/>
          <w:b/>
          <w:bCs/>
          <w:sz w:val="28"/>
          <w:szCs w:val="28"/>
        </w:rPr>
        <w:t>ecurity</w:t>
      </w:r>
    </w:p>
    <w:p w14:paraId="05152CBC" w14:textId="56C38854" w:rsidR="007D55EE" w:rsidRPr="007D55EE" w:rsidRDefault="007D55EE" w:rsidP="007D55EE">
      <w:pPr>
        <w:tabs>
          <w:tab w:val="left" w:pos="6076"/>
        </w:tabs>
        <w:rPr>
          <w:rFonts w:ascii="Agency FB" w:eastAsiaTheme="minorEastAsia" w:hAnsi="Agency FB"/>
          <w:sz w:val="24"/>
          <w:szCs w:val="24"/>
        </w:rPr>
      </w:pPr>
      <w:r w:rsidRPr="007D55EE">
        <w:rPr>
          <w:rFonts w:ascii="Agency FB" w:eastAsiaTheme="minorEastAsia" w:hAnsi="Agency FB"/>
          <w:sz w:val="24"/>
          <w:szCs w:val="24"/>
        </w:rPr>
        <w:t>People are naturally drawn to yields that are pleasantly high, but it's important to realise that a dividend is conceivable. The dividend cover ratio, which is equivalent to it, is a frequently used indication of a company's net income over the dividend paid to shareholders. Divide the dividend per share by the earnings per share to estimate the sustainability of a payout.</w:t>
      </w:r>
    </w:p>
    <w:p w14:paraId="32CCE101" w14:textId="02CF8C96" w:rsidR="00554184" w:rsidRDefault="007D55EE" w:rsidP="00F73518">
      <w:pPr>
        <w:spacing w:line="240" w:lineRule="auto"/>
        <w:rPr>
          <w:rFonts w:ascii="Agency FB" w:hAnsi="Agency FB"/>
          <w:sz w:val="24"/>
          <w:szCs w:val="24"/>
        </w:rPr>
      </w:pPr>
      <w:r w:rsidRPr="007D55EE">
        <w:rPr>
          <w:rFonts w:ascii="Agency FB" w:hAnsi="Agency FB"/>
          <w:sz w:val="24"/>
          <w:szCs w:val="24"/>
        </w:rPr>
        <w:t>Pleasantly high yields naturally attract investors' attention, but it's crucial to remember that a dividend is possible. Its equivalent, the dividend cover ratio, is a widely used measure of a company's net income over the dividend paid to shareholders. In order to determine whether a distribution is sustainable, divide the dividend per share by the earnings per share.</w:t>
      </w:r>
    </w:p>
    <w:p w14:paraId="5B6AAFC9" w14:textId="77777777" w:rsidR="007D55EE" w:rsidRPr="007D55EE" w:rsidRDefault="007D55EE" w:rsidP="007D55EE">
      <w:pPr>
        <w:spacing w:line="240" w:lineRule="auto"/>
        <w:rPr>
          <w:rFonts w:ascii="Agency FB" w:hAnsi="Agency FB"/>
          <w:sz w:val="24"/>
          <w:szCs w:val="24"/>
        </w:rPr>
      </w:pPr>
      <w:r w:rsidRPr="007D55EE">
        <w:rPr>
          <w:rFonts w:ascii="Agency FB" w:hAnsi="Agency FB"/>
          <w:sz w:val="24"/>
          <w:szCs w:val="24"/>
        </w:rPr>
        <w:t>The corporation may not be able to finance the payout from earnings in the current year if the dividend cover is less than 1x and may need to go to outside funding sources.</w:t>
      </w:r>
    </w:p>
    <w:p w14:paraId="6F51198D" w14:textId="782B2A96" w:rsidR="007D55EE" w:rsidRDefault="007D55EE" w:rsidP="007D55EE">
      <w:pPr>
        <w:spacing w:line="240" w:lineRule="auto"/>
        <w:rPr>
          <w:rFonts w:ascii="Agency FB" w:hAnsi="Agency FB"/>
          <w:sz w:val="24"/>
          <w:szCs w:val="24"/>
        </w:rPr>
      </w:pPr>
      <w:r w:rsidRPr="007D55EE">
        <w:rPr>
          <w:rFonts w:ascii="Agency FB" w:hAnsi="Agency FB"/>
          <w:sz w:val="24"/>
          <w:szCs w:val="24"/>
        </w:rPr>
        <w:t>J Sainsbury's dividend cover is 2.10.</w:t>
      </w:r>
    </w:p>
    <w:p w14:paraId="5A9EA8CD" w14:textId="77777777" w:rsidR="00902FC5" w:rsidRPr="00902FC5" w:rsidRDefault="00902FC5" w:rsidP="00902FC5">
      <w:pPr>
        <w:tabs>
          <w:tab w:val="left" w:pos="6076"/>
        </w:tabs>
        <w:rPr>
          <w:rStyle w:val="Strong"/>
          <w:rFonts w:ascii="Agency FB" w:hAnsi="Agency FB" w:cs="Helvetica"/>
          <w:color w:val="1D2228"/>
          <w:sz w:val="28"/>
          <w:szCs w:val="29"/>
          <w:shd w:val="clear" w:color="auto" w:fill="FFFFFF"/>
        </w:rPr>
      </w:pPr>
      <w:r w:rsidRPr="00902FC5">
        <w:rPr>
          <w:rStyle w:val="Strong"/>
          <w:rFonts w:ascii="Agency FB" w:hAnsi="Agency FB" w:cs="Helvetica"/>
          <w:color w:val="1D2228"/>
          <w:sz w:val="28"/>
          <w:szCs w:val="29"/>
          <w:shd w:val="clear" w:color="auto" w:fill="FFFFFF"/>
        </w:rPr>
        <w:t>Dividend growth.</w:t>
      </w:r>
    </w:p>
    <w:p w14:paraId="662F2040" w14:textId="77777777" w:rsidR="00902FC5" w:rsidRPr="00902FC5" w:rsidRDefault="00902FC5" w:rsidP="00902FC5">
      <w:pPr>
        <w:spacing w:line="240" w:lineRule="auto"/>
        <w:rPr>
          <w:rFonts w:ascii="Agency FB" w:hAnsi="Agency FB"/>
          <w:sz w:val="24"/>
          <w:szCs w:val="24"/>
        </w:rPr>
      </w:pPr>
      <w:r w:rsidRPr="00902FC5">
        <w:rPr>
          <w:rFonts w:ascii="Agency FB" w:hAnsi="Agency FB"/>
          <w:sz w:val="24"/>
          <w:szCs w:val="24"/>
        </w:rPr>
        <w:t>For income investors, a track record of dividend growth and signs that the trend will persist are key indicators. A corporation may be successfully managing its shareholder rewards and distribution systems if its dividend is consistently going up. Compared to corporations that aggressively distribute earnings, dividend growth companies often offer moderate yields but are better at keeping their payouts intact.</w:t>
      </w:r>
    </w:p>
    <w:p w14:paraId="2B0DBF3E" w14:textId="2D66A7FA" w:rsidR="007D55EE" w:rsidRDefault="00902FC5" w:rsidP="00902FC5">
      <w:pPr>
        <w:spacing w:line="240" w:lineRule="auto"/>
        <w:rPr>
          <w:rFonts w:ascii="Agency FB" w:hAnsi="Agency FB"/>
          <w:sz w:val="24"/>
          <w:szCs w:val="24"/>
        </w:rPr>
      </w:pPr>
      <w:r w:rsidRPr="00902FC5">
        <w:rPr>
          <w:rFonts w:ascii="Agency FB" w:hAnsi="Agency FB"/>
          <w:sz w:val="24"/>
          <w:szCs w:val="24"/>
        </w:rPr>
        <w:lastRenderedPageBreak/>
        <w:t>Sainsbury has increased its dividend payout three times in the last 10 years, and the dividend per share is anticipated to increase by 16.4% in the coming year.</w:t>
      </w:r>
    </w:p>
    <w:p w14:paraId="5646E747" w14:textId="1F4675E2" w:rsidR="00902FC5" w:rsidRPr="00902FC5" w:rsidRDefault="00902FC5" w:rsidP="00902FC5">
      <w:pPr>
        <w:spacing w:line="240" w:lineRule="auto"/>
        <w:rPr>
          <w:rFonts w:ascii="Agency FB" w:hAnsi="Agency FB"/>
          <w:b/>
          <w:bCs/>
          <w:sz w:val="28"/>
          <w:szCs w:val="28"/>
        </w:rPr>
      </w:pPr>
      <w:r w:rsidRPr="00902FC5">
        <w:rPr>
          <w:rFonts w:ascii="Agency FB" w:hAnsi="Agency FB"/>
          <w:b/>
          <w:bCs/>
          <w:sz w:val="28"/>
          <w:szCs w:val="28"/>
        </w:rPr>
        <w:t>A</w:t>
      </w:r>
      <w:r w:rsidRPr="00902FC5">
        <w:rPr>
          <w:rFonts w:ascii="Agency FB" w:hAnsi="Agency FB"/>
          <w:b/>
          <w:bCs/>
          <w:sz w:val="28"/>
          <w:szCs w:val="28"/>
        </w:rPr>
        <w:t xml:space="preserve"> </w:t>
      </w:r>
      <w:r w:rsidRPr="00902FC5">
        <w:rPr>
          <w:rFonts w:ascii="Agency FB" w:hAnsi="Agency FB"/>
          <w:b/>
          <w:bCs/>
          <w:sz w:val="28"/>
          <w:szCs w:val="28"/>
        </w:rPr>
        <w:t>H</w:t>
      </w:r>
      <w:r w:rsidRPr="00902FC5">
        <w:rPr>
          <w:rFonts w:ascii="Agency FB" w:hAnsi="Agency FB"/>
          <w:b/>
          <w:bCs/>
          <w:sz w:val="28"/>
          <w:szCs w:val="28"/>
        </w:rPr>
        <w:t xml:space="preserve">igh </w:t>
      </w:r>
      <w:r w:rsidRPr="00902FC5">
        <w:rPr>
          <w:rFonts w:ascii="Agency FB" w:hAnsi="Agency FB"/>
          <w:b/>
          <w:bCs/>
          <w:sz w:val="28"/>
          <w:szCs w:val="28"/>
        </w:rPr>
        <w:t>D</w:t>
      </w:r>
      <w:r w:rsidRPr="00902FC5">
        <w:rPr>
          <w:rFonts w:ascii="Agency FB" w:hAnsi="Agency FB"/>
          <w:b/>
          <w:bCs/>
          <w:sz w:val="28"/>
          <w:szCs w:val="28"/>
        </w:rPr>
        <w:t xml:space="preserve">ividend </w:t>
      </w:r>
      <w:r w:rsidRPr="00902FC5">
        <w:rPr>
          <w:rFonts w:ascii="Agency FB" w:hAnsi="Agency FB"/>
          <w:b/>
          <w:bCs/>
          <w:sz w:val="28"/>
          <w:szCs w:val="28"/>
        </w:rPr>
        <w:t>Y</w:t>
      </w:r>
      <w:r w:rsidRPr="00902FC5">
        <w:rPr>
          <w:rFonts w:ascii="Agency FB" w:hAnsi="Agency FB"/>
          <w:b/>
          <w:bCs/>
          <w:sz w:val="28"/>
          <w:szCs w:val="28"/>
        </w:rPr>
        <w:t xml:space="preserve">ield </w:t>
      </w:r>
      <w:r w:rsidRPr="00902FC5">
        <w:rPr>
          <w:rFonts w:ascii="Agency FB" w:hAnsi="Agency FB"/>
          <w:b/>
          <w:bCs/>
          <w:sz w:val="28"/>
          <w:szCs w:val="28"/>
        </w:rPr>
        <w:t>T</w:t>
      </w:r>
      <w:r w:rsidRPr="00902FC5">
        <w:rPr>
          <w:rFonts w:ascii="Agency FB" w:hAnsi="Agency FB"/>
          <w:b/>
          <w:bCs/>
          <w:sz w:val="28"/>
          <w:szCs w:val="28"/>
        </w:rPr>
        <w:t xml:space="preserve">hat </w:t>
      </w:r>
      <w:r w:rsidRPr="00902FC5">
        <w:rPr>
          <w:rFonts w:ascii="Agency FB" w:hAnsi="Agency FB"/>
          <w:b/>
          <w:bCs/>
          <w:sz w:val="28"/>
          <w:szCs w:val="28"/>
        </w:rPr>
        <w:t>I</w:t>
      </w:r>
      <w:r w:rsidRPr="00902FC5">
        <w:rPr>
          <w:rFonts w:ascii="Agency FB" w:hAnsi="Agency FB"/>
          <w:b/>
          <w:bCs/>
          <w:sz w:val="28"/>
          <w:szCs w:val="28"/>
        </w:rPr>
        <w:t xml:space="preserve">s </w:t>
      </w:r>
      <w:r w:rsidRPr="00902FC5">
        <w:rPr>
          <w:rFonts w:ascii="Agency FB" w:hAnsi="Agency FB"/>
          <w:b/>
          <w:bCs/>
          <w:sz w:val="28"/>
          <w:szCs w:val="28"/>
        </w:rPr>
        <w:t>N</w:t>
      </w:r>
      <w:r w:rsidRPr="00902FC5">
        <w:rPr>
          <w:rFonts w:ascii="Agency FB" w:hAnsi="Agency FB"/>
          <w:b/>
          <w:bCs/>
          <w:sz w:val="28"/>
          <w:szCs w:val="28"/>
        </w:rPr>
        <w:t xml:space="preserve">ot </w:t>
      </w:r>
      <w:r w:rsidRPr="00902FC5">
        <w:rPr>
          <w:rFonts w:ascii="Agency FB" w:hAnsi="Agency FB"/>
          <w:b/>
          <w:bCs/>
          <w:sz w:val="28"/>
          <w:szCs w:val="28"/>
        </w:rPr>
        <w:t>E</w:t>
      </w:r>
      <w:r w:rsidRPr="00902FC5">
        <w:rPr>
          <w:rFonts w:ascii="Agency FB" w:hAnsi="Agency FB"/>
          <w:b/>
          <w:bCs/>
          <w:sz w:val="28"/>
          <w:szCs w:val="28"/>
        </w:rPr>
        <w:t>xcessive</w:t>
      </w:r>
    </w:p>
    <w:p w14:paraId="6D251F76" w14:textId="02386C56" w:rsidR="00902FC5" w:rsidRPr="00D311F3" w:rsidRDefault="00902FC5" w:rsidP="00902FC5">
      <w:pPr>
        <w:spacing w:line="240" w:lineRule="auto"/>
        <w:rPr>
          <w:rFonts w:ascii="Agency FB" w:hAnsi="Agency FB"/>
          <w:sz w:val="24"/>
          <w:szCs w:val="24"/>
        </w:rPr>
      </w:pPr>
      <w:r w:rsidRPr="00D311F3">
        <w:rPr>
          <w:rFonts w:ascii="Agency FB" w:hAnsi="Agency FB"/>
          <w:sz w:val="24"/>
          <w:szCs w:val="24"/>
        </w:rPr>
        <w:t>The importance of dividend yield is best demonstrated by the ratio of a company's annual dividend payment to its stock price. This makes it straightforward to compare dividend payouts across the market.</w:t>
      </w:r>
    </w:p>
    <w:p w14:paraId="6C1CCA55" w14:textId="77777777" w:rsidR="00D311F3" w:rsidRPr="00D311F3" w:rsidRDefault="00D311F3" w:rsidP="00D311F3">
      <w:pPr>
        <w:spacing w:line="240" w:lineRule="auto"/>
        <w:rPr>
          <w:rFonts w:ascii="Agency FB" w:hAnsi="Agency FB"/>
          <w:sz w:val="24"/>
          <w:szCs w:val="24"/>
        </w:rPr>
      </w:pPr>
      <w:r w:rsidRPr="00D311F3">
        <w:rPr>
          <w:rFonts w:ascii="Agency FB" w:hAnsi="Agency FB"/>
          <w:sz w:val="24"/>
          <w:szCs w:val="24"/>
        </w:rPr>
        <w:t>Naturally, high yields are sought, but unreasonably high yields should be avoided. Yields of 10% or more are frequently a warning sign for unstable equities. This is because the share price will fall and the yield will rise when the market believes a firm may not be able to sustain its dividend. It pays off to keep an eye out for lucrative returns.</w:t>
      </w:r>
    </w:p>
    <w:p w14:paraId="49A0E201" w14:textId="0EE44775" w:rsidR="00902FC5" w:rsidRDefault="00D311F3" w:rsidP="00D311F3">
      <w:pPr>
        <w:spacing w:line="240" w:lineRule="auto"/>
        <w:rPr>
          <w:rFonts w:ascii="Agency FB" w:hAnsi="Agency FB"/>
          <w:sz w:val="24"/>
          <w:szCs w:val="24"/>
        </w:rPr>
      </w:pPr>
      <w:r w:rsidRPr="00D311F3">
        <w:rPr>
          <w:rFonts w:ascii="Agency FB" w:hAnsi="Agency FB"/>
          <w:sz w:val="24"/>
          <w:szCs w:val="24"/>
        </w:rPr>
        <w:t>At Sainsbury's, the dividend yield is 4.71%.</w:t>
      </w:r>
    </w:p>
    <w:p w14:paraId="66961BBC" w14:textId="23033EAC" w:rsidR="00D311F3" w:rsidRDefault="00D311F3" w:rsidP="00D311F3">
      <w:pPr>
        <w:spacing w:line="240" w:lineRule="auto"/>
        <w:rPr>
          <w:rFonts w:ascii="Agency FB" w:hAnsi="Agency FB"/>
          <w:b/>
          <w:bCs/>
          <w:sz w:val="28"/>
          <w:szCs w:val="28"/>
        </w:rPr>
      </w:pPr>
      <w:r w:rsidRPr="00D311F3">
        <w:rPr>
          <w:rFonts w:ascii="Agency FB" w:hAnsi="Agency FB"/>
          <w:b/>
          <w:bCs/>
          <w:sz w:val="28"/>
          <w:szCs w:val="28"/>
        </w:rPr>
        <w:t>How does this affect prospective investors?</w:t>
      </w:r>
    </w:p>
    <w:p w14:paraId="12814A62" w14:textId="050F4E39" w:rsidR="00D311F3" w:rsidRPr="00D311F3" w:rsidRDefault="00D311F3" w:rsidP="00D311F3">
      <w:pPr>
        <w:spacing w:line="240" w:lineRule="auto"/>
        <w:rPr>
          <w:rFonts w:ascii="Agency FB" w:hAnsi="Agency FB"/>
          <w:sz w:val="24"/>
          <w:szCs w:val="24"/>
        </w:rPr>
      </w:pPr>
      <w:r w:rsidRPr="00D311F3">
        <w:rPr>
          <w:rFonts w:ascii="Agency FB" w:hAnsi="Agency FB"/>
          <w:sz w:val="24"/>
          <w:szCs w:val="24"/>
        </w:rPr>
        <w:t>The three fundamental pillars of yield, growth, and safety serve as the foundation for some of the most well-liked dividend investment strategies. It's crucial to understand, though, that dividend payments could be significantly scaled back or discontinued when the outlook changes.</w:t>
      </w:r>
    </w:p>
    <w:p w14:paraId="4E8807D4" w14:textId="37389229" w:rsidR="00D311F3" w:rsidRDefault="00D311F3" w:rsidP="00D311F3">
      <w:pPr>
        <w:spacing w:line="240" w:lineRule="auto"/>
        <w:rPr>
          <w:rFonts w:ascii="Agency FB" w:hAnsi="Agency FB"/>
          <w:sz w:val="24"/>
          <w:szCs w:val="24"/>
        </w:rPr>
      </w:pPr>
      <w:r w:rsidRPr="00D311F3">
        <w:rPr>
          <w:rFonts w:ascii="Agency FB" w:hAnsi="Agency FB"/>
          <w:sz w:val="24"/>
          <w:szCs w:val="24"/>
        </w:rPr>
        <w:t>To properly comprehend the dividend prospects for any firm, you must conduct your research. More information on the issues with J Sainsbury can be found here.</w:t>
      </w:r>
    </w:p>
    <w:p w14:paraId="4B8D7B1B" w14:textId="7F45573E" w:rsidR="00D311F3" w:rsidRPr="00032CDD" w:rsidRDefault="00D311F3" w:rsidP="00D311F3">
      <w:pPr>
        <w:pStyle w:val="Heading1"/>
        <w:rPr>
          <w:rFonts w:ascii="Agency FB" w:eastAsiaTheme="minorEastAsia" w:hAnsi="Agency FB"/>
          <w:b/>
          <w:bCs/>
          <w:color w:val="ED7D31" w:themeColor="accent2"/>
          <w:sz w:val="40"/>
          <w:szCs w:val="40"/>
        </w:rPr>
      </w:pPr>
      <w:bookmarkStart w:id="17" w:name="_Toc113410737"/>
      <w:r w:rsidRPr="00032CDD">
        <w:rPr>
          <w:rFonts w:ascii="Agency FB" w:eastAsiaTheme="minorEastAsia" w:hAnsi="Agency FB"/>
          <w:b/>
          <w:bCs/>
          <w:color w:val="ED7D31" w:themeColor="accent2"/>
          <w:sz w:val="40"/>
          <w:szCs w:val="40"/>
        </w:rPr>
        <w:t>Conclusion</w:t>
      </w:r>
      <w:bookmarkEnd w:id="17"/>
    </w:p>
    <w:p w14:paraId="3E49FE62" w14:textId="77777777" w:rsidR="00C217F2" w:rsidRDefault="00C217F2" w:rsidP="00D311F3">
      <w:pPr>
        <w:rPr>
          <w:rFonts w:ascii="Agency FB" w:hAnsi="Agency FB"/>
          <w:sz w:val="24"/>
          <w:szCs w:val="24"/>
        </w:rPr>
      </w:pPr>
    </w:p>
    <w:p w14:paraId="549EBABD" w14:textId="2CB531F3" w:rsidR="00D311F3" w:rsidRDefault="00C11AF3" w:rsidP="00D311F3">
      <w:pPr>
        <w:rPr>
          <w:rFonts w:ascii="Agency FB" w:hAnsi="Agency FB"/>
          <w:sz w:val="24"/>
          <w:szCs w:val="24"/>
        </w:rPr>
      </w:pPr>
      <w:r w:rsidRPr="00C11AF3">
        <w:rPr>
          <w:rFonts w:ascii="Agency FB" w:hAnsi="Agency FB"/>
          <w:sz w:val="24"/>
          <w:szCs w:val="24"/>
        </w:rPr>
        <w:t>U</w:t>
      </w:r>
      <w:r w:rsidRPr="00C11AF3">
        <w:rPr>
          <w:rFonts w:ascii="Agency FB" w:hAnsi="Agency FB"/>
          <w:sz w:val="24"/>
          <w:szCs w:val="24"/>
        </w:rPr>
        <w:t>sing and putting into practise statistical and financial methods to correctly assess the financial performance of a company You can become an expert in financial analysis by using "comparison analysis techniques" to compare the company's current performance to both its past performance and that of its competitors.</w:t>
      </w:r>
      <w:r w:rsidRPr="00C11AF3">
        <w:rPr>
          <w:rFonts w:ascii="Agency FB" w:hAnsi="Agency FB"/>
          <w:sz w:val="24"/>
          <w:szCs w:val="24"/>
        </w:rPr>
        <w:t xml:space="preserve"> </w:t>
      </w:r>
      <w:r w:rsidRPr="00C11AF3">
        <w:rPr>
          <w:rFonts w:ascii="Agency FB" w:hAnsi="Agency FB"/>
          <w:sz w:val="24"/>
          <w:szCs w:val="24"/>
        </w:rPr>
        <w:t>When capital structure and dividend theories like the "M&amp;M model and Gordon model" are correctly integrated, it has been found that the entity's payment is less viable. J. Sainsbury has reportedly lagged behind Tesco plc in terms of financial achievement during the last five years. An effective understanding of the factors influencing the company's dividend decision has decreased its viability.</w:t>
      </w:r>
    </w:p>
    <w:p w14:paraId="04C7A303" w14:textId="77777777" w:rsidR="00C11AF3" w:rsidRPr="00C11AF3" w:rsidRDefault="00C11AF3" w:rsidP="00C11AF3">
      <w:pPr>
        <w:tabs>
          <w:tab w:val="left" w:pos="6076"/>
        </w:tabs>
        <w:rPr>
          <w:rFonts w:ascii="Agency FB" w:eastAsiaTheme="minorEastAsia" w:hAnsi="Agency FB"/>
          <w:sz w:val="24"/>
          <w:szCs w:val="24"/>
        </w:rPr>
      </w:pPr>
      <w:r w:rsidRPr="00C11AF3">
        <w:rPr>
          <w:rFonts w:ascii="Agency FB" w:eastAsiaTheme="minorEastAsia" w:hAnsi="Agency FB"/>
          <w:sz w:val="24"/>
          <w:szCs w:val="24"/>
        </w:rPr>
        <w:t>One may say that "Sainsbury plc" had an "irregular dividend policy" when it came to paying dividends to its owners. Dividend payments by the corporation have been determined by how profitable, liquid, and leverage-free the entity has been during the past five years. The company paid its shareholders a higher dividend than other businesses in its industry during the selected period. Sales and revenue for the business have greatly increased as a result of the management's advancement in the "acceptance and implication" of marketing and advertising strategies.</w:t>
      </w:r>
    </w:p>
    <w:p w14:paraId="16EE5D60" w14:textId="1B56A14C" w:rsidR="007B01CE" w:rsidRPr="007B01CE" w:rsidRDefault="00C11AF3" w:rsidP="007B01CE">
      <w:pPr>
        <w:pStyle w:val="Heading1"/>
        <w:rPr>
          <w:rFonts w:ascii="Agency FB" w:hAnsi="Agency FB"/>
          <w:b/>
          <w:bCs/>
          <w:color w:val="ED7D31" w:themeColor="accent2"/>
          <w:sz w:val="40"/>
          <w:szCs w:val="40"/>
        </w:rPr>
      </w:pPr>
      <w:bookmarkStart w:id="18" w:name="_Toc113410738"/>
      <w:r w:rsidRPr="00032CDD">
        <w:rPr>
          <w:rFonts w:ascii="Agency FB" w:hAnsi="Agency FB"/>
          <w:b/>
          <w:bCs/>
          <w:color w:val="ED7D31" w:themeColor="accent2"/>
          <w:sz w:val="40"/>
          <w:szCs w:val="40"/>
        </w:rPr>
        <w:t>Reference:</w:t>
      </w:r>
      <w:bookmarkEnd w:id="18"/>
    </w:p>
    <w:p w14:paraId="5180DFE0" w14:textId="77777777" w:rsidR="007B01CE" w:rsidRPr="007B01CE" w:rsidRDefault="007B01CE" w:rsidP="007B01CE">
      <w:pPr>
        <w:pStyle w:val="Normal1"/>
        <w:spacing w:before="200"/>
        <w:rPr>
          <w:rFonts w:ascii="Agency FB" w:hAnsi="Agency FB" w:cstheme="majorHAnsi"/>
          <w:sz w:val="24"/>
          <w:szCs w:val="24"/>
          <w:lang w:val="en-GB"/>
        </w:rPr>
      </w:pPr>
      <w:r w:rsidRPr="007B01CE">
        <w:rPr>
          <w:rFonts w:ascii="Agency FB" w:hAnsi="Agency FB" w:cstheme="majorHAnsi"/>
          <w:sz w:val="24"/>
          <w:szCs w:val="24"/>
          <w:lang w:val="en-GB"/>
        </w:rPr>
        <w:t>Boehlje, M. and Langemeier, M., 2020. Working capital: What is it and do you have enough. Center for Commercial Agriculture, Purdue University, https://ag. purdue. edu/commercialag/Pages/Resource s/Finance/Financial-Analysis/Working-Capital-Enoug h. Aspx.</w:t>
      </w:r>
    </w:p>
    <w:p w14:paraId="58197076" w14:textId="77777777" w:rsidR="007B01CE" w:rsidRPr="007B01CE" w:rsidRDefault="007B01CE" w:rsidP="007B01CE">
      <w:pPr>
        <w:pStyle w:val="Normal1"/>
        <w:spacing w:before="200"/>
        <w:rPr>
          <w:rFonts w:ascii="Agency FB" w:hAnsi="Agency FB" w:cstheme="majorHAnsi"/>
          <w:sz w:val="24"/>
          <w:szCs w:val="24"/>
          <w:lang w:val="en-GB"/>
        </w:rPr>
      </w:pPr>
      <w:r w:rsidRPr="007B01CE">
        <w:rPr>
          <w:rFonts w:ascii="Agency FB" w:hAnsi="Agency FB" w:cstheme="majorHAnsi"/>
          <w:sz w:val="24"/>
          <w:szCs w:val="24"/>
          <w:lang w:val="it-IT"/>
        </w:rPr>
        <w:lastRenderedPageBreak/>
        <w:t xml:space="preserve">Brusov, P., Filatova, T., Orekhova, N. and Eskindarov, M., 2018. </w:t>
      </w:r>
      <w:r w:rsidRPr="007B01CE">
        <w:rPr>
          <w:rFonts w:ascii="Agency FB" w:hAnsi="Agency FB" w:cstheme="majorHAnsi"/>
          <w:sz w:val="24"/>
          <w:szCs w:val="24"/>
          <w:lang w:val="en-GB"/>
        </w:rPr>
        <w:t>New meaningful effects in modern capital structure theory. In Modern Corporate Finance, Investments, Taxation and Ratings. Springer, Cham.</w:t>
      </w:r>
    </w:p>
    <w:p w14:paraId="62FC41C5" w14:textId="77777777" w:rsidR="007B01CE" w:rsidRPr="007B01CE" w:rsidRDefault="007B01CE" w:rsidP="007B01CE">
      <w:pPr>
        <w:pStyle w:val="Normal1"/>
        <w:spacing w:before="200"/>
        <w:rPr>
          <w:rFonts w:ascii="Agency FB" w:hAnsi="Agency FB" w:cstheme="majorHAnsi"/>
          <w:sz w:val="24"/>
          <w:szCs w:val="24"/>
          <w:lang w:val="en-GB"/>
        </w:rPr>
      </w:pPr>
      <w:r w:rsidRPr="007B01CE">
        <w:rPr>
          <w:rFonts w:ascii="Agency FB" w:hAnsi="Agency FB" w:cstheme="majorHAnsi"/>
          <w:sz w:val="24"/>
          <w:szCs w:val="24"/>
          <w:lang w:val="en-GB"/>
        </w:rPr>
        <w:t>Butt, U., 2019. Testing the Static Trade-Off Theory of Capital Structure: A Corporate Governance Perspective. Theoretical Economics Letters.</w:t>
      </w:r>
    </w:p>
    <w:p w14:paraId="027419C8" w14:textId="77777777" w:rsidR="007B01CE" w:rsidRPr="007B01CE" w:rsidRDefault="007B01CE" w:rsidP="007B01CE">
      <w:pPr>
        <w:pStyle w:val="Normal1"/>
        <w:spacing w:before="200"/>
        <w:rPr>
          <w:rFonts w:ascii="Agency FB" w:hAnsi="Agency FB" w:cstheme="majorHAnsi"/>
          <w:sz w:val="24"/>
          <w:szCs w:val="24"/>
          <w:lang w:val="en-GB"/>
        </w:rPr>
      </w:pPr>
      <w:r w:rsidRPr="007B01CE">
        <w:rPr>
          <w:rFonts w:ascii="Agency FB" w:hAnsi="Agency FB" w:cstheme="majorHAnsi"/>
          <w:sz w:val="24"/>
          <w:szCs w:val="24"/>
          <w:lang w:val="en-GB"/>
        </w:rPr>
        <w:t>Corbet, S. and McMullan, C., 2018. Stock market reaction to irregular supermarket chain behaviour: An investigation in the retail sectors of Ireland and the United Kingdom. Journal of Retailing and Consumer Service.</w:t>
      </w:r>
    </w:p>
    <w:p w14:paraId="3B0DC0C2" w14:textId="77777777" w:rsidR="007B01CE" w:rsidRPr="007B01CE" w:rsidRDefault="007B01CE" w:rsidP="007B01CE">
      <w:pPr>
        <w:pStyle w:val="Normal1"/>
        <w:spacing w:before="200"/>
        <w:rPr>
          <w:rFonts w:ascii="Agency FB" w:hAnsi="Agency FB" w:cstheme="majorHAnsi"/>
          <w:sz w:val="24"/>
          <w:szCs w:val="24"/>
          <w:lang w:val="en-GB"/>
        </w:rPr>
      </w:pPr>
      <w:r w:rsidRPr="007B01CE">
        <w:rPr>
          <w:rFonts w:ascii="Agency FB" w:hAnsi="Agency FB" w:cstheme="majorHAnsi"/>
          <w:sz w:val="24"/>
          <w:szCs w:val="24"/>
          <w:lang w:val="en-GB"/>
        </w:rPr>
        <w:t>Eka, H., 2018. Corporate finance and firm value in the Indonesian manufacturing companies. Business Studies.</w:t>
      </w:r>
    </w:p>
    <w:p w14:paraId="19A8A7AD" w14:textId="77777777" w:rsidR="007B01CE" w:rsidRPr="007B01CE" w:rsidRDefault="007B01CE" w:rsidP="007B01CE">
      <w:pPr>
        <w:pStyle w:val="Normal1"/>
        <w:spacing w:before="200"/>
        <w:rPr>
          <w:rFonts w:ascii="Agency FB" w:hAnsi="Agency FB" w:cstheme="majorHAnsi"/>
          <w:sz w:val="24"/>
          <w:szCs w:val="24"/>
          <w:lang w:val="en-GB"/>
        </w:rPr>
      </w:pPr>
      <w:r w:rsidRPr="007B01CE">
        <w:rPr>
          <w:rFonts w:ascii="Agency FB" w:hAnsi="Agency FB" w:cstheme="majorHAnsi"/>
          <w:sz w:val="24"/>
          <w:szCs w:val="24"/>
          <w:lang w:val="en-GB"/>
        </w:rPr>
        <w:t xml:space="preserve">Fca.org.uk (2022) about the financial penalties of Sainsbury Available at: </w:t>
      </w:r>
      <w:r w:rsidRPr="007B01CE">
        <w:rPr>
          <w:rFonts w:ascii="Agency FB" w:hAnsi="Agency FB" w:cstheme="majorHAnsi"/>
          <w:color w:val="000000" w:themeColor="text1"/>
          <w:sz w:val="24"/>
          <w:szCs w:val="24"/>
          <w:lang w:val="en-GB"/>
        </w:rPr>
        <w:t>https://www.fca.org.uk/news/press-releases/fca-fines-Sainsbury-bank-failures-2016-cyber-attack#:~:text=The%20Financial%20Conduct%20Authority%20</w:t>
      </w:r>
      <w:r w:rsidRPr="007B01CE">
        <w:rPr>
          <w:rFonts w:ascii="Agency FB" w:hAnsi="Agency FB" w:cstheme="majorHAnsi"/>
          <w:sz w:val="24"/>
          <w:szCs w:val="24"/>
          <w:lang w:val="en-GB"/>
        </w:rPr>
        <w:t>(FCA,took%20place%20in%20November%202016.</w:t>
      </w:r>
    </w:p>
    <w:p w14:paraId="7635501E" w14:textId="77777777" w:rsidR="007B01CE" w:rsidRPr="007B01CE" w:rsidRDefault="007B01CE" w:rsidP="007B01CE">
      <w:pPr>
        <w:pStyle w:val="Normal1"/>
        <w:spacing w:before="200"/>
        <w:rPr>
          <w:rFonts w:ascii="Agency FB" w:hAnsi="Agency FB" w:cstheme="majorHAnsi"/>
          <w:sz w:val="24"/>
          <w:szCs w:val="24"/>
          <w:lang w:val="en-GB"/>
        </w:rPr>
      </w:pPr>
      <w:r w:rsidRPr="007B01CE">
        <w:rPr>
          <w:rFonts w:ascii="Agency FB" w:hAnsi="Agency FB" w:cstheme="majorHAnsi"/>
          <w:sz w:val="24"/>
          <w:szCs w:val="24"/>
          <w:lang w:val="en-GB"/>
        </w:rPr>
        <w:t xml:space="preserve">Finance.yahoo.com (2022a) </w:t>
      </w:r>
      <w:r w:rsidRPr="007B01CE">
        <w:rPr>
          <w:rFonts w:ascii="Agency FB" w:hAnsi="Agency FB" w:cstheme="majorHAnsi"/>
          <w:i/>
          <w:sz w:val="24"/>
          <w:szCs w:val="24"/>
          <w:lang w:val="en-GB"/>
        </w:rPr>
        <w:t xml:space="preserve">About the average annual shares of Sainsbury plc </w:t>
      </w:r>
      <w:r w:rsidRPr="007B01CE">
        <w:rPr>
          <w:rFonts w:ascii="Agency FB" w:hAnsi="Agency FB" w:cstheme="majorHAnsi"/>
          <w:sz w:val="24"/>
          <w:szCs w:val="24"/>
          <w:lang w:val="en-GB"/>
        </w:rPr>
        <w:t xml:space="preserve">Available at </w:t>
      </w:r>
      <w:hyperlink r:id="rId11">
        <w:r w:rsidRPr="007B01CE">
          <w:rPr>
            <w:rFonts w:ascii="Agency FB" w:hAnsi="Agency FB" w:cstheme="majorHAnsi"/>
            <w:color w:val="000000" w:themeColor="text1"/>
            <w:sz w:val="24"/>
            <w:szCs w:val="24"/>
            <w:lang w:val="en-GB"/>
          </w:rPr>
          <w:t>https://finance.yahoo.com/quote/TSCO.L/history?p=TSCO.L</w:t>
        </w:r>
      </w:hyperlink>
    </w:p>
    <w:p w14:paraId="764F788B" w14:textId="77777777" w:rsidR="007B01CE" w:rsidRPr="007B01CE" w:rsidRDefault="007B01CE" w:rsidP="007B01CE">
      <w:pPr>
        <w:pStyle w:val="Normal1"/>
        <w:spacing w:before="200"/>
        <w:rPr>
          <w:rFonts w:ascii="Agency FB" w:hAnsi="Agency FB" w:cstheme="majorHAnsi"/>
          <w:sz w:val="24"/>
          <w:szCs w:val="24"/>
          <w:lang w:val="en-GB"/>
        </w:rPr>
      </w:pPr>
      <w:r w:rsidRPr="007B01CE">
        <w:rPr>
          <w:rFonts w:ascii="Agency FB" w:hAnsi="Agency FB" w:cstheme="majorHAnsi"/>
          <w:sz w:val="24"/>
          <w:szCs w:val="24"/>
          <w:lang w:val="en-GB"/>
        </w:rPr>
        <w:t xml:space="preserve">Finance.yahoo.com (2022b) </w:t>
      </w:r>
      <w:r w:rsidRPr="007B01CE">
        <w:rPr>
          <w:rFonts w:ascii="Agency FB" w:hAnsi="Agency FB" w:cstheme="majorHAnsi"/>
          <w:i/>
          <w:sz w:val="24"/>
          <w:szCs w:val="24"/>
          <w:lang w:val="en-GB"/>
        </w:rPr>
        <w:t xml:space="preserve">about the Sainsbury plc </w:t>
      </w:r>
      <w:r w:rsidRPr="007B01CE">
        <w:rPr>
          <w:rFonts w:ascii="Agency FB" w:hAnsi="Agency FB" w:cstheme="majorHAnsi"/>
          <w:sz w:val="24"/>
          <w:szCs w:val="24"/>
          <w:lang w:val="en-GB"/>
        </w:rPr>
        <w:t xml:space="preserve">Available at </w:t>
      </w:r>
      <w:hyperlink r:id="rId12">
        <w:r w:rsidRPr="007B01CE">
          <w:rPr>
            <w:rFonts w:ascii="Agency FB" w:hAnsi="Agency FB" w:cstheme="majorHAnsi"/>
            <w:color w:val="000000" w:themeColor="text1"/>
            <w:sz w:val="24"/>
            <w:szCs w:val="24"/>
            <w:lang w:val="en-GB"/>
          </w:rPr>
          <w:t>https://finance.yahoo.com/quote/SBRY.L?p=SBRY.L&amp;.tsrc=fin-srch</w:t>
        </w:r>
      </w:hyperlink>
      <w:r w:rsidRPr="007B01CE">
        <w:rPr>
          <w:rFonts w:ascii="Agency FB" w:hAnsi="Agency FB" w:cstheme="majorHAnsi"/>
          <w:sz w:val="24"/>
          <w:szCs w:val="24"/>
          <w:lang w:val="en-GB"/>
        </w:rPr>
        <w:t xml:space="preserve"> </w:t>
      </w:r>
    </w:p>
    <w:p w14:paraId="61D07131" w14:textId="77777777" w:rsidR="007B01CE" w:rsidRPr="007B01CE" w:rsidRDefault="007B01CE" w:rsidP="007B01CE">
      <w:pPr>
        <w:pStyle w:val="Normal1"/>
        <w:spacing w:before="200"/>
        <w:rPr>
          <w:rFonts w:ascii="Agency FB" w:hAnsi="Agency FB" w:cstheme="majorHAnsi"/>
          <w:sz w:val="24"/>
          <w:szCs w:val="24"/>
          <w:lang w:val="en-GB"/>
        </w:rPr>
      </w:pPr>
      <w:r w:rsidRPr="007B01CE">
        <w:rPr>
          <w:rFonts w:ascii="Agency FB" w:hAnsi="Agency FB" w:cstheme="majorHAnsi"/>
          <w:sz w:val="24"/>
          <w:szCs w:val="24"/>
          <w:lang w:val="en-GB"/>
        </w:rPr>
        <w:t>Frank, M.Z., Goyal, V.K. and Shen, T., 2020. The Pecking Order Theory of Capital Structure: Where Do We Stand.</w:t>
      </w:r>
    </w:p>
    <w:p w14:paraId="14935904" w14:textId="77777777" w:rsidR="007B01CE" w:rsidRPr="007B01CE" w:rsidRDefault="007B01CE" w:rsidP="007B01CE">
      <w:pPr>
        <w:spacing w:line="276" w:lineRule="auto"/>
        <w:rPr>
          <w:rFonts w:ascii="Agency FB" w:hAnsi="Agency FB" w:cstheme="majorHAnsi"/>
          <w:sz w:val="24"/>
          <w:szCs w:val="24"/>
        </w:rPr>
      </w:pPr>
      <w:r w:rsidRPr="007B01CE">
        <w:rPr>
          <w:rFonts w:ascii="Agency FB" w:hAnsi="Agency FB" w:cstheme="majorHAnsi"/>
          <w:sz w:val="24"/>
          <w:szCs w:val="24"/>
        </w:rPr>
        <w:t xml:space="preserve">hl.co.uk, 2022. </w:t>
      </w:r>
      <w:r w:rsidRPr="007B01CE">
        <w:rPr>
          <w:rFonts w:ascii="Agency FB" w:hAnsi="Agency FB" w:cstheme="majorHAnsi"/>
          <w:i/>
          <w:iCs/>
          <w:sz w:val="24"/>
          <w:szCs w:val="24"/>
        </w:rPr>
        <w:t>Dividend overview of Sainsbury Plc from 2022 to 2017</w:t>
      </w:r>
      <w:r w:rsidRPr="007B01CE">
        <w:rPr>
          <w:rFonts w:ascii="Agency FB" w:hAnsi="Agency FB" w:cstheme="majorHAnsi"/>
          <w:sz w:val="24"/>
          <w:szCs w:val="24"/>
        </w:rPr>
        <w:t xml:space="preserve"> [Online] Available at: https://www.hl.co.uk/shares/shares-search-results/t/Sainsbury-plc-ordinary-6.333p/dividends </w:t>
      </w:r>
    </w:p>
    <w:p w14:paraId="73CABDB9" w14:textId="77777777" w:rsidR="007B01CE" w:rsidRPr="007B01CE" w:rsidRDefault="007B01CE" w:rsidP="007B01CE">
      <w:pPr>
        <w:pStyle w:val="Normal1"/>
        <w:spacing w:before="200"/>
        <w:rPr>
          <w:rFonts w:ascii="Agency FB" w:hAnsi="Agency FB" w:cstheme="majorHAnsi"/>
          <w:sz w:val="24"/>
          <w:szCs w:val="24"/>
          <w:lang w:val="en-GB"/>
        </w:rPr>
      </w:pPr>
      <w:r w:rsidRPr="007B01CE">
        <w:rPr>
          <w:rFonts w:ascii="Agency FB" w:hAnsi="Agency FB" w:cstheme="majorHAnsi"/>
          <w:sz w:val="24"/>
          <w:szCs w:val="24"/>
          <w:lang w:val="en-GB"/>
        </w:rPr>
        <w:t xml:space="preserve">Mergr.com (2022) </w:t>
      </w:r>
      <w:r w:rsidRPr="007B01CE">
        <w:rPr>
          <w:rFonts w:ascii="Agency FB" w:hAnsi="Agency FB" w:cstheme="majorHAnsi"/>
          <w:i/>
          <w:sz w:val="24"/>
          <w:szCs w:val="24"/>
          <w:lang w:val="en-GB"/>
        </w:rPr>
        <w:t xml:space="preserve">about the Merger and Acquisition of Sainsbury plc </w:t>
      </w:r>
      <w:r w:rsidRPr="007B01CE">
        <w:rPr>
          <w:rFonts w:ascii="Agency FB" w:hAnsi="Agency FB" w:cstheme="majorHAnsi"/>
          <w:sz w:val="24"/>
          <w:szCs w:val="24"/>
          <w:lang w:val="en-GB"/>
        </w:rPr>
        <w:t xml:space="preserve">Available at </w:t>
      </w:r>
      <w:r w:rsidRPr="007B01CE">
        <w:rPr>
          <w:rFonts w:ascii="Agency FB" w:hAnsi="Agency FB" w:cstheme="majorHAnsi"/>
          <w:color w:val="000000" w:themeColor="text1"/>
          <w:sz w:val="24"/>
          <w:szCs w:val="24"/>
          <w:lang w:val="en-GB"/>
        </w:rPr>
        <w:t>https://mergr.com/Sainsbury-acquisitions</w:t>
      </w:r>
      <w:r w:rsidRPr="007B01CE">
        <w:rPr>
          <w:rFonts w:ascii="Agency FB" w:hAnsi="Agency FB" w:cstheme="majorHAnsi"/>
          <w:sz w:val="24"/>
          <w:szCs w:val="24"/>
          <w:lang w:val="en-GB"/>
        </w:rPr>
        <w:t>.</w:t>
      </w:r>
    </w:p>
    <w:p w14:paraId="43DD6927" w14:textId="77777777" w:rsidR="007B01CE" w:rsidRPr="007B01CE" w:rsidRDefault="007B01CE" w:rsidP="007B01CE">
      <w:pPr>
        <w:pStyle w:val="Normal1"/>
        <w:spacing w:before="200"/>
        <w:rPr>
          <w:rFonts w:ascii="Agency FB" w:hAnsi="Agency FB" w:cstheme="majorHAnsi"/>
          <w:sz w:val="24"/>
          <w:szCs w:val="24"/>
          <w:lang w:val="en-GB"/>
        </w:rPr>
      </w:pPr>
      <w:r w:rsidRPr="007B01CE">
        <w:rPr>
          <w:rFonts w:ascii="Agency FB" w:hAnsi="Agency FB" w:cstheme="majorHAnsi"/>
          <w:sz w:val="24"/>
          <w:szCs w:val="24"/>
          <w:lang w:val="en-GB"/>
        </w:rPr>
        <w:t>Mohy-Ud-Din, K. and Raza, S.A., 2021. Corporate Governance Mechanism, Dividend policy, and Firm Efficiency. KASBIT Business Journal.</w:t>
      </w:r>
    </w:p>
    <w:p w14:paraId="2017DC41" w14:textId="77777777" w:rsidR="007B01CE" w:rsidRPr="007B01CE" w:rsidRDefault="007B01CE" w:rsidP="007B01CE">
      <w:pPr>
        <w:pStyle w:val="Normal1"/>
        <w:spacing w:before="200"/>
        <w:rPr>
          <w:rFonts w:ascii="Agency FB" w:hAnsi="Agency FB" w:cstheme="majorHAnsi"/>
          <w:sz w:val="24"/>
          <w:szCs w:val="24"/>
          <w:lang w:val="en-GB"/>
        </w:rPr>
      </w:pPr>
      <w:r w:rsidRPr="007B01CE">
        <w:rPr>
          <w:rFonts w:ascii="Agency FB" w:hAnsi="Agency FB" w:cstheme="majorHAnsi"/>
          <w:sz w:val="24"/>
          <w:szCs w:val="24"/>
          <w:lang w:val="en-GB"/>
        </w:rPr>
        <w:t>Rahmadi, Z.T., 2020. The Influence of Return on Investment, Current Ratio, Debt to Equity Ratio, Earning Per Share, And Firm Size To The Dividend Pay Out Ratio In Banking Industries Listed At Indonesia Stock Exchange Period 2013-2018. Dinasti International Journal of Digital Business Management.</w:t>
      </w:r>
    </w:p>
    <w:p w14:paraId="4E697058" w14:textId="77777777" w:rsidR="007B01CE" w:rsidRPr="007B01CE" w:rsidRDefault="007B01CE" w:rsidP="007B01CE">
      <w:pPr>
        <w:pStyle w:val="Normal1"/>
        <w:spacing w:before="200"/>
        <w:rPr>
          <w:rFonts w:ascii="Agency FB" w:hAnsi="Agency FB" w:cstheme="majorHAnsi"/>
          <w:sz w:val="24"/>
          <w:szCs w:val="24"/>
          <w:lang w:val="en-GB"/>
        </w:rPr>
      </w:pPr>
      <w:r w:rsidRPr="007B01CE">
        <w:rPr>
          <w:rFonts w:ascii="Agency FB" w:hAnsi="Agency FB" w:cstheme="majorHAnsi"/>
          <w:sz w:val="24"/>
          <w:szCs w:val="24"/>
          <w:lang w:val="en-GB"/>
        </w:rPr>
        <w:t>Sari, C.T. and Suharti, M., 2021. THE EFFECT OF TAXES, EARNINGS PER SHARE, AND SALES GROWTH ON STOCK PRICES IN THE COVID-19 PANDEMIC (EMPIRICAL STUDY OF HEALTH AND PHARMACEUTICAL SECTOR LISTED IN THE JAKARTA STOCK EXCHANGE 2016-2020). International Journal of Economics, Business and Accounting Research (IJEBAR).</w:t>
      </w:r>
    </w:p>
    <w:p w14:paraId="3E07CBCA" w14:textId="77777777" w:rsidR="007B01CE" w:rsidRPr="007B01CE" w:rsidRDefault="007B01CE" w:rsidP="007B01CE">
      <w:pPr>
        <w:spacing w:line="276" w:lineRule="auto"/>
        <w:rPr>
          <w:rFonts w:ascii="Agency FB" w:hAnsi="Agency FB" w:cstheme="majorHAnsi"/>
          <w:sz w:val="24"/>
          <w:szCs w:val="24"/>
        </w:rPr>
      </w:pPr>
      <w:r w:rsidRPr="007B01CE">
        <w:rPr>
          <w:rFonts w:ascii="Agency FB" w:hAnsi="Agency FB" w:cstheme="majorHAnsi"/>
          <w:sz w:val="24"/>
          <w:szCs w:val="24"/>
        </w:rPr>
        <w:t xml:space="preserve">Sainsbury, 2018. </w:t>
      </w:r>
      <w:r w:rsidRPr="007B01CE">
        <w:rPr>
          <w:rFonts w:ascii="Agency FB" w:hAnsi="Agency FB" w:cstheme="majorHAnsi"/>
          <w:i/>
          <w:iCs/>
          <w:sz w:val="24"/>
          <w:szCs w:val="24"/>
        </w:rPr>
        <w:t>Annual report of Sainsbury Plc in 2018-2017</w:t>
      </w:r>
      <w:r w:rsidRPr="007B01CE">
        <w:rPr>
          <w:rFonts w:ascii="Agency FB" w:hAnsi="Agency FB" w:cstheme="majorHAnsi"/>
          <w:sz w:val="24"/>
          <w:szCs w:val="24"/>
        </w:rPr>
        <w:t xml:space="preserve"> [Online] Available at: https://www.annualreports.com/HostedData/AnnualReportArchive/t/LSE_TSCO_2018.</w:t>
      </w:r>
    </w:p>
    <w:p w14:paraId="4C21ECD5" w14:textId="77777777" w:rsidR="007B01CE" w:rsidRPr="007B01CE" w:rsidRDefault="007B01CE" w:rsidP="007B01CE">
      <w:pPr>
        <w:spacing w:line="276" w:lineRule="auto"/>
        <w:rPr>
          <w:rFonts w:ascii="Agency FB" w:hAnsi="Agency FB" w:cstheme="majorHAnsi"/>
          <w:sz w:val="24"/>
          <w:szCs w:val="24"/>
        </w:rPr>
      </w:pPr>
      <w:r w:rsidRPr="007B01CE">
        <w:rPr>
          <w:rFonts w:ascii="Agency FB" w:hAnsi="Agency FB" w:cstheme="majorHAnsi"/>
          <w:sz w:val="24"/>
          <w:szCs w:val="24"/>
        </w:rPr>
        <w:t xml:space="preserve">Sainsbury, 2020. </w:t>
      </w:r>
      <w:r w:rsidRPr="007B01CE">
        <w:rPr>
          <w:rFonts w:ascii="Agency FB" w:hAnsi="Agency FB" w:cstheme="majorHAnsi"/>
          <w:i/>
          <w:iCs/>
          <w:sz w:val="24"/>
          <w:szCs w:val="24"/>
        </w:rPr>
        <w:t>Annual report of Sainsbury Plc in 2020-2019</w:t>
      </w:r>
      <w:r w:rsidRPr="007B01CE">
        <w:rPr>
          <w:rFonts w:ascii="Agency FB" w:hAnsi="Agency FB" w:cstheme="majorHAnsi"/>
          <w:sz w:val="24"/>
          <w:szCs w:val="24"/>
        </w:rPr>
        <w:t xml:space="preserve"> [Online] Available at: https://www.annualreports.com/HostedData/AnnualReportArchive/t/LSE_TSCO_2019.</w:t>
      </w:r>
    </w:p>
    <w:p w14:paraId="4C878929" w14:textId="77777777" w:rsidR="007B01CE" w:rsidRPr="007B01CE" w:rsidRDefault="007B01CE" w:rsidP="007B01CE">
      <w:pPr>
        <w:spacing w:line="276" w:lineRule="auto"/>
        <w:rPr>
          <w:rFonts w:ascii="Agency FB" w:hAnsi="Agency FB" w:cstheme="majorHAnsi"/>
          <w:sz w:val="24"/>
          <w:szCs w:val="24"/>
        </w:rPr>
      </w:pPr>
      <w:r w:rsidRPr="007B01CE">
        <w:rPr>
          <w:rFonts w:ascii="Agency FB" w:hAnsi="Agency FB" w:cstheme="majorHAnsi"/>
          <w:sz w:val="24"/>
          <w:szCs w:val="24"/>
        </w:rPr>
        <w:lastRenderedPageBreak/>
        <w:t xml:space="preserve">Sainsbury, 2021. </w:t>
      </w:r>
      <w:r w:rsidRPr="007B01CE">
        <w:rPr>
          <w:rFonts w:ascii="Agency FB" w:hAnsi="Agency FB" w:cstheme="majorHAnsi"/>
          <w:i/>
          <w:iCs/>
          <w:sz w:val="24"/>
          <w:szCs w:val="24"/>
        </w:rPr>
        <w:t>Annual report of Sainsbury Plc in 2021-2020</w:t>
      </w:r>
      <w:r w:rsidRPr="007B01CE">
        <w:rPr>
          <w:rFonts w:ascii="Agency FB" w:hAnsi="Agency FB" w:cstheme="majorHAnsi"/>
          <w:sz w:val="24"/>
          <w:szCs w:val="24"/>
        </w:rPr>
        <w:t xml:space="preserve"> [Online] Available at: https://www.annualreports.com/HostedData/AnnualReports/PDF/LSE_TSCO_2021.</w:t>
      </w:r>
    </w:p>
    <w:p w14:paraId="06A5C550" w14:textId="77777777" w:rsidR="007B01CE" w:rsidRPr="007B01CE" w:rsidRDefault="007B01CE" w:rsidP="007B01CE">
      <w:pPr>
        <w:pStyle w:val="Normal1"/>
        <w:spacing w:before="200"/>
        <w:rPr>
          <w:rFonts w:ascii="Agency FB" w:hAnsi="Agency FB" w:cstheme="majorHAnsi"/>
          <w:sz w:val="24"/>
          <w:szCs w:val="24"/>
          <w:lang w:val="en-GB"/>
        </w:rPr>
      </w:pPr>
      <w:r w:rsidRPr="007B01CE">
        <w:rPr>
          <w:rFonts w:ascii="Agency FB" w:hAnsi="Agency FB" w:cstheme="majorHAnsi"/>
          <w:sz w:val="24"/>
          <w:szCs w:val="24"/>
          <w:lang w:val="en-GB"/>
        </w:rPr>
        <w:t xml:space="preserve">Sainsburyplc.com (2022) </w:t>
      </w:r>
      <w:r w:rsidRPr="007B01CE">
        <w:rPr>
          <w:rFonts w:ascii="Agency FB" w:hAnsi="Agency FB" w:cstheme="majorHAnsi"/>
          <w:i/>
          <w:sz w:val="24"/>
          <w:szCs w:val="24"/>
          <w:lang w:val="en-GB"/>
        </w:rPr>
        <w:t xml:space="preserve">about the annual report </w:t>
      </w:r>
      <w:r w:rsidRPr="007B01CE">
        <w:rPr>
          <w:rFonts w:ascii="Agency FB" w:hAnsi="Agency FB" w:cstheme="majorHAnsi"/>
          <w:sz w:val="24"/>
          <w:szCs w:val="24"/>
          <w:lang w:val="en-GB"/>
        </w:rPr>
        <w:t xml:space="preserve">Available at </w:t>
      </w:r>
      <w:r w:rsidRPr="007B01CE">
        <w:rPr>
          <w:rFonts w:ascii="Agency FB" w:hAnsi="Agency FB" w:cstheme="majorHAnsi"/>
          <w:color w:val="000000" w:themeColor="text1"/>
          <w:sz w:val="24"/>
          <w:szCs w:val="24"/>
          <w:lang w:val="en-GB"/>
        </w:rPr>
        <w:t>https://www.Sainsburyplc.com/media/759057/Sainsbury-annual-report-2022.</w:t>
      </w:r>
    </w:p>
    <w:p w14:paraId="208F3241" w14:textId="77777777" w:rsidR="007B01CE" w:rsidRPr="007B01CE" w:rsidRDefault="007B01CE" w:rsidP="007B01CE">
      <w:pPr>
        <w:pStyle w:val="Normal1"/>
        <w:spacing w:before="200"/>
        <w:rPr>
          <w:rFonts w:ascii="Agency FB" w:hAnsi="Agency FB" w:cstheme="majorHAnsi"/>
          <w:sz w:val="24"/>
          <w:szCs w:val="24"/>
          <w:lang w:val="en-GB"/>
        </w:rPr>
      </w:pPr>
      <w:r w:rsidRPr="007B01CE">
        <w:rPr>
          <w:rFonts w:ascii="Agency FB" w:hAnsi="Agency FB" w:cstheme="majorHAnsi"/>
          <w:sz w:val="24"/>
          <w:szCs w:val="24"/>
          <w:lang w:val="en-GB"/>
        </w:rPr>
        <w:t xml:space="preserve">Sainsburyplc.com (2022) </w:t>
      </w:r>
      <w:r w:rsidRPr="007B01CE">
        <w:rPr>
          <w:rFonts w:ascii="Agency FB" w:hAnsi="Agency FB" w:cstheme="majorHAnsi"/>
          <w:i/>
          <w:sz w:val="24"/>
          <w:szCs w:val="24"/>
          <w:lang w:val="en-GB"/>
        </w:rPr>
        <w:t xml:space="preserve">about the company background </w:t>
      </w:r>
      <w:r w:rsidRPr="007B01CE">
        <w:rPr>
          <w:rFonts w:ascii="Agency FB" w:hAnsi="Agency FB" w:cstheme="majorHAnsi"/>
          <w:sz w:val="24"/>
          <w:szCs w:val="24"/>
          <w:lang w:val="en-GB"/>
        </w:rPr>
        <w:t xml:space="preserve">Available at  </w:t>
      </w:r>
      <w:hyperlink r:id="rId13">
        <w:r w:rsidRPr="007B01CE">
          <w:rPr>
            <w:rFonts w:ascii="Agency FB" w:hAnsi="Agency FB" w:cstheme="majorHAnsi"/>
            <w:color w:val="000000" w:themeColor="text1"/>
            <w:sz w:val="24"/>
            <w:szCs w:val="24"/>
            <w:lang w:val="en-GB"/>
          </w:rPr>
          <w:t>https://www.Sainsburyplc.com/about/</w:t>
        </w:r>
      </w:hyperlink>
      <w:r w:rsidRPr="007B01CE">
        <w:rPr>
          <w:rFonts w:ascii="Agency FB" w:hAnsi="Agency FB" w:cstheme="majorHAnsi"/>
          <w:sz w:val="24"/>
          <w:szCs w:val="24"/>
          <w:lang w:val="en-GB"/>
        </w:rPr>
        <w:t>.</w:t>
      </w:r>
    </w:p>
    <w:p w14:paraId="3087B730" w14:textId="6576B0B5" w:rsidR="007B01CE" w:rsidRDefault="007B01CE" w:rsidP="007B01CE">
      <w:pPr>
        <w:pStyle w:val="Normal1"/>
        <w:spacing w:before="200"/>
        <w:rPr>
          <w:rFonts w:ascii="Agency FB" w:hAnsi="Agency FB" w:cstheme="majorHAnsi"/>
          <w:sz w:val="24"/>
          <w:szCs w:val="24"/>
          <w:lang w:val="en-GB"/>
        </w:rPr>
      </w:pPr>
      <w:r w:rsidRPr="007B01CE">
        <w:rPr>
          <w:rFonts w:ascii="Agency FB" w:hAnsi="Agency FB" w:cstheme="majorHAnsi"/>
          <w:sz w:val="24"/>
          <w:szCs w:val="24"/>
          <w:lang w:val="en-GB"/>
        </w:rPr>
        <w:t>Yuniningsih, Y., Pertiwi, T. and Purwanto, E., 2019. Fundamental factor of financial management in determining company values. Management Science Letters.</w:t>
      </w:r>
    </w:p>
    <w:p w14:paraId="6CE566B5" w14:textId="77777777" w:rsidR="007B01CE" w:rsidRPr="007B01CE" w:rsidRDefault="007B01CE" w:rsidP="007B01CE">
      <w:pPr>
        <w:pStyle w:val="Normal1"/>
        <w:spacing w:before="200" w:line="360" w:lineRule="auto"/>
        <w:jc w:val="both"/>
        <w:rPr>
          <w:rFonts w:ascii="Agency FB" w:hAnsi="Agency FB" w:cstheme="majorHAnsi"/>
          <w:sz w:val="24"/>
          <w:szCs w:val="24"/>
          <w:lang w:val="en-GB"/>
        </w:rPr>
      </w:pPr>
      <w:r w:rsidRPr="007B01CE">
        <w:rPr>
          <w:rFonts w:ascii="Agency FB" w:hAnsi="Agency FB" w:cstheme="majorHAnsi"/>
          <w:sz w:val="24"/>
          <w:szCs w:val="24"/>
          <w:lang w:val="en-GB"/>
        </w:rPr>
        <w:t>Murtaza, M., Iqbal, M.M., Ullah, Z., Rasheed, H. and Basit, A., 2018. An analytical review of dividend policy theories. Journal of Advanced Research in Business and Management Studies.</w:t>
      </w:r>
    </w:p>
    <w:p w14:paraId="37A22CAF" w14:textId="77777777" w:rsidR="007B01CE" w:rsidRPr="007B01CE" w:rsidRDefault="007B01CE" w:rsidP="007B01CE">
      <w:pPr>
        <w:pStyle w:val="Normal1"/>
        <w:spacing w:before="200" w:line="360" w:lineRule="auto"/>
        <w:jc w:val="both"/>
        <w:rPr>
          <w:rFonts w:ascii="Agency FB" w:hAnsi="Agency FB" w:cstheme="majorHAnsi"/>
          <w:sz w:val="24"/>
          <w:szCs w:val="24"/>
          <w:lang w:val="en-GB"/>
        </w:rPr>
      </w:pPr>
      <w:r w:rsidRPr="007B01CE">
        <w:rPr>
          <w:rFonts w:ascii="Agency FB" w:hAnsi="Agency FB" w:cstheme="majorHAnsi"/>
          <w:sz w:val="24"/>
          <w:szCs w:val="24"/>
          <w:lang w:val="en-GB"/>
        </w:rPr>
        <w:t>Njenga, R. and Jagongo, A., 2019. Effect of financial management decisions on financial performance of selected non-deposit taking SACCOs in Kiambu County, Kenya: Theoretical review. International Academic Journal of Economics and Finance.</w:t>
      </w:r>
    </w:p>
    <w:p w14:paraId="63990406" w14:textId="77777777" w:rsidR="007B01CE" w:rsidRPr="007B01CE" w:rsidRDefault="007B01CE" w:rsidP="007B01CE">
      <w:pPr>
        <w:pStyle w:val="Normal1"/>
        <w:spacing w:before="200" w:line="360" w:lineRule="auto"/>
        <w:jc w:val="both"/>
        <w:rPr>
          <w:rFonts w:ascii="Agency FB" w:hAnsi="Agency FB" w:cstheme="majorHAnsi"/>
          <w:sz w:val="24"/>
          <w:szCs w:val="24"/>
          <w:lang w:val="en-GB"/>
        </w:rPr>
      </w:pPr>
      <w:r w:rsidRPr="007B01CE">
        <w:rPr>
          <w:rFonts w:ascii="Agency FB" w:hAnsi="Agency FB" w:cstheme="majorHAnsi"/>
          <w:sz w:val="24"/>
          <w:szCs w:val="24"/>
          <w:lang w:val="en-GB"/>
        </w:rPr>
        <w:t>Sensini, L., 2020. Working capital management and performance: evidence from Italian SME’s. International Journal of Business Management and Economic Research (IJBMER).</w:t>
      </w:r>
    </w:p>
    <w:p w14:paraId="003C3AD7" w14:textId="77777777" w:rsidR="007B01CE" w:rsidRPr="007B01CE" w:rsidRDefault="007B01CE" w:rsidP="007B01CE">
      <w:pPr>
        <w:pStyle w:val="Normal1"/>
        <w:spacing w:before="200" w:line="360" w:lineRule="auto"/>
        <w:jc w:val="both"/>
        <w:rPr>
          <w:rFonts w:ascii="Agency FB" w:hAnsi="Agency FB" w:cstheme="majorHAnsi"/>
          <w:sz w:val="24"/>
          <w:szCs w:val="24"/>
          <w:lang w:val="en-GB"/>
        </w:rPr>
      </w:pPr>
      <w:r w:rsidRPr="007B01CE">
        <w:rPr>
          <w:rFonts w:ascii="Agency FB" w:hAnsi="Agency FB" w:cstheme="majorHAnsi"/>
          <w:sz w:val="24"/>
          <w:szCs w:val="24"/>
          <w:lang w:val="en-GB"/>
        </w:rPr>
        <w:t>Yenni, Y., Arifin, A., Gunawan, E., Pakpahan, L. and Siregar, H., 2021. The Impact of Solvency and Working Capital on Profitability. Journal of Industrial Engineering &amp; Management Research.</w:t>
      </w:r>
    </w:p>
    <w:p w14:paraId="21AA09B9" w14:textId="0B3DEA17" w:rsidR="007B01CE" w:rsidRDefault="007B01CE" w:rsidP="007B01CE">
      <w:pPr>
        <w:rPr>
          <w:rFonts w:ascii="Agency FB" w:hAnsi="Agency FB" w:cstheme="majorHAnsi"/>
          <w:sz w:val="24"/>
          <w:szCs w:val="24"/>
          <w:lang w:val="en-GB"/>
        </w:rPr>
      </w:pPr>
      <w:r w:rsidRPr="007B01CE">
        <w:rPr>
          <w:rFonts w:ascii="Agency FB" w:hAnsi="Agency FB" w:cstheme="majorHAnsi"/>
          <w:sz w:val="24"/>
          <w:szCs w:val="24"/>
          <w:lang w:val="en-GB"/>
        </w:rPr>
        <w:t>Zimon, G., 2019. An assessment of the strategy of working capital management in polish energy companies.</w:t>
      </w:r>
    </w:p>
    <w:p w14:paraId="614A2595" w14:textId="7490ABED" w:rsidR="007B01CE" w:rsidRDefault="007B01CE" w:rsidP="007B01CE">
      <w:pPr>
        <w:rPr>
          <w:rFonts w:ascii="Agency FB" w:hAnsi="Agency FB" w:cstheme="majorHAnsi"/>
          <w:sz w:val="24"/>
          <w:szCs w:val="24"/>
          <w:lang w:val="en-GB"/>
        </w:rPr>
      </w:pPr>
    </w:p>
    <w:p w14:paraId="6D20AB64" w14:textId="77777777" w:rsidR="007B01CE" w:rsidRPr="007B01CE" w:rsidRDefault="007B01CE" w:rsidP="007B01CE">
      <w:pPr>
        <w:rPr>
          <w:rFonts w:ascii="Agency FB" w:hAnsi="Agency FB"/>
        </w:rPr>
      </w:pPr>
    </w:p>
    <w:p w14:paraId="1565F044" w14:textId="77777777" w:rsidR="007B01CE" w:rsidRPr="007B01CE" w:rsidRDefault="007B01CE" w:rsidP="007B01CE">
      <w:pPr>
        <w:pStyle w:val="Normal1"/>
        <w:spacing w:before="200"/>
        <w:rPr>
          <w:rFonts w:ascii="Agency FB" w:hAnsi="Agency FB" w:cstheme="majorHAnsi"/>
          <w:sz w:val="24"/>
          <w:szCs w:val="24"/>
          <w:lang w:val="en-GB"/>
        </w:rPr>
      </w:pPr>
    </w:p>
    <w:p w14:paraId="618B8287" w14:textId="77777777" w:rsidR="007B01CE" w:rsidRDefault="007B01CE" w:rsidP="007B01CE">
      <w:pPr>
        <w:jc w:val="right"/>
      </w:pPr>
    </w:p>
    <w:p w14:paraId="7937AF09" w14:textId="6947DA61" w:rsidR="00785007" w:rsidRDefault="00785007" w:rsidP="00D311F3">
      <w:pPr>
        <w:spacing w:line="240" w:lineRule="auto"/>
        <w:rPr>
          <w:rFonts w:ascii="Agency FB" w:hAnsi="Agency FB"/>
          <w:b/>
          <w:bCs/>
          <w:color w:val="ED7D31" w:themeColor="accent2"/>
          <w:sz w:val="36"/>
          <w:szCs w:val="36"/>
          <w:lang w:val="en-GB"/>
        </w:rPr>
      </w:pPr>
      <w:r w:rsidRPr="00785007">
        <w:rPr>
          <w:rFonts w:ascii="Agency FB" w:hAnsi="Agency FB"/>
          <w:b/>
          <w:bCs/>
          <w:color w:val="ED7D31" w:themeColor="accent2"/>
          <w:sz w:val="36"/>
          <w:szCs w:val="36"/>
          <w:lang w:val="en-GB"/>
        </w:rPr>
        <w:t>Appendix :</w:t>
      </w:r>
    </w:p>
    <w:p w14:paraId="072B9088" w14:textId="41C9254F" w:rsidR="00785007" w:rsidRPr="00785007" w:rsidRDefault="00785007" w:rsidP="00D311F3">
      <w:pPr>
        <w:spacing w:line="240" w:lineRule="auto"/>
        <w:rPr>
          <w:rFonts w:ascii="Agency FB" w:hAnsi="Agency FB"/>
          <w:b/>
          <w:bCs/>
          <w:sz w:val="36"/>
          <w:szCs w:val="36"/>
          <w:lang w:val="en-GB"/>
        </w:rPr>
      </w:pPr>
      <w:r w:rsidRPr="00785007">
        <w:rPr>
          <w:rFonts w:ascii="Agency FB" w:hAnsi="Agency FB"/>
          <w:b/>
          <w:bCs/>
          <w:sz w:val="36"/>
          <w:szCs w:val="36"/>
          <w:lang w:val="en-GB"/>
        </w:rPr>
        <w:t>Liquidity ratio:</w:t>
      </w:r>
    </w:p>
    <w:p w14:paraId="6CB73F77" w14:textId="046C29D3" w:rsidR="00785007" w:rsidRDefault="00785007" w:rsidP="00D311F3">
      <w:pPr>
        <w:spacing w:line="240" w:lineRule="auto"/>
        <w:rPr>
          <w:rFonts w:ascii="Agency FB" w:hAnsi="Agency FB"/>
          <w:b/>
          <w:bCs/>
          <w:color w:val="ED7D31" w:themeColor="accent2"/>
          <w:sz w:val="40"/>
          <w:szCs w:val="40"/>
        </w:rPr>
      </w:pPr>
      <w:r>
        <w:rPr>
          <w:rFonts w:ascii="Agency FB" w:hAnsi="Agency FB"/>
          <w:b/>
          <w:bCs/>
          <w:noProof/>
          <w:color w:val="ED7D31" w:themeColor="accent2"/>
          <w:sz w:val="40"/>
          <w:szCs w:val="40"/>
        </w:rPr>
        <w:lastRenderedPageBreak/>
        <w:drawing>
          <wp:inline distT="0" distB="0" distL="0" distR="0" wp14:anchorId="17BF7492" wp14:editId="4765CD01">
            <wp:extent cx="5685155" cy="4124739"/>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4">
                      <a:extLst>
                        <a:ext uri="{28A0092B-C50C-407E-A947-70E740481C1C}">
                          <a14:useLocalDpi xmlns:a14="http://schemas.microsoft.com/office/drawing/2010/main" val="0"/>
                        </a:ext>
                      </a:extLst>
                    </a:blip>
                    <a:srcRect l="26256" t="26183" r="28094" b="18777"/>
                    <a:stretch/>
                  </pic:blipFill>
                  <pic:spPr bwMode="auto">
                    <a:xfrm>
                      <a:off x="0" y="0"/>
                      <a:ext cx="5721503" cy="4151111"/>
                    </a:xfrm>
                    <a:prstGeom prst="rect">
                      <a:avLst/>
                    </a:prstGeom>
                    <a:ln>
                      <a:noFill/>
                    </a:ln>
                    <a:extLst>
                      <a:ext uri="{53640926-AAD7-44D8-BBD7-CCE9431645EC}">
                        <a14:shadowObscured xmlns:a14="http://schemas.microsoft.com/office/drawing/2010/main"/>
                      </a:ext>
                    </a:extLst>
                  </pic:spPr>
                </pic:pic>
              </a:graphicData>
            </a:graphic>
          </wp:inline>
        </w:drawing>
      </w:r>
    </w:p>
    <w:p w14:paraId="448D4909" w14:textId="7B37BFBF" w:rsidR="00785007" w:rsidRDefault="00785007" w:rsidP="00D311F3">
      <w:pPr>
        <w:spacing w:line="240" w:lineRule="auto"/>
        <w:rPr>
          <w:rFonts w:ascii="Agency FB" w:hAnsi="Agency FB"/>
          <w:b/>
          <w:bCs/>
          <w:color w:val="ED7D31" w:themeColor="accent2"/>
          <w:sz w:val="40"/>
          <w:szCs w:val="40"/>
        </w:rPr>
      </w:pPr>
    </w:p>
    <w:p w14:paraId="24C40EA8" w14:textId="1072F7B6" w:rsidR="00785007" w:rsidRDefault="00785007" w:rsidP="00D311F3">
      <w:pPr>
        <w:spacing w:line="240" w:lineRule="auto"/>
        <w:rPr>
          <w:rFonts w:ascii="Agency FB" w:hAnsi="Agency FB"/>
          <w:b/>
          <w:bCs/>
          <w:color w:val="ED7D31" w:themeColor="accent2"/>
          <w:sz w:val="40"/>
          <w:szCs w:val="40"/>
        </w:rPr>
      </w:pPr>
    </w:p>
    <w:p w14:paraId="2595A8D5" w14:textId="797AB131" w:rsidR="00785007" w:rsidRDefault="00785007" w:rsidP="00D311F3">
      <w:pPr>
        <w:spacing w:line="240" w:lineRule="auto"/>
        <w:rPr>
          <w:rFonts w:ascii="Agency FB" w:hAnsi="Agency FB"/>
          <w:b/>
          <w:bCs/>
          <w:color w:val="ED7D31" w:themeColor="accent2"/>
          <w:sz w:val="40"/>
          <w:szCs w:val="40"/>
        </w:rPr>
      </w:pPr>
    </w:p>
    <w:p w14:paraId="72EC9F61" w14:textId="7AAB52BB" w:rsidR="00785007" w:rsidRDefault="00785007" w:rsidP="00D311F3">
      <w:pPr>
        <w:spacing w:line="240" w:lineRule="auto"/>
        <w:rPr>
          <w:rFonts w:ascii="Agency FB" w:hAnsi="Agency FB"/>
          <w:b/>
          <w:bCs/>
          <w:color w:val="ED7D31" w:themeColor="accent2"/>
          <w:sz w:val="40"/>
          <w:szCs w:val="40"/>
        </w:rPr>
      </w:pPr>
    </w:p>
    <w:p w14:paraId="1991D1F0" w14:textId="0A2F9D5D" w:rsidR="00785007" w:rsidRDefault="00785007" w:rsidP="00D311F3">
      <w:pPr>
        <w:spacing w:line="240" w:lineRule="auto"/>
        <w:rPr>
          <w:rFonts w:ascii="Agency FB" w:hAnsi="Agency FB"/>
          <w:b/>
          <w:bCs/>
          <w:color w:val="ED7D31" w:themeColor="accent2"/>
          <w:sz w:val="40"/>
          <w:szCs w:val="40"/>
        </w:rPr>
      </w:pPr>
    </w:p>
    <w:p w14:paraId="5FB49C99" w14:textId="2EE8930B" w:rsidR="00785007" w:rsidRDefault="00785007" w:rsidP="00D311F3">
      <w:pPr>
        <w:spacing w:line="240" w:lineRule="auto"/>
        <w:rPr>
          <w:rFonts w:ascii="Agency FB" w:hAnsi="Agency FB"/>
          <w:b/>
          <w:bCs/>
          <w:color w:val="ED7D31" w:themeColor="accent2"/>
          <w:sz w:val="40"/>
          <w:szCs w:val="40"/>
        </w:rPr>
      </w:pPr>
    </w:p>
    <w:p w14:paraId="1CE5E209" w14:textId="1C5D4913" w:rsidR="00785007" w:rsidRDefault="00785007" w:rsidP="00D311F3">
      <w:pPr>
        <w:spacing w:line="240" w:lineRule="auto"/>
        <w:rPr>
          <w:rFonts w:ascii="Agency FB" w:hAnsi="Agency FB"/>
          <w:b/>
          <w:bCs/>
          <w:color w:val="ED7D31" w:themeColor="accent2"/>
          <w:sz w:val="40"/>
          <w:szCs w:val="40"/>
        </w:rPr>
      </w:pPr>
      <w:r w:rsidRPr="009208E8">
        <w:rPr>
          <w:rFonts w:ascii="Agency FB" w:hAnsi="Agency FB"/>
          <w:b/>
          <w:bCs/>
          <w:sz w:val="40"/>
          <w:szCs w:val="40"/>
        </w:rPr>
        <w:lastRenderedPageBreak/>
        <w:t>G</w:t>
      </w:r>
      <w:r w:rsidR="009208E8" w:rsidRPr="009208E8">
        <w:rPr>
          <w:rFonts w:ascii="Agency FB" w:hAnsi="Agency FB"/>
          <w:b/>
          <w:bCs/>
          <w:sz w:val="40"/>
          <w:szCs w:val="40"/>
        </w:rPr>
        <w:t>e</w:t>
      </w:r>
      <w:r w:rsidRPr="009208E8">
        <w:rPr>
          <w:rFonts w:ascii="Agency FB" w:hAnsi="Agency FB"/>
          <w:b/>
          <w:bCs/>
          <w:sz w:val="40"/>
          <w:szCs w:val="40"/>
        </w:rPr>
        <w:t>aring</w:t>
      </w:r>
      <w:r w:rsidR="009208E8" w:rsidRPr="009208E8">
        <w:rPr>
          <w:rFonts w:ascii="Agency FB" w:hAnsi="Agency FB"/>
          <w:b/>
          <w:bCs/>
          <w:sz w:val="40"/>
          <w:szCs w:val="40"/>
        </w:rPr>
        <w:t xml:space="preserve"> ratio</w:t>
      </w:r>
      <w:r w:rsidRPr="009208E8">
        <w:rPr>
          <w:rFonts w:ascii="Agency FB" w:hAnsi="Agency FB"/>
          <w:b/>
          <w:bCs/>
          <w:sz w:val="40"/>
          <w:szCs w:val="40"/>
        </w:rPr>
        <w:t xml:space="preserve"> </w:t>
      </w:r>
      <w:r w:rsidR="009208E8" w:rsidRPr="009208E8">
        <w:rPr>
          <w:rFonts w:ascii="Agency FB" w:hAnsi="Agency FB"/>
          <w:b/>
          <w:bCs/>
          <w:sz w:val="40"/>
          <w:szCs w:val="40"/>
        </w:rPr>
        <w:t>:</w:t>
      </w:r>
      <w:r>
        <w:rPr>
          <w:rFonts w:ascii="Agency FB" w:hAnsi="Agency FB"/>
          <w:b/>
          <w:bCs/>
          <w:noProof/>
          <w:color w:val="ED7D31" w:themeColor="accent2"/>
          <w:sz w:val="40"/>
          <w:szCs w:val="40"/>
        </w:rPr>
        <w:drawing>
          <wp:inline distT="0" distB="0" distL="0" distR="0" wp14:anchorId="05A509BB" wp14:editId="19E1BF14">
            <wp:extent cx="6266437" cy="4919870"/>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15">
                      <a:extLst>
                        <a:ext uri="{28A0092B-C50C-407E-A947-70E740481C1C}">
                          <a14:useLocalDpi xmlns:a14="http://schemas.microsoft.com/office/drawing/2010/main" val="0"/>
                        </a:ext>
                      </a:extLst>
                    </a:blip>
                    <a:srcRect l="25261" t="23204" r="27090" b="5365"/>
                    <a:stretch/>
                  </pic:blipFill>
                  <pic:spPr bwMode="auto">
                    <a:xfrm>
                      <a:off x="0" y="0"/>
                      <a:ext cx="6322478" cy="4963868"/>
                    </a:xfrm>
                    <a:prstGeom prst="rect">
                      <a:avLst/>
                    </a:prstGeom>
                    <a:ln>
                      <a:noFill/>
                    </a:ln>
                    <a:extLst>
                      <a:ext uri="{53640926-AAD7-44D8-BBD7-CCE9431645EC}">
                        <a14:shadowObscured xmlns:a14="http://schemas.microsoft.com/office/drawing/2010/main"/>
                      </a:ext>
                    </a:extLst>
                  </pic:spPr>
                </pic:pic>
              </a:graphicData>
            </a:graphic>
          </wp:inline>
        </w:drawing>
      </w:r>
    </w:p>
    <w:p w14:paraId="363A0BF5" w14:textId="77777777" w:rsidR="00785007" w:rsidRPr="00785007" w:rsidRDefault="00785007" w:rsidP="00D311F3">
      <w:pPr>
        <w:spacing w:line="240" w:lineRule="auto"/>
        <w:rPr>
          <w:rFonts w:ascii="Agency FB" w:hAnsi="Agency FB"/>
          <w:b/>
          <w:bCs/>
          <w:color w:val="ED7D31" w:themeColor="accent2"/>
          <w:sz w:val="40"/>
          <w:szCs w:val="40"/>
        </w:rPr>
      </w:pPr>
    </w:p>
    <w:sectPr w:rsidR="00785007" w:rsidRPr="00785007">
      <w:head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30A463" w14:textId="77777777" w:rsidR="00DC0E3B" w:rsidRDefault="00DC0E3B" w:rsidP="004E2DA0">
      <w:pPr>
        <w:spacing w:after="0" w:line="240" w:lineRule="auto"/>
      </w:pPr>
      <w:r>
        <w:separator/>
      </w:r>
    </w:p>
  </w:endnote>
  <w:endnote w:type="continuationSeparator" w:id="0">
    <w:p w14:paraId="523FB59A" w14:textId="77777777" w:rsidR="00DC0E3B" w:rsidRDefault="00DC0E3B" w:rsidP="004E2D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gency FB">
    <w:panose1 w:val="020B0503020202020204"/>
    <w:charset w:val="00"/>
    <w:family w:val="swiss"/>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7F94BE" w14:textId="77777777" w:rsidR="00DC0E3B" w:rsidRDefault="00DC0E3B" w:rsidP="004E2DA0">
      <w:pPr>
        <w:spacing w:after="0" w:line="240" w:lineRule="auto"/>
      </w:pPr>
      <w:r>
        <w:separator/>
      </w:r>
    </w:p>
  </w:footnote>
  <w:footnote w:type="continuationSeparator" w:id="0">
    <w:p w14:paraId="5D654C29" w14:textId="77777777" w:rsidR="00DC0E3B" w:rsidRDefault="00DC0E3B" w:rsidP="004E2D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9345645"/>
      <w:docPartObj>
        <w:docPartGallery w:val="Page Numbers (Top of Page)"/>
        <w:docPartUnique/>
      </w:docPartObj>
    </w:sdtPr>
    <w:sdtEndPr>
      <w:rPr>
        <w:color w:val="7F7F7F" w:themeColor="background1" w:themeShade="7F"/>
        <w:spacing w:val="60"/>
      </w:rPr>
    </w:sdtEndPr>
    <w:sdtContent>
      <w:p w14:paraId="1C2E2A20" w14:textId="070C3AD8" w:rsidR="004E2DA0" w:rsidRDefault="004E2DA0">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A6817F9" w14:textId="77777777" w:rsidR="004E2DA0" w:rsidRDefault="004E2DA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FF06A4"/>
    <w:multiLevelType w:val="hybridMultilevel"/>
    <w:tmpl w:val="F4AAA5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55F6AD6"/>
    <w:multiLevelType w:val="hybridMultilevel"/>
    <w:tmpl w:val="D35280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91518757">
    <w:abstractNumId w:val="1"/>
  </w:num>
  <w:num w:numId="2" w16cid:durableId="14719463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2C68"/>
    <w:rsid w:val="00032CDD"/>
    <w:rsid w:val="00084BCA"/>
    <w:rsid w:val="000F3CA0"/>
    <w:rsid w:val="0024097E"/>
    <w:rsid w:val="00267462"/>
    <w:rsid w:val="00320503"/>
    <w:rsid w:val="00382CB1"/>
    <w:rsid w:val="00401363"/>
    <w:rsid w:val="00432974"/>
    <w:rsid w:val="004340BB"/>
    <w:rsid w:val="00471D3B"/>
    <w:rsid w:val="004D1774"/>
    <w:rsid w:val="004E2DA0"/>
    <w:rsid w:val="00554184"/>
    <w:rsid w:val="00575FAE"/>
    <w:rsid w:val="00622A99"/>
    <w:rsid w:val="006F2C68"/>
    <w:rsid w:val="00785007"/>
    <w:rsid w:val="00795104"/>
    <w:rsid w:val="007B01CE"/>
    <w:rsid w:val="007D1A37"/>
    <w:rsid w:val="007D55EE"/>
    <w:rsid w:val="008823CD"/>
    <w:rsid w:val="008D6DDB"/>
    <w:rsid w:val="008E20BE"/>
    <w:rsid w:val="00902FC5"/>
    <w:rsid w:val="009208E8"/>
    <w:rsid w:val="00923FA1"/>
    <w:rsid w:val="00946EB5"/>
    <w:rsid w:val="00994822"/>
    <w:rsid w:val="009A6121"/>
    <w:rsid w:val="009F2B75"/>
    <w:rsid w:val="00A108C3"/>
    <w:rsid w:val="00A54333"/>
    <w:rsid w:val="00A605C7"/>
    <w:rsid w:val="00AF203F"/>
    <w:rsid w:val="00BA391B"/>
    <w:rsid w:val="00BD2043"/>
    <w:rsid w:val="00C11AF3"/>
    <w:rsid w:val="00C217F2"/>
    <w:rsid w:val="00C2475E"/>
    <w:rsid w:val="00CE5302"/>
    <w:rsid w:val="00CE57E6"/>
    <w:rsid w:val="00D019EC"/>
    <w:rsid w:val="00D12D47"/>
    <w:rsid w:val="00D311F3"/>
    <w:rsid w:val="00DC0E3B"/>
    <w:rsid w:val="00E83E17"/>
    <w:rsid w:val="00E94A48"/>
    <w:rsid w:val="00EB2F90"/>
    <w:rsid w:val="00ED17D2"/>
    <w:rsid w:val="00F1750F"/>
    <w:rsid w:val="00F4372B"/>
    <w:rsid w:val="00F54816"/>
    <w:rsid w:val="00F73518"/>
    <w:rsid w:val="00F965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4E81E3"/>
  <w15:chartTrackingRefBased/>
  <w15:docId w15:val="{D1AAB556-542E-449D-B91C-3D3236BA41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3FA1"/>
  </w:style>
  <w:style w:type="paragraph" w:styleId="Heading1">
    <w:name w:val="heading 1"/>
    <w:basedOn w:val="Normal"/>
    <w:next w:val="Normal"/>
    <w:link w:val="Heading1Char"/>
    <w:uiPriority w:val="9"/>
    <w:qFormat/>
    <w:rsid w:val="00923FA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D6DD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23FA1"/>
    <w:pPr>
      <w:spacing w:after="0" w:line="276" w:lineRule="auto"/>
    </w:pPr>
    <w:rPr>
      <w:rFonts w:ascii="Arial" w:eastAsia="Arial" w:hAnsi="Arial" w:cs="Arial"/>
    </w:rPr>
  </w:style>
  <w:style w:type="character" w:customStyle="1" w:styleId="Heading1Char">
    <w:name w:val="Heading 1 Char"/>
    <w:basedOn w:val="DefaultParagraphFont"/>
    <w:link w:val="Heading1"/>
    <w:uiPriority w:val="9"/>
    <w:rsid w:val="00923FA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D6DDB"/>
    <w:rPr>
      <w:rFonts w:asciiTheme="majorHAnsi" w:eastAsiaTheme="majorEastAsia" w:hAnsiTheme="majorHAnsi" w:cstheme="majorBidi"/>
      <w:color w:val="2F5496" w:themeColor="accent1" w:themeShade="BF"/>
      <w:sz w:val="26"/>
      <w:szCs w:val="26"/>
    </w:rPr>
  </w:style>
  <w:style w:type="table" w:styleId="GridTable7Colorful">
    <w:name w:val="Grid Table 7 Colorful"/>
    <w:basedOn w:val="TableNormal"/>
    <w:uiPriority w:val="52"/>
    <w:rsid w:val="00F54816"/>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
    <w:name w:val="Grid Table 3"/>
    <w:basedOn w:val="TableNormal"/>
    <w:uiPriority w:val="48"/>
    <w:rsid w:val="00CE57E6"/>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paragraph" w:styleId="ListParagraph">
    <w:name w:val="List Paragraph"/>
    <w:basedOn w:val="Normal"/>
    <w:uiPriority w:val="34"/>
    <w:qFormat/>
    <w:rsid w:val="00401363"/>
    <w:pPr>
      <w:ind w:left="720"/>
      <w:contextualSpacing/>
    </w:pPr>
  </w:style>
  <w:style w:type="table" w:styleId="PlainTable3">
    <w:name w:val="Plain Table 3"/>
    <w:basedOn w:val="TableNormal"/>
    <w:uiPriority w:val="43"/>
    <w:rsid w:val="004340BB"/>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Strong">
    <w:name w:val="Strong"/>
    <w:basedOn w:val="DefaultParagraphFont"/>
    <w:uiPriority w:val="22"/>
    <w:qFormat/>
    <w:rsid w:val="00902FC5"/>
    <w:rPr>
      <w:b/>
      <w:bCs/>
    </w:rPr>
  </w:style>
  <w:style w:type="paragraph" w:styleId="Header">
    <w:name w:val="header"/>
    <w:basedOn w:val="Normal"/>
    <w:link w:val="HeaderChar"/>
    <w:uiPriority w:val="99"/>
    <w:unhideWhenUsed/>
    <w:rsid w:val="004E2DA0"/>
    <w:pPr>
      <w:tabs>
        <w:tab w:val="center" w:pos="4680"/>
        <w:tab w:val="right" w:pos="9360"/>
      </w:tabs>
      <w:spacing w:after="0" w:line="240" w:lineRule="auto"/>
    </w:pPr>
  </w:style>
  <w:style w:type="character" w:customStyle="1" w:styleId="HeaderChar">
    <w:name w:val="Header Char"/>
    <w:basedOn w:val="DefaultParagraphFont"/>
    <w:link w:val="Header"/>
    <w:uiPriority w:val="99"/>
    <w:rsid w:val="004E2DA0"/>
  </w:style>
  <w:style w:type="paragraph" w:styleId="Footer">
    <w:name w:val="footer"/>
    <w:basedOn w:val="Normal"/>
    <w:link w:val="FooterChar"/>
    <w:uiPriority w:val="99"/>
    <w:unhideWhenUsed/>
    <w:rsid w:val="004E2DA0"/>
    <w:pPr>
      <w:tabs>
        <w:tab w:val="center" w:pos="4680"/>
        <w:tab w:val="right" w:pos="9360"/>
      </w:tabs>
      <w:spacing w:after="0" w:line="240" w:lineRule="auto"/>
    </w:pPr>
  </w:style>
  <w:style w:type="character" w:customStyle="1" w:styleId="FooterChar">
    <w:name w:val="Footer Char"/>
    <w:basedOn w:val="DefaultParagraphFont"/>
    <w:link w:val="Footer"/>
    <w:uiPriority w:val="99"/>
    <w:rsid w:val="004E2DA0"/>
  </w:style>
  <w:style w:type="paragraph" w:styleId="TOCHeading">
    <w:name w:val="TOC Heading"/>
    <w:basedOn w:val="Heading1"/>
    <w:next w:val="Normal"/>
    <w:uiPriority w:val="39"/>
    <w:unhideWhenUsed/>
    <w:qFormat/>
    <w:rsid w:val="004E2DA0"/>
    <w:pPr>
      <w:outlineLvl w:val="9"/>
    </w:pPr>
  </w:style>
  <w:style w:type="paragraph" w:styleId="TOC1">
    <w:name w:val="toc 1"/>
    <w:basedOn w:val="Normal"/>
    <w:next w:val="Normal"/>
    <w:autoRedefine/>
    <w:uiPriority w:val="39"/>
    <w:unhideWhenUsed/>
    <w:rsid w:val="004E2DA0"/>
    <w:pPr>
      <w:spacing w:after="100"/>
    </w:pPr>
  </w:style>
  <w:style w:type="paragraph" w:styleId="TOC2">
    <w:name w:val="toc 2"/>
    <w:basedOn w:val="Normal"/>
    <w:next w:val="Normal"/>
    <w:autoRedefine/>
    <w:uiPriority w:val="39"/>
    <w:unhideWhenUsed/>
    <w:rsid w:val="004E2DA0"/>
    <w:pPr>
      <w:spacing w:after="100"/>
      <w:ind w:left="220"/>
    </w:pPr>
  </w:style>
  <w:style w:type="character" w:styleId="Hyperlink">
    <w:name w:val="Hyperlink"/>
    <w:basedOn w:val="DefaultParagraphFont"/>
    <w:uiPriority w:val="99"/>
    <w:unhideWhenUsed/>
    <w:rsid w:val="004E2DA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escoplc.com/about/"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finance.yahoo.com/quote/SBRY.L?p=SBRY.L&amp;.tsrc=fin-srch"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inance.yahoo.com/quote/TSCO.L/history?p=TSCO.L" TargetMode="Externa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48E972-DF94-42CC-8989-C03B0DACA3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698</TotalTime>
  <Pages>20</Pages>
  <Words>6313</Words>
  <Characters>35987</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bhargav sai</dc:creator>
  <cp:keywords/>
  <dc:description/>
  <cp:lastModifiedBy>bhargav sai</cp:lastModifiedBy>
  <cp:revision>6</cp:revision>
  <dcterms:created xsi:type="dcterms:W3CDTF">2022-09-06T07:11:00Z</dcterms:created>
  <dcterms:modified xsi:type="dcterms:W3CDTF">2022-09-06T21:09:00Z</dcterms:modified>
</cp:coreProperties>
</file>