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57FAD3" w14:textId="293711D9" w:rsidR="007167B8" w:rsidRDefault="008E3AF2">
      <w:pPr>
        <w:rPr>
          <w:sz w:val="22"/>
          <w:szCs w:val="22"/>
        </w:rPr>
      </w:pPr>
      <w:r>
        <w:rPr>
          <w:noProof/>
        </w:rPr>
        <w:drawing>
          <wp:anchor distT="0" distB="0" distL="114300" distR="114300" simplePos="0" relativeHeight="251660288" behindDoc="0" locked="0" layoutInCell="1" allowOverlap="1" wp14:anchorId="2CF01583" wp14:editId="4EE831FC">
            <wp:simplePos x="0" y="0"/>
            <wp:positionH relativeFrom="column">
              <wp:posOffset>4378325</wp:posOffset>
            </wp:positionH>
            <wp:positionV relativeFrom="paragraph">
              <wp:posOffset>52070</wp:posOffset>
            </wp:positionV>
            <wp:extent cx="2148840" cy="3703320"/>
            <wp:effectExtent l="0" t="0" r="3810" b="0"/>
            <wp:wrapSquare wrapText="bothSides"/>
            <wp:docPr id="133619038" name="Picture 2" descr="Prime Minister Margaret Thatcher after a speech at a Conservative Party conference in Brighton, England Oct. 12, 1984. (UPI Photo/Roy Let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e Minister Margaret Thatcher after a speech at a Conservative Party conference in Brighton, England Oct. 12, 1984. (UPI Photo/Roy Letke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48840" cy="37033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54DB9C96" wp14:editId="6001948D">
                <wp:simplePos x="0" y="0"/>
                <wp:positionH relativeFrom="column">
                  <wp:posOffset>4381500</wp:posOffset>
                </wp:positionH>
                <wp:positionV relativeFrom="paragraph">
                  <wp:posOffset>3755390</wp:posOffset>
                </wp:positionV>
                <wp:extent cx="2138680" cy="594360"/>
                <wp:effectExtent l="0" t="0" r="13970" b="15240"/>
                <wp:wrapSquare wrapText="bothSides"/>
                <wp:docPr id="1043177214" name="Text Box 3"/>
                <wp:cNvGraphicFramePr/>
                <a:graphic xmlns:a="http://schemas.openxmlformats.org/drawingml/2006/main">
                  <a:graphicData uri="http://schemas.microsoft.com/office/word/2010/wordprocessingShape">
                    <wps:wsp>
                      <wps:cNvSpPr txBox="1"/>
                      <wps:spPr>
                        <a:xfrm>
                          <a:off x="0" y="0"/>
                          <a:ext cx="2138680" cy="594360"/>
                        </a:xfrm>
                        <a:prstGeom prst="rect">
                          <a:avLst/>
                        </a:prstGeom>
                        <a:solidFill>
                          <a:schemeClr val="lt1"/>
                        </a:solidFill>
                        <a:ln w="6350">
                          <a:solidFill>
                            <a:prstClr val="black"/>
                          </a:solidFill>
                        </a:ln>
                      </wps:spPr>
                      <wps:txbx>
                        <w:txbxContent>
                          <w:p w14:paraId="5647294C" w14:textId="48BAB41D" w:rsidR="00A57E97" w:rsidRPr="00A57E97" w:rsidRDefault="00A57E97" w:rsidP="00C87A37">
                            <w:pPr>
                              <w:jc w:val="center"/>
                              <w:rPr>
                                <w:sz w:val="20"/>
                                <w:szCs w:val="20"/>
                                <w:lang w:val="en-US"/>
                              </w:rPr>
                            </w:pPr>
                            <w:r>
                              <w:rPr>
                                <w:sz w:val="20"/>
                                <w:szCs w:val="20"/>
                                <w:lang w:val="en-US"/>
                              </w:rPr>
                              <w:t xml:space="preserve">Fig 1: </w:t>
                            </w:r>
                            <w:r w:rsidRPr="00A57E97">
                              <w:rPr>
                                <w:sz w:val="20"/>
                                <w:szCs w:val="20"/>
                              </w:rPr>
                              <w:t>Margaret Thatcher after</w:t>
                            </w:r>
                            <w:r w:rsidR="00C87A37">
                              <w:rPr>
                                <w:sz w:val="20"/>
                                <w:szCs w:val="20"/>
                              </w:rPr>
                              <w:t xml:space="preserve"> addressing the enemies of Britian in</w:t>
                            </w:r>
                            <w:r w:rsidRPr="00A57E97">
                              <w:rPr>
                                <w:sz w:val="20"/>
                                <w:szCs w:val="20"/>
                              </w:rPr>
                              <w:t xml:space="preserve"> a speech </w:t>
                            </w:r>
                            <w:r w:rsidR="00D01BD9">
                              <w:rPr>
                                <w:sz w:val="20"/>
                                <w:szCs w:val="20"/>
                              </w:rPr>
                              <w:t>i</w:t>
                            </w:r>
                            <w:r w:rsidRPr="00A57E97">
                              <w:rPr>
                                <w:sz w:val="20"/>
                                <w:szCs w:val="20"/>
                              </w:rPr>
                              <w:t>n Brighton</w:t>
                            </w:r>
                            <w:r>
                              <w:rPr>
                                <w:sz w:val="20"/>
                                <w:szCs w:val="20"/>
                              </w:rPr>
                              <w:t xml:space="preserve"> in 1984.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DB9C96" id="_x0000_t202" coordsize="21600,21600" o:spt="202" path="m,l,21600r21600,l21600,xe">
                <v:stroke joinstyle="miter"/>
                <v:path gradientshapeok="t" o:connecttype="rect"/>
              </v:shapetype>
              <v:shape id="Text Box 3" o:spid="_x0000_s1026" type="#_x0000_t202" style="position:absolute;margin-left:345pt;margin-top:295.7pt;width:168.4pt;height:4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" fillcolor="white [3201]" strokeweight=".5pt">
                <v:textbox>
                  <w:txbxContent>
                    <w:p w14:paraId="5647294C" w14:textId="48BAB41D" w:rsidR="00A57E97" w:rsidRPr="00A57E97" w:rsidRDefault="00A57E97" w:rsidP="00C87A37">
                      <w:pPr>
                        <w:jc w:val="center"/>
                        <w:rPr>
                          <w:sz w:val="20"/>
                          <w:szCs w:val="20"/>
                          <w:lang w:val="en-US"/>
                        </w:rPr>
                      </w:pPr>
                      <w:r>
                        <w:rPr>
                          <w:sz w:val="20"/>
                          <w:szCs w:val="20"/>
                          <w:lang w:val="en-US"/>
                        </w:rPr>
                        <w:t xml:space="preserve">Fig 1: </w:t>
                      </w:r>
                      <w:r w:rsidRPr="00A57E97">
                        <w:rPr>
                          <w:sz w:val="20"/>
                          <w:szCs w:val="20"/>
                        </w:rPr>
                        <w:t>Margaret Thatcher after</w:t>
                      </w:r>
                      <w:r w:rsidR="00C87A37">
                        <w:rPr>
                          <w:sz w:val="20"/>
                          <w:szCs w:val="20"/>
                        </w:rPr>
                        <w:t xml:space="preserve"> addressing the enemies of Britian in</w:t>
                      </w:r>
                      <w:r w:rsidRPr="00A57E97">
                        <w:rPr>
                          <w:sz w:val="20"/>
                          <w:szCs w:val="20"/>
                        </w:rPr>
                        <w:t xml:space="preserve"> a speech </w:t>
                      </w:r>
                      <w:r w:rsidR="00D01BD9">
                        <w:rPr>
                          <w:sz w:val="20"/>
                          <w:szCs w:val="20"/>
                        </w:rPr>
                        <w:t>i</w:t>
                      </w:r>
                      <w:r w:rsidRPr="00A57E97">
                        <w:rPr>
                          <w:sz w:val="20"/>
                          <w:szCs w:val="20"/>
                        </w:rPr>
                        <w:t>n Brighton</w:t>
                      </w:r>
                      <w:r>
                        <w:rPr>
                          <w:sz w:val="20"/>
                          <w:szCs w:val="20"/>
                        </w:rPr>
                        <w:t xml:space="preserve"> in 1984.</w:t>
                      </w:r>
                    </w:p>
                  </w:txbxContent>
                </v:textbox>
                <w10:wrap type="square"/>
              </v:shape>
            </w:pict>
          </mc:Fallback>
        </mc:AlternateContent>
      </w:r>
      <w:r w:rsidR="000D3E70" w:rsidRPr="00C6708E">
        <w:rPr>
          <w:sz w:val="22"/>
          <w:szCs w:val="22"/>
        </w:rPr>
        <w:t xml:space="preserve">The Falkland’s War </w:t>
      </w:r>
      <w:r w:rsidR="00C673F2" w:rsidRPr="00C6708E">
        <w:rPr>
          <w:sz w:val="22"/>
          <w:szCs w:val="22"/>
        </w:rPr>
        <w:t xml:space="preserve">was a conflict fought between Argentina and Great Britain. The conflict </w:t>
      </w:r>
      <w:r w:rsidR="00B67C18" w:rsidRPr="00C6708E">
        <w:rPr>
          <w:sz w:val="22"/>
          <w:szCs w:val="22"/>
        </w:rPr>
        <w:t>began on the 2</w:t>
      </w:r>
      <w:r w:rsidR="00B67C18" w:rsidRPr="00C6708E">
        <w:rPr>
          <w:sz w:val="22"/>
          <w:szCs w:val="22"/>
          <w:vertAlign w:val="superscript"/>
        </w:rPr>
        <w:t>nd</w:t>
      </w:r>
      <w:r w:rsidR="00B67C18" w:rsidRPr="00C6708E">
        <w:rPr>
          <w:sz w:val="22"/>
          <w:szCs w:val="22"/>
        </w:rPr>
        <w:t xml:space="preserve"> April 1982 with the Argentine invasion of the Falkland Islands, and </w:t>
      </w:r>
      <w:r w:rsidR="00C673F2" w:rsidRPr="00C6708E">
        <w:rPr>
          <w:sz w:val="22"/>
          <w:szCs w:val="22"/>
        </w:rPr>
        <w:t>lasted little over two months</w:t>
      </w:r>
      <w:r w:rsidR="00647AB3">
        <w:rPr>
          <w:sz w:val="22"/>
          <w:szCs w:val="22"/>
        </w:rPr>
        <w:t>, ending on the 14</w:t>
      </w:r>
      <w:r w:rsidR="00647AB3" w:rsidRPr="00647AB3">
        <w:rPr>
          <w:sz w:val="22"/>
          <w:szCs w:val="22"/>
          <w:vertAlign w:val="superscript"/>
        </w:rPr>
        <w:t>th</w:t>
      </w:r>
      <w:r w:rsidR="00647AB3">
        <w:rPr>
          <w:sz w:val="22"/>
          <w:szCs w:val="22"/>
        </w:rPr>
        <w:t xml:space="preserve"> June 1982</w:t>
      </w:r>
      <w:r w:rsidR="00B67C18" w:rsidRPr="00C6708E">
        <w:rPr>
          <w:sz w:val="22"/>
          <w:szCs w:val="22"/>
        </w:rPr>
        <w:t>. Despite neither side officially declaring war, it is certainly regarded as such.</w:t>
      </w:r>
      <w:r w:rsidR="00E1430A" w:rsidRPr="00C6708E">
        <w:rPr>
          <w:sz w:val="22"/>
          <w:szCs w:val="22"/>
        </w:rPr>
        <w:t xml:space="preserve"> </w:t>
      </w:r>
      <w:r w:rsidR="00EA6637">
        <w:rPr>
          <w:sz w:val="22"/>
          <w:szCs w:val="22"/>
        </w:rPr>
        <w:t>A</w:t>
      </w:r>
      <w:r w:rsidR="00E1430A" w:rsidRPr="00C6708E">
        <w:rPr>
          <w:sz w:val="22"/>
          <w:szCs w:val="22"/>
        </w:rPr>
        <w:t xml:space="preserve">ccording to Max Hastings’ book </w:t>
      </w:r>
      <w:r w:rsidR="00E1430A" w:rsidRPr="00C6708E">
        <w:rPr>
          <w:i/>
          <w:iCs/>
          <w:sz w:val="22"/>
          <w:szCs w:val="22"/>
        </w:rPr>
        <w:t>The Battle for the Falklands</w:t>
      </w:r>
      <w:r w:rsidR="00E1430A" w:rsidRPr="00C6708E">
        <w:rPr>
          <w:sz w:val="22"/>
          <w:szCs w:val="22"/>
        </w:rPr>
        <w:t xml:space="preserve">, 255 British Soldiers </w:t>
      </w:r>
      <w:r w:rsidR="007C6599">
        <w:rPr>
          <w:sz w:val="22"/>
          <w:szCs w:val="22"/>
        </w:rPr>
        <w:t>we</w:t>
      </w:r>
      <w:r w:rsidR="00E1430A" w:rsidRPr="00C6708E">
        <w:rPr>
          <w:sz w:val="22"/>
          <w:szCs w:val="22"/>
        </w:rPr>
        <w:t>re killed in the conflict, and a further 777 were wounded; though the exact number of Argentinian casualties is unknown,</w:t>
      </w:r>
      <w:r w:rsidR="00627C1A">
        <w:rPr>
          <w:sz w:val="22"/>
          <w:szCs w:val="22"/>
        </w:rPr>
        <w:t xml:space="preserve"> and likely much harder to calculate than the British casualties,</w:t>
      </w:r>
      <w:r w:rsidR="00E1430A" w:rsidRPr="00C6708E">
        <w:rPr>
          <w:sz w:val="22"/>
          <w:szCs w:val="22"/>
        </w:rPr>
        <w:t xml:space="preserve"> it is believed that at least 652 men were either killed or otherwise lost in the conflict.</w:t>
      </w:r>
      <w:r w:rsidR="00E1430A" w:rsidRPr="00C6708E">
        <w:rPr>
          <w:rStyle w:val="FootnoteReference"/>
          <w:sz w:val="22"/>
          <w:szCs w:val="22"/>
        </w:rPr>
        <w:footnoteReference w:id="1"/>
      </w:r>
      <w:r w:rsidR="001409AD" w:rsidRPr="00C6708E">
        <w:rPr>
          <w:sz w:val="22"/>
          <w:szCs w:val="22"/>
        </w:rPr>
        <w:t xml:space="preserve"> Despite these casualty numbers, the losses were rather insignificant for Britain when compared to other post W</w:t>
      </w:r>
      <w:r w:rsidR="008976EC">
        <w:rPr>
          <w:sz w:val="22"/>
          <w:szCs w:val="22"/>
        </w:rPr>
        <w:t xml:space="preserve">orld </w:t>
      </w:r>
      <w:r w:rsidR="001409AD" w:rsidRPr="00C6708E">
        <w:rPr>
          <w:sz w:val="22"/>
          <w:szCs w:val="22"/>
        </w:rPr>
        <w:t>W</w:t>
      </w:r>
      <w:r w:rsidR="008976EC">
        <w:rPr>
          <w:sz w:val="22"/>
          <w:szCs w:val="22"/>
        </w:rPr>
        <w:t xml:space="preserve">ar </w:t>
      </w:r>
      <w:r w:rsidR="001409AD" w:rsidRPr="00C6708E">
        <w:rPr>
          <w:sz w:val="22"/>
          <w:szCs w:val="22"/>
        </w:rPr>
        <w:t>II conflicts such as the Korean war.</w:t>
      </w:r>
      <w:r w:rsidR="001409AD" w:rsidRPr="00C6708E">
        <w:rPr>
          <w:rStyle w:val="FootnoteReference"/>
          <w:sz w:val="22"/>
          <w:szCs w:val="22"/>
        </w:rPr>
        <w:footnoteReference w:id="2"/>
      </w:r>
      <w:r w:rsidR="00B67C18" w:rsidRPr="00C6708E">
        <w:rPr>
          <w:sz w:val="22"/>
          <w:szCs w:val="22"/>
        </w:rPr>
        <w:t xml:space="preserve"> </w:t>
      </w:r>
      <w:r w:rsidR="001409AD" w:rsidRPr="00C6708E">
        <w:rPr>
          <w:sz w:val="22"/>
          <w:szCs w:val="22"/>
        </w:rPr>
        <w:t xml:space="preserve">However, this did not stop </w:t>
      </w:r>
      <w:r w:rsidR="00B67C18" w:rsidRPr="00C6708E">
        <w:rPr>
          <w:sz w:val="22"/>
          <w:szCs w:val="22"/>
        </w:rPr>
        <w:t>Margret Thatcher</w:t>
      </w:r>
      <w:r w:rsidR="001409AD" w:rsidRPr="00C6708E">
        <w:rPr>
          <w:sz w:val="22"/>
          <w:szCs w:val="22"/>
        </w:rPr>
        <w:t>,</w:t>
      </w:r>
      <w:r w:rsidR="00B67C18" w:rsidRPr="00C6708E">
        <w:rPr>
          <w:sz w:val="22"/>
          <w:szCs w:val="22"/>
        </w:rPr>
        <w:t xml:space="preserve"> the Prime-Minister of the United Kingdom at the time</w:t>
      </w:r>
      <w:r w:rsidR="001409AD" w:rsidRPr="00C6708E">
        <w:rPr>
          <w:sz w:val="22"/>
          <w:szCs w:val="22"/>
        </w:rPr>
        <w:t xml:space="preserve"> from living up</w:t>
      </w:r>
      <w:r w:rsidR="00B67C18" w:rsidRPr="00C6708E">
        <w:rPr>
          <w:sz w:val="22"/>
          <w:szCs w:val="22"/>
        </w:rPr>
        <w:t xml:space="preserve"> to her title as ‘the Iron Lady’</w:t>
      </w:r>
      <w:r w:rsidR="001409AD" w:rsidRPr="00C6708E">
        <w:rPr>
          <w:sz w:val="22"/>
          <w:szCs w:val="22"/>
        </w:rPr>
        <w:t>.</w:t>
      </w:r>
      <w:r w:rsidR="00B67C18" w:rsidRPr="00C6708E">
        <w:rPr>
          <w:sz w:val="22"/>
          <w:szCs w:val="22"/>
        </w:rPr>
        <w:t xml:space="preserve"> Thatcher would take a hard, stubborn stance on the conflict, and the Argentinian invaders that threatened British Territories.</w:t>
      </w:r>
      <w:r w:rsidR="00FB2561" w:rsidRPr="00C6708E">
        <w:rPr>
          <w:sz w:val="22"/>
          <w:szCs w:val="22"/>
        </w:rPr>
        <w:t xml:space="preserve"> This hardline mentality which Thatcher committed to in all aspects of her life may well have been the very reason that Britain won the war in the Falklands.</w:t>
      </w:r>
      <w:r w:rsidR="00C6708E" w:rsidRPr="00C6708E">
        <w:rPr>
          <w:sz w:val="22"/>
          <w:szCs w:val="22"/>
        </w:rPr>
        <w:t xml:space="preserve"> This essay</w:t>
      </w:r>
      <w:r w:rsidR="00E14162">
        <w:rPr>
          <w:sz w:val="22"/>
          <w:szCs w:val="22"/>
        </w:rPr>
        <w:t xml:space="preserve">, through use of a wide range of sources, including Thatcher’s own Autobiography, </w:t>
      </w:r>
      <w:r w:rsidR="00B14222">
        <w:rPr>
          <w:i/>
          <w:iCs/>
          <w:sz w:val="22"/>
          <w:szCs w:val="22"/>
        </w:rPr>
        <w:t>The Downing Street Years</w:t>
      </w:r>
      <w:r w:rsidR="00B14222">
        <w:rPr>
          <w:sz w:val="22"/>
          <w:szCs w:val="22"/>
        </w:rPr>
        <w:t>,</w:t>
      </w:r>
      <w:r w:rsidR="00B14222">
        <w:rPr>
          <w:rStyle w:val="FootnoteReference"/>
          <w:sz w:val="22"/>
          <w:szCs w:val="22"/>
        </w:rPr>
        <w:footnoteReference w:id="3"/>
      </w:r>
      <w:r w:rsidR="00C6708E" w:rsidRPr="00C6708E">
        <w:rPr>
          <w:sz w:val="22"/>
          <w:szCs w:val="22"/>
        </w:rPr>
        <w:t xml:space="preserve"> </w:t>
      </w:r>
      <w:r w:rsidR="00752487">
        <w:rPr>
          <w:sz w:val="22"/>
          <w:szCs w:val="22"/>
        </w:rPr>
        <w:t xml:space="preserve">and some of Thatcher’s own speeches, </w:t>
      </w:r>
      <w:r w:rsidR="00C6708E" w:rsidRPr="00C6708E">
        <w:rPr>
          <w:sz w:val="22"/>
          <w:szCs w:val="22"/>
        </w:rPr>
        <w:t>will observe the events of the Falklands war and analyse just how great Thatcher’s influence was over the course of the war</w:t>
      </w:r>
      <w:r w:rsidR="009B3CAC">
        <w:rPr>
          <w:sz w:val="22"/>
          <w:szCs w:val="22"/>
        </w:rPr>
        <w:t xml:space="preserve">; </w:t>
      </w:r>
      <w:r w:rsidR="00C6708E" w:rsidRPr="00C6708E">
        <w:rPr>
          <w:sz w:val="22"/>
          <w:szCs w:val="22"/>
        </w:rPr>
        <w:t>and ultimately how her stance in conflicts such as the Falklands impacted Thatcher’s success and British Politics overall.</w:t>
      </w:r>
    </w:p>
    <w:p w14:paraId="4D4E0545" w14:textId="475101A3" w:rsidR="000914E0" w:rsidRDefault="001926F1">
      <w:pPr>
        <w:rPr>
          <w:sz w:val="22"/>
          <w:szCs w:val="22"/>
        </w:rPr>
      </w:pPr>
      <w:r>
        <w:rPr>
          <w:sz w:val="22"/>
          <w:szCs w:val="22"/>
        </w:rPr>
        <w:t>Firstly</w:t>
      </w:r>
      <w:r w:rsidR="00B7355D">
        <w:rPr>
          <w:sz w:val="22"/>
          <w:szCs w:val="22"/>
        </w:rPr>
        <w:t xml:space="preserve">, when addressing the overall impact </w:t>
      </w:r>
      <w:r w:rsidR="00B60A0C">
        <w:rPr>
          <w:sz w:val="22"/>
          <w:szCs w:val="22"/>
        </w:rPr>
        <w:t>of the Falklands War in relation to Thatcher</w:t>
      </w:r>
      <w:r>
        <w:rPr>
          <w:sz w:val="22"/>
          <w:szCs w:val="22"/>
        </w:rPr>
        <w:t xml:space="preserve">, one must consider the </w:t>
      </w:r>
      <w:r w:rsidR="00EA769B">
        <w:rPr>
          <w:sz w:val="22"/>
          <w:szCs w:val="22"/>
        </w:rPr>
        <w:t>early stages of the conflict</w:t>
      </w:r>
      <w:r w:rsidR="000A630E">
        <w:rPr>
          <w:sz w:val="22"/>
          <w:szCs w:val="22"/>
        </w:rPr>
        <w:t>. First of all,</w:t>
      </w:r>
      <w:r w:rsidR="00FC3611">
        <w:rPr>
          <w:sz w:val="22"/>
          <w:szCs w:val="22"/>
        </w:rPr>
        <w:t xml:space="preserve"> since as early as 1965,</w:t>
      </w:r>
      <w:r w:rsidR="000A630E">
        <w:rPr>
          <w:sz w:val="22"/>
          <w:szCs w:val="22"/>
        </w:rPr>
        <w:t xml:space="preserve"> both the British</w:t>
      </w:r>
      <w:r w:rsidR="00FC3611">
        <w:rPr>
          <w:sz w:val="22"/>
          <w:szCs w:val="22"/>
        </w:rPr>
        <w:t xml:space="preserve"> </w:t>
      </w:r>
      <w:r w:rsidR="000A630E">
        <w:rPr>
          <w:sz w:val="22"/>
          <w:szCs w:val="22"/>
        </w:rPr>
        <w:t>and the Argentinian</w:t>
      </w:r>
      <w:r w:rsidR="00655E93">
        <w:rPr>
          <w:sz w:val="22"/>
          <w:szCs w:val="22"/>
        </w:rPr>
        <w:t xml:space="preserve"> Governments</w:t>
      </w:r>
      <w:r w:rsidR="000A630E">
        <w:rPr>
          <w:sz w:val="22"/>
          <w:szCs w:val="22"/>
        </w:rPr>
        <w:t xml:space="preserve"> claimed Sovereignty over the islands</w:t>
      </w:r>
      <w:r w:rsidR="00FC3611">
        <w:rPr>
          <w:sz w:val="22"/>
          <w:szCs w:val="22"/>
        </w:rPr>
        <w:t>.</w:t>
      </w:r>
      <w:r w:rsidR="00C70225">
        <w:rPr>
          <w:sz w:val="22"/>
          <w:szCs w:val="22"/>
        </w:rPr>
        <w:t xml:space="preserve"> </w:t>
      </w:r>
      <w:r w:rsidR="00FC3611">
        <w:rPr>
          <w:sz w:val="22"/>
          <w:szCs w:val="22"/>
        </w:rPr>
        <w:t>T</w:t>
      </w:r>
      <w:r w:rsidR="00C70225">
        <w:rPr>
          <w:sz w:val="22"/>
          <w:szCs w:val="22"/>
        </w:rPr>
        <w:t>his had caused a long lasting dispute between the two nations</w:t>
      </w:r>
      <w:r w:rsidR="00AC4E89">
        <w:rPr>
          <w:sz w:val="22"/>
          <w:szCs w:val="22"/>
        </w:rPr>
        <w:t xml:space="preserve"> </w:t>
      </w:r>
      <w:r w:rsidR="00FC3611">
        <w:rPr>
          <w:sz w:val="22"/>
          <w:szCs w:val="22"/>
        </w:rPr>
        <w:t xml:space="preserve">which was undeniably </w:t>
      </w:r>
      <w:r w:rsidR="00036CE8">
        <w:rPr>
          <w:sz w:val="22"/>
          <w:szCs w:val="22"/>
        </w:rPr>
        <w:t>a dispute that</w:t>
      </w:r>
      <w:r w:rsidR="003A6FA7">
        <w:rPr>
          <w:sz w:val="22"/>
          <w:szCs w:val="22"/>
        </w:rPr>
        <w:t xml:space="preserve">, </w:t>
      </w:r>
      <w:r w:rsidR="00036CE8">
        <w:rPr>
          <w:sz w:val="22"/>
          <w:szCs w:val="22"/>
        </w:rPr>
        <w:t>one way or another</w:t>
      </w:r>
      <w:r w:rsidR="003A6FA7">
        <w:rPr>
          <w:sz w:val="22"/>
          <w:szCs w:val="22"/>
        </w:rPr>
        <w:t>,</w:t>
      </w:r>
      <w:r w:rsidR="00036CE8">
        <w:rPr>
          <w:sz w:val="22"/>
          <w:szCs w:val="22"/>
        </w:rPr>
        <w:t xml:space="preserve"> would have to come to an end</w:t>
      </w:r>
      <w:r w:rsidR="00A270E8">
        <w:rPr>
          <w:sz w:val="22"/>
          <w:szCs w:val="22"/>
        </w:rPr>
        <w:t>. N</w:t>
      </w:r>
      <w:r w:rsidR="00D67C89">
        <w:rPr>
          <w:sz w:val="22"/>
          <w:szCs w:val="22"/>
        </w:rPr>
        <w:t>egotiations were, for the most part, proving futile</w:t>
      </w:r>
      <w:r w:rsidR="00A270E8">
        <w:rPr>
          <w:sz w:val="22"/>
          <w:szCs w:val="22"/>
        </w:rPr>
        <w:t>, despite the involvement of the United Nations.</w:t>
      </w:r>
      <w:r w:rsidR="00571760">
        <w:rPr>
          <w:rStyle w:val="FootnoteReference"/>
          <w:sz w:val="22"/>
          <w:szCs w:val="22"/>
        </w:rPr>
        <w:footnoteReference w:id="4"/>
      </w:r>
      <w:r w:rsidR="00A04C8A">
        <w:rPr>
          <w:sz w:val="22"/>
          <w:szCs w:val="22"/>
        </w:rPr>
        <w:t xml:space="preserve"> Though the long lasting nature of the dispute</w:t>
      </w:r>
      <w:r w:rsidR="00FC3E34">
        <w:rPr>
          <w:sz w:val="22"/>
          <w:szCs w:val="22"/>
        </w:rPr>
        <w:t xml:space="preserve"> </w:t>
      </w:r>
      <w:r w:rsidR="005953DD">
        <w:rPr>
          <w:sz w:val="22"/>
          <w:szCs w:val="22"/>
        </w:rPr>
        <w:t>is</w:t>
      </w:r>
      <w:r w:rsidR="006E770B">
        <w:rPr>
          <w:sz w:val="22"/>
          <w:szCs w:val="22"/>
        </w:rPr>
        <w:t xml:space="preserve"> certainly grounds for why the conflict began, it is </w:t>
      </w:r>
      <w:r w:rsidR="008F7603">
        <w:rPr>
          <w:sz w:val="22"/>
          <w:szCs w:val="22"/>
        </w:rPr>
        <w:t xml:space="preserve">also justifiable evidence for why Thatcher </w:t>
      </w:r>
      <w:r w:rsidR="002A4962">
        <w:rPr>
          <w:sz w:val="22"/>
          <w:szCs w:val="22"/>
        </w:rPr>
        <w:t>took such a strong stance on the matter</w:t>
      </w:r>
      <w:r w:rsidR="00484DA4">
        <w:rPr>
          <w:sz w:val="22"/>
          <w:szCs w:val="22"/>
        </w:rPr>
        <w:t>. D</w:t>
      </w:r>
      <w:r w:rsidR="002A4962">
        <w:rPr>
          <w:sz w:val="22"/>
          <w:szCs w:val="22"/>
        </w:rPr>
        <w:t>espite the islands being a small collective of territories</w:t>
      </w:r>
      <w:r w:rsidR="00484DA4">
        <w:rPr>
          <w:sz w:val="22"/>
          <w:szCs w:val="22"/>
        </w:rPr>
        <w:t xml:space="preserve"> which could</w:t>
      </w:r>
      <w:r w:rsidR="008E63A1">
        <w:rPr>
          <w:sz w:val="22"/>
          <w:szCs w:val="22"/>
        </w:rPr>
        <w:t>, to an extent,</w:t>
      </w:r>
      <w:r w:rsidR="00484DA4">
        <w:rPr>
          <w:sz w:val="22"/>
          <w:szCs w:val="22"/>
        </w:rPr>
        <w:t xml:space="preserve"> be considered insignificant</w:t>
      </w:r>
      <w:r w:rsidR="00643C52">
        <w:rPr>
          <w:sz w:val="22"/>
          <w:szCs w:val="22"/>
        </w:rPr>
        <w:t xml:space="preserve"> in the minds of most people</w:t>
      </w:r>
      <w:r w:rsidR="009B3CAC">
        <w:rPr>
          <w:sz w:val="22"/>
          <w:szCs w:val="22"/>
        </w:rPr>
        <w:t>,</w:t>
      </w:r>
      <w:r w:rsidR="00643C52">
        <w:rPr>
          <w:sz w:val="22"/>
          <w:szCs w:val="22"/>
        </w:rPr>
        <w:t xml:space="preserve"> the length of time which it had taken to reach a resolution would have, nonetheless be</w:t>
      </w:r>
      <w:r w:rsidR="006C48BD">
        <w:rPr>
          <w:sz w:val="22"/>
          <w:szCs w:val="22"/>
        </w:rPr>
        <w:t xml:space="preserve"> grating on the minds of the British population</w:t>
      </w:r>
      <w:r w:rsidR="00B9499C">
        <w:rPr>
          <w:sz w:val="22"/>
          <w:szCs w:val="22"/>
        </w:rPr>
        <w:t>. Thatcher herself</w:t>
      </w:r>
      <w:r w:rsidR="00423322">
        <w:rPr>
          <w:sz w:val="22"/>
          <w:szCs w:val="22"/>
        </w:rPr>
        <w:t xml:space="preserve"> details how crucial she believed the</w:t>
      </w:r>
      <w:r w:rsidR="00B32FF3">
        <w:rPr>
          <w:sz w:val="22"/>
          <w:szCs w:val="22"/>
        </w:rPr>
        <w:t xml:space="preserve"> </w:t>
      </w:r>
      <w:r w:rsidR="00DB7676">
        <w:rPr>
          <w:sz w:val="22"/>
          <w:szCs w:val="22"/>
        </w:rPr>
        <w:t>victory in the Falklands to be for Britain by stating ‘</w:t>
      </w:r>
      <w:r w:rsidR="004B5F33" w:rsidRPr="004B5F33">
        <w:rPr>
          <w:sz w:val="22"/>
          <w:szCs w:val="22"/>
        </w:rPr>
        <w:t>Since the Suez fiasco in 1956, British foreign policy had been one long retreat</w:t>
      </w:r>
      <w:r w:rsidR="00BE7C0A">
        <w:rPr>
          <w:sz w:val="22"/>
          <w:szCs w:val="22"/>
        </w:rPr>
        <w:t>’</w:t>
      </w:r>
      <w:r w:rsidR="004F52E6">
        <w:rPr>
          <w:sz w:val="22"/>
          <w:szCs w:val="22"/>
        </w:rPr>
        <w:t>.</w:t>
      </w:r>
      <w:r w:rsidR="004F52E6">
        <w:rPr>
          <w:rStyle w:val="FootnoteReference"/>
          <w:sz w:val="22"/>
          <w:szCs w:val="22"/>
        </w:rPr>
        <w:footnoteReference w:id="5"/>
      </w:r>
      <w:r w:rsidR="00BE7C0A">
        <w:rPr>
          <w:sz w:val="22"/>
          <w:szCs w:val="22"/>
        </w:rPr>
        <w:t xml:space="preserve"> </w:t>
      </w:r>
      <w:r w:rsidR="00431759">
        <w:rPr>
          <w:sz w:val="22"/>
          <w:szCs w:val="22"/>
        </w:rPr>
        <w:t xml:space="preserve">This </w:t>
      </w:r>
      <w:r w:rsidR="003A20A8">
        <w:rPr>
          <w:sz w:val="22"/>
          <w:szCs w:val="22"/>
        </w:rPr>
        <w:t xml:space="preserve">quote </w:t>
      </w:r>
      <w:r w:rsidR="00881880">
        <w:rPr>
          <w:sz w:val="22"/>
          <w:szCs w:val="22"/>
        </w:rPr>
        <w:t>establishes</w:t>
      </w:r>
      <w:r w:rsidR="00431759">
        <w:rPr>
          <w:sz w:val="22"/>
          <w:szCs w:val="22"/>
        </w:rPr>
        <w:t xml:space="preserve"> that the conflict was about much more than just the Falkland Islands themselves, </w:t>
      </w:r>
      <w:r w:rsidR="00A86952">
        <w:rPr>
          <w:sz w:val="22"/>
          <w:szCs w:val="22"/>
        </w:rPr>
        <w:t xml:space="preserve">it was </w:t>
      </w:r>
      <w:r w:rsidR="00A86952">
        <w:rPr>
          <w:sz w:val="22"/>
          <w:szCs w:val="22"/>
        </w:rPr>
        <w:lastRenderedPageBreak/>
        <w:t>about re-</w:t>
      </w:r>
      <w:r w:rsidR="00F93262">
        <w:rPr>
          <w:noProof/>
        </w:rPr>
        <w:drawing>
          <wp:anchor distT="0" distB="0" distL="114300" distR="114300" simplePos="0" relativeHeight="251663360" behindDoc="0" locked="0" layoutInCell="1" allowOverlap="1" wp14:anchorId="6A75D6D4" wp14:editId="23304A70">
            <wp:simplePos x="0" y="0"/>
            <wp:positionH relativeFrom="margin">
              <wp:posOffset>3750310</wp:posOffset>
            </wp:positionH>
            <wp:positionV relativeFrom="paragraph">
              <wp:posOffset>29210</wp:posOffset>
            </wp:positionV>
            <wp:extent cx="2552065" cy="2049780"/>
            <wp:effectExtent l="0" t="0" r="635" b="7620"/>
            <wp:wrapSquare wrapText="bothSides"/>
            <wp:docPr id="354455847" name="Picture 4" descr="hms-endurance_a171_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ms-endurance_a171_198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52065" cy="2049780"/>
                    </a:xfrm>
                    <a:prstGeom prst="rect">
                      <a:avLst/>
                    </a:prstGeom>
                    <a:noFill/>
                    <a:ln>
                      <a:noFill/>
                    </a:ln>
                  </pic:spPr>
                </pic:pic>
              </a:graphicData>
            </a:graphic>
            <wp14:sizeRelH relativeFrom="page">
              <wp14:pctWidth>0</wp14:pctWidth>
            </wp14:sizeRelH>
            <wp14:sizeRelV relativeFrom="page">
              <wp14:pctHeight>0</wp14:pctHeight>
            </wp14:sizeRelV>
          </wp:anchor>
        </w:drawing>
      </w:r>
      <w:r w:rsidR="00A86952">
        <w:rPr>
          <w:sz w:val="22"/>
          <w:szCs w:val="22"/>
        </w:rPr>
        <w:t xml:space="preserve">establishing </w:t>
      </w:r>
      <w:r w:rsidR="00BA6A32">
        <w:rPr>
          <w:sz w:val="22"/>
          <w:szCs w:val="22"/>
        </w:rPr>
        <w:t xml:space="preserve">Great Britain as the </w:t>
      </w:r>
      <w:r w:rsidR="00CF4293">
        <w:rPr>
          <w:sz w:val="22"/>
          <w:szCs w:val="22"/>
        </w:rPr>
        <w:t>Great power it once was seen to be</w:t>
      </w:r>
      <w:r w:rsidR="00380772">
        <w:rPr>
          <w:sz w:val="22"/>
          <w:szCs w:val="22"/>
        </w:rPr>
        <w:t>.</w:t>
      </w:r>
      <w:r w:rsidR="00D229A5">
        <w:rPr>
          <w:sz w:val="22"/>
          <w:szCs w:val="22"/>
        </w:rPr>
        <w:t xml:space="preserve"> </w:t>
      </w:r>
      <w:r w:rsidR="00380772">
        <w:rPr>
          <w:sz w:val="22"/>
          <w:szCs w:val="22"/>
        </w:rPr>
        <w:t xml:space="preserve">However, Thatcher also admits that she did not anticipate </w:t>
      </w:r>
      <w:r w:rsidR="003F4759">
        <w:rPr>
          <w:sz w:val="22"/>
          <w:szCs w:val="22"/>
        </w:rPr>
        <w:t>the A</w:t>
      </w:r>
      <w:r w:rsidR="00225A5E">
        <w:rPr>
          <w:sz w:val="22"/>
          <w:szCs w:val="22"/>
        </w:rPr>
        <w:t>rgentine invasion, nor did anyone else until a few hours prior to the fact.</w:t>
      </w:r>
      <w:r w:rsidR="00F87DA0">
        <w:rPr>
          <w:rStyle w:val="FootnoteReference"/>
          <w:sz w:val="22"/>
          <w:szCs w:val="22"/>
        </w:rPr>
        <w:footnoteReference w:id="6"/>
      </w:r>
      <w:r w:rsidR="00D52F36">
        <w:rPr>
          <w:sz w:val="22"/>
          <w:szCs w:val="22"/>
        </w:rPr>
        <w:t xml:space="preserve"> This emphasises that Britain had to act quickly</w:t>
      </w:r>
      <w:r w:rsidR="007B1021">
        <w:rPr>
          <w:sz w:val="22"/>
          <w:szCs w:val="22"/>
        </w:rPr>
        <w:t xml:space="preserve"> to counter the invasion</w:t>
      </w:r>
      <w:r w:rsidR="004908B5">
        <w:rPr>
          <w:sz w:val="22"/>
          <w:szCs w:val="22"/>
        </w:rPr>
        <w:t xml:space="preserve">. The unanticipated nature of the invasion is further </w:t>
      </w:r>
      <w:r w:rsidR="00BB000C">
        <w:rPr>
          <w:sz w:val="22"/>
          <w:szCs w:val="22"/>
        </w:rPr>
        <w:t xml:space="preserve">supported by the fact that not long before the invasion commenced, </w:t>
      </w:r>
      <w:r w:rsidR="00566FF1">
        <w:rPr>
          <w:sz w:val="22"/>
          <w:szCs w:val="22"/>
        </w:rPr>
        <w:t xml:space="preserve">the main British patrol ship defending the islands, the Endurance, was </w:t>
      </w:r>
      <w:r w:rsidR="00657F10">
        <w:rPr>
          <w:sz w:val="22"/>
          <w:szCs w:val="22"/>
        </w:rPr>
        <w:t>retired from its post</w:t>
      </w:r>
      <w:r w:rsidR="0011665E">
        <w:rPr>
          <w:sz w:val="22"/>
          <w:szCs w:val="22"/>
        </w:rPr>
        <w:t>;</w:t>
      </w:r>
      <w:r w:rsidR="00657F10">
        <w:rPr>
          <w:sz w:val="22"/>
          <w:szCs w:val="22"/>
        </w:rPr>
        <w:t xml:space="preserve"> leaving</w:t>
      </w:r>
      <w:r w:rsidR="00AF362F">
        <w:rPr>
          <w:sz w:val="22"/>
          <w:szCs w:val="22"/>
        </w:rPr>
        <w:t xml:space="preserve"> little more</w:t>
      </w:r>
      <w:r w:rsidR="00335F6A">
        <w:rPr>
          <w:sz w:val="22"/>
          <w:szCs w:val="22"/>
        </w:rPr>
        <w:t xml:space="preserve"> </w:t>
      </w:r>
      <w:r w:rsidR="00E0219A">
        <w:rPr>
          <w:sz w:val="22"/>
          <w:szCs w:val="22"/>
        </w:rPr>
        <w:t>to defend the islands</w:t>
      </w:r>
      <w:r w:rsidR="00BC33E0">
        <w:rPr>
          <w:sz w:val="22"/>
          <w:szCs w:val="22"/>
        </w:rPr>
        <w:t xml:space="preserve"> than a small Royal Marine Garrison</w:t>
      </w:r>
      <w:r w:rsidR="00BD3E91">
        <w:rPr>
          <w:sz w:val="22"/>
          <w:szCs w:val="22"/>
        </w:rPr>
        <w:t>, which certainly</w:t>
      </w:r>
      <w:r w:rsidR="00FD221C">
        <w:rPr>
          <w:sz w:val="22"/>
          <w:szCs w:val="22"/>
        </w:rPr>
        <w:t xml:space="preserve"> was</w:t>
      </w:r>
      <w:r w:rsidR="00BD3E91">
        <w:rPr>
          <w:sz w:val="22"/>
          <w:szCs w:val="22"/>
        </w:rPr>
        <w:t xml:space="preserve"> not prepared for a full scale invasion.</w:t>
      </w:r>
      <w:r w:rsidR="0011665E">
        <w:rPr>
          <w:rStyle w:val="FootnoteReference"/>
          <w:sz w:val="22"/>
          <w:szCs w:val="22"/>
        </w:rPr>
        <w:footnoteReference w:id="7"/>
      </w:r>
      <w:r w:rsidR="00E557B6">
        <w:rPr>
          <w:sz w:val="22"/>
          <w:szCs w:val="22"/>
        </w:rPr>
        <w:t xml:space="preserve"> Clearly, this was one </w:t>
      </w:r>
      <w:r w:rsidR="00655551">
        <w:rPr>
          <w:noProof/>
          <w:sz w:val="22"/>
          <w:szCs w:val="22"/>
        </w:rPr>
        <mc:AlternateContent>
          <mc:Choice Requires="wps">
            <w:drawing>
              <wp:anchor distT="0" distB="0" distL="114300" distR="114300" simplePos="0" relativeHeight="251662336" behindDoc="0" locked="0" layoutInCell="1" allowOverlap="1" wp14:anchorId="28687B28" wp14:editId="49AA27AA">
                <wp:simplePos x="0" y="0"/>
                <wp:positionH relativeFrom="column">
                  <wp:posOffset>3779520</wp:posOffset>
                </wp:positionH>
                <wp:positionV relativeFrom="paragraph">
                  <wp:posOffset>2078990</wp:posOffset>
                </wp:positionV>
                <wp:extent cx="2476500" cy="434340"/>
                <wp:effectExtent l="0" t="0" r="19050" b="22860"/>
                <wp:wrapSquare wrapText="bothSides"/>
                <wp:docPr id="844972767" name="Text Box 3"/>
                <wp:cNvGraphicFramePr/>
                <a:graphic xmlns:a="http://schemas.openxmlformats.org/drawingml/2006/main">
                  <a:graphicData uri="http://schemas.microsoft.com/office/word/2010/wordprocessingShape">
                    <wps:wsp>
                      <wps:cNvSpPr txBox="1"/>
                      <wps:spPr>
                        <a:xfrm>
                          <a:off x="0" y="0"/>
                          <a:ext cx="2476500" cy="434340"/>
                        </a:xfrm>
                        <a:prstGeom prst="rect">
                          <a:avLst/>
                        </a:prstGeom>
                        <a:solidFill>
                          <a:schemeClr val="lt1"/>
                        </a:solidFill>
                        <a:ln w="6350">
                          <a:solidFill>
                            <a:prstClr val="black"/>
                          </a:solidFill>
                        </a:ln>
                      </wps:spPr>
                      <wps:txbx>
                        <w:txbxContent>
                          <w:p w14:paraId="53C5DD95" w14:textId="77C4CC1C" w:rsidR="00D6708C" w:rsidRPr="003534E3" w:rsidRDefault="000A421F" w:rsidP="003534E3">
                            <w:pPr>
                              <w:jc w:val="center"/>
                              <w:rPr>
                                <w:sz w:val="20"/>
                                <w:szCs w:val="20"/>
                                <w:lang w:val="en-US"/>
                              </w:rPr>
                            </w:pPr>
                            <w:r>
                              <w:rPr>
                                <w:sz w:val="20"/>
                                <w:szCs w:val="20"/>
                                <w:lang w:val="en-US"/>
                              </w:rPr>
                              <w:t xml:space="preserve">Fig 2: </w:t>
                            </w:r>
                            <w:r w:rsidR="00D6708C" w:rsidRPr="003534E3">
                              <w:rPr>
                                <w:sz w:val="20"/>
                                <w:szCs w:val="20"/>
                                <w:lang w:val="en-US"/>
                              </w:rPr>
                              <w:t>HMS Endurance</w:t>
                            </w:r>
                            <w:r w:rsidR="00360F4C" w:rsidRPr="003534E3">
                              <w:rPr>
                                <w:sz w:val="20"/>
                                <w:szCs w:val="20"/>
                                <w:lang w:val="en-US"/>
                              </w:rPr>
                              <w:t xml:space="preserve"> pictured in</w:t>
                            </w:r>
                            <w:r w:rsidR="00655551">
                              <w:rPr>
                                <w:sz w:val="20"/>
                                <w:szCs w:val="20"/>
                                <w:lang w:val="en-US"/>
                              </w:rPr>
                              <w:t xml:space="preserve"> South Georgia in</w:t>
                            </w:r>
                            <w:r w:rsidR="00360F4C" w:rsidRPr="003534E3">
                              <w:rPr>
                                <w:sz w:val="20"/>
                                <w:szCs w:val="20"/>
                                <w:lang w:val="en-US"/>
                              </w:rPr>
                              <w:t xml:space="preserve"> </w:t>
                            </w:r>
                            <w:r w:rsidR="00F93262">
                              <w:rPr>
                                <w:sz w:val="20"/>
                                <w:szCs w:val="20"/>
                                <w:lang w:val="en-US"/>
                              </w:rPr>
                              <w:t>1989</w:t>
                            </w:r>
                            <w:r w:rsidR="003534E3">
                              <w:rPr>
                                <w:sz w:val="20"/>
                                <w:szCs w:val="20"/>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687B28" id="_x0000_s1027" type="#_x0000_t202" style="position:absolute;margin-left:297.6pt;margin-top:163.7pt;width:195pt;height:34.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" fillcolor="white [3201]" strokeweight=".5pt">
                <v:textbox>
                  <w:txbxContent>
                    <w:p w14:paraId="53C5DD95" w14:textId="77C4CC1C" w:rsidR="00D6708C" w:rsidRPr="003534E3" w:rsidRDefault="000A421F" w:rsidP="003534E3">
                      <w:pPr>
                        <w:jc w:val="center"/>
                        <w:rPr>
                          <w:sz w:val="20"/>
                          <w:szCs w:val="20"/>
                          <w:lang w:val="en-US"/>
                        </w:rPr>
                      </w:pPr>
                      <w:r>
                        <w:rPr>
                          <w:sz w:val="20"/>
                          <w:szCs w:val="20"/>
                          <w:lang w:val="en-US"/>
                        </w:rPr>
                        <w:t xml:space="preserve">Fig 2: </w:t>
                      </w:r>
                      <w:r w:rsidR="00D6708C" w:rsidRPr="003534E3">
                        <w:rPr>
                          <w:sz w:val="20"/>
                          <w:szCs w:val="20"/>
                          <w:lang w:val="en-US"/>
                        </w:rPr>
                        <w:t>HMS Endurance</w:t>
                      </w:r>
                      <w:r w:rsidR="00360F4C" w:rsidRPr="003534E3">
                        <w:rPr>
                          <w:sz w:val="20"/>
                          <w:szCs w:val="20"/>
                          <w:lang w:val="en-US"/>
                        </w:rPr>
                        <w:t xml:space="preserve"> pictured in</w:t>
                      </w:r>
                      <w:r w:rsidR="00655551">
                        <w:rPr>
                          <w:sz w:val="20"/>
                          <w:szCs w:val="20"/>
                          <w:lang w:val="en-US"/>
                        </w:rPr>
                        <w:t xml:space="preserve"> South Georgia in</w:t>
                      </w:r>
                      <w:r w:rsidR="00360F4C" w:rsidRPr="003534E3">
                        <w:rPr>
                          <w:sz w:val="20"/>
                          <w:szCs w:val="20"/>
                          <w:lang w:val="en-US"/>
                        </w:rPr>
                        <w:t xml:space="preserve"> </w:t>
                      </w:r>
                      <w:r w:rsidR="00F93262">
                        <w:rPr>
                          <w:sz w:val="20"/>
                          <w:szCs w:val="20"/>
                          <w:lang w:val="en-US"/>
                        </w:rPr>
                        <w:t>1989</w:t>
                      </w:r>
                      <w:r w:rsidR="003534E3">
                        <w:rPr>
                          <w:sz w:val="20"/>
                          <w:szCs w:val="20"/>
                          <w:lang w:val="en-US"/>
                        </w:rPr>
                        <w:t>.</w:t>
                      </w:r>
                    </w:p>
                  </w:txbxContent>
                </v:textbox>
                <w10:wrap type="square"/>
              </v:shape>
            </w:pict>
          </mc:Fallback>
        </mc:AlternateContent>
      </w:r>
      <w:r w:rsidR="00E557B6">
        <w:rPr>
          <w:sz w:val="22"/>
          <w:szCs w:val="22"/>
        </w:rPr>
        <w:t>of the key reasons which Thatcher had in mind at the time of the conflict also</w:t>
      </w:r>
      <w:r w:rsidR="00CC6D76">
        <w:rPr>
          <w:sz w:val="22"/>
          <w:szCs w:val="22"/>
        </w:rPr>
        <w:t>.</w:t>
      </w:r>
      <w:r w:rsidR="00E557B6">
        <w:rPr>
          <w:sz w:val="22"/>
          <w:szCs w:val="22"/>
        </w:rPr>
        <w:t xml:space="preserve"> </w:t>
      </w:r>
      <w:r w:rsidR="00CC6D76">
        <w:rPr>
          <w:sz w:val="22"/>
          <w:szCs w:val="22"/>
        </w:rPr>
        <w:t>T</w:t>
      </w:r>
      <w:r w:rsidR="00E557B6">
        <w:rPr>
          <w:sz w:val="22"/>
          <w:szCs w:val="22"/>
        </w:rPr>
        <w:t xml:space="preserve">his is made </w:t>
      </w:r>
      <w:r w:rsidR="00CC6D76">
        <w:rPr>
          <w:sz w:val="22"/>
          <w:szCs w:val="22"/>
        </w:rPr>
        <w:t>apparent</w:t>
      </w:r>
      <w:r w:rsidR="00E557B6">
        <w:rPr>
          <w:sz w:val="22"/>
          <w:szCs w:val="22"/>
        </w:rPr>
        <w:t xml:space="preserve"> in her speech on 3</w:t>
      </w:r>
      <w:r w:rsidR="00E557B6" w:rsidRPr="00623787">
        <w:rPr>
          <w:sz w:val="22"/>
          <w:szCs w:val="22"/>
          <w:vertAlign w:val="superscript"/>
        </w:rPr>
        <w:t>rd</w:t>
      </w:r>
      <w:r w:rsidR="00E557B6">
        <w:rPr>
          <w:sz w:val="22"/>
          <w:szCs w:val="22"/>
        </w:rPr>
        <w:t xml:space="preserve"> July 1982, not long after the war had concluded and the Argentine soldiers had surrendered</w:t>
      </w:r>
      <w:r w:rsidR="009B3CAC">
        <w:rPr>
          <w:sz w:val="22"/>
          <w:szCs w:val="22"/>
        </w:rPr>
        <w:t>; i</w:t>
      </w:r>
      <w:r w:rsidR="00E557B6">
        <w:rPr>
          <w:sz w:val="22"/>
          <w:szCs w:val="22"/>
        </w:rPr>
        <w:t>n this speech Thatcher states that ‘t</w:t>
      </w:r>
      <w:r w:rsidR="00E557B6" w:rsidRPr="000D35DE">
        <w:rPr>
          <w:sz w:val="22"/>
          <w:szCs w:val="22"/>
        </w:rPr>
        <w:t>he lesson of the Falklands is that Britain has not changed and that this nation still has those sterling qualities which shine through our history.</w:t>
      </w:r>
      <w:r w:rsidR="00E557B6">
        <w:rPr>
          <w:sz w:val="22"/>
          <w:szCs w:val="22"/>
        </w:rPr>
        <w:t>’</w:t>
      </w:r>
      <w:r w:rsidR="00E557B6">
        <w:rPr>
          <w:rStyle w:val="FootnoteReference"/>
          <w:sz w:val="22"/>
          <w:szCs w:val="22"/>
        </w:rPr>
        <w:footnoteReference w:id="8"/>
      </w:r>
      <w:r w:rsidR="00E557B6">
        <w:rPr>
          <w:sz w:val="22"/>
          <w:szCs w:val="22"/>
        </w:rPr>
        <w:t xml:space="preserve"> This</w:t>
      </w:r>
      <w:r w:rsidR="00CC6D76">
        <w:rPr>
          <w:sz w:val="22"/>
          <w:szCs w:val="22"/>
        </w:rPr>
        <w:t xml:space="preserve"> quote</w:t>
      </w:r>
      <w:r w:rsidR="00E557B6">
        <w:rPr>
          <w:sz w:val="22"/>
          <w:szCs w:val="22"/>
        </w:rPr>
        <w:t xml:space="preserve"> tells us that the war, at least to an extent</w:t>
      </w:r>
      <w:r w:rsidR="00CC6D76">
        <w:rPr>
          <w:sz w:val="22"/>
          <w:szCs w:val="22"/>
        </w:rPr>
        <w:t>, was</w:t>
      </w:r>
      <w:r w:rsidR="00E557B6">
        <w:rPr>
          <w:sz w:val="22"/>
          <w:szCs w:val="22"/>
        </w:rPr>
        <w:t xml:space="preserve"> about proving Britain’s </w:t>
      </w:r>
      <w:r w:rsidR="00B6323D">
        <w:rPr>
          <w:sz w:val="22"/>
          <w:szCs w:val="22"/>
        </w:rPr>
        <w:t>standing</w:t>
      </w:r>
      <w:r w:rsidR="00E557B6">
        <w:rPr>
          <w:sz w:val="22"/>
          <w:szCs w:val="22"/>
        </w:rPr>
        <w:t xml:space="preserve"> as a formidable force, and emphasising that even when Britain is caught unprepared, it can overthrow any threat; just as it has done throughout history</w:t>
      </w:r>
      <w:r w:rsidR="009F5F2F">
        <w:rPr>
          <w:sz w:val="22"/>
          <w:szCs w:val="22"/>
        </w:rPr>
        <w:t xml:space="preserve"> prior to</w:t>
      </w:r>
      <w:r w:rsidR="00B6323D">
        <w:rPr>
          <w:sz w:val="22"/>
          <w:szCs w:val="22"/>
        </w:rPr>
        <w:t xml:space="preserve"> and during</w:t>
      </w:r>
      <w:r w:rsidR="009F5F2F">
        <w:rPr>
          <w:sz w:val="22"/>
          <w:szCs w:val="22"/>
        </w:rPr>
        <w:t xml:space="preserve"> </w:t>
      </w:r>
      <w:r w:rsidR="002A1E19">
        <w:rPr>
          <w:sz w:val="22"/>
          <w:szCs w:val="22"/>
        </w:rPr>
        <w:t>the Second World War</w:t>
      </w:r>
      <w:r w:rsidR="00E557B6">
        <w:rPr>
          <w:sz w:val="22"/>
          <w:szCs w:val="22"/>
        </w:rPr>
        <w:t>. In this sense,</w:t>
      </w:r>
      <w:r w:rsidR="00CA4A4F">
        <w:rPr>
          <w:sz w:val="22"/>
          <w:szCs w:val="22"/>
        </w:rPr>
        <w:t xml:space="preserve"> since the</w:t>
      </w:r>
      <w:r w:rsidR="002A1E19">
        <w:rPr>
          <w:sz w:val="22"/>
          <w:szCs w:val="22"/>
        </w:rPr>
        <w:t xml:space="preserve"> Falklands</w:t>
      </w:r>
      <w:r w:rsidR="00CA4A4F">
        <w:rPr>
          <w:sz w:val="22"/>
          <w:szCs w:val="22"/>
        </w:rPr>
        <w:t xml:space="preserve"> </w:t>
      </w:r>
      <w:r w:rsidR="002A1E19">
        <w:rPr>
          <w:sz w:val="22"/>
          <w:szCs w:val="22"/>
        </w:rPr>
        <w:t>invasion</w:t>
      </w:r>
      <w:r w:rsidR="00CA4A4F">
        <w:rPr>
          <w:sz w:val="22"/>
          <w:szCs w:val="22"/>
        </w:rPr>
        <w:t xml:space="preserve"> was not anticipated,</w:t>
      </w:r>
      <w:r w:rsidR="00E557B6">
        <w:rPr>
          <w:sz w:val="22"/>
          <w:szCs w:val="22"/>
        </w:rPr>
        <w:t xml:space="preserve"> it could be posed that the </w:t>
      </w:r>
      <w:r w:rsidR="002A1E19">
        <w:rPr>
          <w:sz w:val="22"/>
          <w:szCs w:val="22"/>
        </w:rPr>
        <w:t>conflict</w:t>
      </w:r>
      <w:r w:rsidR="00E557B6">
        <w:rPr>
          <w:sz w:val="22"/>
          <w:szCs w:val="22"/>
        </w:rPr>
        <w:t xml:space="preserve"> was merely a</w:t>
      </w:r>
      <w:r w:rsidR="00EC5131">
        <w:rPr>
          <w:sz w:val="22"/>
          <w:szCs w:val="22"/>
        </w:rPr>
        <w:t xml:space="preserve">n instance where Thatcher </w:t>
      </w:r>
      <w:r w:rsidR="00611A1E">
        <w:rPr>
          <w:sz w:val="22"/>
          <w:szCs w:val="22"/>
        </w:rPr>
        <w:t xml:space="preserve">was perhaps just </w:t>
      </w:r>
      <w:r w:rsidR="00E66D69">
        <w:rPr>
          <w:sz w:val="22"/>
          <w:szCs w:val="22"/>
        </w:rPr>
        <w:t>fortunate</w:t>
      </w:r>
      <w:r w:rsidR="00611A1E">
        <w:rPr>
          <w:sz w:val="22"/>
          <w:szCs w:val="22"/>
        </w:rPr>
        <w:t xml:space="preserve"> given the circumstances that the invasion occurred</w:t>
      </w:r>
      <w:r w:rsidR="00CA4A4F">
        <w:rPr>
          <w:sz w:val="22"/>
          <w:szCs w:val="22"/>
        </w:rPr>
        <w:t>.</w:t>
      </w:r>
      <w:r w:rsidR="0019070E">
        <w:rPr>
          <w:sz w:val="22"/>
          <w:szCs w:val="22"/>
        </w:rPr>
        <w:t xml:space="preserve"> </w:t>
      </w:r>
      <w:r w:rsidR="00BA6B81">
        <w:rPr>
          <w:sz w:val="22"/>
          <w:szCs w:val="22"/>
        </w:rPr>
        <w:t>A chance which she took</w:t>
      </w:r>
      <w:r w:rsidR="00E66D69">
        <w:rPr>
          <w:sz w:val="22"/>
          <w:szCs w:val="22"/>
        </w:rPr>
        <w:t xml:space="preserve"> in hopes that</w:t>
      </w:r>
      <w:r w:rsidR="0019070E">
        <w:rPr>
          <w:sz w:val="22"/>
          <w:szCs w:val="22"/>
        </w:rPr>
        <w:t xml:space="preserve"> she could </w:t>
      </w:r>
      <w:r w:rsidR="0059580F">
        <w:rPr>
          <w:sz w:val="22"/>
          <w:szCs w:val="22"/>
        </w:rPr>
        <w:t xml:space="preserve">be the Prime-Minister to restore Britain’s </w:t>
      </w:r>
      <w:r w:rsidR="00A03C53">
        <w:rPr>
          <w:sz w:val="22"/>
          <w:szCs w:val="22"/>
        </w:rPr>
        <w:t>standing</w:t>
      </w:r>
      <w:r w:rsidR="0059580F">
        <w:rPr>
          <w:sz w:val="22"/>
          <w:szCs w:val="22"/>
        </w:rPr>
        <w:t xml:space="preserve"> as a highly-competent military state.</w:t>
      </w:r>
      <w:r w:rsidR="00F700A3">
        <w:rPr>
          <w:sz w:val="22"/>
          <w:szCs w:val="22"/>
        </w:rPr>
        <w:t xml:space="preserve"> </w:t>
      </w:r>
      <w:r w:rsidR="00BB37B4">
        <w:rPr>
          <w:sz w:val="22"/>
          <w:szCs w:val="22"/>
        </w:rPr>
        <w:t xml:space="preserve">In this same speech, </w:t>
      </w:r>
      <w:r w:rsidR="00913D8B">
        <w:rPr>
          <w:sz w:val="22"/>
          <w:szCs w:val="22"/>
        </w:rPr>
        <w:t>one</w:t>
      </w:r>
      <w:r w:rsidR="009B6E26">
        <w:rPr>
          <w:sz w:val="22"/>
          <w:szCs w:val="22"/>
        </w:rPr>
        <w:t xml:space="preserve"> can also see that</w:t>
      </w:r>
      <w:r w:rsidR="00BB37B4">
        <w:rPr>
          <w:sz w:val="22"/>
          <w:szCs w:val="22"/>
        </w:rPr>
        <w:t xml:space="preserve"> British history was playing a key role in Thatcher’s mind</w:t>
      </w:r>
      <w:r w:rsidR="007D4A5F">
        <w:rPr>
          <w:sz w:val="22"/>
          <w:szCs w:val="22"/>
        </w:rPr>
        <w:t xml:space="preserve"> at the time</w:t>
      </w:r>
      <w:r w:rsidR="009B3CAC">
        <w:rPr>
          <w:sz w:val="22"/>
          <w:szCs w:val="22"/>
        </w:rPr>
        <w:t xml:space="preserve">. </w:t>
      </w:r>
      <w:r w:rsidR="00B4756B">
        <w:rPr>
          <w:sz w:val="22"/>
          <w:szCs w:val="22"/>
        </w:rPr>
        <w:t>This is evident when she quoted</w:t>
      </w:r>
      <w:r w:rsidR="0022785A">
        <w:rPr>
          <w:sz w:val="22"/>
          <w:szCs w:val="22"/>
        </w:rPr>
        <w:t xml:space="preserve"> Winston Churchill, the Prime-Minister of Britian in power at the end of World War II</w:t>
      </w:r>
      <w:r w:rsidR="009B3CAC">
        <w:rPr>
          <w:sz w:val="22"/>
          <w:szCs w:val="22"/>
        </w:rPr>
        <w:t>;</w:t>
      </w:r>
      <w:r w:rsidR="00DD046D">
        <w:rPr>
          <w:rStyle w:val="FootnoteReference"/>
          <w:sz w:val="22"/>
          <w:szCs w:val="22"/>
        </w:rPr>
        <w:footnoteReference w:id="9"/>
      </w:r>
      <w:r w:rsidR="00DD046D">
        <w:rPr>
          <w:sz w:val="22"/>
          <w:szCs w:val="22"/>
        </w:rPr>
        <w:t xml:space="preserve"> </w:t>
      </w:r>
      <w:r w:rsidR="009B3CAC">
        <w:rPr>
          <w:sz w:val="22"/>
          <w:szCs w:val="22"/>
        </w:rPr>
        <w:t>s</w:t>
      </w:r>
      <w:r w:rsidR="00DD046D">
        <w:rPr>
          <w:sz w:val="22"/>
          <w:szCs w:val="22"/>
        </w:rPr>
        <w:t xml:space="preserve">pecifically, a quote which states the key importance </w:t>
      </w:r>
      <w:r w:rsidR="006A02CC">
        <w:rPr>
          <w:sz w:val="22"/>
          <w:szCs w:val="22"/>
        </w:rPr>
        <w:t>of working together during times of war. What ma</w:t>
      </w:r>
      <w:r w:rsidR="00B6323D">
        <w:rPr>
          <w:sz w:val="22"/>
          <w:szCs w:val="22"/>
        </w:rPr>
        <w:t>kes</w:t>
      </w:r>
      <w:r w:rsidR="006A02CC">
        <w:rPr>
          <w:sz w:val="22"/>
          <w:szCs w:val="22"/>
        </w:rPr>
        <w:t xml:space="preserve"> this quote so important is the fact that </w:t>
      </w:r>
      <w:r w:rsidR="00FF2F96">
        <w:rPr>
          <w:sz w:val="22"/>
          <w:szCs w:val="22"/>
        </w:rPr>
        <w:t xml:space="preserve">Thatcher is taking a stance which argues for a United Britain, something which at the time of Thatcher’s power was seemingly forever </w:t>
      </w:r>
      <w:r w:rsidR="00CD27FB">
        <w:rPr>
          <w:sz w:val="22"/>
          <w:szCs w:val="22"/>
        </w:rPr>
        <w:t>in question</w:t>
      </w:r>
      <w:r w:rsidR="008E71F9">
        <w:rPr>
          <w:sz w:val="22"/>
          <w:szCs w:val="22"/>
        </w:rPr>
        <w:t>. I</w:t>
      </w:r>
      <w:r w:rsidR="00F27D2E">
        <w:rPr>
          <w:sz w:val="22"/>
          <w:szCs w:val="22"/>
        </w:rPr>
        <w:t>ronically,</w:t>
      </w:r>
      <w:r w:rsidR="008E71F9">
        <w:rPr>
          <w:sz w:val="22"/>
          <w:szCs w:val="22"/>
        </w:rPr>
        <w:t xml:space="preserve"> this was</w:t>
      </w:r>
      <w:r w:rsidR="008E3AF2">
        <w:rPr>
          <w:sz w:val="22"/>
          <w:szCs w:val="22"/>
        </w:rPr>
        <w:t xml:space="preserve"> often</w:t>
      </w:r>
      <w:r w:rsidR="00F27D2E">
        <w:rPr>
          <w:sz w:val="22"/>
          <w:szCs w:val="22"/>
        </w:rPr>
        <w:t xml:space="preserve"> due to Thatcher’s own leadership decisions.</w:t>
      </w:r>
    </w:p>
    <w:p w14:paraId="5EBB5EF3" w14:textId="673A96E9" w:rsidR="00CF763C" w:rsidRDefault="00CF763C">
      <w:pPr>
        <w:rPr>
          <w:sz w:val="22"/>
          <w:szCs w:val="22"/>
        </w:rPr>
      </w:pPr>
      <w:r>
        <w:rPr>
          <w:sz w:val="22"/>
          <w:szCs w:val="22"/>
        </w:rPr>
        <w:t xml:space="preserve">When considering the </w:t>
      </w:r>
      <w:r w:rsidR="00B063E9">
        <w:rPr>
          <w:sz w:val="22"/>
          <w:szCs w:val="22"/>
        </w:rPr>
        <w:t>early stages of the invasion, it is crucial to note that it was</w:t>
      </w:r>
      <w:r w:rsidR="005D62EE">
        <w:rPr>
          <w:sz w:val="22"/>
          <w:szCs w:val="22"/>
        </w:rPr>
        <w:t xml:space="preserve"> not</w:t>
      </w:r>
      <w:r w:rsidR="00B063E9">
        <w:rPr>
          <w:sz w:val="22"/>
          <w:szCs w:val="22"/>
        </w:rPr>
        <w:t xml:space="preserve"> quite so simple for Thatcher</w:t>
      </w:r>
      <w:r w:rsidR="004D5599">
        <w:rPr>
          <w:sz w:val="22"/>
          <w:szCs w:val="22"/>
        </w:rPr>
        <w:t>, her cabinet and the military to act in full force.</w:t>
      </w:r>
      <w:r w:rsidR="00A06342">
        <w:rPr>
          <w:sz w:val="22"/>
          <w:szCs w:val="22"/>
        </w:rPr>
        <w:t xml:space="preserve"> </w:t>
      </w:r>
      <w:r w:rsidR="006E7D39">
        <w:rPr>
          <w:sz w:val="22"/>
          <w:szCs w:val="22"/>
        </w:rPr>
        <w:t>Daniel K Gibran,</w:t>
      </w:r>
      <w:r w:rsidR="005A7DD1">
        <w:rPr>
          <w:sz w:val="22"/>
          <w:szCs w:val="22"/>
        </w:rPr>
        <w:t xml:space="preserve"> a Political Economist</w:t>
      </w:r>
      <w:r w:rsidR="00216525">
        <w:rPr>
          <w:sz w:val="22"/>
          <w:szCs w:val="22"/>
        </w:rPr>
        <w:t xml:space="preserve">, in his book, </w:t>
      </w:r>
      <w:r w:rsidR="00216525" w:rsidRPr="00216525">
        <w:rPr>
          <w:i/>
          <w:iCs/>
          <w:sz w:val="22"/>
          <w:szCs w:val="22"/>
        </w:rPr>
        <w:t>The Falklands War: Britain versus the past in the South Atlantic</w:t>
      </w:r>
      <w:r w:rsidR="00216525">
        <w:rPr>
          <w:sz w:val="22"/>
          <w:szCs w:val="22"/>
        </w:rPr>
        <w:t>, states that t</w:t>
      </w:r>
      <w:r w:rsidR="00A06342">
        <w:rPr>
          <w:sz w:val="22"/>
          <w:szCs w:val="22"/>
        </w:rPr>
        <w:t>he decision to withdraw the HMS Endurance</w:t>
      </w:r>
      <w:r w:rsidR="0002122D">
        <w:rPr>
          <w:sz w:val="22"/>
          <w:szCs w:val="22"/>
        </w:rPr>
        <w:t xml:space="preserve">, was </w:t>
      </w:r>
      <w:r w:rsidR="00B650BA">
        <w:rPr>
          <w:sz w:val="22"/>
          <w:szCs w:val="22"/>
        </w:rPr>
        <w:t xml:space="preserve">primarily made by </w:t>
      </w:r>
      <w:r w:rsidR="00A15A31">
        <w:rPr>
          <w:sz w:val="22"/>
          <w:szCs w:val="22"/>
        </w:rPr>
        <w:t>John Nott</w:t>
      </w:r>
      <w:r w:rsidR="00DB0F6F">
        <w:rPr>
          <w:sz w:val="22"/>
          <w:szCs w:val="22"/>
        </w:rPr>
        <w:t>,</w:t>
      </w:r>
      <w:r w:rsidR="00A15A31">
        <w:rPr>
          <w:sz w:val="22"/>
          <w:szCs w:val="22"/>
        </w:rPr>
        <w:t xml:space="preserve"> the </w:t>
      </w:r>
      <w:r w:rsidR="00DB0F6F">
        <w:rPr>
          <w:sz w:val="22"/>
          <w:szCs w:val="22"/>
        </w:rPr>
        <w:t>Defence</w:t>
      </w:r>
      <w:r w:rsidR="00A15A31">
        <w:rPr>
          <w:sz w:val="22"/>
          <w:szCs w:val="22"/>
        </w:rPr>
        <w:t xml:space="preserve"> Secretary </w:t>
      </w:r>
      <w:r w:rsidR="00F339E4">
        <w:rPr>
          <w:sz w:val="22"/>
          <w:szCs w:val="22"/>
        </w:rPr>
        <w:t>at the time</w:t>
      </w:r>
      <w:r w:rsidR="00DB0F6F">
        <w:rPr>
          <w:sz w:val="22"/>
          <w:szCs w:val="22"/>
        </w:rPr>
        <w:t>;</w:t>
      </w:r>
      <w:r w:rsidR="00DD5358">
        <w:rPr>
          <w:sz w:val="22"/>
          <w:szCs w:val="22"/>
        </w:rPr>
        <w:t xml:space="preserve"> in order to cut spending</w:t>
      </w:r>
      <w:r w:rsidR="00B761B9">
        <w:rPr>
          <w:sz w:val="22"/>
          <w:szCs w:val="22"/>
        </w:rPr>
        <w:t>.</w:t>
      </w:r>
      <w:r w:rsidR="00B761B9">
        <w:rPr>
          <w:rStyle w:val="FootnoteReference"/>
          <w:sz w:val="22"/>
          <w:szCs w:val="22"/>
        </w:rPr>
        <w:footnoteReference w:id="10"/>
      </w:r>
      <w:r w:rsidR="006716D1">
        <w:rPr>
          <w:sz w:val="22"/>
          <w:szCs w:val="22"/>
        </w:rPr>
        <w:t xml:space="preserve"> This decision, of course, was met with</w:t>
      </w:r>
      <w:r w:rsidR="00CF0D15">
        <w:rPr>
          <w:sz w:val="22"/>
          <w:szCs w:val="22"/>
        </w:rPr>
        <w:t xml:space="preserve"> opposition from multiple </w:t>
      </w:r>
      <w:r w:rsidR="00832593">
        <w:rPr>
          <w:sz w:val="22"/>
          <w:szCs w:val="22"/>
        </w:rPr>
        <w:t>angles, specifically the Falkland</w:t>
      </w:r>
      <w:r w:rsidR="009B44EF">
        <w:rPr>
          <w:sz w:val="22"/>
          <w:szCs w:val="22"/>
        </w:rPr>
        <w:t xml:space="preserve"> Islanders, and</w:t>
      </w:r>
      <w:r w:rsidR="007F0D08">
        <w:rPr>
          <w:sz w:val="22"/>
          <w:szCs w:val="22"/>
        </w:rPr>
        <w:t xml:space="preserve"> the British Foreign Secretary,</w:t>
      </w:r>
      <w:r w:rsidR="009B44EF">
        <w:rPr>
          <w:sz w:val="22"/>
          <w:szCs w:val="22"/>
        </w:rPr>
        <w:t xml:space="preserve"> Lord </w:t>
      </w:r>
      <w:r w:rsidR="004D5EDB">
        <w:rPr>
          <w:sz w:val="22"/>
          <w:szCs w:val="22"/>
        </w:rPr>
        <w:t xml:space="preserve">Peter </w:t>
      </w:r>
      <w:r w:rsidR="009B44EF">
        <w:rPr>
          <w:sz w:val="22"/>
          <w:szCs w:val="22"/>
        </w:rPr>
        <w:t>Carrington</w:t>
      </w:r>
      <w:r w:rsidR="007F0D08">
        <w:rPr>
          <w:sz w:val="22"/>
          <w:szCs w:val="22"/>
        </w:rPr>
        <w:t>.</w:t>
      </w:r>
      <w:r w:rsidR="007F0D08">
        <w:rPr>
          <w:rStyle w:val="FootnoteReference"/>
          <w:sz w:val="22"/>
          <w:szCs w:val="22"/>
        </w:rPr>
        <w:footnoteReference w:id="11"/>
      </w:r>
      <w:r w:rsidR="00262B34">
        <w:rPr>
          <w:sz w:val="22"/>
          <w:szCs w:val="22"/>
        </w:rPr>
        <w:t xml:space="preserve"> </w:t>
      </w:r>
      <w:r w:rsidR="007F17C0">
        <w:rPr>
          <w:sz w:val="22"/>
          <w:szCs w:val="22"/>
        </w:rPr>
        <w:t xml:space="preserve">According to Gibran, </w:t>
      </w:r>
      <w:r w:rsidR="007016CE">
        <w:rPr>
          <w:sz w:val="22"/>
          <w:szCs w:val="22"/>
        </w:rPr>
        <w:t>Carrington wrote to Nott on at least three separate occasions</w:t>
      </w:r>
      <w:r w:rsidR="00FA3B90">
        <w:rPr>
          <w:sz w:val="22"/>
          <w:szCs w:val="22"/>
        </w:rPr>
        <w:t xml:space="preserve">, urging him not to </w:t>
      </w:r>
      <w:r w:rsidR="00FA3B90">
        <w:rPr>
          <w:sz w:val="22"/>
          <w:szCs w:val="22"/>
        </w:rPr>
        <w:lastRenderedPageBreak/>
        <w:t xml:space="preserve">withdraw </w:t>
      </w:r>
      <w:r w:rsidR="00142D3A">
        <w:rPr>
          <w:sz w:val="22"/>
          <w:szCs w:val="22"/>
        </w:rPr>
        <w:t xml:space="preserve">the </w:t>
      </w:r>
      <w:r w:rsidR="000535F9">
        <w:rPr>
          <w:sz w:val="22"/>
          <w:szCs w:val="22"/>
        </w:rPr>
        <w:t>Endurance</w:t>
      </w:r>
      <w:r w:rsidR="00D11C38">
        <w:rPr>
          <w:sz w:val="22"/>
          <w:szCs w:val="22"/>
        </w:rPr>
        <w:t xml:space="preserve"> due to the ‘symbolic role’ it played </w:t>
      </w:r>
      <w:r w:rsidR="00006CF3">
        <w:rPr>
          <w:sz w:val="22"/>
          <w:szCs w:val="22"/>
        </w:rPr>
        <w:t>in representing British Sovereignty</w:t>
      </w:r>
      <w:r w:rsidR="000535F9">
        <w:rPr>
          <w:sz w:val="22"/>
          <w:szCs w:val="22"/>
        </w:rPr>
        <w:t>.</w:t>
      </w:r>
      <w:r w:rsidR="000535F9">
        <w:rPr>
          <w:rStyle w:val="FootnoteReference"/>
          <w:sz w:val="22"/>
          <w:szCs w:val="22"/>
        </w:rPr>
        <w:footnoteReference w:id="12"/>
      </w:r>
      <w:r w:rsidR="00006CF3">
        <w:rPr>
          <w:sz w:val="22"/>
          <w:szCs w:val="22"/>
        </w:rPr>
        <w:t xml:space="preserve"> </w:t>
      </w:r>
      <w:r w:rsidR="00833F1E">
        <w:rPr>
          <w:noProof/>
        </w:rPr>
        <w:drawing>
          <wp:anchor distT="0" distB="0" distL="114300" distR="114300" simplePos="0" relativeHeight="251664384" behindDoc="0" locked="0" layoutInCell="1" allowOverlap="1" wp14:anchorId="58F9F715" wp14:editId="21DF9E64">
            <wp:simplePos x="0" y="0"/>
            <wp:positionH relativeFrom="column">
              <wp:posOffset>4366260</wp:posOffset>
            </wp:positionH>
            <wp:positionV relativeFrom="paragraph">
              <wp:posOffset>635</wp:posOffset>
            </wp:positionV>
            <wp:extent cx="2154555" cy="2834640"/>
            <wp:effectExtent l="0" t="0" r="0" b="3810"/>
            <wp:wrapSquare wrapText="bothSides"/>
            <wp:docPr id="441489824" name="Picture 5"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f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54555" cy="2834640"/>
                    </a:xfrm>
                    <a:prstGeom prst="rect">
                      <a:avLst/>
                    </a:prstGeom>
                    <a:noFill/>
                    <a:ln>
                      <a:noFill/>
                    </a:ln>
                  </pic:spPr>
                </pic:pic>
              </a:graphicData>
            </a:graphic>
            <wp14:sizeRelH relativeFrom="page">
              <wp14:pctWidth>0</wp14:pctWidth>
            </wp14:sizeRelH>
            <wp14:sizeRelV relativeFrom="page">
              <wp14:pctHeight>0</wp14:pctHeight>
            </wp14:sizeRelV>
          </wp:anchor>
        </w:drawing>
      </w:r>
      <w:r w:rsidR="00006CF3">
        <w:rPr>
          <w:sz w:val="22"/>
          <w:szCs w:val="22"/>
        </w:rPr>
        <w:t>Regardless of this</w:t>
      </w:r>
      <w:r w:rsidR="00DB0F6F">
        <w:rPr>
          <w:sz w:val="22"/>
          <w:szCs w:val="22"/>
        </w:rPr>
        <w:t xml:space="preserve">, </w:t>
      </w:r>
      <w:r w:rsidR="00006CF3">
        <w:rPr>
          <w:sz w:val="22"/>
          <w:szCs w:val="22"/>
        </w:rPr>
        <w:t xml:space="preserve">Nott </w:t>
      </w:r>
      <w:r w:rsidR="00540B6A">
        <w:rPr>
          <w:sz w:val="22"/>
          <w:szCs w:val="22"/>
        </w:rPr>
        <w:t>removed the</w:t>
      </w:r>
      <w:r w:rsidR="00195BC0">
        <w:rPr>
          <w:sz w:val="22"/>
          <w:szCs w:val="22"/>
        </w:rPr>
        <w:t xml:space="preserve"> Patrol Ship</w:t>
      </w:r>
      <w:r w:rsidR="00DB0F6F">
        <w:rPr>
          <w:sz w:val="22"/>
          <w:szCs w:val="22"/>
        </w:rPr>
        <w:t>; t</w:t>
      </w:r>
      <w:r w:rsidR="005F368C">
        <w:rPr>
          <w:sz w:val="22"/>
          <w:szCs w:val="22"/>
        </w:rPr>
        <w:t xml:space="preserve">hus </w:t>
      </w:r>
      <w:r w:rsidR="00510134">
        <w:rPr>
          <w:sz w:val="22"/>
          <w:szCs w:val="22"/>
        </w:rPr>
        <w:t xml:space="preserve">granting the Argentinian invaders their chance to </w:t>
      </w:r>
      <w:r w:rsidR="00E015B2">
        <w:rPr>
          <w:sz w:val="22"/>
          <w:szCs w:val="22"/>
        </w:rPr>
        <w:t xml:space="preserve">make their move. Carrington himself, in his memoirs </w:t>
      </w:r>
      <w:r w:rsidR="00C36025">
        <w:rPr>
          <w:sz w:val="22"/>
          <w:szCs w:val="22"/>
        </w:rPr>
        <w:t>states that</w:t>
      </w:r>
      <w:r w:rsidR="00262AEA">
        <w:rPr>
          <w:sz w:val="22"/>
          <w:szCs w:val="22"/>
        </w:rPr>
        <w:t xml:space="preserve"> </w:t>
      </w:r>
      <w:r w:rsidR="00A71B22">
        <w:rPr>
          <w:sz w:val="22"/>
          <w:szCs w:val="22"/>
        </w:rPr>
        <w:t>the</w:t>
      </w:r>
      <w:r w:rsidR="00262AEA">
        <w:rPr>
          <w:sz w:val="22"/>
          <w:szCs w:val="22"/>
        </w:rPr>
        <w:t xml:space="preserve"> </w:t>
      </w:r>
      <w:r w:rsidR="00915981">
        <w:rPr>
          <w:sz w:val="22"/>
          <w:szCs w:val="22"/>
        </w:rPr>
        <w:t>‘</w:t>
      </w:r>
      <w:r w:rsidR="00262AEA">
        <w:rPr>
          <w:sz w:val="22"/>
          <w:szCs w:val="22"/>
        </w:rPr>
        <w:t xml:space="preserve">Endurance </w:t>
      </w:r>
      <w:r w:rsidR="001A0B1B">
        <w:rPr>
          <w:sz w:val="22"/>
          <w:szCs w:val="22"/>
        </w:rPr>
        <w:t>had no</w:t>
      </w:r>
      <w:r w:rsidR="00593A49">
        <w:rPr>
          <w:sz w:val="22"/>
          <w:szCs w:val="22"/>
        </w:rPr>
        <w:t xml:space="preserve"> great war</w:t>
      </w:r>
      <w:r w:rsidR="00915981">
        <w:rPr>
          <w:sz w:val="22"/>
          <w:szCs w:val="22"/>
        </w:rPr>
        <w:t>-</w:t>
      </w:r>
      <w:r w:rsidR="00593A49">
        <w:rPr>
          <w:sz w:val="22"/>
          <w:szCs w:val="22"/>
        </w:rPr>
        <w:t>fighting capacity</w:t>
      </w:r>
      <w:r w:rsidR="00A71B22">
        <w:rPr>
          <w:sz w:val="22"/>
          <w:szCs w:val="22"/>
        </w:rPr>
        <w:t>, but she was there and her presence</w:t>
      </w:r>
      <w:r w:rsidR="00C52C35">
        <w:rPr>
          <w:sz w:val="22"/>
          <w:szCs w:val="22"/>
        </w:rPr>
        <w:t xml:space="preserve"> served to underline the message.</w:t>
      </w:r>
      <w:r w:rsidR="00915981">
        <w:rPr>
          <w:sz w:val="22"/>
          <w:szCs w:val="22"/>
        </w:rPr>
        <w:t>’</w:t>
      </w:r>
      <w:r w:rsidR="00C52C35">
        <w:rPr>
          <w:rStyle w:val="FootnoteReference"/>
          <w:sz w:val="22"/>
          <w:szCs w:val="22"/>
        </w:rPr>
        <w:footnoteReference w:id="13"/>
      </w:r>
      <w:r w:rsidR="00915981">
        <w:rPr>
          <w:sz w:val="22"/>
          <w:szCs w:val="22"/>
        </w:rPr>
        <w:t xml:space="preserve"> </w:t>
      </w:r>
      <w:r w:rsidR="00B923EB">
        <w:rPr>
          <w:sz w:val="22"/>
          <w:szCs w:val="22"/>
        </w:rPr>
        <w:t xml:space="preserve">Strangely, despite Carrington’s determination </w:t>
      </w:r>
      <w:r w:rsidR="00A06251">
        <w:rPr>
          <w:sz w:val="22"/>
          <w:szCs w:val="22"/>
        </w:rPr>
        <w:t xml:space="preserve">that the Endurance </w:t>
      </w:r>
      <w:r w:rsidR="005F6D32">
        <w:rPr>
          <w:sz w:val="22"/>
          <w:szCs w:val="22"/>
        </w:rPr>
        <w:t xml:space="preserve">was such an important symbol of power in the </w:t>
      </w:r>
      <w:r w:rsidR="003B784F">
        <w:rPr>
          <w:sz w:val="22"/>
          <w:szCs w:val="22"/>
        </w:rPr>
        <w:t xml:space="preserve">waters surrounding the Falkland Islands, he was ultimately the individual to </w:t>
      </w:r>
      <w:r w:rsidR="00653802">
        <w:rPr>
          <w:sz w:val="22"/>
          <w:szCs w:val="22"/>
        </w:rPr>
        <w:t>suffer the consequences of the decision to withdraw it from its post.</w:t>
      </w:r>
      <w:r w:rsidR="0071700E">
        <w:rPr>
          <w:sz w:val="22"/>
          <w:szCs w:val="22"/>
        </w:rPr>
        <w:t xml:space="preserve"> Interestingly, </w:t>
      </w:r>
      <w:r w:rsidR="00AD5E89">
        <w:rPr>
          <w:sz w:val="22"/>
          <w:szCs w:val="22"/>
        </w:rPr>
        <w:t>Hastings states that whilst both Nott and Car</w:t>
      </w:r>
      <w:r w:rsidR="004439BE">
        <w:rPr>
          <w:sz w:val="22"/>
          <w:szCs w:val="22"/>
        </w:rPr>
        <w:t>r</w:t>
      </w:r>
      <w:r w:rsidR="00AD5E89">
        <w:rPr>
          <w:sz w:val="22"/>
          <w:szCs w:val="22"/>
        </w:rPr>
        <w:t xml:space="preserve">ington handed in resignations </w:t>
      </w:r>
      <w:r w:rsidR="00AB7064">
        <w:rPr>
          <w:sz w:val="22"/>
          <w:szCs w:val="22"/>
        </w:rPr>
        <w:t xml:space="preserve">after the </w:t>
      </w:r>
      <w:r w:rsidR="006F73F8">
        <w:rPr>
          <w:sz w:val="22"/>
          <w:szCs w:val="22"/>
        </w:rPr>
        <w:t>invasion commenced</w:t>
      </w:r>
      <w:r w:rsidR="004439BE">
        <w:rPr>
          <w:sz w:val="22"/>
          <w:szCs w:val="22"/>
        </w:rPr>
        <w:t xml:space="preserve">, Carrington would ultimately </w:t>
      </w:r>
      <w:r w:rsidR="00A53855">
        <w:rPr>
          <w:sz w:val="22"/>
          <w:szCs w:val="22"/>
        </w:rPr>
        <w:t xml:space="preserve">be the only one </w:t>
      </w:r>
      <w:r w:rsidR="00926B25">
        <w:rPr>
          <w:sz w:val="22"/>
          <w:szCs w:val="22"/>
        </w:rPr>
        <w:t>to leave his position</w:t>
      </w:r>
      <w:r w:rsidR="0012276F">
        <w:rPr>
          <w:sz w:val="22"/>
          <w:szCs w:val="22"/>
        </w:rPr>
        <w:t>.</w:t>
      </w:r>
      <w:r w:rsidR="0012276F">
        <w:rPr>
          <w:rStyle w:val="FootnoteReference"/>
          <w:sz w:val="22"/>
          <w:szCs w:val="22"/>
        </w:rPr>
        <w:footnoteReference w:id="14"/>
      </w:r>
      <w:r w:rsidR="00A53855">
        <w:rPr>
          <w:sz w:val="22"/>
          <w:szCs w:val="22"/>
        </w:rPr>
        <w:t xml:space="preserve"> </w:t>
      </w:r>
      <w:r w:rsidR="0039731C">
        <w:rPr>
          <w:sz w:val="22"/>
          <w:szCs w:val="22"/>
        </w:rPr>
        <w:t>Despite Thatcher’s attempts to keep Carrington</w:t>
      </w:r>
      <w:r w:rsidR="009C5DC2">
        <w:rPr>
          <w:sz w:val="22"/>
          <w:szCs w:val="22"/>
        </w:rPr>
        <w:t>, it must be noted that the two did not see eye to eye</w:t>
      </w:r>
      <w:r w:rsidR="0049479B">
        <w:rPr>
          <w:sz w:val="22"/>
          <w:szCs w:val="22"/>
        </w:rPr>
        <w:t xml:space="preserve"> regarding all matters</w:t>
      </w:r>
      <w:r w:rsidR="009D76DD">
        <w:rPr>
          <w:sz w:val="22"/>
          <w:szCs w:val="22"/>
        </w:rPr>
        <w:t xml:space="preserve">. </w:t>
      </w:r>
      <w:r w:rsidR="00662DF9">
        <w:rPr>
          <w:sz w:val="22"/>
          <w:szCs w:val="22"/>
        </w:rPr>
        <w:t>Even during the 1975 election, Carrington admitted that he supported Ted Heath and believed that Heath should win the election</w:t>
      </w:r>
      <w:r w:rsidR="0058391D">
        <w:rPr>
          <w:sz w:val="22"/>
          <w:szCs w:val="22"/>
        </w:rPr>
        <w:t>.</w:t>
      </w:r>
      <w:r w:rsidR="0058391D">
        <w:rPr>
          <w:rStyle w:val="FootnoteReference"/>
          <w:sz w:val="22"/>
          <w:szCs w:val="22"/>
        </w:rPr>
        <w:footnoteReference w:id="15"/>
      </w:r>
      <w:r w:rsidR="006F3266">
        <w:rPr>
          <w:sz w:val="22"/>
          <w:szCs w:val="22"/>
        </w:rPr>
        <w:t xml:space="preserve"> </w:t>
      </w:r>
      <w:r w:rsidR="00B174BC">
        <w:rPr>
          <w:noProof/>
          <w:sz w:val="22"/>
          <w:szCs w:val="22"/>
        </w:rPr>
        <mc:AlternateContent>
          <mc:Choice Requires="wps">
            <w:drawing>
              <wp:anchor distT="0" distB="0" distL="114300" distR="114300" simplePos="0" relativeHeight="251665408" behindDoc="0" locked="0" layoutInCell="1" allowOverlap="1" wp14:anchorId="1F93036F" wp14:editId="379BC651">
                <wp:simplePos x="0" y="0"/>
                <wp:positionH relativeFrom="column">
                  <wp:posOffset>4373880</wp:posOffset>
                </wp:positionH>
                <wp:positionV relativeFrom="paragraph">
                  <wp:posOffset>2833370</wp:posOffset>
                </wp:positionV>
                <wp:extent cx="2146935" cy="609600"/>
                <wp:effectExtent l="0" t="0" r="24765" b="19050"/>
                <wp:wrapSquare wrapText="bothSides"/>
                <wp:docPr id="811238440" name="Text Box 6"/>
                <wp:cNvGraphicFramePr/>
                <a:graphic xmlns:a="http://schemas.openxmlformats.org/drawingml/2006/main">
                  <a:graphicData uri="http://schemas.microsoft.com/office/word/2010/wordprocessingShape">
                    <wps:wsp>
                      <wps:cNvSpPr txBox="1"/>
                      <wps:spPr>
                        <a:xfrm>
                          <a:off x="0" y="0"/>
                          <a:ext cx="2146935" cy="609600"/>
                        </a:xfrm>
                        <a:prstGeom prst="rect">
                          <a:avLst/>
                        </a:prstGeom>
                        <a:solidFill>
                          <a:schemeClr val="lt1"/>
                        </a:solidFill>
                        <a:ln w="6350">
                          <a:solidFill>
                            <a:prstClr val="black"/>
                          </a:solidFill>
                        </a:ln>
                      </wps:spPr>
                      <wps:txbx>
                        <w:txbxContent>
                          <w:p w14:paraId="226899C3" w14:textId="01DCA637" w:rsidR="00B174BC" w:rsidRPr="00B174BC" w:rsidRDefault="00DA2952" w:rsidP="00FD072C">
                            <w:pPr>
                              <w:jc w:val="center"/>
                              <w:rPr>
                                <w:sz w:val="20"/>
                                <w:szCs w:val="20"/>
                                <w:lang w:val="en-US"/>
                              </w:rPr>
                            </w:pPr>
                            <w:r>
                              <w:rPr>
                                <w:sz w:val="20"/>
                                <w:szCs w:val="20"/>
                                <w:lang w:val="en-US"/>
                              </w:rPr>
                              <w:t xml:space="preserve">Fig 3: </w:t>
                            </w:r>
                            <w:r w:rsidR="00B174BC">
                              <w:rPr>
                                <w:sz w:val="20"/>
                                <w:szCs w:val="20"/>
                                <w:lang w:val="en-US"/>
                              </w:rPr>
                              <w:t>Lord</w:t>
                            </w:r>
                            <w:r w:rsidR="00751600">
                              <w:rPr>
                                <w:sz w:val="20"/>
                                <w:szCs w:val="20"/>
                                <w:lang w:val="en-US"/>
                              </w:rPr>
                              <w:t xml:space="preserve"> Peter</w:t>
                            </w:r>
                            <w:r w:rsidR="00B174BC">
                              <w:rPr>
                                <w:sz w:val="20"/>
                                <w:szCs w:val="20"/>
                                <w:lang w:val="en-US"/>
                              </w:rPr>
                              <w:t xml:space="preserve"> Carrington</w:t>
                            </w:r>
                            <w:r>
                              <w:rPr>
                                <w:sz w:val="20"/>
                                <w:szCs w:val="20"/>
                                <w:lang w:val="en-US"/>
                              </w:rPr>
                              <w:t xml:space="preserve">, the </w:t>
                            </w:r>
                            <w:r w:rsidR="00FE0A93">
                              <w:rPr>
                                <w:sz w:val="20"/>
                                <w:szCs w:val="20"/>
                                <w:lang w:val="en-US"/>
                              </w:rPr>
                              <w:t>‘</w:t>
                            </w:r>
                            <w:r>
                              <w:rPr>
                                <w:sz w:val="20"/>
                                <w:szCs w:val="20"/>
                                <w:lang w:val="en-US"/>
                              </w:rPr>
                              <w:t>scapegoat</w:t>
                            </w:r>
                            <w:r w:rsidR="00FE0A93">
                              <w:rPr>
                                <w:sz w:val="20"/>
                                <w:szCs w:val="20"/>
                                <w:lang w:val="en-US"/>
                              </w:rPr>
                              <w:t>’</w:t>
                            </w:r>
                            <w:r>
                              <w:rPr>
                                <w:sz w:val="20"/>
                                <w:szCs w:val="20"/>
                                <w:lang w:val="en-US"/>
                              </w:rPr>
                              <w:t xml:space="preserve"> for the Falkland</w:t>
                            </w:r>
                            <w:r w:rsidR="003F5A93">
                              <w:rPr>
                                <w:sz w:val="20"/>
                                <w:szCs w:val="20"/>
                                <w:lang w:val="en-US"/>
                              </w:rPr>
                              <w:t>s</w:t>
                            </w:r>
                            <w:r>
                              <w:rPr>
                                <w:sz w:val="20"/>
                                <w:szCs w:val="20"/>
                                <w:lang w:val="en-US"/>
                              </w:rPr>
                              <w:t xml:space="preserve"> crisis, pictured</w:t>
                            </w:r>
                            <w:r w:rsidR="00DD0266">
                              <w:rPr>
                                <w:sz w:val="20"/>
                                <w:szCs w:val="20"/>
                                <w:lang w:val="en-US"/>
                              </w:rPr>
                              <w:t xml:space="preserve"> in</w:t>
                            </w:r>
                            <w:r>
                              <w:rPr>
                                <w:sz w:val="20"/>
                                <w:szCs w:val="20"/>
                                <w:lang w:val="en-US"/>
                              </w:rPr>
                              <w:t xml:space="preserve"> 1984.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93036F" id="_x0000_t202" coordsize="21600,21600" o:spt="202" path="m,l,21600r21600,l21600,xe">
                <v:stroke joinstyle="miter"/>
                <v:path gradientshapeok="t" o:connecttype="rect"/>
              </v:shapetype>
              <v:shape id="Text Box 6" o:spid="_x0000_s1028" type="#_x0000_t202" style="position:absolute;margin-left:344.4pt;margin-top:223.1pt;width:169.05pt;height:4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0MzOgIAAIMEAAAOAAAAZHJzL2Uyb0RvYy54bWysVE2PGjEMvVfqf4hyLzOwQBfEsKKsqCqh&#10;3ZXYas8hkzBRM3GaBGbor68Tvrc9Vb1k7Nh5tp/tmT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" fillcolor="white [3201]" strokeweight=".5pt">
                <v:textbox>
                  <w:txbxContent>
                    <w:p w14:paraId="226899C3" w14:textId="01DCA637" w:rsidR="00B174BC" w:rsidRPr="00B174BC" w:rsidRDefault="00DA2952" w:rsidP="00FD072C">
                      <w:pPr>
                        <w:jc w:val="center"/>
                        <w:rPr>
                          <w:sz w:val="20"/>
                          <w:szCs w:val="20"/>
                          <w:lang w:val="en-US"/>
                        </w:rPr>
                      </w:pPr>
                      <w:r>
                        <w:rPr>
                          <w:sz w:val="20"/>
                          <w:szCs w:val="20"/>
                          <w:lang w:val="en-US"/>
                        </w:rPr>
                        <w:t xml:space="preserve">Fig 3: </w:t>
                      </w:r>
                      <w:r w:rsidR="00B174BC">
                        <w:rPr>
                          <w:sz w:val="20"/>
                          <w:szCs w:val="20"/>
                          <w:lang w:val="en-US"/>
                        </w:rPr>
                        <w:t>Lord</w:t>
                      </w:r>
                      <w:r w:rsidR="00751600">
                        <w:rPr>
                          <w:sz w:val="20"/>
                          <w:szCs w:val="20"/>
                          <w:lang w:val="en-US"/>
                        </w:rPr>
                        <w:t xml:space="preserve"> Peter</w:t>
                      </w:r>
                      <w:r w:rsidR="00B174BC">
                        <w:rPr>
                          <w:sz w:val="20"/>
                          <w:szCs w:val="20"/>
                          <w:lang w:val="en-US"/>
                        </w:rPr>
                        <w:t xml:space="preserve"> Carrington</w:t>
                      </w:r>
                      <w:r>
                        <w:rPr>
                          <w:sz w:val="20"/>
                          <w:szCs w:val="20"/>
                          <w:lang w:val="en-US"/>
                        </w:rPr>
                        <w:t xml:space="preserve">, the </w:t>
                      </w:r>
                      <w:r w:rsidR="00FE0A93">
                        <w:rPr>
                          <w:sz w:val="20"/>
                          <w:szCs w:val="20"/>
                          <w:lang w:val="en-US"/>
                        </w:rPr>
                        <w:t>‘</w:t>
                      </w:r>
                      <w:r>
                        <w:rPr>
                          <w:sz w:val="20"/>
                          <w:szCs w:val="20"/>
                          <w:lang w:val="en-US"/>
                        </w:rPr>
                        <w:t>scapegoat</w:t>
                      </w:r>
                      <w:r w:rsidR="00FE0A93">
                        <w:rPr>
                          <w:sz w:val="20"/>
                          <w:szCs w:val="20"/>
                          <w:lang w:val="en-US"/>
                        </w:rPr>
                        <w:t>’</w:t>
                      </w:r>
                      <w:r>
                        <w:rPr>
                          <w:sz w:val="20"/>
                          <w:szCs w:val="20"/>
                          <w:lang w:val="en-US"/>
                        </w:rPr>
                        <w:t xml:space="preserve"> for the Falkland</w:t>
                      </w:r>
                      <w:r w:rsidR="003F5A93">
                        <w:rPr>
                          <w:sz w:val="20"/>
                          <w:szCs w:val="20"/>
                          <w:lang w:val="en-US"/>
                        </w:rPr>
                        <w:t>s</w:t>
                      </w:r>
                      <w:r>
                        <w:rPr>
                          <w:sz w:val="20"/>
                          <w:szCs w:val="20"/>
                          <w:lang w:val="en-US"/>
                        </w:rPr>
                        <w:t xml:space="preserve"> crisis, pictured</w:t>
                      </w:r>
                      <w:r w:rsidR="00DD0266">
                        <w:rPr>
                          <w:sz w:val="20"/>
                          <w:szCs w:val="20"/>
                          <w:lang w:val="en-US"/>
                        </w:rPr>
                        <w:t xml:space="preserve"> in</w:t>
                      </w:r>
                      <w:r>
                        <w:rPr>
                          <w:sz w:val="20"/>
                          <w:szCs w:val="20"/>
                          <w:lang w:val="en-US"/>
                        </w:rPr>
                        <w:t xml:space="preserve"> 1984.</w:t>
                      </w:r>
                    </w:p>
                  </w:txbxContent>
                </v:textbox>
                <w10:wrap type="square"/>
              </v:shape>
            </w:pict>
          </mc:Fallback>
        </mc:AlternateContent>
      </w:r>
      <w:r w:rsidR="006F3266">
        <w:rPr>
          <w:sz w:val="22"/>
          <w:szCs w:val="22"/>
        </w:rPr>
        <w:t>Despite this, Thatcher</w:t>
      </w:r>
      <w:r w:rsidR="00A14182">
        <w:rPr>
          <w:sz w:val="22"/>
          <w:szCs w:val="22"/>
        </w:rPr>
        <w:t xml:space="preserve"> chose to keep Carrington </w:t>
      </w:r>
      <w:r w:rsidR="0066182F">
        <w:rPr>
          <w:sz w:val="22"/>
          <w:szCs w:val="22"/>
        </w:rPr>
        <w:t xml:space="preserve">within her shadow cabinet, and </w:t>
      </w:r>
      <w:r w:rsidR="00827CD9">
        <w:rPr>
          <w:sz w:val="22"/>
          <w:szCs w:val="22"/>
        </w:rPr>
        <w:t xml:space="preserve">in their memoirs, both note that they </w:t>
      </w:r>
      <w:r w:rsidR="00F51DC8">
        <w:rPr>
          <w:sz w:val="22"/>
          <w:szCs w:val="22"/>
        </w:rPr>
        <w:t>respected each other, despite their apparent differences</w:t>
      </w:r>
      <w:r w:rsidR="00A907A0">
        <w:rPr>
          <w:sz w:val="22"/>
          <w:szCs w:val="22"/>
        </w:rPr>
        <w:t>.</w:t>
      </w:r>
      <w:r w:rsidR="003C0631">
        <w:rPr>
          <w:sz w:val="22"/>
          <w:szCs w:val="22"/>
        </w:rPr>
        <w:t xml:space="preserve"> Carrington would admire Thatcher’s</w:t>
      </w:r>
      <w:r w:rsidR="00C52FBD">
        <w:rPr>
          <w:sz w:val="22"/>
          <w:szCs w:val="22"/>
        </w:rPr>
        <w:t xml:space="preserve"> ‘firmness of purpose and</w:t>
      </w:r>
      <w:r w:rsidR="000E4615">
        <w:rPr>
          <w:sz w:val="22"/>
          <w:szCs w:val="22"/>
        </w:rPr>
        <w:t xml:space="preserve"> integrity of character.’</w:t>
      </w:r>
      <w:r w:rsidR="000E4615">
        <w:rPr>
          <w:rStyle w:val="FootnoteReference"/>
          <w:sz w:val="22"/>
          <w:szCs w:val="22"/>
        </w:rPr>
        <w:footnoteReference w:id="16"/>
      </w:r>
      <w:r w:rsidR="00A907A0">
        <w:rPr>
          <w:sz w:val="22"/>
          <w:szCs w:val="22"/>
        </w:rPr>
        <w:t xml:space="preserve"> </w:t>
      </w:r>
      <w:r w:rsidR="00D92842">
        <w:rPr>
          <w:sz w:val="22"/>
          <w:szCs w:val="22"/>
        </w:rPr>
        <w:t>Meanwhile T</w:t>
      </w:r>
      <w:r w:rsidR="00A907A0">
        <w:rPr>
          <w:sz w:val="22"/>
          <w:szCs w:val="22"/>
        </w:rPr>
        <w:t xml:space="preserve">hatcher would acknowledge that she </w:t>
      </w:r>
      <w:r w:rsidR="004F4B04">
        <w:rPr>
          <w:sz w:val="22"/>
          <w:szCs w:val="22"/>
        </w:rPr>
        <w:t xml:space="preserve">could always </w:t>
      </w:r>
      <w:r w:rsidR="0017667B">
        <w:rPr>
          <w:sz w:val="22"/>
          <w:szCs w:val="22"/>
        </w:rPr>
        <w:t>appreciate someone with Carrington’s experience</w:t>
      </w:r>
      <w:r w:rsidR="00187CC5">
        <w:rPr>
          <w:sz w:val="22"/>
          <w:szCs w:val="22"/>
        </w:rPr>
        <w:t xml:space="preserve"> stating </w:t>
      </w:r>
      <w:r w:rsidR="00315E96">
        <w:rPr>
          <w:sz w:val="22"/>
          <w:szCs w:val="22"/>
        </w:rPr>
        <w:t>t</w:t>
      </w:r>
      <w:r w:rsidR="004970F6">
        <w:rPr>
          <w:sz w:val="22"/>
          <w:szCs w:val="22"/>
        </w:rPr>
        <w:t>hat she</w:t>
      </w:r>
      <w:r w:rsidR="00315E96" w:rsidRPr="00315E96">
        <w:rPr>
          <w:sz w:val="22"/>
          <w:szCs w:val="22"/>
        </w:rPr>
        <w:t xml:space="preserve"> </w:t>
      </w:r>
      <w:r w:rsidR="004970F6">
        <w:rPr>
          <w:sz w:val="22"/>
          <w:szCs w:val="22"/>
        </w:rPr>
        <w:t>‘</w:t>
      </w:r>
      <w:r w:rsidR="00315E96" w:rsidRPr="00315E96">
        <w:rPr>
          <w:sz w:val="22"/>
          <w:szCs w:val="22"/>
        </w:rPr>
        <w:t>felt that the country needed a Foreign Secretary of his experience and international standing to see us through the crisis.</w:t>
      </w:r>
      <w:r w:rsidR="00315E96">
        <w:rPr>
          <w:sz w:val="22"/>
          <w:szCs w:val="22"/>
        </w:rPr>
        <w:t>’</w:t>
      </w:r>
      <w:r w:rsidR="00315E96">
        <w:rPr>
          <w:rStyle w:val="FootnoteReference"/>
          <w:sz w:val="22"/>
          <w:szCs w:val="22"/>
        </w:rPr>
        <w:footnoteReference w:id="17"/>
      </w:r>
      <w:r w:rsidR="0024362C">
        <w:rPr>
          <w:sz w:val="22"/>
          <w:szCs w:val="22"/>
        </w:rPr>
        <w:t xml:space="preserve"> </w:t>
      </w:r>
      <w:r w:rsidR="00893790">
        <w:rPr>
          <w:sz w:val="22"/>
          <w:szCs w:val="22"/>
        </w:rPr>
        <w:t xml:space="preserve">However, she also acknowledges that due to </w:t>
      </w:r>
      <w:r w:rsidR="00AF6FDB">
        <w:rPr>
          <w:sz w:val="22"/>
          <w:szCs w:val="22"/>
        </w:rPr>
        <w:t xml:space="preserve">the ‘visceral desire </w:t>
      </w:r>
      <w:r w:rsidR="00AF6FDB" w:rsidRPr="00AF6FDB">
        <w:rPr>
          <w:sz w:val="22"/>
          <w:szCs w:val="22"/>
        </w:rPr>
        <w:t>that a disaster should be paid for by a scapegoat</w:t>
      </w:r>
      <w:r w:rsidR="00F16641">
        <w:rPr>
          <w:sz w:val="22"/>
          <w:szCs w:val="22"/>
        </w:rPr>
        <w:t>’</w:t>
      </w:r>
      <w:r w:rsidR="00BE28E5">
        <w:rPr>
          <w:sz w:val="22"/>
          <w:szCs w:val="22"/>
        </w:rPr>
        <w:t>.</w:t>
      </w:r>
      <w:r w:rsidR="009D4B8F">
        <w:rPr>
          <w:rStyle w:val="FootnoteReference"/>
          <w:sz w:val="22"/>
          <w:szCs w:val="22"/>
        </w:rPr>
        <w:footnoteReference w:id="18"/>
      </w:r>
      <w:r w:rsidR="00EE05B8">
        <w:rPr>
          <w:sz w:val="22"/>
          <w:szCs w:val="22"/>
        </w:rPr>
        <w:t xml:space="preserve"> </w:t>
      </w:r>
      <w:r w:rsidR="008D4200">
        <w:rPr>
          <w:sz w:val="22"/>
          <w:szCs w:val="22"/>
        </w:rPr>
        <w:t>U</w:t>
      </w:r>
      <w:r w:rsidR="00EE05B8">
        <w:rPr>
          <w:sz w:val="22"/>
          <w:szCs w:val="22"/>
        </w:rPr>
        <w:t>nfortunately</w:t>
      </w:r>
      <w:r w:rsidR="00177FC4">
        <w:rPr>
          <w:sz w:val="22"/>
          <w:szCs w:val="22"/>
        </w:rPr>
        <w:t xml:space="preserve">, </w:t>
      </w:r>
      <w:r w:rsidR="00EE05B8">
        <w:rPr>
          <w:sz w:val="22"/>
          <w:szCs w:val="22"/>
        </w:rPr>
        <w:t xml:space="preserve">Carrington’s resignation </w:t>
      </w:r>
      <w:r w:rsidR="00C0023F">
        <w:rPr>
          <w:sz w:val="22"/>
          <w:szCs w:val="22"/>
        </w:rPr>
        <w:t xml:space="preserve">did help to unite the </w:t>
      </w:r>
      <w:r w:rsidR="001E77AC">
        <w:rPr>
          <w:sz w:val="22"/>
          <w:szCs w:val="22"/>
        </w:rPr>
        <w:t>Party to resolve Falklands crisis.</w:t>
      </w:r>
      <w:r w:rsidR="000E4615">
        <w:rPr>
          <w:rStyle w:val="FootnoteReference"/>
          <w:sz w:val="22"/>
          <w:szCs w:val="22"/>
        </w:rPr>
        <w:footnoteReference w:id="19"/>
      </w:r>
      <w:r w:rsidR="000E4615">
        <w:rPr>
          <w:sz w:val="22"/>
          <w:szCs w:val="22"/>
        </w:rPr>
        <w:t xml:space="preserve"> </w:t>
      </w:r>
      <w:r w:rsidR="006B3044">
        <w:rPr>
          <w:sz w:val="22"/>
          <w:szCs w:val="22"/>
        </w:rPr>
        <w:t xml:space="preserve">When considering this, </w:t>
      </w:r>
      <w:r w:rsidR="001F2E03">
        <w:rPr>
          <w:sz w:val="22"/>
          <w:szCs w:val="22"/>
        </w:rPr>
        <w:t xml:space="preserve">it becomes clear that even </w:t>
      </w:r>
      <w:r w:rsidR="003D3C5C">
        <w:rPr>
          <w:sz w:val="22"/>
          <w:szCs w:val="22"/>
        </w:rPr>
        <w:t xml:space="preserve">though the early hours of the conflict were difficult, Thatcher </w:t>
      </w:r>
      <w:r w:rsidR="00672323">
        <w:rPr>
          <w:sz w:val="22"/>
          <w:szCs w:val="22"/>
        </w:rPr>
        <w:t>made efforts to support her cabinet, even when</w:t>
      </w:r>
      <w:r w:rsidR="000B76B8">
        <w:rPr>
          <w:sz w:val="22"/>
          <w:szCs w:val="22"/>
        </w:rPr>
        <w:t xml:space="preserve"> she</w:t>
      </w:r>
      <w:r w:rsidR="006531FA">
        <w:rPr>
          <w:sz w:val="22"/>
          <w:szCs w:val="22"/>
        </w:rPr>
        <w:t xml:space="preserve"> and said individual wer</w:t>
      </w:r>
      <w:r w:rsidR="00CE5C11">
        <w:rPr>
          <w:sz w:val="22"/>
          <w:szCs w:val="22"/>
        </w:rPr>
        <w:t>e not ‘bosom friends’</w:t>
      </w:r>
      <w:r w:rsidR="00AB7797">
        <w:rPr>
          <w:sz w:val="22"/>
          <w:szCs w:val="22"/>
        </w:rPr>
        <w:t>.</w:t>
      </w:r>
      <w:r w:rsidR="00CE5C11">
        <w:rPr>
          <w:rStyle w:val="FootnoteReference"/>
          <w:sz w:val="22"/>
          <w:szCs w:val="22"/>
        </w:rPr>
        <w:footnoteReference w:id="20"/>
      </w:r>
      <w:r w:rsidR="00DA2952">
        <w:rPr>
          <w:sz w:val="22"/>
          <w:szCs w:val="22"/>
        </w:rPr>
        <w:t xml:space="preserve"> </w:t>
      </w:r>
      <w:r w:rsidR="00C156E2">
        <w:rPr>
          <w:sz w:val="22"/>
          <w:szCs w:val="22"/>
        </w:rPr>
        <w:t>This</w:t>
      </w:r>
      <w:r w:rsidR="00C40DE7">
        <w:rPr>
          <w:sz w:val="22"/>
          <w:szCs w:val="22"/>
        </w:rPr>
        <w:t xml:space="preserve"> suggests that even </w:t>
      </w:r>
      <w:r w:rsidR="008D2C33">
        <w:rPr>
          <w:sz w:val="22"/>
          <w:szCs w:val="22"/>
        </w:rPr>
        <w:t>despite her stubborn nature, Thatcher did</w:t>
      </w:r>
      <w:r w:rsidR="00741981">
        <w:rPr>
          <w:sz w:val="22"/>
          <w:szCs w:val="22"/>
        </w:rPr>
        <w:t xml:space="preserve">, at least to </w:t>
      </w:r>
      <w:r w:rsidR="00D2181B">
        <w:rPr>
          <w:sz w:val="22"/>
          <w:szCs w:val="22"/>
        </w:rPr>
        <w:t>an extent</w:t>
      </w:r>
      <w:r w:rsidR="00FB6C40">
        <w:rPr>
          <w:sz w:val="22"/>
          <w:szCs w:val="22"/>
        </w:rPr>
        <w:t xml:space="preserve">, </w:t>
      </w:r>
      <w:r w:rsidR="005A2287">
        <w:rPr>
          <w:sz w:val="22"/>
          <w:szCs w:val="22"/>
        </w:rPr>
        <w:t>put her own differences with certain individuals aside</w:t>
      </w:r>
      <w:r w:rsidR="004C7D9D">
        <w:rPr>
          <w:sz w:val="22"/>
          <w:szCs w:val="22"/>
        </w:rPr>
        <w:t xml:space="preserve"> for what she would consider the betterment of Britain, a</w:t>
      </w:r>
      <w:r w:rsidR="00E45541">
        <w:rPr>
          <w:sz w:val="22"/>
          <w:szCs w:val="22"/>
        </w:rPr>
        <w:t xml:space="preserve">n important trait needed </w:t>
      </w:r>
      <w:r w:rsidR="00D77AB2">
        <w:rPr>
          <w:sz w:val="22"/>
          <w:szCs w:val="22"/>
        </w:rPr>
        <w:t>in a strong leader.</w:t>
      </w:r>
    </w:p>
    <w:p w14:paraId="48C7F24E" w14:textId="263B827C" w:rsidR="00057C9C" w:rsidRDefault="001D2B61">
      <w:pPr>
        <w:rPr>
          <w:sz w:val="22"/>
          <w:szCs w:val="22"/>
        </w:rPr>
      </w:pPr>
      <w:r>
        <w:rPr>
          <w:sz w:val="22"/>
          <w:szCs w:val="22"/>
        </w:rPr>
        <w:t xml:space="preserve">Though Carrington’s argument that </w:t>
      </w:r>
      <w:r w:rsidR="004822CE">
        <w:rPr>
          <w:sz w:val="22"/>
          <w:szCs w:val="22"/>
        </w:rPr>
        <w:t xml:space="preserve">the show of force posed by the Endurance </w:t>
      </w:r>
      <w:r w:rsidR="0045644D">
        <w:rPr>
          <w:sz w:val="22"/>
          <w:szCs w:val="22"/>
        </w:rPr>
        <w:t xml:space="preserve">was deterring </w:t>
      </w:r>
      <w:r w:rsidR="00601EAB">
        <w:rPr>
          <w:sz w:val="22"/>
          <w:szCs w:val="22"/>
        </w:rPr>
        <w:t>an invasion</w:t>
      </w:r>
      <w:r w:rsidR="00DD0266">
        <w:rPr>
          <w:sz w:val="22"/>
          <w:szCs w:val="22"/>
        </w:rPr>
        <w:t>, there were other measures being taken to ease the tensions.</w:t>
      </w:r>
      <w:r w:rsidR="00705109">
        <w:rPr>
          <w:sz w:val="22"/>
          <w:szCs w:val="22"/>
        </w:rPr>
        <w:t xml:space="preserve"> One such measure </w:t>
      </w:r>
      <w:r w:rsidR="004A5555">
        <w:rPr>
          <w:sz w:val="22"/>
          <w:szCs w:val="22"/>
        </w:rPr>
        <w:t xml:space="preserve">being the negotiations taking place; involving not only the United Kingdom and Argentina, but other United Nations </w:t>
      </w:r>
      <w:r w:rsidR="002A6DE1">
        <w:rPr>
          <w:sz w:val="22"/>
          <w:szCs w:val="22"/>
        </w:rPr>
        <w:t>Countries</w:t>
      </w:r>
      <w:r w:rsidR="001613BC">
        <w:rPr>
          <w:sz w:val="22"/>
          <w:szCs w:val="22"/>
        </w:rPr>
        <w:t>, specifically, the</w:t>
      </w:r>
      <w:r w:rsidR="004A5555">
        <w:rPr>
          <w:sz w:val="22"/>
          <w:szCs w:val="22"/>
        </w:rPr>
        <w:t xml:space="preserve"> </w:t>
      </w:r>
      <w:r w:rsidR="002A6DE1">
        <w:rPr>
          <w:sz w:val="22"/>
          <w:szCs w:val="22"/>
        </w:rPr>
        <w:t>United States.</w:t>
      </w:r>
      <w:r w:rsidR="0015646D">
        <w:rPr>
          <w:sz w:val="22"/>
          <w:szCs w:val="22"/>
        </w:rPr>
        <w:t xml:space="preserve"> </w:t>
      </w:r>
      <w:r w:rsidR="00CA709E">
        <w:rPr>
          <w:sz w:val="22"/>
          <w:szCs w:val="22"/>
        </w:rPr>
        <w:t>The U.S.</w:t>
      </w:r>
      <w:r w:rsidR="0015646D">
        <w:rPr>
          <w:sz w:val="22"/>
          <w:szCs w:val="22"/>
        </w:rPr>
        <w:t xml:space="preserve"> were </w:t>
      </w:r>
      <w:r w:rsidR="001319BD">
        <w:rPr>
          <w:sz w:val="22"/>
          <w:szCs w:val="22"/>
        </w:rPr>
        <w:t xml:space="preserve">trying their absolute best to achieve a peaceful resolution due to being ‘good friends’ with both </w:t>
      </w:r>
      <w:r w:rsidR="00B575BE">
        <w:rPr>
          <w:sz w:val="22"/>
          <w:szCs w:val="22"/>
        </w:rPr>
        <w:t>Britain and Argentina.</w:t>
      </w:r>
      <w:r w:rsidR="00B575BE">
        <w:rPr>
          <w:rStyle w:val="FootnoteReference"/>
          <w:sz w:val="22"/>
          <w:szCs w:val="22"/>
        </w:rPr>
        <w:footnoteReference w:id="21"/>
      </w:r>
      <w:r w:rsidR="004A5555">
        <w:rPr>
          <w:sz w:val="22"/>
          <w:szCs w:val="22"/>
        </w:rPr>
        <w:t xml:space="preserve"> </w:t>
      </w:r>
      <w:r w:rsidR="00451648">
        <w:rPr>
          <w:sz w:val="22"/>
          <w:szCs w:val="22"/>
        </w:rPr>
        <w:t xml:space="preserve">With the tensions of the Cold War, it is also highly possible that </w:t>
      </w:r>
      <w:r w:rsidR="00A40130">
        <w:rPr>
          <w:sz w:val="22"/>
          <w:szCs w:val="22"/>
        </w:rPr>
        <w:t xml:space="preserve">the U.S. greatly feared that such a conflict could result </w:t>
      </w:r>
      <w:r w:rsidR="00A40130">
        <w:rPr>
          <w:sz w:val="22"/>
          <w:szCs w:val="22"/>
        </w:rPr>
        <w:lastRenderedPageBreak/>
        <w:t xml:space="preserve">in manpower being driven away from crucial points </w:t>
      </w:r>
      <w:r w:rsidR="0003131E">
        <w:rPr>
          <w:sz w:val="22"/>
          <w:szCs w:val="22"/>
        </w:rPr>
        <w:t>which could allow Russia to make a strike elsewhere whilst</w:t>
      </w:r>
      <w:r w:rsidR="00A92A44">
        <w:rPr>
          <w:sz w:val="22"/>
          <w:szCs w:val="22"/>
        </w:rPr>
        <w:t xml:space="preserve"> Britain and</w:t>
      </w:r>
      <w:r w:rsidR="0003131E">
        <w:rPr>
          <w:sz w:val="22"/>
          <w:szCs w:val="22"/>
        </w:rPr>
        <w:t xml:space="preserve"> the</w:t>
      </w:r>
      <w:r w:rsidR="00A92A44">
        <w:rPr>
          <w:sz w:val="22"/>
          <w:szCs w:val="22"/>
        </w:rPr>
        <w:t xml:space="preserve"> United Nations were focussed on the Falklands</w:t>
      </w:r>
      <w:r w:rsidR="00BE27C1">
        <w:rPr>
          <w:sz w:val="22"/>
          <w:szCs w:val="22"/>
        </w:rPr>
        <w:t>.</w:t>
      </w:r>
      <w:r w:rsidR="00BE27C1">
        <w:rPr>
          <w:rStyle w:val="FootnoteReference"/>
          <w:sz w:val="22"/>
          <w:szCs w:val="22"/>
        </w:rPr>
        <w:footnoteReference w:id="22"/>
      </w:r>
      <w:r w:rsidR="005C6941">
        <w:rPr>
          <w:sz w:val="22"/>
          <w:szCs w:val="22"/>
        </w:rPr>
        <w:t xml:space="preserve"> </w:t>
      </w:r>
      <w:r w:rsidR="007B0621">
        <w:rPr>
          <w:sz w:val="22"/>
          <w:szCs w:val="22"/>
        </w:rPr>
        <w:t xml:space="preserve">This becomes even more likely when one </w:t>
      </w:r>
      <w:r w:rsidR="007C53D8">
        <w:rPr>
          <w:sz w:val="22"/>
          <w:szCs w:val="22"/>
        </w:rPr>
        <w:t>considers the fact that the tensions between Britain and Argentina</w:t>
      </w:r>
      <w:r w:rsidR="0032205E">
        <w:rPr>
          <w:sz w:val="22"/>
          <w:szCs w:val="22"/>
        </w:rPr>
        <w:t xml:space="preserve"> had been brewing for a very long time</w:t>
      </w:r>
      <w:r w:rsidR="00033A54">
        <w:rPr>
          <w:sz w:val="22"/>
          <w:szCs w:val="22"/>
        </w:rPr>
        <w:t>. Given these tensions</w:t>
      </w:r>
      <w:r w:rsidR="002F316A">
        <w:rPr>
          <w:sz w:val="22"/>
          <w:szCs w:val="22"/>
        </w:rPr>
        <w:t xml:space="preserve">, it is not so far fetched to consider that perhaps </w:t>
      </w:r>
      <w:r w:rsidR="00930344">
        <w:rPr>
          <w:sz w:val="22"/>
          <w:szCs w:val="22"/>
        </w:rPr>
        <w:t>the Soviet Union could be using Argentina as a puppet state to cause a rift between the U.S. and Britain</w:t>
      </w:r>
      <w:r w:rsidR="00B7585D">
        <w:rPr>
          <w:sz w:val="22"/>
          <w:szCs w:val="22"/>
        </w:rPr>
        <w:t xml:space="preserve">, thus weakening the alliance between the two </w:t>
      </w:r>
      <w:r w:rsidR="00B20FD6">
        <w:rPr>
          <w:sz w:val="22"/>
          <w:szCs w:val="22"/>
        </w:rPr>
        <w:t xml:space="preserve">very close and powerful allies. This </w:t>
      </w:r>
      <w:r w:rsidR="00707E63">
        <w:rPr>
          <w:sz w:val="22"/>
          <w:szCs w:val="22"/>
        </w:rPr>
        <w:t>is especially possible</w:t>
      </w:r>
      <w:r w:rsidR="008357AE">
        <w:rPr>
          <w:sz w:val="22"/>
          <w:szCs w:val="22"/>
        </w:rPr>
        <w:t xml:space="preserve"> since the neutral stance that the U.S. enacted in attempt to quell the tensions proved </w:t>
      </w:r>
      <w:r w:rsidR="00E9569C">
        <w:rPr>
          <w:sz w:val="22"/>
          <w:szCs w:val="22"/>
        </w:rPr>
        <w:t xml:space="preserve">ineffective. </w:t>
      </w:r>
      <w:r w:rsidR="006E0E95">
        <w:rPr>
          <w:sz w:val="22"/>
          <w:szCs w:val="22"/>
        </w:rPr>
        <w:t>Lawrence Freedman states</w:t>
      </w:r>
      <w:r w:rsidR="00FE1751">
        <w:rPr>
          <w:sz w:val="22"/>
          <w:szCs w:val="22"/>
        </w:rPr>
        <w:t xml:space="preserve"> in his book, </w:t>
      </w:r>
      <w:r w:rsidR="00FE1751" w:rsidRPr="00FE1751">
        <w:rPr>
          <w:i/>
          <w:iCs/>
          <w:sz w:val="22"/>
          <w:szCs w:val="22"/>
        </w:rPr>
        <w:t>Britain and the Falklands War</w:t>
      </w:r>
      <w:r w:rsidR="00FE1751">
        <w:rPr>
          <w:i/>
          <w:iCs/>
          <w:sz w:val="22"/>
          <w:szCs w:val="22"/>
        </w:rPr>
        <w:t>,</w:t>
      </w:r>
      <w:r w:rsidR="006E0E95">
        <w:rPr>
          <w:sz w:val="22"/>
          <w:szCs w:val="22"/>
        </w:rPr>
        <w:t xml:space="preserve"> that </w:t>
      </w:r>
      <w:r w:rsidR="000E3700">
        <w:rPr>
          <w:sz w:val="22"/>
          <w:szCs w:val="22"/>
        </w:rPr>
        <w:t xml:space="preserve">the U.S. involvement may have even </w:t>
      </w:r>
      <w:r w:rsidR="00EA2309">
        <w:rPr>
          <w:sz w:val="22"/>
          <w:szCs w:val="22"/>
        </w:rPr>
        <w:t>made matters worse since it ‘did not ease Britain’s irritation’</w:t>
      </w:r>
      <w:r w:rsidR="00FE1751">
        <w:rPr>
          <w:sz w:val="22"/>
          <w:szCs w:val="22"/>
        </w:rPr>
        <w:t xml:space="preserve"> due to the fact that the U.S. was assisting both sides in their attempt to maintain peace.</w:t>
      </w:r>
      <w:r w:rsidR="00FE1751">
        <w:rPr>
          <w:rStyle w:val="FootnoteReference"/>
          <w:sz w:val="22"/>
          <w:szCs w:val="22"/>
        </w:rPr>
        <w:footnoteReference w:id="23"/>
      </w:r>
      <w:r w:rsidR="007C02AD">
        <w:rPr>
          <w:sz w:val="22"/>
          <w:szCs w:val="22"/>
        </w:rPr>
        <w:t xml:space="preserve"> Additionally</w:t>
      </w:r>
      <w:r w:rsidR="0043475B">
        <w:rPr>
          <w:sz w:val="22"/>
          <w:szCs w:val="22"/>
        </w:rPr>
        <w:t xml:space="preserve">, the 200 mile exclusion zone set up by </w:t>
      </w:r>
      <w:r w:rsidR="00707E63">
        <w:rPr>
          <w:sz w:val="22"/>
          <w:szCs w:val="22"/>
        </w:rPr>
        <w:t>Britain</w:t>
      </w:r>
      <w:r w:rsidR="0043475B">
        <w:rPr>
          <w:sz w:val="22"/>
          <w:szCs w:val="22"/>
        </w:rPr>
        <w:t xml:space="preserve"> around the islands</w:t>
      </w:r>
      <w:r w:rsidR="00E870E7">
        <w:rPr>
          <w:sz w:val="22"/>
          <w:szCs w:val="22"/>
        </w:rPr>
        <w:t xml:space="preserve"> on </w:t>
      </w:r>
      <w:r w:rsidR="00D46890">
        <w:rPr>
          <w:sz w:val="22"/>
          <w:szCs w:val="22"/>
        </w:rPr>
        <w:t>12</w:t>
      </w:r>
      <w:r w:rsidR="00D46890" w:rsidRPr="00D46890">
        <w:rPr>
          <w:sz w:val="22"/>
          <w:szCs w:val="22"/>
          <w:vertAlign w:val="superscript"/>
        </w:rPr>
        <w:t>th</w:t>
      </w:r>
      <w:r w:rsidR="00D46890">
        <w:rPr>
          <w:sz w:val="22"/>
          <w:szCs w:val="22"/>
        </w:rPr>
        <w:t xml:space="preserve"> April,</w:t>
      </w:r>
      <w:r w:rsidR="0043475B">
        <w:rPr>
          <w:sz w:val="22"/>
          <w:szCs w:val="22"/>
        </w:rPr>
        <w:t xml:space="preserve"> made it clear that by this point Thatcher</w:t>
      </w:r>
      <w:r w:rsidR="00BB7972">
        <w:rPr>
          <w:sz w:val="22"/>
          <w:szCs w:val="22"/>
        </w:rPr>
        <w:t xml:space="preserve"> and the British military were</w:t>
      </w:r>
      <w:r w:rsidR="0043475B">
        <w:rPr>
          <w:sz w:val="22"/>
          <w:szCs w:val="22"/>
        </w:rPr>
        <w:t xml:space="preserve"> </w:t>
      </w:r>
      <w:r w:rsidR="00BB7972">
        <w:rPr>
          <w:sz w:val="22"/>
          <w:szCs w:val="22"/>
        </w:rPr>
        <w:t>finished with</w:t>
      </w:r>
      <w:r w:rsidR="00BF1A67">
        <w:rPr>
          <w:sz w:val="22"/>
          <w:szCs w:val="22"/>
        </w:rPr>
        <w:t xml:space="preserve"> making</w:t>
      </w:r>
      <w:r w:rsidR="00BB7972">
        <w:rPr>
          <w:sz w:val="22"/>
          <w:szCs w:val="22"/>
        </w:rPr>
        <w:t xml:space="preserve"> </w:t>
      </w:r>
      <w:r w:rsidR="00D46890">
        <w:rPr>
          <w:sz w:val="22"/>
          <w:szCs w:val="22"/>
        </w:rPr>
        <w:t>attempts for a peaceful resolution</w:t>
      </w:r>
      <w:r w:rsidR="00912460">
        <w:rPr>
          <w:sz w:val="22"/>
          <w:szCs w:val="22"/>
        </w:rPr>
        <w:t xml:space="preserve">. </w:t>
      </w:r>
      <w:r w:rsidR="006335E3">
        <w:rPr>
          <w:sz w:val="22"/>
          <w:szCs w:val="22"/>
        </w:rPr>
        <w:t>On the 2</w:t>
      </w:r>
      <w:r w:rsidR="006335E3" w:rsidRPr="006335E3">
        <w:rPr>
          <w:sz w:val="22"/>
          <w:szCs w:val="22"/>
          <w:vertAlign w:val="superscript"/>
        </w:rPr>
        <w:t>nd</w:t>
      </w:r>
      <w:r w:rsidR="006335E3">
        <w:rPr>
          <w:sz w:val="22"/>
          <w:szCs w:val="22"/>
        </w:rPr>
        <w:t xml:space="preserve"> May this was made </w:t>
      </w:r>
      <w:r w:rsidR="00F827D7">
        <w:rPr>
          <w:sz w:val="22"/>
          <w:szCs w:val="22"/>
        </w:rPr>
        <w:t>more apparent with the sinking of the</w:t>
      </w:r>
      <w:r w:rsidR="000A7446">
        <w:rPr>
          <w:sz w:val="22"/>
          <w:szCs w:val="22"/>
        </w:rPr>
        <w:t xml:space="preserve"> Argentine Cruiser, the</w:t>
      </w:r>
      <w:r w:rsidR="00F827D7">
        <w:rPr>
          <w:sz w:val="22"/>
          <w:szCs w:val="22"/>
        </w:rPr>
        <w:t xml:space="preserve"> General Belgrano</w:t>
      </w:r>
      <w:r w:rsidR="00A5227C">
        <w:rPr>
          <w:sz w:val="22"/>
          <w:szCs w:val="22"/>
        </w:rPr>
        <w:t xml:space="preserve"> which </w:t>
      </w:r>
      <w:r w:rsidR="00FE7AE8">
        <w:rPr>
          <w:sz w:val="22"/>
          <w:szCs w:val="22"/>
        </w:rPr>
        <w:t>was sunk ‘just outside’ the exclusion zone.</w:t>
      </w:r>
      <w:r w:rsidR="00FE7AE8">
        <w:rPr>
          <w:rStyle w:val="FootnoteReference"/>
          <w:sz w:val="22"/>
          <w:szCs w:val="22"/>
        </w:rPr>
        <w:footnoteReference w:id="24"/>
      </w:r>
      <w:r w:rsidR="00603CA0">
        <w:rPr>
          <w:sz w:val="22"/>
          <w:szCs w:val="22"/>
        </w:rPr>
        <w:t xml:space="preserve"> Though it i</w:t>
      </w:r>
      <w:r w:rsidR="00FD7BAB">
        <w:rPr>
          <w:sz w:val="22"/>
          <w:szCs w:val="22"/>
        </w:rPr>
        <w:t>s stated that the cruiser was not a threat,</w:t>
      </w:r>
      <w:r w:rsidR="00B210D7">
        <w:rPr>
          <w:sz w:val="22"/>
          <w:szCs w:val="22"/>
        </w:rPr>
        <w:t xml:space="preserve"> it is unclear as to whether the</w:t>
      </w:r>
      <w:r w:rsidR="007B73E6">
        <w:rPr>
          <w:sz w:val="22"/>
          <w:szCs w:val="22"/>
        </w:rPr>
        <w:t xml:space="preserve"> British forces at the time could be certain of this.</w:t>
      </w:r>
      <w:r w:rsidR="007B73E6">
        <w:rPr>
          <w:rStyle w:val="FootnoteReference"/>
          <w:sz w:val="22"/>
          <w:szCs w:val="22"/>
        </w:rPr>
        <w:footnoteReference w:id="25"/>
      </w:r>
      <w:r w:rsidR="00FD7BAB">
        <w:rPr>
          <w:sz w:val="22"/>
          <w:szCs w:val="22"/>
        </w:rPr>
        <w:t xml:space="preserve"> Freedman</w:t>
      </w:r>
      <w:r w:rsidR="00E9626E">
        <w:rPr>
          <w:sz w:val="22"/>
          <w:szCs w:val="22"/>
        </w:rPr>
        <w:t xml:space="preserve"> notes that there may have been some more ulterior motives</w:t>
      </w:r>
      <w:r w:rsidR="00541DFC">
        <w:rPr>
          <w:sz w:val="22"/>
          <w:szCs w:val="22"/>
        </w:rPr>
        <w:t xml:space="preserve"> on behalf of Thatcher as to why the Belgrano was </w:t>
      </w:r>
      <w:r w:rsidR="00E22799">
        <w:rPr>
          <w:sz w:val="22"/>
          <w:szCs w:val="22"/>
        </w:rPr>
        <w:t>attacked</w:t>
      </w:r>
      <w:r w:rsidR="00B94533">
        <w:rPr>
          <w:sz w:val="22"/>
          <w:szCs w:val="22"/>
        </w:rPr>
        <w:t>;</w:t>
      </w:r>
      <w:r w:rsidR="00E22799">
        <w:rPr>
          <w:sz w:val="22"/>
          <w:szCs w:val="22"/>
        </w:rPr>
        <w:t xml:space="preserve"> </w:t>
      </w:r>
      <w:r w:rsidR="00B94533">
        <w:rPr>
          <w:sz w:val="22"/>
          <w:szCs w:val="22"/>
        </w:rPr>
        <w:t xml:space="preserve">primarily, he poses the argument </w:t>
      </w:r>
      <w:r w:rsidR="00B34CA1">
        <w:rPr>
          <w:sz w:val="22"/>
          <w:szCs w:val="22"/>
        </w:rPr>
        <w:t xml:space="preserve">that Thatcher’s goal was to </w:t>
      </w:r>
      <w:r w:rsidR="00057C9C">
        <w:rPr>
          <w:sz w:val="22"/>
          <w:szCs w:val="22"/>
        </w:rPr>
        <w:t xml:space="preserve">force </w:t>
      </w:r>
      <w:r w:rsidR="00E47FF8">
        <w:rPr>
          <w:sz w:val="22"/>
          <w:szCs w:val="22"/>
        </w:rPr>
        <w:t>the Peruvian initiative</w:t>
      </w:r>
      <w:r w:rsidR="0063513F">
        <w:rPr>
          <w:sz w:val="22"/>
          <w:szCs w:val="22"/>
        </w:rPr>
        <w:t xml:space="preserve"> and </w:t>
      </w:r>
      <w:r w:rsidR="00CD7C2C">
        <w:rPr>
          <w:sz w:val="22"/>
          <w:szCs w:val="22"/>
        </w:rPr>
        <w:t>ensure that Argentina withdraw from the waters.</w:t>
      </w:r>
      <w:r w:rsidR="00775ED3">
        <w:rPr>
          <w:rStyle w:val="FootnoteReference"/>
          <w:sz w:val="22"/>
          <w:szCs w:val="22"/>
        </w:rPr>
        <w:footnoteReference w:id="26"/>
      </w:r>
      <w:r w:rsidR="00CD7C2C">
        <w:rPr>
          <w:sz w:val="22"/>
          <w:szCs w:val="22"/>
        </w:rPr>
        <w:t xml:space="preserve"> Though unsuccessful in this regard</w:t>
      </w:r>
      <w:r w:rsidR="00525264">
        <w:rPr>
          <w:sz w:val="22"/>
          <w:szCs w:val="22"/>
        </w:rPr>
        <w:t>, it</w:t>
      </w:r>
      <w:r w:rsidR="00775ED3">
        <w:rPr>
          <w:sz w:val="22"/>
          <w:szCs w:val="22"/>
        </w:rPr>
        <w:t xml:space="preserve"> was certainly a crucial hit to the Argentine Navy.</w:t>
      </w:r>
      <w:r w:rsidR="00775ED3">
        <w:rPr>
          <w:rStyle w:val="FootnoteReference"/>
          <w:sz w:val="22"/>
          <w:szCs w:val="22"/>
        </w:rPr>
        <w:footnoteReference w:id="27"/>
      </w:r>
      <w:r w:rsidR="00DF7233">
        <w:rPr>
          <w:sz w:val="22"/>
          <w:szCs w:val="22"/>
        </w:rPr>
        <w:t xml:space="preserve"> In fact, this attack on the Belgrano likely had the opposite effect, it could well be argued that</w:t>
      </w:r>
      <w:r w:rsidR="00B454CD">
        <w:rPr>
          <w:sz w:val="22"/>
          <w:szCs w:val="22"/>
        </w:rPr>
        <w:t xml:space="preserve"> instead it encouraged Argentina to retaliate, just 2 days later</w:t>
      </w:r>
      <w:r w:rsidR="009A5B7D">
        <w:rPr>
          <w:sz w:val="22"/>
          <w:szCs w:val="22"/>
        </w:rPr>
        <w:t>;</w:t>
      </w:r>
      <w:r w:rsidR="00B454CD">
        <w:rPr>
          <w:sz w:val="22"/>
          <w:szCs w:val="22"/>
        </w:rPr>
        <w:t xml:space="preserve"> the British destroyer</w:t>
      </w:r>
      <w:r w:rsidR="00947332">
        <w:rPr>
          <w:sz w:val="22"/>
          <w:szCs w:val="22"/>
        </w:rPr>
        <w:t>,</w:t>
      </w:r>
      <w:r w:rsidR="00B454CD">
        <w:rPr>
          <w:sz w:val="22"/>
          <w:szCs w:val="22"/>
        </w:rPr>
        <w:t xml:space="preserve"> HMS Sheffield</w:t>
      </w:r>
      <w:r w:rsidR="00947332">
        <w:rPr>
          <w:sz w:val="22"/>
          <w:szCs w:val="22"/>
        </w:rPr>
        <w:t>,</w:t>
      </w:r>
      <w:r w:rsidR="00B454CD">
        <w:rPr>
          <w:sz w:val="22"/>
          <w:szCs w:val="22"/>
        </w:rPr>
        <w:t xml:space="preserve"> was sunk</w:t>
      </w:r>
      <w:r w:rsidR="003C3A22">
        <w:rPr>
          <w:sz w:val="22"/>
          <w:szCs w:val="22"/>
        </w:rPr>
        <w:t>,</w:t>
      </w:r>
      <w:r w:rsidR="0086113A">
        <w:rPr>
          <w:sz w:val="22"/>
          <w:szCs w:val="22"/>
        </w:rPr>
        <w:t xml:space="preserve"> further</w:t>
      </w:r>
      <w:r w:rsidR="0018155D">
        <w:rPr>
          <w:sz w:val="22"/>
          <w:szCs w:val="22"/>
        </w:rPr>
        <w:t>ing the conflict and increasing tensions.</w:t>
      </w:r>
      <w:r w:rsidR="0084610C">
        <w:rPr>
          <w:sz w:val="22"/>
          <w:szCs w:val="22"/>
        </w:rPr>
        <w:t xml:space="preserve"> </w:t>
      </w:r>
      <w:r w:rsidR="005545FD">
        <w:rPr>
          <w:sz w:val="22"/>
          <w:szCs w:val="22"/>
        </w:rPr>
        <w:t>Furthermore</w:t>
      </w:r>
      <w:r w:rsidR="00FE4827">
        <w:rPr>
          <w:sz w:val="22"/>
          <w:szCs w:val="22"/>
        </w:rPr>
        <w:t>, the decision to sink the Belgrano was just as detrimental to Thatcher</w:t>
      </w:r>
      <w:r w:rsidR="00442DEA">
        <w:rPr>
          <w:sz w:val="22"/>
          <w:szCs w:val="22"/>
        </w:rPr>
        <w:t>’s</w:t>
      </w:r>
      <w:r w:rsidR="00FE4827">
        <w:rPr>
          <w:sz w:val="22"/>
          <w:szCs w:val="22"/>
        </w:rPr>
        <w:t xml:space="preserve"> and Brit</w:t>
      </w:r>
      <w:r w:rsidR="00442DEA">
        <w:rPr>
          <w:sz w:val="22"/>
          <w:szCs w:val="22"/>
        </w:rPr>
        <w:t>ain’s political standing</w:t>
      </w:r>
      <w:r w:rsidR="00B02973">
        <w:rPr>
          <w:sz w:val="22"/>
          <w:szCs w:val="22"/>
        </w:rPr>
        <w:t xml:space="preserve">; </w:t>
      </w:r>
      <w:r w:rsidR="00814666">
        <w:rPr>
          <w:sz w:val="22"/>
          <w:szCs w:val="22"/>
        </w:rPr>
        <w:t xml:space="preserve">some countries, such as </w:t>
      </w:r>
      <w:r w:rsidR="00F54B10">
        <w:rPr>
          <w:sz w:val="22"/>
          <w:szCs w:val="22"/>
        </w:rPr>
        <w:t>Germany and Denmark were concerned by the sudden escalation in the conflict</w:t>
      </w:r>
      <w:r w:rsidR="00DE4695">
        <w:rPr>
          <w:sz w:val="22"/>
          <w:szCs w:val="22"/>
        </w:rPr>
        <w:t xml:space="preserve">, whilst other </w:t>
      </w:r>
      <w:r w:rsidR="00814666">
        <w:rPr>
          <w:sz w:val="22"/>
          <w:szCs w:val="22"/>
        </w:rPr>
        <w:t>countries</w:t>
      </w:r>
      <w:r w:rsidR="00A74614">
        <w:rPr>
          <w:sz w:val="22"/>
          <w:szCs w:val="22"/>
        </w:rPr>
        <w:t xml:space="preserve"> outright</w:t>
      </w:r>
      <w:r w:rsidR="00814666">
        <w:rPr>
          <w:sz w:val="22"/>
          <w:szCs w:val="22"/>
        </w:rPr>
        <w:t xml:space="preserve"> criticised the decision</w:t>
      </w:r>
      <w:r w:rsidR="00A74614">
        <w:rPr>
          <w:sz w:val="22"/>
          <w:szCs w:val="22"/>
        </w:rPr>
        <w:t>. Italy</w:t>
      </w:r>
      <w:r w:rsidR="00F727CB">
        <w:rPr>
          <w:sz w:val="22"/>
          <w:szCs w:val="22"/>
        </w:rPr>
        <w:t xml:space="preserve">, who had </w:t>
      </w:r>
      <w:r w:rsidR="00BE3681">
        <w:rPr>
          <w:sz w:val="22"/>
          <w:szCs w:val="22"/>
        </w:rPr>
        <w:t xml:space="preserve">close ties </w:t>
      </w:r>
      <w:r w:rsidR="00560FED">
        <w:rPr>
          <w:sz w:val="22"/>
          <w:szCs w:val="22"/>
        </w:rPr>
        <w:t>to</w:t>
      </w:r>
      <w:r w:rsidR="00BE3681">
        <w:rPr>
          <w:sz w:val="22"/>
          <w:szCs w:val="22"/>
        </w:rPr>
        <w:t xml:space="preserve"> Argentina was especially</w:t>
      </w:r>
      <w:r w:rsidR="00560FED">
        <w:rPr>
          <w:sz w:val="22"/>
          <w:szCs w:val="22"/>
        </w:rPr>
        <w:t xml:space="preserve"> critical.</w:t>
      </w:r>
      <w:r w:rsidR="00A74614">
        <w:rPr>
          <w:rStyle w:val="FootnoteReference"/>
          <w:sz w:val="22"/>
          <w:szCs w:val="22"/>
        </w:rPr>
        <w:footnoteReference w:id="28"/>
      </w:r>
      <w:r w:rsidR="00560FED">
        <w:rPr>
          <w:sz w:val="22"/>
          <w:szCs w:val="22"/>
        </w:rPr>
        <w:t xml:space="preserve"> </w:t>
      </w:r>
      <w:r w:rsidR="006F36DB">
        <w:rPr>
          <w:sz w:val="22"/>
          <w:szCs w:val="22"/>
        </w:rPr>
        <w:t>The Irish government attempted to call for an immediate cease-fire</w:t>
      </w:r>
      <w:r w:rsidR="00FD697A">
        <w:rPr>
          <w:sz w:val="22"/>
          <w:szCs w:val="22"/>
        </w:rPr>
        <w:t xml:space="preserve"> and heavily criticised the British decision to escalate the conflict</w:t>
      </w:r>
      <w:r w:rsidR="0052106D">
        <w:rPr>
          <w:sz w:val="22"/>
          <w:szCs w:val="22"/>
        </w:rPr>
        <w:t xml:space="preserve">, </w:t>
      </w:r>
      <w:r w:rsidR="009C5767">
        <w:rPr>
          <w:sz w:val="22"/>
          <w:szCs w:val="22"/>
        </w:rPr>
        <w:t>at this time, the Troubles in Ireland were still an ong</w:t>
      </w:r>
      <w:r w:rsidR="003A54D4">
        <w:rPr>
          <w:sz w:val="22"/>
          <w:szCs w:val="22"/>
        </w:rPr>
        <w:t>oing issue</w:t>
      </w:r>
      <w:r w:rsidR="004C2BEB">
        <w:rPr>
          <w:sz w:val="22"/>
          <w:szCs w:val="22"/>
        </w:rPr>
        <w:t>.</w:t>
      </w:r>
      <w:r w:rsidR="003A54D4">
        <w:rPr>
          <w:sz w:val="22"/>
          <w:szCs w:val="22"/>
        </w:rPr>
        <w:t xml:space="preserve"> This aggressive decision </w:t>
      </w:r>
      <w:r w:rsidR="007B7A0A">
        <w:rPr>
          <w:sz w:val="22"/>
          <w:szCs w:val="22"/>
        </w:rPr>
        <w:t>o</w:t>
      </w:r>
      <w:r w:rsidR="003A54D4">
        <w:rPr>
          <w:sz w:val="22"/>
          <w:szCs w:val="22"/>
        </w:rPr>
        <w:t xml:space="preserve">n behalf of the British military most certainly </w:t>
      </w:r>
      <w:r w:rsidR="002668F9">
        <w:rPr>
          <w:sz w:val="22"/>
          <w:szCs w:val="22"/>
        </w:rPr>
        <w:t>at least solidified the position in Ireland, and likely other states also, that Britain was thirsty for bloodshed</w:t>
      </w:r>
      <w:r w:rsidR="003B0522">
        <w:rPr>
          <w:sz w:val="22"/>
          <w:szCs w:val="22"/>
        </w:rPr>
        <w:t>.</w:t>
      </w:r>
      <w:r w:rsidR="008050A5">
        <w:rPr>
          <w:sz w:val="22"/>
          <w:szCs w:val="22"/>
        </w:rPr>
        <w:t xml:space="preserve"> Here, it is easy to identify that </w:t>
      </w:r>
      <w:r w:rsidR="006337FA">
        <w:rPr>
          <w:sz w:val="22"/>
          <w:szCs w:val="22"/>
        </w:rPr>
        <w:t xml:space="preserve">despite the ultimate British success in the Falklands war, it was not always </w:t>
      </w:r>
      <w:r w:rsidR="007B2C9E">
        <w:rPr>
          <w:sz w:val="22"/>
          <w:szCs w:val="22"/>
        </w:rPr>
        <w:t>positive for Thatcher and Britain, both on the military, and political scales.</w:t>
      </w:r>
    </w:p>
    <w:p w14:paraId="2A9A076D" w14:textId="56212F23" w:rsidR="00BE7C0A" w:rsidRDefault="00320E1B">
      <w:pPr>
        <w:rPr>
          <w:sz w:val="22"/>
          <w:szCs w:val="22"/>
        </w:rPr>
      </w:pPr>
      <w:r>
        <w:rPr>
          <w:sz w:val="22"/>
          <w:szCs w:val="22"/>
        </w:rPr>
        <w:t>Nonetheless,</w:t>
      </w:r>
      <w:r w:rsidR="0053762A">
        <w:rPr>
          <w:sz w:val="22"/>
          <w:szCs w:val="22"/>
        </w:rPr>
        <w:t xml:space="preserve"> despite</w:t>
      </w:r>
      <w:r w:rsidR="0084610C">
        <w:rPr>
          <w:sz w:val="22"/>
          <w:szCs w:val="22"/>
        </w:rPr>
        <w:t xml:space="preserve"> these </w:t>
      </w:r>
      <w:r w:rsidR="00EE5591">
        <w:rPr>
          <w:sz w:val="22"/>
          <w:szCs w:val="22"/>
        </w:rPr>
        <w:t>issues both in diploma</w:t>
      </w:r>
      <w:r w:rsidR="00D81633">
        <w:rPr>
          <w:sz w:val="22"/>
          <w:szCs w:val="22"/>
        </w:rPr>
        <w:t>cy and military standings, and</w:t>
      </w:r>
      <w:r w:rsidR="00BD1F98">
        <w:rPr>
          <w:sz w:val="22"/>
          <w:szCs w:val="22"/>
        </w:rPr>
        <w:t xml:space="preserve"> being</w:t>
      </w:r>
      <w:r w:rsidR="0084610C">
        <w:rPr>
          <w:sz w:val="22"/>
          <w:szCs w:val="22"/>
        </w:rPr>
        <w:t xml:space="preserve"> initially</w:t>
      </w:r>
      <w:r w:rsidR="00BD1F98">
        <w:rPr>
          <w:sz w:val="22"/>
          <w:szCs w:val="22"/>
        </w:rPr>
        <w:t xml:space="preserve"> unprepared for the conflict,</w:t>
      </w:r>
      <w:r>
        <w:rPr>
          <w:sz w:val="22"/>
          <w:szCs w:val="22"/>
        </w:rPr>
        <w:t xml:space="preserve"> </w:t>
      </w:r>
      <w:r w:rsidR="00BE4AE2">
        <w:rPr>
          <w:sz w:val="22"/>
          <w:szCs w:val="22"/>
        </w:rPr>
        <w:t xml:space="preserve">the </w:t>
      </w:r>
      <w:r w:rsidR="00481F53">
        <w:rPr>
          <w:sz w:val="22"/>
          <w:szCs w:val="22"/>
        </w:rPr>
        <w:t>response</w:t>
      </w:r>
      <w:r w:rsidR="00BE4AE2">
        <w:rPr>
          <w:sz w:val="22"/>
          <w:szCs w:val="22"/>
        </w:rPr>
        <w:t xml:space="preserve"> from Thatcher and the British Military</w:t>
      </w:r>
      <w:r w:rsidR="00481F53">
        <w:rPr>
          <w:sz w:val="22"/>
          <w:szCs w:val="22"/>
        </w:rPr>
        <w:t xml:space="preserve"> was s</w:t>
      </w:r>
      <w:r w:rsidR="00BE4AE2">
        <w:rPr>
          <w:sz w:val="22"/>
          <w:szCs w:val="22"/>
        </w:rPr>
        <w:t>wift</w:t>
      </w:r>
      <w:r w:rsidR="009A5B7D">
        <w:rPr>
          <w:sz w:val="22"/>
          <w:szCs w:val="22"/>
        </w:rPr>
        <w:t>. A</w:t>
      </w:r>
      <w:r w:rsidR="0053775E">
        <w:rPr>
          <w:sz w:val="22"/>
          <w:szCs w:val="22"/>
        </w:rPr>
        <w:t xml:space="preserve"> task-force </w:t>
      </w:r>
      <w:r w:rsidR="006C38E9">
        <w:rPr>
          <w:sz w:val="22"/>
          <w:szCs w:val="22"/>
        </w:rPr>
        <w:t xml:space="preserve">to counter the invaders </w:t>
      </w:r>
      <w:r w:rsidR="0053775E">
        <w:rPr>
          <w:sz w:val="22"/>
          <w:szCs w:val="22"/>
        </w:rPr>
        <w:t>was assembled</w:t>
      </w:r>
      <w:r w:rsidR="006C38E9">
        <w:rPr>
          <w:sz w:val="22"/>
          <w:szCs w:val="22"/>
        </w:rPr>
        <w:t xml:space="preserve"> rapidly</w:t>
      </w:r>
      <w:r w:rsidR="00B3101D">
        <w:rPr>
          <w:sz w:val="22"/>
          <w:szCs w:val="22"/>
        </w:rPr>
        <w:t xml:space="preserve"> and according to Hastings</w:t>
      </w:r>
      <w:r w:rsidR="00EE6F17">
        <w:rPr>
          <w:sz w:val="22"/>
          <w:szCs w:val="22"/>
        </w:rPr>
        <w:t xml:space="preserve"> ‘as early as 6</w:t>
      </w:r>
      <w:r w:rsidR="00EE6F17" w:rsidRPr="00EE6F17">
        <w:rPr>
          <w:sz w:val="22"/>
          <w:szCs w:val="22"/>
          <w:vertAlign w:val="superscript"/>
        </w:rPr>
        <w:t>th</w:t>
      </w:r>
      <w:r w:rsidR="00EE6F17">
        <w:rPr>
          <w:sz w:val="22"/>
          <w:szCs w:val="22"/>
        </w:rPr>
        <w:t xml:space="preserve"> April, planning had begun for the retaking of South Georgia</w:t>
      </w:r>
      <w:r w:rsidR="00DE62DA">
        <w:rPr>
          <w:sz w:val="22"/>
          <w:szCs w:val="22"/>
        </w:rPr>
        <w:t>.’</w:t>
      </w:r>
      <w:r w:rsidR="00DE62DA">
        <w:rPr>
          <w:rStyle w:val="FootnoteReference"/>
          <w:sz w:val="22"/>
          <w:szCs w:val="22"/>
        </w:rPr>
        <w:footnoteReference w:id="29"/>
      </w:r>
      <w:r w:rsidR="00BE609F">
        <w:rPr>
          <w:sz w:val="22"/>
          <w:szCs w:val="22"/>
        </w:rPr>
        <w:t xml:space="preserve"> This</w:t>
      </w:r>
      <w:r w:rsidR="00325249">
        <w:rPr>
          <w:sz w:val="22"/>
          <w:szCs w:val="22"/>
        </w:rPr>
        <w:t xml:space="preserve"> shows the efficient </w:t>
      </w:r>
      <w:r w:rsidR="006D108D">
        <w:rPr>
          <w:sz w:val="22"/>
          <w:szCs w:val="22"/>
        </w:rPr>
        <w:t xml:space="preserve">steps which were </w:t>
      </w:r>
      <w:r w:rsidR="006D108D">
        <w:rPr>
          <w:sz w:val="22"/>
          <w:szCs w:val="22"/>
        </w:rPr>
        <w:lastRenderedPageBreak/>
        <w:t>taken to repel the initial invasion</w:t>
      </w:r>
      <w:r w:rsidR="00AD23C9">
        <w:rPr>
          <w:sz w:val="22"/>
          <w:szCs w:val="22"/>
        </w:rPr>
        <w:t xml:space="preserve">, </w:t>
      </w:r>
      <w:r w:rsidR="006F5168">
        <w:rPr>
          <w:sz w:val="22"/>
          <w:szCs w:val="22"/>
        </w:rPr>
        <w:t>swift steps which likely restored the people’s confidence in Thatcher</w:t>
      </w:r>
      <w:r w:rsidR="009C3167">
        <w:rPr>
          <w:sz w:val="22"/>
          <w:szCs w:val="22"/>
        </w:rPr>
        <w:t>, and establish confidence that she would make necessary decisions in leading the country, even through especially hard times.</w:t>
      </w:r>
      <w:r w:rsidR="007F74FE">
        <w:rPr>
          <w:sz w:val="22"/>
          <w:szCs w:val="22"/>
        </w:rPr>
        <w:t xml:space="preserve"> It was this mentality that would consolidate Thatcher’s political </w:t>
      </w:r>
      <w:r w:rsidR="00A03C53">
        <w:rPr>
          <w:sz w:val="22"/>
          <w:szCs w:val="22"/>
        </w:rPr>
        <w:t>standing</w:t>
      </w:r>
      <w:r w:rsidR="007F74FE">
        <w:rPr>
          <w:sz w:val="22"/>
          <w:szCs w:val="22"/>
        </w:rPr>
        <w:t xml:space="preserve"> as a strong and competent leader, who had British values at the very core of everything she did</w:t>
      </w:r>
      <w:r w:rsidR="008A5B05">
        <w:rPr>
          <w:sz w:val="22"/>
          <w:szCs w:val="22"/>
        </w:rPr>
        <w:t>. However, John Campbell</w:t>
      </w:r>
      <w:r w:rsidR="002D4BDD">
        <w:rPr>
          <w:sz w:val="22"/>
          <w:szCs w:val="22"/>
        </w:rPr>
        <w:t>, a British Political Biographer</w:t>
      </w:r>
      <w:r w:rsidR="00124368">
        <w:rPr>
          <w:sz w:val="22"/>
          <w:szCs w:val="22"/>
        </w:rPr>
        <w:t>,</w:t>
      </w:r>
      <w:r w:rsidR="002D4BDD">
        <w:rPr>
          <w:sz w:val="22"/>
          <w:szCs w:val="22"/>
        </w:rPr>
        <w:t xml:space="preserve"> in his book </w:t>
      </w:r>
      <w:r w:rsidR="002D4BDD" w:rsidRPr="002725EB">
        <w:rPr>
          <w:i/>
          <w:iCs/>
          <w:sz w:val="22"/>
          <w:szCs w:val="22"/>
        </w:rPr>
        <w:t>Mar</w:t>
      </w:r>
      <w:r w:rsidR="002725EB" w:rsidRPr="002725EB">
        <w:rPr>
          <w:i/>
          <w:iCs/>
          <w:sz w:val="22"/>
          <w:szCs w:val="22"/>
        </w:rPr>
        <w:t>gret Thatcher, The Iron Lady</w:t>
      </w:r>
      <w:r w:rsidR="002725EB">
        <w:rPr>
          <w:sz w:val="22"/>
          <w:szCs w:val="22"/>
        </w:rPr>
        <w:t xml:space="preserve">, </w:t>
      </w:r>
      <w:r w:rsidR="00124368">
        <w:rPr>
          <w:sz w:val="22"/>
          <w:szCs w:val="22"/>
        </w:rPr>
        <w:t>notes that though it is likely that the Conservatives would have still won the</w:t>
      </w:r>
      <w:r w:rsidR="006A03DA">
        <w:rPr>
          <w:sz w:val="22"/>
          <w:szCs w:val="22"/>
        </w:rPr>
        <w:t xml:space="preserve"> 1983</w:t>
      </w:r>
      <w:r w:rsidR="00124368">
        <w:rPr>
          <w:sz w:val="22"/>
          <w:szCs w:val="22"/>
        </w:rPr>
        <w:t xml:space="preserve"> election</w:t>
      </w:r>
      <w:r w:rsidR="00610507">
        <w:rPr>
          <w:sz w:val="22"/>
          <w:szCs w:val="22"/>
        </w:rPr>
        <w:t xml:space="preserve"> without the victory in the Falklands, the victory certainly solidified </w:t>
      </w:r>
      <w:r w:rsidR="006A03DA">
        <w:rPr>
          <w:sz w:val="22"/>
          <w:szCs w:val="22"/>
        </w:rPr>
        <w:t>the majority vote that Thatcher received.</w:t>
      </w:r>
      <w:r w:rsidR="00EF38A4">
        <w:rPr>
          <w:rStyle w:val="FootnoteReference"/>
          <w:sz w:val="22"/>
          <w:szCs w:val="22"/>
        </w:rPr>
        <w:footnoteReference w:id="30"/>
      </w:r>
      <w:r w:rsidR="006D108D">
        <w:rPr>
          <w:sz w:val="22"/>
          <w:szCs w:val="22"/>
        </w:rPr>
        <w:t xml:space="preserve"> </w:t>
      </w:r>
      <w:r w:rsidR="009C3167">
        <w:rPr>
          <w:sz w:val="22"/>
          <w:szCs w:val="22"/>
        </w:rPr>
        <w:t>As a further note, th</w:t>
      </w:r>
      <w:r w:rsidR="00AB0F0D">
        <w:rPr>
          <w:sz w:val="22"/>
          <w:szCs w:val="22"/>
        </w:rPr>
        <w:t>e actions taken early in the Falklands War</w:t>
      </w:r>
      <w:r w:rsidR="006D108D">
        <w:rPr>
          <w:sz w:val="22"/>
          <w:szCs w:val="22"/>
        </w:rPr>
        <w:t xml:space="preserve"> </w:t>
      </w:r>
      <w:r w:rsidR="00AB0F0D">
        <w:rPr>
          <w:sz w:val="22"/>
          <w:szCs w:val="22"/>
        </w:rPr>
        <w:t>clearly portrays</w:t>
      </w:r>
      <w:r w:rsidR="006D108D">
        <w:rPr>
          <w:sz w:val="22"/>
          <w:szCs w:val="22"/>
        </w:rPr>
        <w:t xml:space="preserve"> the hardline mentality which Thatcher would continue to implement</w:t>
      </w:r>
      <w:r w:rsidR="000A56EA">
        <w:rPr>
          <w:sz w:val="22"/>
          <w:szCs w:val="22"/>
        </w:rPr>
        <w:t xml:space="preserve"> </w:t>
      </w:r>
      <w:r w:rsidR="006A56B9">
        <w:rPr>
          <w:sz w:val="22"/>
          <w:szCs w:val="22"/>
        </w:rPr>
        <w:t>throughout</w:t>
      </w:r>
      <w:r w:rsidR="000A56EA">
        <w:rPr>
          <w:sz w:val="22"/>
          <w:szCs w:val="22"/>
        </w:rPr>
        <w:t>, not only the Falklands War</w:t>
      </w:r>
      <w:r w:rsidR="006A56B9">
        <w:rPr>
          <w:sz w:val="22"/>
          <w:szCs w:val="22"/>
        </w:rPr>
        <w:t>;</w:t>
      </w:r>
      <w:r w:rsidR="000A56EA">
        <w:rPr>
          <w:sz w:val="22"/>
          <w:szCs w:val="22"/>
        </w:rPr>
        <w:t xml:space="preserve"> but other conflicts</w:t>
      </w:r>
      <w:r w:rsidR="00283483">
        <w:rPr>
          <w:sz w:val="22"/>
          <w:szCs w:val="22"/>
        </w:rPr>
        <w:t xml:space="preserve"> which she would face during her time as Prime-Minister, including </w:t>
      </w:r>
      <w:r w:rsidR="009B584C">
        <w:rPr>
          <w:sz w:val="22"/>
          <w:szCs w:val="22"/>
        </w:rPr>
        <w:t xml:space="preserve">the </w:t>
      </w:r>
      <w:r w:rsidR="00C23BBF">
        <w:rPr>
          <w:sz w:val="22"/>
          <w:szCs w:val="22"/>
        </w:rPr>
        <w:t>Miner’s strike in 19</w:t>
      </w:r>
      <w:r w:rsidR="009911AA">
        <w:rPr>
          <w:sz w:val="22"/>
          <w:szCs w:val="22"/>
        </w:rPr>
        <w:t>8</w:t>
      </w:r>
      <w:r w:rsidR="00C23BBF">
        <w:rPr>
          <w:sz w:val="22"/>
          <w:szCs w:val="22"/>
        </w:rPr>
        <w:t>4-19</w:t>
      </w:r>
      <w:r w:rsidR="009911AA">
        <w:rPr>
          <w:sz w:val="22"/>
          <w:szCs w:val="22"/>
        </w:rPr>
        <w:t>8</w:t>
      </w:r>
      <w:r w:rsidR="00C23BBF">
        <w:rPr>
          <w:sz w:val="22"/>
          <w:szCs w:val="22"/>
        </w:rPr>
        <w:t>5</w:t>
      </w:r>
      <w:r w:rsidR="009B584C">
        <w:rPr>
          <w:sz w:val="22"/>
          <w:szCs w:val="22"/>
        </w:rPr>
        <w:t>, and the Troubles</w:t>
      </w:r>
      <w:r w:rsidR="00C23BBF">
        <w:rPr>
          <w:sz w:val="22"/>
          <w:szCs w:val="22"/>
        </w:rPr>
        <w:t xml:space="preserve"> in Northern Ireland.</w:t>
      </w:r>
      <w:r w:rsidR="008E33E9">
        <w:rPr>
          <w:sz w:val="22"/>
          <w:szCs w:val="22"/>
        </w:rPr>
        <w:t xml:space="preserve"> </w:t>
      </w:r>
      <w:r w:rsidR="006A56B9">
        <w:rPr>
          <w:sz w:val="22"/>
          <w:szCs w:val="22"/>
        </w:rPr>
        <w:t xml:space="preserve">However, </w:t>
      </w:r>
      <w:r w:rsidR="00853979">
        <w:rPr>
          <w:sz w:val="22"/>
          <w:szCs w:val="22"/>
        </w:rPr>
        <w:t xml:space="preserve">just because this hardline mentality works effectively with the British people </w:t>
      </w:r>
      <w:r w:rsidR="00D253B9">
        <w:rPr>
          <w:sz w:val="22"/>
          <w:szCs w:val="22"/>
        </w:rPr>
        <w:t xml:space="preserve">when facing external threats or </w:t>
      </w:r>
      <w:r w:rsidR="00632529">
        <w:rPr>
          <w:sz w:val="22"/>
          <w:szCs w:val="22"/>
        </w:rPr>
        <w:t>as Thatcher would call</w:t>
      </w:r>
      <w:r w:rsidR="00F47169">
        <w:rPr>
          <w:sz w:val="22"/>
          <w:szCs w:val="22"/>
        </w:rPr>
        <w:t xml:space="preserve"> Argentina in 19</w:t>
      </w:r>
      <w:r w:rsidR="00423FCC">
        <w:rPr>
          <w:sz w:val="22"/>
          <w:szCs w:val="22"/>
        </w:rPr>
        <w:t>84 an</w:t>
      </w:r>
      <w:r w:rsidR="00D253B9">
        <w:rPr>
          <w:sz w:val="22"/>
          <w:szCs w:val="22"/>
        </w:rPr>
        <w:t xml:space="preserve"> ‘Enemy </w:t>
      </w:r>
      <w:r w:rsidR="00C43988">
        <w:rPr>
          <w:sz w:val="22"/>
          <w:szCs w:val="22"/>
        </w:rPr>
        <w:t>w</w:t>
      </w:r>
      <w:r w:rsidR="00D253B9">
        <w:rPr>
          <w:sz w:val="22"/>
          <w:szCs w:val="22"/>
        </w:rPr>
        <w:t>ithout’,</w:t>
      </w:r>
      <w:r w:rsidR="00D253B9">
        <w:rPr>
          <w:rStyle w:val="FootnoteReference"/>
          <w:sz w:val="22"/>
          <w:szCs w:val="22"/>
        </w:rPr>
        <w:footnoteReference w:id="31"/>
      </w:r>
      <w:r w:rsidR="00D253B9">
        <w:rPr>
          <w:sz w:val="22"/>
          <w:szCs w:val="22"/>
        </w:rPr>
        <w:t xml:space="preserve"> it may not </w:t>
      </w:r>
      <w:r w:rsidR="00C43988">
        <w:rPr>
          <w:sz w:val="22"/>
          <w:szCs w:val="22"/>
        </w:rPr>
        <w:t>necessarily</w:t>
      </w:r>
      <w:r w:rsidR="00A6079E">
        <w:rPr>
          <w:sz w:val="22"/>
          <w:szCs w:val="22"/>
        </w:rPr>
        <w:t xml:space="preserve"> have</w:t>
      </w:r>
      <w:r w:rsidR="00C43988">
        <w:rPr>
          <w:sz w:val="22"/>
          <w:szCs w:val="22"/>
        </w:rPr>
        <w:t xml:space="preserve"> work</w:t>
      </w:r>
      <w:r w:rsidR="00D9414A">
        <w:rPr>
          <w:sz w:val="22"/>
          <w:szCs w:val="22"/>
        </w:rPr>
        <w:t>ed so effectively</w:t>
      </w:r>
      <w:r w:rsidR="00C43988">
        <w:rPr>
          <w:sz w:val="22"/>
          <w:szCs w:val="22"/>
        </w:rPr>
        <w:t xml:space="preserve"> when Thatcher’s opposition were her own people or an ‘Enemy within’.</w:t>
      </w:r>
      <w:r w:rsidR="00C43988">
        <w:rPr>
          <w:rStyle w:val="FootnoteReference"/>
          <w:sz w:val="22"/>
          <w:szCs w:val="22"/>
        </w:rPr>
        <w:footnoteReference w:id="32"/>
      </w:r>
    </w:p>
    <w:p w14:paraId="5EBA8BF4" w14:textId="032BA1A2" w:rsidR="000B39BA" w:rsidRDefault="009D1242">
      <w:pPr>
        <w:rPr>
          <w:sz w:val="22"/>
          <w:szCs w:val="22"/>
        </w:rPr>
      </w:pPr>
      <w:r>
        <w:rPr>
          <w:sz w:val="22"/>
          <w:szCs w:val="22"/>
        </w:rPr>
        <w:t xml:space="preserve">In order to consider </w:t>
      </w:r>
      <w:r w:rsidR="00EB27D8">
        <w:rPr>
          <w:sz w:val="22"/>
          <w:szCs w:val="22"/>
        </w:rPr>
        <w:t xml:space="preserve">how this headstrong mentality worked in other aspects of Thatcher’s </w:t>
      </w:r>
      <w:r w:rsidR="008B30EB">
        <w:rPr>
          <w:sz w:val="22"/>
          <w:szCs w:val="22"/>
        </w:rPr>
        <w:t xml:space="preserve">time as Prime-Minister, </w:t>
      </w:r>
      <w:r w:rsidR="00390B44">
        <w:rPr>
          <w:sz w:val="22"/>
          <w:szCs w:val="22"/>
        </w:rPr>
        <w:t xml:space="preserve">one must consider the Miner’s Strike of 1984-1985. </w:t>
      </w:r>
      <w:r w:rsidR="0092176D">
        <w:rPr>
          <w:sz w:val="22"/>
          <w:szCs w:val="22"/>
        </w:rPr>
        <w:t>Thatcher would treat this conflict as if it was another war, not dissimilar to the Falklands</w:t>
      </w:r>
      <w:r w:rsidR="005E33F2">
        <w:rPr>
          <w:sz w:val="22"/>
          <w:szCs w:val="22"/>
        </w:rPr>
        <w:t>. In fact,</w:t>
      </w:r>
      <w:r w:rsidR="006628B5">
        <w:rPr>
          <w:sz w:val="22"/>
          <w:szCs w:val="22"/>
        </w:rPr>
        <w:t xml:space="preserve"> </w:t>
      </w:r>
      <w:r w:rsidR="00DA753E">
        <w:rPr>
          <w:sz w:val="22"/>
          <w:szCs w:val="22"/>
        </w:rPr>
        <w:t xml:space="preserve">the Journalist </w:t>
      </w:r>
      <w:r w:rsidR="006628B5">
        <w:rPr>
          <w:sz w:val="22"/>
          <w:szCs w:val="22"/>
        </w:rPr>
        <w:t>Michael Crick</w:t>
      </w:r>
      <w:r w:rsidR="00DA753E">
        <w:rPr>
          <w:sz w:val="22"/>
          <w:szCs w:val="22"/>
        </w:rPr>
        <w:t xml:space="preserve"> notes that</w:t>
      </w:r>
      <w:r w:rsidR="005E33F2">
        <w:rPr>
          <w:sz w:val="22"/>
          <w:szCs w:val="22"/>
        </w:rPr>
        <w:t xml:space="preserve"> in her infamous speech addressing the ‘enemies within’ Britain</w:t>
      </w:r>
      <w:r w:rsidR="00DB499F">
        <w:rPr>
          <w:sz w:val="22"/>
          <w:szCs w:val="22"/>
        </w:rPr>
        <w:t>, Thatcher would go as far as to compare the Miners to the Argentine Invaders of the Falklands</w:t>
      </w:r>
      <w:r w:rsidR="0093442D">
        <w:rPr>
          <w:sz w:val="22"/>
          <w:szCs w:val="22"/>
        </w:rPr>
        <w:t>.</w:t>
      </w:r>
      <w:r w:rsidR="0093442D">
        <w:rPr>
          <w:rStyle w:val="FootnoteReference"/>
          <w:sz w:val="22"/>
          <w:szCs w:val="22"/>
        </w:rPr>
        <w:footnoteReference w:id="33"/>
      </w:r>
      <w:r w:rsidR="003569A9">
        <w:rPr>
          <w:sz w:val="22"/>
          <w:szCs w:val="22"/>
        </w:rPr>
        <w:t xml:space="preserve"> This provides two crucial </w:t>
      </w:r>
      <w:r w:rsidR="00BF1386">
        <w:rPr>
          <w:sz w:val="22"/>
          <w:szCs w:val="22"/>
        </w:rPr>
        <w:t xml:space="preserve">pieces of information when considering how the Falklands influenced Thatcher’s broader political project. Firstly, it tells us </w:t>
      </w:r>
      <w:r w:rsidR="009E4FA5">
        <w:rPr>
          <w:sz w:val="22"/>
          <w:szCs w:val="22"/>
        </w:rPr>
        <w:t>that Thatcher considers all opposition to her rule to be a substantial threat,</w:t>
      </w:r>
      <w:r w:rsidR="008617DC">
        <w:rPr>
          <w:sz w:val="22"/>
          <w:szCs w:val="22"/>
        </w:rPr>
        <w:t xml:space="preserve"> she was willing to compare any resistance to her policy to be </w:t>
      </w:r>
      <w:r w:rsidR="00C756C5">
        <w:rPr>
          <w:sz w:val="22"/>
          <w:szCs w:val="22"/>
        </w:rPr>
        <w:t xml:space="preserve">an aggressive attempt against her, and it appears that </w:t>
      </w:r>
      <w:r w:rsidR="003724C0">
        <w:rPr>
          <w:sz w:val="22"/>
          <w:szCs w:val="22"/>
        </w:rPr>
        <w:t>the Falklands invasion could provide her with ammunition to justify aggressive retaliation</w:t>
      </w:r>
      <w:r w:rsidR="00E724CE">
        <w:rPr>
          <w:sz w:val="22"/>
          <w:szCs w:val="22"/>
        </w:rPr>
        <w:t>;</w:t>
      </w:r>
      <w:r w:rsidR="007F1DAD">
        <w:rPr>
          <w:sz w:val="22"/>
          <w:szCs w:val="22"/>
        </w:rPr>
        <w:t xml:space="preserve"> such as allowing the </w:t>
      </w:r>
      <w:r w:rsidR="00645ED5">
        <w:rPr>
          <w:sz w:val="22"/>
          <w:szCs w:val="22"/>
        </w:rPr>
        <w:t>P</w:t>
      </w:r>
      <w:r w:rsidR="007F1DAD">
        <w:rPr>
          <w:sz w:val="22"/>
          <w:szCs w:val="22"/>
        </w:rPr>
        <w:t xml:space="preserve">olice to utilise brute force to </w:t>
      </w:r>
      <w:r w:rsidR="00E724CE">
        <w:rPr>
          <w:sz w:val="22"/>
          <w:szCs w:val="22"/>
        </w:rPr>
        <w:t>put an end to strikes</w:t>
      </w:r>
      <w:r w:rsidR="003724C0">
        <w:rPr>
          <w:sz w:val="22"/>
          <w:szCs w:val="22"/>
        </w:rPr>
        <w:t>.</w:t>
      </w:r>
      <w:r w:rsidR="00E724CE">
        <w:rPr>
          <w:rStyle w:val="FootnoteReference"/>
          <w:sz w:val="22"/>
          <w:szCs w:val="22"/>
        </w:rPr>
        <w:footnoteReference w:id="34"/>
      </w:r>
      <w:r w:rsidR="0063320B">
        <w:rPr>
          <w:sz w:val="22"/>
          <w:szCs w:val="22"/>
        </w:rPr>
        <w:t xml:space="preserve"> Secondly, this tells us that</w:t>
      </w:r>
      <w:r w:rsidR="00B5499E">
        <w:rPr>
          <w:sz w:val="22"/>
          <w:szCs w:val="22"/>
        </w:rPr>
        <w:t xml:space="preserve"> even </w:t>
      </w:r>
      <w:r w:rsidR="00FB7503">
        <w:rPr>
          <w:sz w:val="22"/>
          <w:szCs w:val="22"/>
        </w:rPr>
        <w:t xml:space="preserve">nearly </w:t>
      </w:r>
      <w:r w:rsidR="00B5499E">
        <w:rPr>
          <w:sz w:val="22"/>
          <w:szCs w:val="22"/>
        </w:rPr>
        <w:t xml:space="preserve">two years after the invasion, </w:t>
      </w:r>
      <w:r w:rsidR="00BD6154">
        <w:rPr>
          <w:sz w:val="22"/>
          <w:szCs w:val="22"/>
        </w:rPr>
        <w:t>Thatcher still</w:t>
      </w:r>
      <w:r w:rsidR="00E41BF8">
        <w:rPr>
          <w:sz w:val="22"/>
          <w:szCs w:val="22"/>
        </w:rPr>
        <w:t xml:space="preserve"> considers the Falklands to be a huge victory for Britain, a victory which she is still utilising to </w:t>
      </w:r>
      <w:r w:rsidR="00DD39D2">
        <w:rPr>
          <w:sz w:val="22"/>
          <w:szCs w:val="22"/>
        </w:rPr>
        <w:t xml:space="preserve">encourage the </w:t>
      </w:r>
      <w:r w:rsidR="00EE28EB">
        <w:rPr>
          <w:sz w:val="22"/>
          <w:szCs w:val="22"/>
        </w:rPr>
        <w:t>electorate</w:t>
      </w:r>
      <w:r w:rsidR="00DD39D2">
        <w:rPr>
          <w:sz w:val="22"/>
          <w:szCs w:val="22"/>
        </w:rPr>
        <w:t xml:space="preserve"> to support her</w:t>
      </w:r>
      <w:r w:rsidR="00571357">
        <w:rPr>
          <w:sz w:val="22"/>
          <w:szCs w:val="22"/>
        </w:rPr>
        <w:t xml:space="preserve">. This is important because it </w:t>
      </w:r>
      <w:r w:rsidR="00DA6B7F">
        <w:rPr>
          <w:sz w:val="22"/>
          <w:szCs w:val="22"/>
        </w:rPr>
        <w:t>showcases</w:t>
      </w:r>
      <w:r w:rsidR="00571357">
        <w:rPr>
          <w:sz w:val="22"/>
          <w:szCs w:val="22"/>
        </w:rPr>
        <w:t xml:space="preserve"> a lot about Thatcher’s overall mentality, </w:t>
      </w:r>
      <w:r w:rsidR="00973FDC">
        <w:rPr>
          <w:sz w:val="22"/>
          <w:szCs w:val="22"/>
        </w:rPr>
        <w:t>she wants to remind the British people about the power held by the Nation, and remind them that</w:t>
      </w:r>
      <w:r w:rsidR="002A4232">
        <w:rPr>
          <w:sz w:val="22"/>
          <w:szCs w:val="22"/>
        </w:rPr>
        <w:t xml:space="preserve"> th</w:t>
      </w:r>
      <w:r w:rsidR="00DA6B7F">
        <w:rPr>
          <w:sz w:val="22"/>
          <w:szCs w:val="22"/>
        </w:rPr>
        <w:t>ey</w:t>
      </w:r>
      <w:r w:rsidR="002A4232">
        <w:rPr>
          <w:sz w:val="22"/>
          <w:szCs w:val="22"/>
        </w:rPr>
        <w:t xml:space="preserve"> are all united against an enemy, this is despite the fact that the very enemy she is waging war against are </w:t>
      </w:r>
      <w:r w:rsidR="005751C8">
        <w:rPr>
          <w:sz w:val="22"/>
          <w:szCs w:val="22"/>
        </w:rPr>
        <w:t>British</w:t>
      </w:r>
      <w:r w:rsidR="002A4232">
        <w:rPr>
          <w:sz w:val="22"/>
          <w:szCs w:val="22"/>
        </w:rPr>
        <w:t xml:space="preserve"> people</w:t>
      </w:r>
      <w:r w:rsidR="00927D71">
        <w:rPr>
          <w:sz w:val="22"/>
          <w:szCs w:val="22"/>
        </w:rPr>
        <w:t xml:space="preserve">. </w:t>
      </w:r>
    </w:p>
    <w:p w14:paraId="5546A89C" w14:textId="41F7D2D7" w:rsidR="00C1096D" w:rsidRDefault="00D81633">
      <w:pPr>
        <w:rPr>
          <w:sz w:val="22"/>
          <w:szCs w:val="22"/>
        </w:rPr>
      </w:pPr>
      <w:r>
        <w:rPr>
          <w:sz w:val="22"/>
          <w:szCs w:val="22"/>
        </w:rPr>
        <w:t xml:space="preserve">In conclusion, Thatcher’s attitude towards the Falklands war, was not dissimilar to how she would often confront issues. A headstrong, </w:t>
      </w:r>
      <w:r w:rsidR="00385E59">
        <w:rPr>
          <w:sz w:val="22"/>
          <w:szCs w:val="22"/>
        </w:rPr>
        <w:t>powerful approach, though not an unorganised one. Thatcher acted</w:t>
      </w:r>
      <w:r w:rsidR="00D85F72">
        <w:rPr>
          <w:sz w:val="22"/>
          <w:szCs w:val="22"/>
        </w:rPr>
        <w:t xml:space="preserve"> in a manner which she believed was in Britain’s best interest and </w:t>
      </w:r>
      <w:r w:rsidR="00DC503C">
        <w:rPr>
          <w:sz w:val="22"/>
          <w:szCs w:val="22"/>
        </w:rPr>
        <w:t xml:space="preserve">reestablished Britain as a formidable threat to external forces. </w:t>
      </w:r>
      <w:r w:rsidR="003B0421">
        <w:rPr>
          <w:sz w:val="22"/>
          <w:szCs w:val="22"/>
        </w:rPr>
        <w:t>It is easy to identify that the Falkland’s War was highly impactful on her</w:t>
      </w:r>
      <w:r w:rsidR="0003184D">
        <w:rPr>
          <w:sz w:val="22"/>
          <w:szCs w:val="22"/>
        </w:rPr>
        <w:t xml:space="preserve"> broader political project, aiding her in her re-election in 19</w:t>
      </w:r>
      <w:r w:rsidR="00450BFF">
        <w:rPr>
          <w:sz w:val="22"/>
          <w:szCs w:val="22"/>
        </w:rPr>
        <w:t>83</w:t>
      </w:r>
      <w:r w:rsidR="001E3C19">
        <w:rPr>
          <w:sz w:val="22"/>
          <w:szCs w:val="22"/>
        </w:rPr>
        <w:t xml:space="preserve">, and foreshadowing the decisions she would make later in her </w:t>
      </w:r>
      <w:r w:rsidR="008B43B8">
        <w:rPr>
          <w:sz w:val="22"/>
          <w:szCs w:val="22"/>
        </w:rPr>
        <w:t xml:space="preserve">time as Prime-Minister </w:t>
      </w:r>
      <w:r w:rsidR="002B721F">
        <w:rPr>
          <w:sz w:val="22"/>
          <w:szCs w:val="22"/>
        </w:rPr>
        <w:t xml:space="preserve">when other conflicts would emerge. </w:t>
      </w:r>
      <w:r w:rsidR="005E0A68">
        <w:rPr>
          <w:sz w:val="22"/>
          <w:szCs w:val="22"/>
        </w:rPr>
        <w:lastRenderedPageBreak/>
        <w:t>Undeniably, t</w:t>
      </w:r>
      <w:r w:rsidR="00935638">
        <w:rPr>
          <w:sz w:val="22"/>
          <w:szCs w:val="22"/>
        </w:rPr>
        <w:t xml:space="preserve">he victory in the Falklands was a high that Thatcher would ride for a very long time, even years after the conflict to </w:t>
      </w:r>
      <w:r w:rsidR="00C6416C">
        <w:rPr>
          <w:sz w:val="22"/>
          <w:szCs w:val="22"/>
        </w:rPr>
        <w:t>remind the British population of her power</w:t>
      </w:r>
      <w:r w:rsidR="00F661E9">
        <w:rPr>
          <w:sz w:val="22"/>
          <w:szCs w:val="22"/>
        </w:rPr>
        <w:t>, and maintain their support, even when</w:t>
      </w:r>
      <w:r w:rsidR="001D5355">
        <w:rPr>
          <w:sz w:val="22"/>
          <w:szCs w:val="22"/>
        </w:rPr>
        <w:t xml:space="preserve"> the decisions she was making </w:t>
      </w:r>
      <w:r w:rsidR="005E0A68">
        <w:rPr>
          <w:sz w:val="22"/>
          <w:szCs w:val="22"/>
        </w:rPr>
        <w:t xml:space="preserve">were controversial, and perhaps in some cases even arguably, to an extent fascist, such could be argued in the case </w:t>
      </w:r>
      <w:r w:rsidR="00236B6D">
        <w:rPr>
          <w:sz w:val="22"/>
          <w:szCs w:val="22"/>
        </w:rPr>
        <w:t>of the Miner’s strike</w:t>
      </w:r>
      <w:r w:rsidR="005D5205">
        <w:rPr>
          <w:sz w:val="22"/>
          <w:szCs w:val="22"/>
        </w:rPr>
        <w:t>. Nonetheless, Thatcher’s</w:t>
      </w:r>
      <w:r w:rsidR="004932E9">
        <w:rPr>
          <w:sz w:val="22"/>
          <w:szCs w:val="22"/>
        </w:rPr>
        <w:t xml:space="preserve"> position during the Falklands war </w:t>
      </w:r>
      <w:r w:rsidR="008061EC">
        <w:rPr>
          <w:sz w:val="22"/>
          <w:szCs w:val="22"/>
        </w:rPr>
        <w:t>may well have been the very type of leadership that Britain needed at the time of the conflict</w:t>
      </w:r>
      <w:r w:rsidR="00032B35">
        <w:rPr>
          <w:sz w:val="22"/>
          <w:szCs w:val="22"/>
        </w:rPr>
        <w:t>, though perhaps subsequently too ruthless in other aspects of her rule.</w:t>
      </w:r>
      <w:r w:rsidR="008D3C70">
        <w:rPr>
          <w:sz w:val="22"/>
          <w:szCs w:val="22"/>
        </w:rPr>
        <w:t xml:space="preserve"> </w:t>
      </w:r>
      <w:r w:rsidR="007B53BA">
        <w:rPr>
          <w:sz w:val="22"/>
          <w:szCs w:val="22"/>
        </w:rPr>
        <w:t xml:space="preserve">Ultimately, Thatcher reminded many British citizens of </w:t>
      </w:r>
      <w:r w:rsidR="00427D37">
        <w:rPr>
          <w:sz w:val="22"/>
          <w:szCs w:val="22"/>
        </w:rPr>
        <w:t>the patriotic mentality, she may have argued that many had lost</w:t>
      </w:r>
      <w:r w:rsidR="00DD7247">
        <w:rPr>
          <w:sz w:val="22"/>
          <w:szCs w:val="22"/>
        </w:rPr>
        <w:t>, transforming British politics in this manner</w:t>
      </w:r>
      <w:r w:rsidR="00175A41">
        <w:rPr>
          <w:sz w:val="22"/>
          <w:szCs w:val="22"/>
        </w:rPr>
        <w:t xml:space="preserve"> and reigniting a spark</w:t>
      </w:r>
      <w:r w:rsidR="0072636A">
        <w:rPr>
          <w:sz w:val="22"/>
          <w:szCs w:val="22"/>
        </w:rPr>
        <w:t xml:space="preserve"> of true British patriotism</w:t>
      </w:r>
      <w:r w:rsidR="00175A41">
        <w:rPr>
          <w:sz w:val="22"/>
          <w:szCs w:val="22"/>
        </w:rPr>
        <w:t xml:space="preserve"> that may have otherwise been lost since the end of the Second World War</w:t>
      </w:r>
      <w:r w:rsidR="00DD7247">
        <w:rPr>
          <w:sz w:val="22"/>
          <w:szCs w:val="22"/>
        </w:rPr>
        <w:t xml:space="preserve">. </w:t>
      </w:r>
    </w:p>
    <w:p w14:paraId="65AA6D74" w14:textId="77777777" w:rsidR="00DB1C37" w:rsidRDefault="00DB1C37">
      <w:pPr>
        <w:rPr>
          <w:sz w:val="22"/>
          <w:szCs w:val="22"/>
        </w:rPr>
      </w:pPr>
    </w:p>
    <w:p w14:paraId="6FA7B442" w14:textId="77777777" w:rsidR="00DB1C37" w:rsidRDefault="00DB1C37">
      <w:pPr>
        <w:rPr>
          <w:sz w:val="22"/>
          <w:szCs w:val="22"/>
        </w:rPr>
      </w:pPr>
    </w:p>
    <w:p w14:paraId="1EC71EB8" w14:textId="77777777" w:rsidR="00DB1C37" w:rsidRDefault="00DB1C37">
      <w:pPr>
        <w:rPr>
          <w:sz w:val="22"/>
          <w:szCs w:val="22"/>
        </w:rPr>
      </w:pPr>
    </w:p>
    <w:p w14:paraId="02D15DFD" w14:textId="77777777" w:rsidR="00DB1C37" w:rsidRDefault="00DB1C37">
      <w:pPr>
        <w:rPr>
          <w:sz w:val="22"/>
          <w:szCs w:val="22"/>
        </w:rPr>
      </w:pPr>
    </w:p>
    <w:p w14:paraId="29D7E127" w14:textId="77777777" w:rsidR="00DB1C37" w:rsidRDefault="00DB1C37">
      <w:pPr>
        <w:rPr>
          <w:sz w:val="22"/>
          <w:szCs w:val="22"/>
        </w:rPr>
      </w:pPr>
    </w:p>
    <w:p w14:paraId="4CFB29C9" w14:textId="77777777" w:rsidR="00DB1C37" w:rsidRDefault="00DB1C37">
      <w:pPr>
        <w:rPr>
          <w:sz w:val="22"/>
          <w:szCs w:val="22"/>
        </w:rPr>
      </w:pPr>
    </w:p>
    <w:p w14:paraId="4F0F5E3C" w14:textId="77777777" w:rsidR="00DB1C37" w:rsidRDefault="00DB1C37">
      <w:pPr>
        <w:rPr>
          <w:sz w:val="22"/>
          <w:szCs w:val="22"/>
        </w:rPr>
      </w:pPr>
    </w:p>
    <w:p w14:paraId="3B7B3EA6" w14:textId="77777777" w:rsidR="00DB1C37" w:rsidRDefault="00DB1C37">
      <w:pPr>
        <w:rPr>
          <w:sz w:val="22"/>
          <w:szCs w:val="22"/>
        </w:rPr>
      </w:pPr>
    </w:p>
    <w:p w14:paraId="0351641A" w14:textId="77777777" w:rsidR="00DB1C37" w:rsidRDefault="00DB1C37">
      <w:pPr>
        <w:rPr>
          <w:sz w:val="22"/>
          <w:szCs w:val="22"/>
        </w:rPr>
      </w:pPr>
    </w:p>
    <w:p w14:paraId="334C905F" w14:textId="77777777" w:rsidR="00DB1C37" w:rsidRDefault="00DB1C37">
      <w:pPr>
        <w:rPr>
          <w:sz w:val="22"/>
          <w:szCs w:val="22"/>
        </w:rPr>
      </w:pPr>
    </w:p>
    <w:p w14:paraId="37857227" w14:textId="77777777" w:rsidR="00DB1C37" w:rsidRDefault="00DB1C37">
      <w:pPr>
        <w:rPr>
          <w:sz w:val="22"/>
          <w:szCs w:val="22"/>
        </w:rPr>
      </w:pPr>
    </w:p>
    <w:p w14:paraId="5F574B60" w14:textId="77777777" w:rsidR="00DB1C37" w:rsidRDefault="00DB1C37">
      <w:pPr>
        <w:rPr>
          <w:sz w:val="22"/>
          <w:szCs w:val="22"/>
        </w:rPr>
      </w:pPr>
    </w:p>
    <w:p w14:paraId="440E73EF" w14:textId="77777777" w:rsidR="00DB1C37" w:rsidRDefault="00DB1C37">
      <w:pPr>
        <w:rPr>
          <w:sz w:val="22"/>
          <w:szCs w:val="22"/>
        </w:rPr>
      </w:pPr>
    </w:p>
    <w:p w14:paraId="1C8BB5B7" w14:textId="77777777" w:rsidR="00DB1C37" w:rsidRDefault="00DB1C37">
      <w:pPr>
        <w:rPr>
          <w:sz w:val="22"/>
          <w:szCs w:val="22"/>
        </w:rPr>
      </w:pPr>
    </w:p>
    <w:p w14:paraId="0AE9B80E" w14:textId="77777777" w:rsidR="00DB1C37" w:rsidRDefault="00DB1C37">
      <w:pPr>
        <w:rPr>
          <w:sz w:val="22"/>
          <w:szCs w:val="22"/>
        </w:rPr>
      </w:pPr>
    </w:p>
    <w:p w14:paraId="05D3D4A1" w14:textId="77777777" w:rsidR="00DB1C37" w:rsidRDefault="00DB1C37">
      <w:pPr>
        <w:rPr>
          <w:sz w:val="22"/>
          <w:szCs w:val="22"/>
        </w:rPr>
      </w:pPr>
    </w:p>
    <w:p w14:paraId="126668A5" w14:textId="77777777" w:rsidR="00DB1C37" w:rsidRDefault="00DB1C37">
      <w:pPr>
        <w:rPr>
          <w:sz w:val="22"/>
          <w:szCs w:val="22"/>
        </w:rPr>
      </w:pPr>
    </w:p>
    <w:p w14:paraId="2E323797" w14:textId="77777777" w:rsidR="00DB1C37" w:rsidRDefault="00DB1C37">
      <w:pPr>
        <w:rPr>
          <w:sz w:val="22"/>
          <w:szCs w:val="22"/>
        </w:rPr>
      </w:pPr>
    </w:p>
    <w:p w14:paraId="1CE6F710" w14:textId="77777777" w:rsidR="00DB1C37" w:rsidRDefault="00DB1C37">
      <w:pPr>
        <w:rPr>
          <w:sz w:val="22"/>
          <w:szCs w:val="22"/>
        </w:rPr>
      </w:pPr>
    </w:p>
    <w:p w14:paraId="2CA3A50E" w14:textId="77777777" w:rsidR="00DB1C37" w:rsidRDefault="00DB1C37">
      <w:pPr>
        <w:rPr>
          <w:sz w:val="22"/>
          <w:szCs w:val="22"/>
        </w:rPr>
      </w:pPr>
    </w:p>
    <w:p w14:paraId="309DFE16" w14:textId="77777777" w:rsidR="00DB1C37" w:rsidRDefault="00DB1C37">
      <w:pPr>
        <w:rPr>
          <w:sz w:val="22"/>
          <w:szCs w:val="22"/>
        </w:rPr>
      </w:pPr>
    </w:p>
    <w:p w14:paraId="28319B05" w14:textId="46074021" w:rsidR="00DB1C37" w:rsidRDefault="00DB1C37">
      <w:pPr>
        <w:rPr>
          <w:b/>
          <w:bCs/>
          <w:sz w:val="22"/>
          <w:szCs w:val="22"/>
          <w:u w:val="single"/>
        </w:rPr>
      </w:pPr>
      <w:r w:rsidRPr="00DB1C37">
        <w:rPr>
          <w:b/>
          <w:bCs/>
          <w:sz w:val="22"/>
          <w:szCs w:val="22"/>
          <w:u w:val="single"/>
        </w:rPr>
        <w:lastRenderedPageBreak/>
        <w:t>Bibliography</w:t>
      </w:r>
    </w:p>
    <w:p w14:paraId="16FE28AE" w14:textId="77777777" w:rsidR="00DF670F" w:rsidRDefault="00DF670F">
      <w:pPr>
        <w:rPr>
          <w:sz w:val="22"/>
          <w:szCs w:val="22"/>
        </w:rPr>
      </w:pPr>
      <w:r w:rsidRPr="009B3C72">
        <w:rPr>
          <w:i/>
          <w:iCs/>
          <w:sz w:val="22"/>
          <w:szCs w:val="22"/>
        </w:rPr>
        <w:t>BBC News</w:t>
      </w:r>
      <w:r w:rsidRPr="009B3C72">
        <w:rPr>
          <w:sz w:val="22"/>
          <w:szCs w:val="22"/>
        </w:rPr>
        <w:t>, ‘In Quotes: Margret Thatcher’ (8</w:t>
      </w:r>
      <w:r w:rsidRPr="009B3C72">
        <w:rPr>
          <w:sz w:val="22"/>
          <w:szCs w:val="22"/>
          <w:vertAlign w:val="superscript"/>
        </w:rPr>
        <w:t>th</w:t>
      </w:r>
      <w:r w:rsidRPr="009B3C72">
        <w:rPr>
          <w:sz w:val="22"/>
          <w:szCs w:val="22"/>
        </w:rPr>
        <w:t xml:space="preserve"> April 2023) &lt;</w:t>
      </w:r>
      <w:hyperlink r:id="rId10" w:history="1">
        <w:r w:rsidRPr="009B3C72">
          <w:rPr>
            <w:rStyle w:val="Hyperlink"/>
            <w:sz w:val="22"/>
            <w:szCs w:val="22"/>
          </w:rPr>
          <w:t>https://www.bbc.co.uk/news/uk-politics-10377842</w:t>
        </w:r>
      </w:hyperlink>
      <w:r w:rsidRPr="009B3C72">
        <w:rPr>
          <w:sz w:val="22"/>
          <w:szCs w:val="22"/>
        </w:rPr>
        <w:t>&gt; [Accessed 27/07/2024].</w:t>
      </w:r>
    </w:p>
    <w:p w14:paraId="2F6B6398" w14:textId="77777777" w:rsidR="00DF670F" w:rsidRDefault="00DF670F">
      <w:pPr>
        <w:rPr>
          <w:sz w:val="22"/>
          <w:szCs w:val="22"/>
        </w:rPr>
      </w:pPr>
      <w:r w:rsidRPr="008A0D1D">
        <w:rPr>
          <w:sz w:val="22"/>
          <w:szCs w:val="22"/>
          <w:lang w:val="en-US"/>
        </w:rPr>
        <w:t>Blakeway,</w:t>
      </w:r>
      <w:r>
        <w:rPr>
          <w:sz w:val="22"/>
          <w:szCs w:val="22"/>
          <w:lang w:val="en-US"/>
        </w:rPr>
        <w:t xml:space="preserve"> </w:t>
      </w:r>
      <w:r w:rsidRPr="008A0D1D">
        <w:rPr>
          <w:sz w:val="22"/>
          <w:szCs w:val="22"/>
          <w:lang w:val="en-US"/>
        </w:rPr>
        <w:t xml:space="preserve">Denys </w:t>
      </w:r>
      <w:r w:rsidRPr="008A0D1D">
        <w:rPr>
          <w:i/>
          <w:iCs/>
          <w:sz w:val="22"/>
          <w:szCs w:val="22"/>
          <w:lang w:val="en-US"/>
        </w:rPr>
        <w:t>The Falklands War</w:t>
      </w:r>
      <w:r w:rsidRPr="008A0D1D">
        <w:rPr>
          <w:sz w:val="22"/>
          <w:szCs w:val="22"/>
          <w:lang w:val="en-US"/>
        </w:rPr>
        <w:t>, (</w:t>
      </w:r>
      <w:r w:rsidRPr="008A0D1D">
        <w:rPr>
          <w:sz w:val="22"/>
          <w:szCs w:val="22"/>
        </w:rPr>
        <w:t>London: Sidgwick &amp; Jackson, 1992).</w:t>
      </w:r>
    </w:p>
    <w:p w14:paraId="45D88387" w14:textId="77777777" w:rsidR="00DF670F" w:rsidRDefault="00DF670F">
      <w:pPr>
        <w:rPr>
          <w:sz w:val="22"/>
          <w:szCs w:val="22"/>
        </w:rPr>
      </w:pPr>
      <w:r w:rsidRPr="009B3C72">
        <w:rPr>
          <w:sz w:val="22"/>
          <w:szCs w:val="22"/>
        </w:rPr>
        <w:t>Campbell,</w:t>
      </w:r>
      <w:r>
        <w:rPr>
          <w:sz w:val="22"/>
          <w:szCs w:val="22"/>
        </w:rPr>
        <w:t xml:space="preserve"> John</w:t>
      </w:r>
      <w:r w:rsidRPr="009B3C72">
        <w:rPr>
          <w:sz w:val="22"/>
          <w:szCs w:val="22"/>
        </w:rPr>
        <w:t xml:space="preserve"> </w:t>
      </w:r>
      <w:r w:rsidRPr="009B3C72">
        <w:rPr>
          <w:i/>
          <w:iCs/>
          <w:sz w:val="22"/>
          <w:szCs w:val="22"/>
        </w:rPr>
        <w:t>Margret Thatcher, The Iron Lady</w:t>
      </w:r>
      <w:r w:rsidRPr="009B3C72">
        <w:rPr>
          <w:sz w:val="22"/>
          <w:szCs w:val="22"/>
        </w:rPr>
        <w:t>, (London: Vintage 2008).</w:t>
      </w:r>
    </w:p>
    <w:p w14:paraId="1E3AAC8F" w14:textId="77777777" w:rsidR="00DF670F" w:rsidRDefault="00DF670F">
      <w:pPr>
        <w:rPr>
          <w:sz w:val="22"/>
          <w:szCs w:val="22"/>
        </w:rPr>
      </w:pPr>
      <w:r w:rsidRPr="009B3C72">
        <w:rPr>
          <w:sz w:val="22"/>
          <w:szCs w:val="22"/>
        </w:rPr>
        <w:t xml:space="preserve">Carrington, Peter, </w:t>
      </w:r>
      <w:r w:rsidRPr="009B3C72">
        <w:rPr>
          <w:i/>
          <w:iCs/>
          <w:sz w:val="22"/>
          <w:szCs w:val="22"/>
        </w:rPr>
        <w:t>Reflect on things past: the memoirs of Lord Carrington</w:t>
      </w:r>
      <w:r w:rsidRPr="009B3C72">
        <w:rPr>
          <w:sz w:val="22"/>
          <w:szCs w:val="22"/>
        </w:rPr>
        <w:t>, (London: Fontana, 1989).</w:t>
      </w:r>
    </w:p>
    <w:p w14:paraId="4BFAAD9C" w14:textId="77777777" w:rsidR="00DF670F" w:rsidRDefault="00DF670F">
      <w:pPr>
        <w:rPr>
          <w:sz w:val="22"/>
          <w:szCs w:val="22"/>
        </w:rPr>
      </w:pPr>
      <w:r w:rsidRPr="009B3C72">
        <w:rPr>
          <w:sz w:val="22"/>
          <w:szCs w:val="22"/>
        </w:rPr>
        <w:t>Crick,</w:t>
      </w:r>
      <w:r>
        <w:rPr>
          <w:sz w:val="22"/>
          <w:szCs w:val="22"/>
        </w:rPr>
        <w:t xml:space="preserve"> Michael</w:t>
      </w:r>
      <w:r w:rsidRPr="009B3C72">
        <w:rPr>
          <w:sz w:val="22"/>
          <w:szCs w:val="22"/>
        </w:rPr>
        <w:t xml:space="preserve"> </w:t>
      </w:r>
      <w:r w:rsidRPr="009B3C72">
        <w:rPr>
          <w:i/>
          <w:iCs/>
          <w:sz w:val="22"/>
          <w:szCs w:val="22"/>
        </w:rPr>
        <w:t xml:space="preserve">Scargill and the Miners, </w:t>
      </w:r>
      <w:r w:rsidRPr="009B3C72">
        <w:rPr>
          <w:sz w:val="22"/>
          <w:szCs w:val="22"/>
        </w:rPr>
        <w:t>(Hammondsworth: Penguin, 1985).</w:t>
      </w:r>
    </w:p>
    <w:p w14:paraId="6AE31455" w14:textId="77777777" w:rsidR="00DF670F" w:rsidRDefault="00DF670F">
      <w:pPr>
        <w:rPr>
          <w:sz w:val="22"/>
          <w:szCs w:val="22"/>
        </w:rPr>
      </w:pPr>
      <w:r w:rsidRPr="00DB1C37">
        <w:rPr>
          <w:sz w:val="22"/>
          <w:szCs w:val="22"/>
        </w:rPr>
        <w:t>Freedman,</w:t>
      </w:r>
      <w:r>
        <w:rPr>
          <w:sz w:val="22"/>
          <w:szCs w:val="22"/>
        </w:rPr>
        <w:t xml:space="preserve"> </w:t>
      </w:r>
      <w:r w:rsidRPr="00DB1C37">
        <w:rPr>
          <w:sz w:val="22"/>
          <w:szCs w:val="22"/>
        </w:rPr>
        <w:t xml:space="preserve">Lawrence </w:t>
      </w:r>
      <w:r w:rsidRPr="00DB1C37">
        <w:rPr>
          <w:i/>
          <w:iCs/>
          <w:sz w:val="22"/>
          <w:szCs w:val="22"/>
        </w:rPr>
        <w:t>Britain and the Falklands War</w:t>
      </w:r>
      <w:r w:rsidRPr="00DB1C37">
        <w:rPr>
          <w:sz w:val="22"/>
          <w:szCs w:val="22"/>
        </w:rPr>
        <w:t xml:space="preserve"> (Oxford, UK: Blackwell, 1988).</w:t>
      </w:r>
    </w:p>
    <w:p w14:paraId="248FF8D7" w14:textId="77777777" w:rsidR="00DF670F" w:rsidRDefault="00DF670F">
      <w:pPr>
        <w:rPr>
          <w:sz w:val="22"/>
          <w:szCs w:val="22"/>
        </w:rPr>
      </w:pPr>
      <w:r w:rsidRPr="009B3C72">
        <w:rPr>
          <w:sz w:val="22"/>
          <w:szCs w:val="22"/>
        </w:rPr>
        <w:t>Gibran</w:t>
      </w:r>
      <w:r w:rsidRPr="009B3C72">
        <w:rPr>
          <w:i/>
          <w:iCs/>
          <w:sz w:val="22"/>
          <w:szCs w:val="22"/>
        </w:rPr>
        <w:t>,</w:t>
      </w:r>
      <w:r w:rsidRPr="00DF670F">
        <w:rPr>
          <w:sz w:val="22"/>
          <w:szCs w:val="22"/>
        </w:rPr>
        <w:t xml:space="preserve"> </w:t>
      </w:r>
      <w:r w:rsidRPr="009B3C72">
        <w:rPr>
          <w:sz w:val="22"/>
          <w:szCs w:val="22"/>
        </w:rPr>
        <w:t>Daniel K.</w:t>
      </w:r>
      <w:r w:rsidRPr="009B3C72">
        <w:rPr>
          <w:i/>
          <w:iCs/>
          <w:sz w:val="22"/>
          <w:szCs w:val="22"/>
        </w:rPr>
        <w:t xml:space="preserve"> The Falklands War: Britain versus the past in the South Atlantic</w:t>
      </w:r>
      <w:r w:rsidRPr="009B3C72">
        <w:rPr>
          <w:sz w:val="22"/>
          <w:szCs w:val="22"/>
        </w:rPr>
        <w:t>, (Jefferson, N.C.: McFarland).</w:t>
      </w:r>
    </w:p>
    <w:p w14:paraId="424A229A" w14:textId="77777777" w:rsidR="00DF670F" w:rsidRDefault="00DF670F">
      <w:pPr>
        <w:rPr>
          <w:sz w:val="22"/>
          <w:szCs w:val="22"/>
        </w:rPr>
      </w:pPr>
      <w:r w:rsidRPr="00DB1C37">
        <w:rPr>
          <w:sz w:val="22"/>
          <w:szCs w:val="22"/>
        </w:rPr>
        <w:t>Hastings,</w:t>
      </w:r>
      <w:r>
        <w:rPr>
          <w:sz w:val="22"/>
          <w:szCs w:val="22"/>
        </w:rPr>
        <w:t xml:space="preserve"> Max,</w:t>
      </w:r>
      <w:r w:rsidRPr="00DB1C37">
        <w:rPr>
          <w:sz w:val="22"/>
          <w:szCs w:val="22"/>
        </w:rPr>
        <w:t xml:space="preserve"> </w:t>
      </w:r>
      <w:r w:rsidRPr="00DB1C37">
        <w:rPr>
          <w:i/>
          <w:iCs/>
          <w:sz w:val="22"/>
          <w:szCs w:val="22"/>
        </w:rPr>
        <w:t>The Battle for the Falklands</w:t>
      </w:r>
      <w:r w:rsidRPr="00DB1C37">
        <w:rPr>
          <w:sz w:val="22"/>
          <w:szCs w:val="22"/>
        </w:rPr>
        <w:t>, (New York: Norton, 1983).</w:t>
      </w:r>
    </w:p>
    <w:p w14:paraId="311E4743" w14:textId="77777777" w:rsidR="00DF670F" w:rsidRDefault="00DF670F">
      <w:pPr>
        <w:rPr>
          <w:sz w:val="22"/>
          <w:szCs w:val="22"/>
          <w:lang w:val="en-US"/>
        </w:rPr>
      </w:pPr>
      <w:r w:rsidRPr="00E47FDA">
        <w:rPr>
          <w:sz w:val="22"/>
          <w:szCs w:val="22"/>
          <w:lang w:val="en-US"/>
        </w:rPr>
        <w:t>Middlebrook,</w:t>
      </w:r>
      <w:r>
        <w:rPr>
          <w:sz w:val="22"/>
          <w:szCs w:val="22"/>
          <w:lang w:val="en-US"/>
        </w:rPr>
        <w:t xml:space="preserve"> Martin</w:t>
      </w:r>
      <w:r w:rsidRPr="00E47FDA">
        <w:rPr>
          <w:sz w:val="22"/>
          <w:szCs w:val="22"/>
          <w:lang w:val="en-US"/>
        </w:rPr>
        <w:t xml:space="preserve"> </w:t>
      </w:r>
      <w:r w:rsidRPr="00E47FDA">
        <w:rPr>
          <w:i/>
          <w:iCs/>
          <w:sz w:val="22"/>
          <w:szCs w:val="22"/>
          <w:lang w:val="en-US"/>
        </w:rPr>
        <w:t>The Falklands War</w:t>
      </w:r>
      <w:r w:rsidRPr="00E47FDA">
        <w:rPr>
          <w:sz w:val="22"/>
          <w:szCs w:val="22"/>
          <w:lang w:val="en-US"/>
        </w:rPr>
        <w:t>, (</w:t>
      </w:r>
      <w:r w:rsidRPr="00E47FDA">
        <w:rPr>
          <w:sz w:val="22"/>
          <w:szCs w:val="22"/>
        </w:rPr>
        <w:t>Barnsley, South Yorkshire: Pen &amp; Sword Military</w:t>
      </w:r>
      <w:r w:rsidRPr="00E47FDA">
        <w:rPr>
          <w:sz w:val="22"/>
          <w:szCs w:val="22"/>
          <w:lang w:val="en-US"/>
        </w:rPr>
        <w:t>, 2012)</w:t>
      </w:r>
      <w:r>
        <w:rPr>
          <w:sz w:val="22"/>
          <w:szCs w:val="22"/>
          <w:lang w:val="en-US"/>
        </w:rPr>
        <w:t>.</w:t>
      </w:r>
    </w:p>
    <w:p w14:paraId="71A09C98" w14:textId="77777777" w:rsidR="00DF670F" w:rsidRDefault="00DF670F">
      <w:pPr>
        <w:rPr>
          <w:sz w:val="22"/>
          <w:szCs w:val="22"/>
        </w:rPr>
      </w:pPr>
      <w:r w:rsidRPr="00E47FDA">
        <w:rPr>
          <w:sz w:val="22"/>
          <w:szCs w:val="22"/>
        </w:rPr>
        <w:t>Thatcher,</w:t>
      </w:r>
      <w:r>
        <w:rPr>
          <w:sz w:val="22"/>
          <w:szCs w:val="22"/>
        </w:rPr>
        <w:t xml:space="preserve"> Margret,</w:t>
      </w:r>
      <w:r w:rsidRPr="00E47FDA">
        <w:rPr>
          <w:sz w:val="22"/>
          <w:szCs w:val="22"/>
        </w:rPr>
        <w:t xml:space="preserve"> Speech to Conservative Rally at Cheltenham, 1982 &lt;</w:t>
      </w:r>
      <w:hyperlink r:id="rId11" w:history="1">
        <w:r w:rsidRPr="00E47FDA">
          <w:rPr>
            <w:rStyle w:val="Hyperlink"/>
            <w:sz w:val="22"/>
            <w:szCs w:val="22"/>
          </w:rPr>
          <w:t>https://www.margaretthatcher.org/document/104989</w:t>
        </w:r>
      </w:hyperlink>
      <w:r w:rsidRPr="00E47FDA">
        <w:rPr>
          <w:sz w:val="22"/>
          <w:szCs w:val="22"/>
        </w:rPr>
        <w:t>&gt; [Accessed 25/11/2024].</w:t>
      </w:r>
    </w:p>
    <w:p w14:paraId="39A46975" w14:textId="77777777" w:rsidR="00DF670F" w:rsidRDefault="00DF670F">
      <w:pPr>
        <w:rPr>
          <w:bCs/>
          <w:iCs/>
          <w:sz w:val="22"/>
          <w:szCs w:val="22"/>
        </w:rPr>
      </w:pPr>
      <w:r w:rsidRPr="008A0D1D">
        <w:rPr>
          <w:sz w:val="22"/>
          <w:szCs w:val="22"/>
        </w:rPr>
        <w:t xml:space="preserve">Thatcher, Margret, </w:t>
      </w:r>
      <w:r w:rsidRPr="008A0D1D">
        <w:rPr>
          <w:bCs/>
          <w:i/>
          <w:sz w:val="22"/>
          <w:szCs w:val="22"/>
        </w:rPr>
        <w:t>The Downing Street Years</w:t>
      </w:r>
      <w:r w:rsidRPr="008A0D1D">
        <w:rPr>
          <w:bCs/>
          <w:iCs/>
          <w:sz w:val="22"/>
          <w:szCs w:val="22"/>
        </w:rPr>
        <w:t>, (London: Harper Collins, 1993).</w:t>
      </w:r>
    </w:p>
    <w:p w14:paraId="0274A7F8" w14:textId="188E3211" w:rsidR="003B076F" w:rsidRDefault="003B076F">
      <w:pPr>
        <w:rPr>
          <w:b/>
          <w:bCs/>
          <w:sz w:val="22"/>
          <w:szCs w:val="22"/>
          <w:u w:val="single"/>
        </w:rPr>
      </w:pPr>
      <w:r w:rsidRPr="003B076F">
        <w:rPr>
          <w:b/>
          <w:bCs/>
          <w:sz w:val="22"/>
          <w:szCs w:val="22"/>
          <w:u w:val="single"/>
        </w:rPr>
        <w:t>Images Used</w:t>
      </w:r>
    </w:p>
    <w:p w14:paraId="3E9CBAC4" w14:textId="77777777" w:rsidR="00DF670F" w:rsidRPr="005D541C" w:rsidRDefault="00DF670F" w:rsidP="003B076F">
      <w:pPr>
        <w:rPr>
          <w:rFonts w:cs="Calibri"/>
          <w:color w:val="000000" w:themeColor="text1"/>
          <w:sz w:val="22"/>
          <w:szCs w:val="22"/>
        </w:rPr>
      </w:pPr>
      <w:r w:rsidRPr="005D541C">
        <w:rPr>
          <w:rFonts w:cs="Calibri"/>
          <w:color w:val="000000" w:themeColor="text1"/>
          <w:sz w:val="22"/>
          <w:szCs w:val="22"/>
        </w:rPr>
        <w:t>Cross, Rob, ‘Lord Peter A.R. Carrington (Grenadier Guards)’ (1984) &lt;</w:t>
      </w:r>
      <w:hyperlink r:id="rId12" w:anchor="/media/File:Peter_Carington_1984.jpg" w:history="1">
        <w:r w:rsidRPr="005D541C">
          <w:rPr>
            <w:rStyle w:val="Hyperlink"/>
            <w:rFonts w:cs="Calibri"/>
            <w:sz w:val="22"/>
            <w:szCs w:val="22"/>
          </w:rPr>
          <w:t>https://en.wikipedia.org/wiki/Peter_Carington,_6th_Baron_Carrington#/media/File:Peter_Carington_1984.jpg</w:t>
        </w:r>
      </w:hyperlink>
      <w:r w:rsidRPr="005D541C">
        <w:rPr>
          <w:rFonts w:cs="Calibri"/>
          <w:color w:val="000000" w:themeColor="text1"/>
          <w:sz w:val="22"/>
          <w:szCs w:val="22"/>
        </w:rPr>
        <w:t xml:space="preserve">&gt; </w:t>
      </w:r>
      <w:r w:rsidRPr="005D541C">
        <w:rPr>
          <w:rFonts w:cs="Calibri"/>
          <w:sz w:val="22"/>
          <w:szCs w:val="22"/>
        </w:rPr>
        <w:t>[Accessed 02/12/2024].</w:t>
      </w:r>
    </w:p>
    <w:p w14:paraId="1DB5D23D" w14:textId="77777777" w:rsidR="00DF670F" w:rsidRPr="005D541C" w:rsidRDefault="00DF670F" w:rsidP="003B076F">
      <w:pPr>
        <w:rPr>
          <w:rFonts w:cs="Calibri"/>
          <w:sz w:val="22"/>
          <w:szCs w:val="22"/>
        </w:rPr>
      </w:pPr>
      <w:r w:rsidRPr="005D541C">
        <w:rPr>
          <w:rFonts w:cs="Calibri"/>
          <w:sz w:val="22"/>
          <w:szCs w:val="22"/>
        </w:rPr>
        <w:t>Letkey, Roy (Photographer) ‘Prime Minister Margaret Thatcher after a speech at a Conservative Party conference in Brighton. (October 12, 1984) &lt;</w:t>
      </w:r>
      <w:hyperlink r:id="rId13" w:history="1">
        <w:r w:rsidRPr="005D541C">
          <w:rPr>
            <w:rStyle w:val="Hyperlink"/>
            <w:rFonts w:cs="Calibri"/>
            <w:sz w:val="22"/>
            <w:szCs w:val="22"/>
          </w:rPr>
          <w:t>https://www.upi.com/Odd_News/2014/06/11/UPI-Almanac-for-Wednesday-June-11-2014/8871401309509/</w:t>
        </w:r>
      </w:hyperlink>
      <w:r w:rsidRPr="005D541C">
        <w:rPr>
          <w:rFonts w:cs="Calibri"/>
          <w:sz w:val="22"/>
          <w:szCs w:val="22"/>
        </w:rPr>
        <w:t>&gt; [Accessed 24/11/2024].</w:t>
      </w:r>
    </w:p>
    <w:p w14:paraId="634F2A40" w14:textId="77777777" w:rsidR="00DF670F" w:rsidRPr="005D541C" w:rsidRDefault="00DF670F" w:rsidP="003B076F">
      <w:pPr>
        <w:rPr>
          <w:rFonts w:cs="Calibri"/>
          <w:sz w:val="22"/>
          <w:szCs w:val="22"/>
        </w:rPr>
      </w:pPr>
      <w:r w:rsidRPr="005D541C">
        <w:rPr>
          <w:rFonts w:cs="Calibri"/>
          <w:sz w:val="22"/>
          <w:szCs w:val="22"/>
        </w:rPr>
        <w:t>Unknown Photographer ‘HMS Endurance (A171)’ (1989). &lt;</w:t>
      </w:r>
      <w:hyperlink r:id="rId14" w:history="1">
        <w:r w:rsidRPr="005D541C">
          <w:rPr>
            <w:rStyle w:val="Hyperlink"/>
            <w:rFonts w:cs="Calibri"/>
            <w:sz w:val="22"/>
            <w:szCs w:val="22"/>
          </w:rPr>
          <w:t>https://www.cavok.com.br/guerra-das-falklandsmalvinas-12-razoes-pelas-quais-a-guerra-foi-muito-singular</w:t>
        </w:r>
      </w:hyperlink>
      <w:r w:rsidRPr="005D541C">
        <w:rPr>
          <w:rFonts w:cs="Calibri"/>
          <w:sz w:val="22"/>
          <w:szCs w:val="22"/>
        </w:rPr>
        <w:t>&gt; [Accessed 02/12/2024].</w:t>
      </w:r>
    </w:p>
    <w:p w14:paraId="4733B3D3" w14:textId="77777777" w:rsidR="003B076F" w:rsidRPr="003B076F" w:rsidRDefault="003B076F">
      <w:pPr>
        <w:rPr>
          <w:sz w:val="22"/>
          <w:szCs w:val="22"/>
        </w:rPr>
      </w:pPr>
    </w:p>
    <w:sectPr w:rsidR="003B076F" w:rsidRPr="003B076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8EB9AD" w14:textId="77777777" w:rsidR="00365E78" w:rsidRPr="00C6708E" w:rsidRDefault="00365E78" w:rsidP="000D3E70">
      <w:pPr>
        <w:spacing w:after="0" w:line="240" w:lineRule="auto"/>
      </w:pPr>
      <w:r w:rsidRPr="00C6708E">
        <w:separator/>
      </w:r>
    </w:p>
  </w:endnote>
  <w:endnote w:type="continuationSeparator" w:id="0">
    <w:p w14:paraId="751810B7" w14:textId="77777777" w:rsidR="00365E78" w:rsidRPr="00C6708E" w:rsidRDefault="00365E78" w:rsidP="000D3E70">
      <w:pPr>
        <w:spacing w:after="0" w:line="240" w:lineRule="auto"/>
      </w:pPr>
      <w:r w:rsidRPr="00C6708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A1A44" w14:textId="77777777" w:rsidR="00365E78" w:rsidRPr="00C6708E" w:rsidRDefault="00365E78" w:rsidP="000D3E70">
      <w:pPr>
        <w:spacing w:after="0" w:line="240" w:lineRule="auto"/>
      </w:pPr>
      <w:r w:rsidRPr="00C6708E">
        <w:separator/>
      </w:r>
    </w:p>
  </w:footnote>
  <w:footnote w:type="continuationSeparator" w:id="0">
    <w:p w14:paraId="7A03D056" w14:textId="77777777" w:rsidR="00365E78" w:rsidRPr="00C6708E" w:rsidRDefault="00365E78" w:rsidP="000D3E70">
      <w:pPr>
        <w:spacing w:after="0" w:line="240" w:lineRule="auto"/>
      </w:pPr>
      <w:r w:rsidRPr="00C6708E">
        <w:continuationSeparator/>
      </w:r>
    </w:p>
  </w:footnote>
  <w:footnote w:id="1">
    <w:p w14:paraId="0A16A22D" w14:textId="39C6549A" w:rsidR="00E1430A" w:rsidRPr="00C6708E" w:rsidRDefault="00E1430A">
      <w:pPr>
        <w:pStyle w:val="FootnoteText"/>
        <w:rPr>
          <w:sz w:val="16"/>
          <w:szCs w:val="16"/>
        </w:rPr>
      </w:pPr>
      <w:r w:rsidRPr="00C6708E">
        <w:rPr>
          <w:rStyle w:val="FootnoteReference"/>
          <w:sz w:val="16"/>
          <w:szCs w:val="16"/>
        </w:rPr>
        <w:footnoteRef/>
      </w:r>
      <w:r w:rsidRPr="00C6708E">
        <w:rPr>
          <w:sz w:val="16"/>
          <w:szCs w:val="16"/>
        </w:rPr>
        <w:t xml:space="preserve"> </w:t>
      </w:r>
      <w:bookmarkStart w:id="0" w:name="_Hlk184989138"/>
      <w:r w:rsidRPr="00C6708E">
        <w:rPr>
          <w:sz w:val="16"/>
          <w:szCs w:val="16"/>
        </w:rPr>
        <w:t xml:space="preserve">Max Hastings, </w:t>
      </w:r>
      <w:r w:rsidRPr="00C6708E">
        <w:rPr>
          <w:i/>
          <w:iCs/>
          <w:sz w:val="16"/>
          <w:szCs w:val="16"/>
        </w:rPr>
        <w:t>The Battle for the Falklands</w:t>
      </w:r>
      <w:r w:rsidRPr="00C6708E">
        <w:rPr>
          <w:sz w:val="16"/>
          <w:szCs w:val="16"/>
        </w:rPr>
        <w:t xml:space="preserve">, (New York: Norton, 1983). </w:t>
      </w:r>
      <w:bookmarkEnd w:id="0"/>
      <w:r w:rsidR="001409AD" w:rsidRPr="00C6708E">
        <w:rPr>
          <w:sz w:val="16"/>
          <w:szCs w:val="16"/>
        </w:rPr>
        <w:t>p</w:t>
      </w:r>
      <w:r w:rsidRPr="00C6708E">
        <w:rPr>
          <w:sz w:val="16"/>
          <w:szCs w:val="16"/>
        </w:rPr>
        <w:t>.</w:t>
      </w:r>
      <w:r w:rsidR="002C4CAF" w:rsidRPr="00C6708E">
        <w:rPr>
          <w:sz w:val="16"/>
          <w:szCs w:val="16"/>
        </w:rPr>
        <w:t xml:space="preserve"> </w:t>
      </w:r>
      <w:r w:rsidRPr="00C6708E">
        <w:rPr>
          <w:sz w:val="16"/>
          <w:szCs w:val="16"/>
        </w:rPr>
        <w:t>357.</w:t>
      </w:r>
    </w:p>
  </w:footnote>
  <w:footnote w:id="2">
    <w:p w14:paraId="512F4DAB" w14:textId="5C5EAC2A" w:rsidR="001409AD" w:rsidRPr="001409AD" w:rsidRDefault="001409AD">
      <w:pPr>
        <w:pStyle w:val="FootnoteText"/>
        <w:rPr>
          <w:lang w:val="en-US"/>
        </w:rPr>
      </w:pPr>
      <w:bookmarkStart w:id="1" w:name="_Hlk184989173"/>
      <w:r w:rsidRPr="00C6708E">
        <w:rPr>
          <w:rStyle w:val="FootnoteReference"/>
          <w:sz w:val="16"/>
          <w:szCs w:val="16"/>
        </w:rPr>
        <w:footnoteRef/>
      </w:r>
      <w:r w:rsidRPr="00C6708E">
        <w:rPr>
          <w:sz w:val="16"/>
          <w:szCs w:val="16"/>
        </w:rPr>
        <w:t xml:space="preserve"> Lawrence Freedman,</w:t>
      </w:r>
      <w:r w:rsidR="002C4CAF" w:rsidRPr="00C6708E">
        <w:rPr>
          <w:sz w:val="16"/>
          <w:szCs w:val="16"/>
        </w:rPr>
        <w:t xml:space="preserve"> </w:t>
      </w:r>
      <w:bookmarkStart w:id="2" w:name="_Hlk184386626"/>
      <w:r w:rsidR="002C4CAF" w:rsidRPr="00C6708E">
        <w:rPr>
          <w:i/>
          <w:iCs/>
          <w:sz w:val="16"/>
          <w:szCs w:val="16"/>
        </w:rPr>
        <w:t>Britain and the Falklands War</w:t>
      </w:r>
      <w:r w:rsidR="002C4CAF" w:rsidRPr="00C6708E">
        <w:rPr>
          <w:sz w:val="16"/>
          <w:szCs w:val="16"/>
        </w:rPr>
        <w:t xml:space="preserve"> </w:t>
      </w:r>
      <w:bookmarkEnd w:id="2"/>
      <w:r w:rsidR="002C4CAF" w:rsidRPr="00C6708E">
        <w:rPr>
          <w:sz w:val="16"/>
          <w:szCs w:val="16"/>
        </w:rPr>
        <w:t>(Oxford, UK: Blackwell, 1988).</w:t>
      </w:r>
      <w:r w:rsidRPr="00C6708E">
        <w:rPr>
          <w:sz w:val="16"/>
          <w:szCs w:val="16"/>
        </w:rPr>
        <w:t xml:space="preserve"> </w:t>
      </w:r>
      <w:bookmarkEnd w:id="1"/>
      <w:r w:rsidRPr="00C6708E">
        <w:rPr>
          <w:sz w:val="16"/>
          <w:szCs w:val="16"/>
        </w:rPr>
        <w:t>p.</w:t>
      </w:r>
      <w:r w:rsidR="002C4CAF" w:rsidRPr="00C6708E">
        <w:rPr>
          <w:sz w:val="16"/>
          <w:szCs w:val="16"/>
        </w:rPr>
        <w:t xml:space="preserve"> 2</w:t>
      </w:r>
      <w:r w:rsidRPr="00C6708E">
        <w:rPr>
          <w:sz w:val="16"/>
          <w:szCs w:val="16"/>
        </w:rPr>
        <w:t>.</w:t>
      </w:r>
    </w:p>
  </w:footnote>
  <w:footnote w:id="3">
    <w:p w14:paraId="5B59FE50" w14:textId="541215DC" w:rsidR="00B14222" w:rsidRPr="00B14222" w:rsidRDefault="00B14222">
      <w:pPr>
        <w:pStyle w:val="FootnoteText"/>
        <w:rPr>
          <w:sz w:val="16"/>
          <w:szCs w:val="16"/>
        </w:rPr>
      </w:pPr>
      <w:r w:rsidRPr="00B14222">
        <w:rPr>
          <w:rStyle w:val="FootnoteReference"/>
          <w:sz w:val="16"/>
          <w:szCs w:val="16"/>
        </w:rPr>
        <w:footnoteRef/>
      </w:r>
      <w:r w:rsidR="00B32FF3">
        <w:rPr>
          <w:sz w:val="16"/>
          <w:szCs w:val="16"/>
        </w:rPr>
        <w:t xml:space="preserve"> </w:t>
      </w:r>
      <w:r w:rsidR="00B32FF3" w:rsidRPr="00B32FF3">
        <w:rPr>
          <w:sz w:val="16"/>
          <w:szCs w:val="16"/>
        </w:rPr>
        <w:t>Margret</w:t>
      </w:r>
      <w:r w:rsidR="008A0D1D">
        <w:rPr>
          <w:sz w:val="16"/>
          <w:szCs w:val="16"/>
        </w:rPr>
        <w:t xml:space="preserve"> </w:t>
      </w:r>
      <w:r w:rsidR="008A0D1D" w:rsidRPr="00B32FF3">
        <w:rPr>
          <w:sz w:val="16"/>
          <w:szCs w:val="16"/>
        </w:rPr>
        <w:t>Thatcher,</w:t>
      </w:r>
      <w:r w:rsidR="00B32FF3" w:rsidRPr="00B32FF3">
        <w:rPr>
          <w:sz w:val="16"/>
          <w:szCs w:val="16"/>
        </w:rPr>
        <w:t xml:space="preserve"> </w:t>
      </w:r>
      <w:r w:rsidR="00B32FF3" w:rsidRPr="00B32FF3">
        <w:rPr>
          <w:bCs/>
          <w:i/>
          <w:sz w:val="16"/>
          <w:szCs w:val="16"/>
        </w:rPr>
        <w:t>The Downing Street Years</w:t>
      </w:r>
      <w:r w:rsidR="00B32FF3" w:rsidRPr="00B32FF3">
        <w:rPr>
          <w:bCs/>
          <w:iCs/>
          <w:sz w:val="16"/>
          <w:szCs w:val="16"/>
        </w:rPr>
        <w:t>, (London: Harper Collins, 1993).</w:t>
      </w:r>
      <w:r w:rsidR="00D44DC7">
        <w:rPr>
          <w:bCs/>
          <w:iCs/>
          <w:sz w:val="16"/>
          <w:szCs w:val="16"/>
        </w:rPr>
        <w:t xml:space="preserve"> p.</w:t>
      </w:r>
      <w:r w:rsidR="004F52E6">
        <w:rPr>
          <w:bCs/>
          <w:iCs/>
          <w:sz w:val="16"/>
          <w:szCs w:val="16"/>
        </w:rPr>
        <w:t xml:space="preserve"> </w:t>
      </w:r>
      <w:r w:rsidR="00D44DC7">
        <w:rPr>
          <w:bCs/>
          <w:iCs/>
          <w:sz w:val="16"/>
          <w:szCs w:val="16"/>
        </w:rPr>
        <w:t>191.</w:t>
      </w:r>
    </w:p>
  </w:footnote>
  <w:footnote w:id="4">
    <w:p w14:paraId="699E2AFE" w14:textId="577E2D81" w:rsidR="00571760" w:rsidRPr="0010570E" w:rsidRDefault="00571760">
      <w:pPr>
        <w:pStyle w:val="FootnoteText"/>
        <w:rPr>
          <w:lang w:val="en-US"/>
        </w:rPr>
      </w:pPr>
      <w:r w:rsidRPr="0010570E">
        <w:rPr>
          <w:rStyle w:val="FootnoteReference"/>
          <w:sz w:val="16"/>
          <w:szCs w:val="16"/>
        </w:rPr>
        <w:footnoteRef/>
      </w:r>
      <w:r>
        <w:t xml:space="preserve"> </w:t>
      </w:r>
      <w:bookmarkStart w:id="3" w:name="_Hlk184989235"/>
      <w:r w:rsidR="0010570E" w:rsidRPr="0010570E">
        <w:rPr>
          <w:sz w:val="16"/>
          <w:szCs w:val="16"/>
          <w:lang w:val="en-US"/>
        </w:rPr>
        <w:t>Denys Blakeway</w:t>
      </w:r>
      <w:r w:rsidR="0010570E">
        <w:rPr>
          <w:sz w:val="16"/>
          <w:szCs w:val="16"/>
          <w:lang w:val="en-US"/>
        </w:rPr>
        <w:t xml:space="preserve">, </w:t>
      </w:r>
      <w:r w:rsidR="0010570E">
        <w:rPr>
          <w:i/>
          <w:iCs/>
          <w:sz w:val="16"/>
          <w:szCs w:val="16"/>
          <w:lang w:val="en-US"/>
        </w:rPr>
        <w:t>The Falklands War</w:t>
      </w:r>
      <w:r w:rsidR="0010570E">
        <w:rPr>
          <w:sz w:val="16"/>
          <w:szCs w:val="16"/>
          <w:lang w:val="en-US"/>
        </w:rPr>
        <w:t xml:space="preserve">, </w:t>
      </w:r>
      <w:r w:rsidR="0044793E">
        <w:rPr>
          <w:sz w:val="16"/>
          <w:szCs w:val="16"/>
          <w:lang w:val="en-US"/>
        </w:rPr>
        <w:t>(</w:t>
      </w:r>
      <w:r w:rsidR="0044793E" w:rsidRPr="0044793E">
        <w:rPr>
          <w:sz w:val="16"/>
          <w:szCs w:val="16"/>
        </w:rPr>
        <w:t>London: Sidgwick &amp; Jackson</w:t>
      </w:r>
      <w:r w:rsidR="0044793E">
        <w:rPr>
          <w:sz w:val="16"/>
          <w:szCs w:val="16"/>
        </w:rPr>
        <w:t xml:space="preserve">, 1992). </w:t>
      </w:r>
      <w:bookmarkEnd w:id="3"/>
      <w:r w:rsidR="0044793E">
        <w:rPr>
          <w:sz w:val="16"/>
          <w:szCs w:val="16"/>
        </w:rPr>
        <w:t>p.</w:t>
      </w:r>
      <w:r w:rsidR="00EB4C53">
        <w:rPr>
          <w:sz w:val="16"/>
          <w:szCs w:val="16"/>
        </w:rPr>
        <w:t>9.</w:t>
      </w:r>
    </w:p>
  </w:footnote>
  <w:footnote w:id="5">
    <w:p w14:paraId="3CD8A879" w14:textId="514407A1" w:rsidR="004F52E6" w:rsidRPr="002A3C13" w:rsidRDefault="004F52E6">
      <w:pPr>
        <w:pStyle w:val="FootnoteText"/>
        <w:rPr>
          <w:lang w:val="en-US"/>
        </w:rPr>
      </w:pPr>
      <w:r w:rsidRPr="00D44DC7">
        <w:rPr>
          <w:rStyle w:val="FootnoteReference"/>
          <w:sz w:val="16"/>
          <w:szCs w:val="16"/>
        </w:rPr>
        <w:footnoteRef/>
      </w:r>
      <w:r w:rsidRPr="00D44DC7">
        <w:rPr>
          <w:sz w:val="16"/>
          <w:szCs w:val="16"/>
        </w:rPr>
        <w:t xml:space="preserve"> </w:t>
      </w:r>
      <w:r w:rsidRPr="00D44DC7">
        <w:rPr>
          <w:sz w:val="16"/>
          <w:szCs w:val="16"/>
          <w:lang w:val="en-US"/>
        </w:rPr>
        <w:t>Thatcher</w:t>
      </w:r>
      <w:r w:rsidR="00D44DC7">
        <w:rPr>
          <w:sz w:val="16"/>
          <w:szCs w:val="16"/>
          <w:lang w:val="en-US"/>
        </w:rPr>
        <w:t xml:space="preserve">, </w:t>
      </w:r>
      <w:r w:rsidR="00D44DC7">
        <w:rPr>
          <w:i/>
          <w:iCs/>
          <w:sz w:val="16"/>
          <w:szCs w:val="16"/>
          <w:lang w:val="en-US"/>
        </w:rPr>
        <w:t>The Downing Street Years</w:t>
      </w:r>
      <w:r w:rsidR="002A3C13">
        <w:rPr>
          <w:sz w:val="16"/>
          <w:szCs w:val="16"/>
          <w:lang w:val="en-US"/>
        </w:rPr>
        <w:t xml:space="preserve">, </w:t>
      </w:r>
      <w:r w:rsidR="00BA6A32">
        <w:rPr>
          <w:sz w:val="16"/>
          <w:szCs w:val="16"/>
          <w:lang w:val="en-US"/>
        </w:rPr>
        <w:t>p.191.</w:t>
      </w:r>
    </w:p>
  </w:footnote>
  <w:footnote w:id="6">
    <w:p w14:paraId="2ACCD7A4" w14:textId="64CD71FD" w:rsidR="00F87DA0" w:rsidRPr="00F87DA0" w:rsidRDefault="00F87DA0">
      <w:pPr>
        <w:pStyle w:val="FootnoteText"/>
        <w:rPr>
          <w:lang w:val="en-US"/>
        </w:rPr>
      </w:pPr>
      <w:r w:rsidRPr="00127651">
        <w:rPr>
          <w:rStyle w:val="FootnoteReference"/>
          <w:sz w:val="16"/>
          <w:szCs w:val="16"/>
        </w:rPr>
        <w:footnoteRef/>
      </w:r>
      <w:r w:rsidRPr="00127651">
        <w:rPr>
          <w:sz w:val="16"/>
          <w:szCs w:val="16"/>
        </w:rPr>
        <w:t xml:space="preserve"> </w:t>
      </w:r>
      <w:r w:rsidR="00CA2B35">
        <w:rPr>
          <w:sz w:val="16"/>
          <w:szCs w:val="16"/>
          <w:lang w:val="en-US"/>
        </w:rPr>
        <w:t>Ibid</w:t>
      </w:r>
      <w:r>
        <w:rPr>
          <w:sz w:val="16"/>
          <w:szCs w:val="16"/>
          <w:lang w:val="en-US"/>
        </w:rPr>
        <w:t xml:space="preserve"> p.191.</w:t>
      </w:r>
    </w:p>
  </w:footnote>
  <w:footnote w:id="7">
    <w:p w14:paraId="57EFD0EF" w14:textId="2F87D935" w:rsidR="0011665E" w:rsidRPr="0011665E" w:rsidRDefault="0011665E">
      <w:pPr>
        <w:pStyle w:val="FootnoteText"/>
        <w:rPr>
          <w:lang w:val="en-US"/>
        </w:rPr>
      </w:pPr>
      <w:r w:rsidRPr="00127651">
        <w:rPr>
          <w:rStyle w:val="FootnoteReference"/>
          <w:sz w:val="16"/>
          <w:szCs w:val="16"/>
        </w:rPr>
        <w:footnoteRef/>
      </w:r>
      <w:r w:rsidRPr="00127651">
        <w:rPr>
          <w:sz w:val="16"/>
          <w:szCs w:val="16"/>
        </w:rPr>
        <w:t xml:space="preserve"> </w:t>
      </w:r>
      <w:bookmarkStart w:id="4" w:name="_Hlk184989269"/>
      <w:r w:rsidR="007A41A5" w:rsidRPr="00127651">
        <w:rPr>
          <w:sz w:val="16"/>
          <w:szCs w:val="16"/>
        </w:rPr>
        <w:t xml:space="preserve">Martin </w:t>
      </w:r>
      <w:r w:rsidR="007A41A5" w:rsidRPr="00127651">
        <w:rPr>
          <w:sz w:val="16"/>
          <w:szCs w:val="16"/>
          <w:lang w:val="en-US"/>
        </w:rPr>
        <w:t xml:space="preserve">Middlebrook, </w:t>
      </w:r>
      <w:r w:rsidR="008E530D" w:rsidRPr="00127651">
        <w:rPr>
          <w:i/>
          <w:iCs/>
          <w:sz w:val="16"/>
          <w:szCs w:val="16"/>
          <w:lang w:val="en-US"/>
        </w:rPr>
        <w:t>The Falklands War</w:t>
      </w:r>
      <w:r w:rsidR="008E530D" w:rsidRPr="00127651">
        <w:rPr>
          <w:sz w:val="16"/>
          <w:szCs w:val="16"/>
          <w:lang w:val="en-US"/>
        </w:rPr>
        <w:t>, (</w:t>
      </w:r>
      <w:r w:rsidR="008E530D" w:rsidRPr="00127651">
        <w:rPr>
          <w:sz w:val="16"/>
          <w:szCs w:val="16"/>
        </w:rPr>
        <w:t>Barnsley, South Yorkshire: Pen &amp; Sword Military</w:t>
      </w:r>
      <w:r w:rsidR="00127651" w:rsidRPr="00127651">
        <w:rPr>
          <w:sz w:val="16"/>
          <w:szCs w:val="16"/>
          <w:lang w:val="en-US"/>
        </w:rPr>
        <w:t>, 2012)</w:t>
      </w:r>
      <w:bookmarkEnd w:id="4"/>
      <w:r w:rsidR="00127651" w:rsidRPr="00127651">
        <w:rPr>
          <w:sz w:val="16"/>
          <w:szCs w:val="16"/>
          <w:lang w:val="en-US"/>
        </w:rPr>
        <w:t xml:space="preserve"> p.36.</w:t>
      </w:r>
    </w:p>
  </w:footnote>
  <w:footnote w:id="8">
    <w:p w14:paraId="5BD1AA80" w14:textId="10A8BA1D" w:rsidR="00E557B6" w:rsidRPr="005525A2" w:rsidRDefault="00E557B6" w:rsidP="00E557B6">
      <w:pPr>
        <w:pStyle w:val="FootnoteText"/>
        <w:rPr>
          <w:sz w:val="16"/>
          <w:szCs w:val="16"/>
        </w:rPr>
      </w:pPr>
      <w:r w:rsidRPr="006A11E2">
        <w:rPr>
          <w:rStyle w:val="FootnoteReference"/>
          <w:sz w:val="16"/>
          <w:szCs w:val="16"/>
        </w:rPr>
        <w:footnoteRef/>
      </w:r>
      <w:r w:rsidR="005525A2" w:rsidRPr="005525A2">
        <w:rPr>
          <w:sz w:val="16"/>
          <w:szCs w:val="16"/>
        </w:rPr>
        <w:t xml:space="preserve"> </w:t>
      </w:r>
      <w:bookmarkStart w:id="5" w:name="_Hlk184989302"/>
      <w:r w:rsidR="005525A2" w:rsidRPr="005525A2">
        <w:rPr>
          <w:sz w:val="16"/>
          <w:szCs w:val="16"/>
        </w:rPr>
        <w:t>Marg</w:t>
      </w:r>
      <w:r w:rsidR="005525A2">
        <w:rPr>
          <w:sz w:val="16"/>
          <w:szCs w:val="16"/>
        </w:rPr>
        <w:t>ret Thatcher</w:t>
      </w:r>
      <w:r w:rsidR="00287962">
        <w:rPr>
          <w:sz w:val="16"/>
          <w:szCs w:val="16"/>
        </w:rPr>
        <w:t xml:space="preserve">, </w:t>
      </w:r>
      <w:r w:rsidR="00287962" w:rsidRPr="00287962">
        <w:rPr>
          <w:sz w:val="16"/>
          <w:szCs w:val="16"/>
        </w:rPr>
        <w:t>Speech to Conservative Rally at Cheltenha</w:t>
      </w:r>
      <w:r w:rsidR="00287962">
        <w:rPr>
          <w:sz w:val="16"/>
          <w:szCs w:val="16"/>
        </w:rPr>
        <w:t>m</w:t>
      </w:r>
      <w:r w:rsidR="00E73AC5">
        <w:rPr>
          <w:sz w:val="16"/>
          <w:szCs w:val="16"/>
        </w:rPr>
        <w:t>, 1982</w:t>
      </w:r>
      <w:r w:rsidRPr="005525A2">
        <w:rPr>
          <w:sz w:val="16"/>
          <w:szCs w:val="16"/>
        </w:rPr>
        <w:t xml:space="preserve"> &lt;</w:t>
      </w:r>
      <w:hyperlink r:id="rId1" w:history="1">
        <w:r w:rsidRPr="005525A2">
          <w:rPr>
            <w:rStyle w:val="Hyperlink"/>
            <w:sz w:val="16"/>
            <w:szCs w:val="16"/>
          </w:rPr>
          <w:t>https://www.margaretthatcher.org/document/104989</w:t>
        </w:r>
      </w:hyperlink>
      <w:r w:rsidRPr="005525A2">
        <w:rPr>
          <w:sz w:val="16"/>
          <w:szCs w:val="16"/>
        </w:rPr>
        <w:t>&gt; [Accessed 25/11/2024].</w:t>
      </w:r>
      <w:bookmarkEnd w:id="5"/>
    </w:p>
  </w:footnote>
  <w:footnote w:id="9">
    <w:p w14:paraId="21B4C726" w14:textId="7A6B2485" w:rsidR="00DD046D" w:rsidRPr="00050022" w:rsidRDefault="00DD046D">
      <w:pPr>
        <w:pStyle w:val="FootnoteText"/>
        <w:rPr>
          <w:sz w:val="16"/>
          <w:szCs w:val="16"/>
        </w:rPr>
      </w:pPr>
      <w:r w:rsidRPr="00697C14">
        <w:rPr>
          <w:rStyle w:val="FootnoteReference"/>
          <w:sz w:val="16"/>
          <w:szCs w:val="16"/>
        </w:rPr>
        <w:footnoteRef/>
      </w:r>
      <w:r w:rsidRPr="00697C14">
        <w:rPr>
          <w:sz w:val="16"/>
          <w:szCs w:val="16"/>
        </w:rPr>
        <w:t xml:space="preserve"> </w:t>
      </w:r>
      <w:r w:rsidR="00335352">
        <w:rPr>
          <w:sz w:val="16"/>
          <w:szCs w:val="16"/>
        </w:rPr>
        <w:t>Ibid.</w:t>
      </w:r>
    </w:p>
  </w:footnote>
  <w:footnote w:id="10">
    <w:p w14:paraId="472E2436" w14:textId="277A843D" w:rsidR="00B761B9" w:rsidRPr="00B761B9" w:rsidRDefault="00B761B9">
      <w:pPr>
        <w:pStyle w:val="FootnoteText"/>
      </w:pPr>
      <w:r w:rsidRPr="00B761B9">
        <w:rPr>
          <w:rStyle w:val="FootnoteReference"/>
          <w:sz w:val="16"/>
          <w:szCs w:val="16"/>
        </w:rPr>
        <w:footnoteRef/>
      </w:r>
      <w:r w:rsidRPr="00B761B9">
        <w:rPr>
          <w:sz w:val="16"/>
          <w:szCs w:val="16"/>
        </w:rPr>
        <w:t xml:space="preserve"> </w:t>
      </w:r>
      <w:bookmarkStart w:id="6" w:name="_Hlk184989348"/>
      <w:r w:rsidRPr="00B761B9">
        <w:rPr>
          <w:sz w:val="16"/>
          <w:szCs w:val="16"/>
        </w:rPr>
        <w:t>Daniel K. Gibran</w:t>
      </w:r>
      <w:r w:rsidRPr="00B761B9">
        <w:rPr>
          <w:i/>
          <w:iCs/>
          <w:sz w:val="16"/>
          <w:szCs w:val="16"/>
        </w:rPr>
        <w:t>, The Falklands War: Britain versus the past in the South Atlantic</w:t>
      </w:r>
      <w:r>
        <w:rPr>
          <w:sz w:val="16"/>
          <w:szCs w:val="16"/>
        </w:rPr>
        <w:t xml:space="preserve">, </w:t>
      </w:r>
      <w:r w:rsidR="002011C6">
        <w:rPr>
          <w:sz w:val="16"/>
          <w:szCs w:val="16"/>
        </w:rPr>
        <w:t>(</w:t>
      </w:r>
      <w:r w:rsidR="003C6994" w:rsidRPr="003C6994">
        <w:rPr>
          <w:sz w:val="16"/>
          <w:szCs w:val="16"/>
        </w:rPr>
        <w:t>Jefferson, N.C.: McFarland</w:t>
      </w:r>
      <w:r w:rsidR="003C6994">
        <w:rPr>
          <w:sz w:val="16"/>
          <w:szCs w:val="16"/>
        </w:rPr>
        <w:t>)</w:t>
      </w:r>
      <w:r w:rsidR="00E47FDA">
        <w:rPr>
          <w:sz w:val="16"/>
          <w:szCs w:val="16"/>
        </w:rPr>
        <w:t>.</w:t>
      </w:r>
      <w:bookmarkEnd w:id="6"/>
      <w:r w:rsidR="00DD4481">
        <w:rPr>
          <w:sz w:val="16"/>
          <w:szCs w:val="16"/>
        </w:rPr>
        <w:t xml:space="preserve"> p.49.</w:t>
      </w:r>
    </w:p>
  </w:footnote>
  <w:footnote w:id="11">
    <w:p w14:paraId="078A5EEC" w14:textId="6902BB8C" w:rsidR="007F0D08" w:rsidRPr="007F0D08" w:rsidRDefault="007F0D08">
      <w:pPr>
        <w:pStyle w:val="FootnoteText"/>
      </w:pPr>
      <w:r w:rsidRPr="007F0D08">
        <w:rPr>
          <w:rStyle w:val="FootnoteReference"/>
          <w:sz w:val="16"/>
          <w:szCs w:val="16"/>
        </w:rPr>
        <w:footnoteRef/>
      </w:r>
      <w:r w:rsidRPr="007F0D08">
        <w:rPr>
          <w:sz w:val="16"/>
          <w:szCs w:val="16"/>
        </w:rPr>
        <w:t xml:space="preserve"> </w:t>
      </w:r>
      <w:r w:rsidR="00335352">
        <w:rPr>
          <w:sz w:val="16"/>
          <w:szCs w:val="16"/>
        </w:rPr>
        <w:t>Ibid</w:t>
      </w:r>
      <w:r>
        <w:rPr>
          <w:sz w:val="16"/>
          <w:szCs w:val="16"/>
        </w:rPr>
        <w:t>, p.</w:t>
      </w:r>
      <w:r w:rsidR="00AF6B68">
        <w:rPr>
          <w:sz w:val="16"/>
          <w:szCs w:val="16"/>
        </w:rPr>
        <w:t>49.</w:t>
      </w:r>
    </w:p>
  </w:footnote>
  <w:footnote w:id="12">
    <w:p w14:paraId="6F23A948" w14:textId="5E1B6A51" w:rsidR="000535F9" w:rsidRPr="000535F9" w:rsidRDefault="000535F9">
      <w:pPr>
        <w:pStyle w:val="FootnoteText"/>
      </w:pPr>
      <w:r w:rsidRPr="00693EA8">
        <w:rPr>
          <w:rStyle w:val="FootnoteReference"/>
          <w:sz w:val="16"/>
          <w:szCs w:val="16"/>
        </w:rPr>
        <w:footnoteRef/>
      </w:r>
      <w:r>
        <w:t xml:space="preserve"> </w:t>
      </w:r>
      <w:r w:rsidR="00820D9D">
        <w:rPr>
          <w:sz w:val="16"/>
          <w:szCs w:val="16"/>
        </w:rPr>
        <w:t>Ibid</w:t>
      </w:r>
      <w:r>
        <w:rPr>
          <w:sz w:val="16"/>
          <w:szCs w:val="16"/>
        </w:rPr>
        <w:t>, p.49.</w:t>
      </w:r>
    </w:p>
  </w:footnote>
  <w:footnote w:id="13">
    <w:p w14:paraId="257E0125" w14:textId="54D37AF3" w:rsidR="00C52C35" w:rsidRPr="00510582" w:rsidRDefault="00C52C35">
      <w:pPr>
        <w:pStyle w:val="FootnoteText"/>
      </w:pPr>
      <w:r w:rsidRPr="00693EA8">
        <w:rPr>
          <w:rStyle w:val="FootnoteReference"/>
          <w:sz w:val="16"/>
          <w:szCs w:val="16"/>
        </w:rPr>
        <w:footnoteRef/>
      </w:r>
      <w:r w:rsidRPr="00693EA8">
        <w:rPr>
          <w:sz w:val="16"/>
          <w:szCs w:val="16"/>
        </w:rPr>
        <w:t xml:space="preserve"> </w:t>
      </w:r>
      <w:bookmarkStart w:id="7" w:name="_Hlk184989385"/>
      <w:r w:rsidR="004D5EDB" w:rsidRPr="00693EA8">
        <w:rPr>
          <w:sz w:val="16"/>
          <w:szCs w:val="16"/>
        </w:rPr>
        <w:t>Peter</w:t>
      </w:r>
      <w:r w:rsidR="00820D9D">
        <w:rPr>
          <w:sz w:val="16"/>
          <w:szCs w:val="16"/>
        </w:rPr>
        <w:t xml:space="preserve"> Carrington</w:t>
      </w:r>
      <w:r w:rsidR="00510582" w:rsidRPr="00693EA8">
        <w:rPr>
          <w:sz w:val="16"/>
          <w:szCs w:val="16"/>
        </w:rPr>
        <w:t xml:space="preserve">, </w:t>
      </w:r>
      <w:r w:rsidR="00510582" w:rsidRPr="00693EA8">
        <w:rPr>
          <w:i/>
          <w:iCs/>
          <w:sz w:val="16"/>
          <w:szCs w:val="16"/>
        </w:rPr>
        <w:t>Reflect on things past : the memoirs of Lord Carrington</w:t>
      </w:r>
      <w:r w:rsidR="00510582" w:rsidRPr="00693EA8">
        <w:rPr>
          <w:sz w:val="16"/>
          <w:szCs w:val="16"/>
        </w:rPr>
        <w:t xml:space="preserve">, </w:t>
      </w:r>
      <w:r w:rsidR="00407046" w:rsidRPr="00693EA8">
        <w:rPr>
          <w:sz w:val="16"/>
          <w:szCs w:val="16"/>
        </w:rPr>
        <w:t>(London : Fontana, 1989).</w:t>
      </w:r>
      <w:bookmarkEnd w:id="7"/>
      <w:r w:rsidR="00407046" w:rsidRPr="00693EA8">
        <w:rPr>
          <w:sz w:val="16"/>
          <w:szCs w:val="16"/>
        </w:rPr>
        <w:t xml:space="preserve"> P.</w:t>
      </w:r>
      <w:r w:rsidR="00693EA8" w:rsidRPr="00693EA8">
        <w:rPr>
          <w:sz w:val="16"/>
          <w:szCs w:val="16"/>
        </w:rPr>
        <w:t>359</w:t>
      </w:r>
      <w:r w:rsidR="00693EA8">
        <w:rPr>
          <w:sz w:val="16"/>
          <w:szCs w:val="16"/>
        </w:rPr>
        <w:t>.</w:t>
      </w:r>
    </w:p>
  </w:footnote>
  <w:footnote w:id="14">
    <w:p w14:paraId="76196B3D" w14:textId="0E6CB876" w:rsidR="0012276F" w:rsidRPr="0012276F" w:rsidRDefault="0012276F">
      <w:pPr>
        <w:pStyle w:val="FootnoteText"/>
        <w:rPr>
          <w:lang w:val="en-US"/>
        </w:rPr>
      </w:pPr>
      <w:r w:rsidRPr="000E4615">
        <w:rPr>
          <w:rStyle w:val="FootnoteReference"/>
          <w:sz w:val="16"/>
          <w:szCs w:val="16"/>
        </w:rPr>
        <w:footnoteRef/>
      </w:r>
      <w:r w:rsidRPr="000E4615">
        <w:rPr>
          <w:sz w:val="16"/>
          <w:szCs w:val="16"/>
        </w:rPr>
        <w:t xml:space="preserve"> </w:t>
      </w:r>
      <w:r w:rsidRPr="00DE62DA">
        <w:rPr>
          <w:sz w:val="16"/>
          <w:szCs w:val="16"/>
          <w:lang w:val="en-US"/>
        </w:rPr>
        <w:t>Hastings</w:t>
      </w:r>
      <w:r>
        <w:rPr>
          <w:sz w:val="16"/>
          <w:szCs w:val="16"/>
          <w:lang w:val="en-US"/>
        </w:rPr>
        <w:t xml:space="preserve">, </w:t>
      </w:r>
      <w:r>
        <w:rPr>
          <w:i/>
          <w:iCs/>
          <w:sz w:val="16"/>
          <w:szCs w:val="16"/>
          <w:lang w:val="en-US"/>
        </w:rPr>
        <w:t>The Battle for the Falklands.</w:t>
      </w:r>
      <w:r>
        <w:rPr>
          <w:sz w:val="16"/>
          <w:szCs w:val="16"/>
          <w:lang w:val="en-US"/>
        </w:rPr>
        <w:t xml:space="preserve"> p. </w:t>
      </w:r>
      <w:r w:rsidR="00A53855">
        <w:rPr>
          <w:sz w:val="16"/>
          <w:szCs w:val="16"/>
          <w:lang w:val="en-US"/>
        </w:rPr>
        <w:t>99</w:t>
      </w:r>
      <w:r>
        <w:rPr>
          <w:sz w:val="16"/>
          <w:szCs w:val="16"/>
          <w:lang w:val="en-US"/>
        </w:rPr>
        <w:t>.</w:t>
      </w:r>
    </w:p>
  </w:footnote>
  <w:footnote w:id="15">
    <w:p w14:paraId="60AF9D4A" w14:textId="119F89FB" w:rsidR="0058391D" w:rsidRPr="00A931D9" w:rsidRDefault="0058391D">
      <w:pPr>
        <w:pStyle w:val="FootnoteText"/>
      </w:pPr>
      <w:r w:rsidRPr="006F3266">
        <w:rPr>
          <w:rStyle w:val="FootnoteReference"/>
          <w:sz w:val="16"/>
          <w:szCs w:val="16"/>
        </w:rPr>
        <w:footnoteRef/>
      </w:r>
      <w:r w:rsidRPr="006F3266">
        <w:rPr>
          <w:sz w:val="16"/>
          <w:szCs w:val="16"/>
        </w:rPr>
        <w:t xml:space="preserve"> Carrington, </w:t>
      </w:r>
      <w:r w:rsidR="00A931D9" w:rsidRPr="006F3266">
        <w:rPr>
          <w:i/>
          <w:iCs/>
          <w:sz w:val="16"/>
          <w:szCs w:val="16"/>
        </w:rPr>
        <w:t>Reflect on things past</w:t>
      </w:r>
      <w:r w:rsidR="00A931D9" w:rsidRPr="006F3266">
        <w:rPr>
          <w:sz w:val="16"/>
          <w:szCs w:val="16"/>
        </w:rPr>
        <w:t>, p.</w:t>
      </w:r>
      <w:r w:rsidR="006F3266" w:rsidRPr="006F3266">
        <w:rPr>
          <w:sz w:val="16"/>
          <w:szCs w:val="16"/>
        </w:rPr>
        <w:t>274.</w:t>
      </w:r>
    </w:p>
  </w:footnote>
  <w:footnote w:id="16">
    <w:p w14:paraId="48571F80" w14:textId="12D4A5A8" w:rsidR="000E4615" w:rsidRPr="000E4615" w:rsidRDefault="000E4615">
      <w:pPr>
        <w:pStyle w:val="FootnoteText"/>
      </w:pPr>
      <w:r w:rsidRPr="000E4615">
        <w:rPr>
          <w:rStyle w:val="FootnoteReference"/>
          <w:sz w:val="16"/>
          <w:szCs w:val="16"/>
        </w:rPr>
        <w:footnoteRef/>
      </w:r>
      <w:r>
        <w:t xml:space="preserve"> </w:t>
      </w:r>
      <w:r w:rsidR="00820D9D">
        <w:rPr>
          <w:sz w:val="16"/>
          <w:szCs w:val="16"/>
        </w:rPr>
        <w:t>Ibid</w:t>
      </w:r>
      <w:r w:rsidRPr="006F3266">
        <w:rPr>
          <w:sz w:val="16"/>
          <w:szCs w:val="16"/>
        </w:rPr>
        <w:t>, p.274.</w:t>
      </w:r>
    </w:p>
  </w:footnote>
  <w:footnote w:id="17">
    <w:p w14:paraId="460020AD" w14:textId="6F8FFFCE" w:rsidR="00315E96" w:rsidRPr="0024362C" w:rsidRDefault="00315E96">
      <w:pPr>
        <w:pStyle w:val="FootnoteText"/>
        <w:rPr>
          <w:i/>
          <w:iCs/>
          <w:sz w:val="16"/>
          <w:szCs w:val="16"/>
        </w:rPr>
      </w:pPr>
      <w:r w:rsidRPr="0024362C">
        <w:rPr>
          <w:rStyle w:val="FootnoteReference"/>
          <w:sz w:val="16"/>
          <w:szCs w:val="16"/>
        </w:rPr>
        <w:footnoteRef/>
      </w:r>
      <w:r w:rsidRPr="0024362C">
        <w:rPr>
          <w:sz w:val="16"/>
          <w:szCs w:val="16"/>
        </w:rPr>
        <w:t xml:space="preserve"> </w:t>
      </w:r>
      <w:bookmarkStart w:id="8" w:name="_Hlk184503968"/>
      <w:r w:rsidRPr="0024362C">
        <w:rPr>
          <w:sz w:val="16"/>
          <w:szCs w:val="16"/>
        </w:rPr>
        <w:t xml:space="preserve">Thatcher, </w:t>
      </w:r>
      <w:r w:rsidRPr="0024362C">
        <w:rPr>
          <w:i/>
          <w:iCs/>
          <w:sz w:val="16"/>
          <w:szCs w:val="16"/>
        </w:rPr>
        <w:t xml:space="preserve">The Downing Street Years. </w:t>
      </w:r>
      <w:r w:rsidRPr="000E4615">
        <w:rPr>
          <w:sz w:val="16"/>
          <w:szCs w:val="16"/>
        </w:rPr>
        <w:t xml:space="preserve">p. </w:t>
      </w:r>
      <w:r w:rsidR="0024362C" w:rsidRPr="000E4615">
        <w:rPr>
          <w:sz w:val="16"/>
          <w:szCs w:val="16"/>
        </w:rPr>
        <w:t>204.</w:t>
      </w:r>
      <w:bookmarkEnd w:id="8"/>
    </w:p>
  </w:footnote>
  <w:footnote w:id="18">
    <w:p w14:paraId="0BFEE4DB" w14:textId="10DDCB44" w:rsidR="009D4B8F" w:rsidRPr="009D4B8F" w:rsidRDefault="009D4B8F">
      <w:pPr>
        <w:pStyle w:val="FootnoteText"/>
      </w:pPr>
      <w:r w:rsidRPr="009D4B8F">
        <w:rPr>
          <w:rStyle w:val="FootnoteReference"/>
          <w:sz w:val="16"/>
          <w:szCs w:val="16"/>
        </w:rPr>
        <w:footnoteRef/>
      </w:r>
      <w:r>
        <w:t xml:space="preserve"> </w:t>
      </w:r>
      <w:r w:rsidR="00820D9D">
        <w:rPr>
          <w:sz w:val="16"/>
          <w:szCs w:val="16"/>
        </w:rPr>
        <w:t>Ibid</w:t>
      </w:r>
      <w:r w:rsidRPr="009D4B8F">
        <w:rPr>
          <w:sz w:val="16"/>
          <w:szCs w:val="16"/>
        </w:rPr>
        <w:t>, p. 204.</w:t>
      </w:r>
    </w:p>
  </w:footnote>
  <w:footnote w:id="19">
    <w:p w14:paraId="398FE0B3" w14:textId="356050BF" w:rsidR="000E4615" w:rsidRPr="000E4615" w:rsidRDefault="000E4615">
      <w:pPr>
        <w:pStyle w:val="FootnoteText"/>
        <w:rPr>
          <w:sz w:val="16"/>
          <w:szCs w:val="16"/>
        </w:rPr>
      </w:pPr>
      <w:r w:rsidRPr="000E4615">
        <w:rPr>
          <w:rStyle w:val="FootnoteReference"/>
          <w:sz w:val="16"/>
          <w:szCs w:val="16"/>
        </w:rPr>
        <w:footnoteRef/>
      </w:r>
      <w:r w:rsidRPr="000E4615">
        <w:rPr>
          <w:sz w:val="16"/>
          <w:szCs w:val="16"/>
        </w:rPr>
        <w:t xml:space="preserve"> </w:t>
      </w:r>
      <w:r w:rsidR="003B7BBD">
        <w:rPr>
          <w:sz w:val="16"/>
          <w:szCs w:val="16"/>
        </w:rPr>
        <w:t>Ibid,</w:t>
      </w:r>
      <w:r w:rsidRPr="0024362C">
        <w:rPr>
          <w:i/>
          <w:iCs/>
          <w:sz w:val="16"/>
          <w:szCs w:val="16"/>
        </w:rPr>
        <w:t xml:space="preserve"> </w:t>
      </w:r>
      <w:r w:rsidRPr="000E4615">
        <w:rPr>
          <w:sz w:val="16"/>
          <w:szCs w:val="16"/>
        </w:rPr>
        <w:t>p. 204.</w:t>
      </w:r>
    </w:p>
  </w:footnote>
  <w:footnote w:id="20">
    <w:p w14:paraId="5F4DB63F" w14:textId="0F2FC9F4" w:rsidR="00CE5C11" w:rsidRPr="00CE5C11" w:rsidRDefault="00CE5C11">
      <w:pPr>
        <w:pStyle w:val="FootnoteText"/>
        <w:rPr>
          <w:lang w:val="en-US"/>
        </w:rPr>
      </w:pPr>
      <w:r w:rsidRPr="00CE5C11">
        <w:rPr>
          <w:rStyle w:val="FootnoteReference"/>
          <w:sz w:val="16"/>
          <w:szCs w:val="16"/>
        </w:rPr>
        <w:footnoteRef/>
      </w:r>
      <w:r w:rsidRPr="00CE5C11">
        <w:rPr>
          <w:sz w:val="16"/>
          <w:szCs w:val="16"/>
        </w:rPr>
        <w:t xml:space="preserve"> </w:t>
      </w:r>
      <w:r w:rsidRPr="00DE62DA">
        <w:rPr>
          <w:sz w:val="16"/>
          <w:szCs w:val="16"/>
          <w:lang w:val="en-US"/>
        </w:rPr>
        <w:t>Hastings</w:t>
      </w:r>
      <w:r>
        <w:rPr>
          <w:sz w:val="16"/>
          <w:szCs w:val="16"/>
          <w:lang w:val="en-US"/>
        </w:rPr>
        <w:t xml:space="preserve">, </w:t>
      </w:r>
      <w:r>
        <w:rPr>
          <w:i/>
          <w:iCs/>
          <w:sz w:val="16"/>
          <w:szCs w:val="16"/>
          <w:lang w:val="en-US"/>
        </w:rPr>
        <w:t>The Battle for the Falklands.</w:t>
      </w:r>
      <w:r>
        <w:rPr>
          <w:sz w:val="16"/>
          <w:szCs w:val="16"/>
          <w:lang w:val="en-US"/>
        </w:rPr>
        <w:t xml:space="preserve"> p. </w:t>
      </w:r>
      <w:r w:rsidR="00485C14">
        <w:rPr>
          <w:sz w:val="16"/>
          <w:szCs w:val="16"/>
          <w:lang w:val="en-US"/>
        </w:rPr>
        <w:t>52</w:t>
      </w:r>
      <w:r>
        <w:rPr>
          <w:sz w:val="16"/>
          <w:szCs w:val="16"/>
          <w:lang w:val="en-US"/>
        </w:rPr>
        <w:t>.</w:t>
      </w:r>
    </w:p>
  </w:footnote>
  <w:footnote w:id="21">
    <w:p w14:paraId="6393290C" w14:textId="41F88BEA" w:rsidR="00B575BE" w:rsidRPr="00B575BE" w:rsidRDefault="00B575BE">
      <w:pPr>
        <w:pStyle w:val="FootnoteText"/>
        <w:rPr>
          <w:lang w:val="en-US"/>
        </w:rPr>
      </w:pPr>
      <w:r w:rsidRPr="00B575BE">
        <w:rPr>
          <w:rStyle w:val="FootnoteReference"/>
          <w:sz w:val="16"/>
          <w:szCs w:val="16"/>
        </w:rPr>
        <w:footnoteRef/>
      </w:r>
      <w:r w:rsidRPr="00B575BE">
        <w:rPr>
          <w:sz w:val="16"/>
          <w:szCs w:val="16"/>
        </w:rPr>
        <w:t xml:space="preserve"> </w:t>
      </w:r>
      <w:r w:rsidR="003B7BBD">
        <w:rPr>
          <w:sz w:val="16"/>
          <w:szCs w:val="16"/>
          <w:lang w:val="en-US"/>
        </w:rPr>
        <w:t>Ibid,</w:t>
      </w:r>
      <w:r>
        <w:rPr>
          <w:sz w:val="16"/>
          <w:szCs w:val="16"/>
          <w:lang w:val="en-US"/>
        </w:rPr>
        <w:t xml:space="preserve"> p. </w:t>
      </w:r>
      <w:r w:rsidR="00BC3BB5">
        <w:rPr>
          <w:sz w:val="16"/>
          <w:szCs w:val="16"/>
          <w:lang w:val="en-US"/>
        </w:rPr>
        <w:t>83</w:t>
      </w:r>
      <w:r>
        <w:rPr>
          <w:sz w:val="16"/>
          <w:szCs w:val="16"/>
          <w:lang w:val="en-US"/>
        </w:rPr>
        <w:t>.</w:t>
      </w:r>
    </w:p>
  </w:footnote>
  <w:footnote w:id="22">
    <w:p w14:paraId="36D9E709" w14:textId="4EC569BF" w:rsidR="00BE27C1" w:rsidRPr="00BE27C1" w:rsidRDefault="00BE27C1">
      <w:pPr>
        <w:pStyle w:val="FootnoteText"/>
        <w:rPr>
          <w:lang w:val="en-US"/>
        </w:rPr>
      </w:pPr>
      <w:r w:rsidRPr="00BE27C1">
        <w:rPr>
          <w:rStyle w:val="FootnoteReference"/>
          <w:sz w:val="16"/>
          <w:szCs w:val="16"/>
        </w:rPr>
        <w:footnoteRef/>
      </w:r>
      <w:r>
        <w:t xml:space="preserve"> </w:t>
      </w:r>
      <w:r w:rsidR="00205F52">
        <w:rPr>
          <w:sz w:val="16"/>
          <w:szCs w:val="16"/>
          <w:lang w:val="en-US"/>
        </w:rPr>
        <w:t>Ibid,</w:t>
      </w:r>
      <w:r>
        <w:rPr>
          <w:sz w:val="16"/>
          <w:szCs w:val="16"/>
          <w:lang w:val="en-US"/>
        </w:rPr>
        <w:t xml:space="preserve"> p. 12</w:t>
      </w:r>
      <w:r w:rsidR="00432E3A">
        <w:rPr>
          <w:sz w:val="16"/>
          <w:szCs w:val="16"/>
          <w:lang w:val="en-US"/>
        </w:rPr>
        <w:t>5</w:t>
      </w:r>
      <w:r>
        <w:rPr>
          <w:sz w:val="16"/>
          <w:szCs w:val="16"/>
          <w:lang w:val="en-US"/>
        </w:rPr>
        <w:t>.</w:t>
      </w:r>
    </w:p>
  </w:footnote>
  <w:footnote w:id="23">
    <w:p w14:paraId="4C160356" w14:textId="37CC94A7" w:rsidR="00FE1751" w:rsidRPr="00FE1751" w:rsidRDefault="00FE1751">
      <w:pPr>
        <w:pStyle w:val="FootnoteText"/>
      </w:pPr>
      <w:r w:rsidRPr="00FE1751">
        <w:rPr>
          <w:rStyle w:val="FootnoteReference"/>
          <w:sz w:val="16"/>
          <w:szCs w:val="16"/>
        </w:rPr>
        <w:footnoteRef/>
      </w:r>
      <w:r w:rsidRPr="00FE1751">
        <w:rPr>
          <w:sz w:val="16"/>
          <w:szCs w:val="16"/>
        </w:rPr>
        <w:t xml:space="preserve"> Freedman</w:t>
      </w:r>
      <w:r>
        <w:rPr>
          <w:sz w:val="16"/>
          <w:szCs w:val="16"/>
        </w:rPr>
        <w:t xml:space="preserve">, </w:t>
      </w:r>
      <w:r w:rsidRPr="00C6708E">
        <w:rPr>
          <w:i/>
          <w:iCs/>
          <w:sz w:val="16"/>
          <w:szCs w:val="16"/>
        </w:rPr>
        <w:t>Britain and the Falklands War</w:t>
      </w:r>
      <w:r w:rsidR="007C02AD">
        <w:rPr>
          <w:i/>
          <w:iCs/>
          <w:sz w:val="16"/>
          <w:szCs w:val="16"/>
        </w:rPr>
        <w:t xml:space="preserve">. </w:t>
      </w:r>
      <w:r w:rsidR="007C02AD" w:rsidRPr="002D5521">
        <w:rPr>
          <w:sz w:val="16"/>
          <w:szCs w:val="16"/>
        </w:rPr>
        <w:t>p. 43.</w:t>
      </w:r>
    </w:p>
  </w:footnote>
  <w:footnote w:id="24">
    <w:p w14:paraId="03F96584" w14:textId="56E237FF" w:rsidR="00FE7AE8" w:rsidRPr="00FE7AE8" w:rsidRDefault="00FE7AE8">
      <w:pPr>
        <w:pStyle w:val="FootnoteText"/>
      </w:pPr>
      <w:r w:rsidRPr="00FE7AE8">
        <w:rPr>
          <w:rStyle w:val="FootnoteReference"/>
          <w:sz w:val="16"/>
          <w:szCs w:val="16"/>
        </w:rPr>
        <w:footnoteRef/>
      </w:r>
      <w:r>
        <w:t xml:space="preserve"> </w:t>
      </w:r>
      <w:r w:rsidR="00205F52">
        <w:rPr>
          <w:sz w:val="16"/>
          <w:szCs w:val="16"/>
        </w:rPr>
        <w:t>Ibid</w:t>
      </w:r>
      <w:r w:rsidR="00603CA0" w:rsidRPr="002D5521">
        <w:rPr>
          <w:sz w:val="16"/>
          <w:szCs w:val="16"/>
        </w:rPr>
        <w:t>. p.54.</w:t>
      </w:r>
    </w:p>
  </w:footnote>
  <w:footnote w:id="25">
    <w:p w14:paraId="18539A9C" w14:textId="62C57E18" w:rsidR="007B73E6" w:rsidRPr="007B73E6" w:rsidRDefault="007B73E6">
      <w:pPr>
        <w:pStyle w:val="FootnoteText"/>
      </w:pPr>
      <w:r w:rsidRPr="007B73E6">
        <w:rPr>
          <w:rStyle w:val="FootnoteReference"/>
          <w:sz w:val="16"/>
          <w:szCs w:val="16"/>
        </w:rPr>
        <w:footnoteRef/>
      </w:r>
      <w:r>
        <w:t xml:space="preserve"> </w:t>
      </w:r>
      <w:r w:rsidR="00205F52">
        <w:rPr>
          <w:sz w:val="16"/>
          <w:szCs w:val="16"/>
        </w:rPr>
        <w:t>Ibid,</w:t>
      </w:r>
      <w:r>
        <w:rPr>
          <w:i/>
          <w:iCs/>
          <w:sz w:val="16"/>
          <w:szCs w:val="16"/>
        </w:rPr>
        <w:t xml:space="preserve"> </w:t>
      </w:r>
      <w:r w:rsidRPr="00035863">
        <w:rPr>
          <w:sz w:val="16"/>
          <w:szCs w:val="16"/>
        </w:rPr>
        <w:t>p.54</w:t>
      </w:r>
      <w:r>
        <w:rPr>
          <w:i/>
          <w:iCs/>
          <w:sz w:val="16"/>
          <w:szCs w:val="16"/>
        </w:rPr>
        <w:t>.</w:t>
      </w:r>
    </w:p>
  </w:footnote>
  <w:footnote w:id="26">
    <w:p w14:paraId="166CA5CF" w14:textId="5B10813E" w:rsidR="00775ED3" w:rsidRPr="00035863" w:rsidRDefault="00775ED3">
      <w:pPr>
        <w:pStyle w:val="FootnoteText"/>
        <w:rPr>
          <w:sz w:val="16"/>
          <w:szCs w:val="16"/>
        </w:rPr>
      </w:pPr>
      <w:r w:rsidRPr="00775ED3">
        <w:rPr>
          <w:rStyle w:val="FootnoteReference"/>
          <w:sz w:val="16"/>
          <w:szCs w:val="16"/>
        </w:rPr>
        <w:footnoteRef/>
      </w:r>
      <w:r w:rsidRPr="00775ED3">
        <w:rPr>
          <w:sz w:val="16"/>
          <w:szCs w:val="16"/>
        </w:rPr>
        <w:t xml:space="preserve"> </w:t>
      </w:r>
      <w:r w:rsidR="00205F52">
        <w:rPr>
          <w:sz w:val="16"/>
          <w:szCs w:val="16"/>
        </w:rPr>
        <w:t xml:space="preserve">Ibid, </w:t>
      </w:r>
      <w:r w:rsidRPr="00035863">
        <w:rPr>
          <w:sz w:val="16"/>
          <w:szCs w:val="16"/>
        </w:rPr>
        <w:t>p.5</w:t>
      </w:r>
      <w:r w:rsidR="00035863" w:rsidRPr="00035863">
        <w:rPr>
          <w:sz w:val="16"/>
          <w:szCs w:val="16"/>
        </w:rPr>
        <w:t>2</w:t>
      </w:r>
      <w:r w:rsidRPr="00035863">
        <w:rPr>
          <w:sz w:val="16"/>
          <w:szCs w:val="16"/>
        </w:rPr>
        <w:t>.</w:t>
      </w:r>
    </w:p>
  </w:footnote>
  <w:footnote w:id="27">
    <w:p w14:paraId="44F12263" w14:textId="2ECCFAC2" w:rsidR="00775ED3" w:rsidRPr="00775ED3" w:rsidRDefault="00775ED3">
      <w:pPr>
        <w:pStyle w:val="FootnoteText"/>
      </w:pPr>
      <w:r w:rsidRPr="00035863">
        <w:rPr>
          <w:rStyle w:val="FootnoteReference"/>
          <w:sz w:val="16"/>
          <w:szCs w:val="16"/>
        </w:rPr>
        <w:footnoteRef/>
      </w:r>
      <w:r w:rsidRPr="00035863">
        <w:rPr>
          <w:sz w:val="16"/>
          <w:szCs w:val="16"/>
        </w:rPr>
        <w:t xml:space="preserve"> </w:t>
      </w:r>
      <w:r w:rsidR="00205F52">
        <w:rPr>
          <w:sz w:val="16"/>
          <w:szCs w:val="16"/>
        </w:rPr>
        <w:t>Ibid</w:t>
      </w:r>
      <w:r w:rsidR="00013FF1">
        <w:rPr>
          <w:sz w:val="16"/>
          <w:szCs w:val="16"/>
        </w:rPr>
        <w:t>,</w:t>
      </w:r>
      <w:r w:rsidR="00FE4827" w:rsidRPr="00035863">
        <w:rPr>
          <w:sz w:val="16"/>
          <w:szCs w:val="16"/>
        </w:rPr>
        <w:t xml:space="preserve"> p.52.</w:t>
      </w:r>
    </w:p>
  </w:footnote>
  <w:footnote w:id="28">
    <w:p w14:paraId="646974C1" w14:textId="52FC0F80" w:rsidR="00A74614" w:rsidRPr="00A74614" w:rsidRDefault="00A74614">
      <w:pPr>
        <w:pStyle w:val="FootnoteText"/>
      </w:pPr>
      <w:r w:rsidRPr="00560FED">
        <w:rPr>
          <w:rStyle w:val="FootnoteReference"/>
          <w:sz w:val="16"/>
          <w:szCs w:val="16"/>
        </w:rPr>
        <w:footnoteRef/>
      </w:r>
      <w:r w:rsidRPr="00560FED">
        <w:rPr>
          <w:sz w:val="16"/>
          <w:szCs w:val="16"/>
        </w:rPr>
        <w:t xml:space="preserve"> </w:t>
      </w:r>
      <w:r w:rsidR="00013FF1">
        <w:rPr>
          <w:sz w:val="16"/>
          <w:szCs w:val="16"/>
        </w:rPr>
        <w:t>Ibid</w:t>
      </w:r>
      <w:r w:rsidR="00FD697A" w:rsidRPr="00035863">
        <w:rPr>
          <w:sz w:val="16"/>
          <w:szCs w:val="16"/>
        </w:rPr>
        <w:t xml:space="preserve"> p.5</w:t>
      </w:r>
      <w:r w:rsidR="00FD697A">
        <w:rPr>
          <w:sz w:val="16"/>
          <w:szCs w:val="16"/>
        </w:rPr>
        <w:t>5</w:t>
      </w:r>
      <w:r w:rsidR="00FD697A" w:rsidRPr="00035863">
        <w:rPr>
          <w:sz w:val="16"/>
          <w:szCs w:val="16"/>
        </w:rPr>
        <w:t>.</w:t>
      </w:r>
    </w:p>
  </w:footnote>
  <w:footnote w:id="29">
    <w:p w14:paraId="61531DDE" w14:textId="67D66151" w:rsidR="00DE62DA" w:rsidRPr="00BE609F" w:rsidRDefault="00DE62DA">
      <w:pPr>
        <w:pStyle w:val="FootnoteText"/>
        <w:rPr>
          <w:lang w:val="en-US"/>
        </w:rPr>
      </w:pPr>
      <w:r w:rsidRPr="00DE62DA">
        <w:rPr>
          <w:rStyle w:val="FootnoteReference"/>
          <w:sz w:val="16"/>
          <w:szCs w:val="16"/>
        </w:rPr>
        <w:footnoteRef/>
      </w:r>
      <w:r w:rsidRPr="00DE62DA">
        <w:rPr>
          <w:sz w:val="16"/>
          <w:szCs w:val="16"/>
        </w:rPr>
        <w:t xml:space="preserve"> </w:t>
      </w:r>
      <w:r w:rsidRPr="00DE62DA">
        <w:rPr>
          <w:sz w:val="16"/>
          <w:szCs w:val="16"/>
          <w:lang w:val="en-US"/>
        </w:rPr>
        <w:t>Hastings</w:t>
      </w:r>
      <w:r>
        <w:rPr>
          <w:sz w:val="16"/>
          <w:szCs w:val="16"/>
          <w:lang w:val="en-US"/>
        </w:rPr>
        <w:t xml:space="preserve">, </w:t>
      </w:r>
      <w:r w:rsidR="00BE609F">
        <w:rPr>
          <w:i/>
          <w:iCs/>
          <w:sz w:val="16"/>
          <w:szCs w:val="16"/>
          <w:lang w:val="en-US"/>
        </w:rPr>
        <w:t>The Battle for the Falklands.</w:t>
      </w:r>
      <w:r w:rsidR="00BE609F">
        <w:rPr>
          <w:sz w:val="16"/>
          <w:szCs w:val="16"/>
          <w:lang w:val="en-US"/>
        </w:rPr>
        <w:t xml:space="preserve"> p. 142.</w:t>
      </w:r>
    </w:p>
  </w:footnote>
  <w:footnote w:id="30">
    <w:p w14:paraId="50279D68" w14:textId="2972C719" w:rsidR="00EF38A4" w:rsidRPr="00693EA8" w:rsidRDefault="00EF38A4">
      <w:pPr>
        <w:pStyle w:val="FootnoteText"/>
        <w:rPr>
          <w:sz w:val="22"/>
          <w:szCs w:val="22"/>
        </w:rPr>
      </w:pPr>
      <w:r w:rsidRPr="00C31493">
        <w:rPr>
          <w:rStyle w:val="FootnoteReference"/>
          <w:sz w:val="16"/>
          <w:szCs w:val="16"/>
        </w:rPr>
        <w:footnoteRef/>
      </w:r>
      <w:r w:rsidRPr="00C31493">
        <w:rPr>
          <w:sz w:val="16"/>
          <w:szCs w:val="16"/>
        </w:rPr>
        <w:t xml:space="preserve"> </w:t>
      </w:r>
      <w:bookmarkStart w:id="9" w:name="_Hlk184989421"/>
      <w:r w:rsidRPr="00C31493">
        <w:rPr>
          <w:sz w:val="16"/>
          <w:szCs w:val="16"/>
        </w:rPr>
        <w:t xml:space="preserve">John Campbell, </w:t>
      </w:r>
      <w:r w:rsidR="00110D6F" w:rsidRPr="00C31493">
        <w:rPr>
          <w:i/>
          <w:iCs/>
          <w:sz w:val="16"/>
          <w:szCs w:val="16"/>
        </w:rPr>
        <w:t>Margret Thatcher, The Iron Lady</w:t>
      </w:r>
      <w:r w:rsidR="00110D6F" w:rsidRPr="00C31493">
        <w:rPr>
          <w:sz w:val="16"/>
          <w:szCs w:val="16"/>
        </w:rPr>
        <w:t>,</w:t>
      </w:r>
      <w:r w:rsidR="00CE7300" w:rsidRPr="00C31493">
        <w:rPr>
          <w:sz w:val="16"/>
          <w:szCs w:val="16"/>
        </w:rPr>
        <w:t xml:space="preserve"> (</w:t>
      </w:r>
      <w:r w:rsidR="00CE7300" w:rsidRPr="00CE7300">
        <w:rPr>
          <w:sz w:val="16"/>
          <w:szCs w:val="16"/>
        </w:rPr>
        <w:t>London: Vintage</w:t>
      </w:r>
      <w:r w:rsidR="00CE7300" w:rsidRPr="00C31493">
        <w:rPr>
          <w:sz w:val="16"/>
          <w:szCs w:val="16"/>
        </w:rPr>
        <w:t xml:space="preserve"> 2008). </w:t>
      </w:r>
      <w:bookmarkEnd w:id="9"/>
      <w:r w:rsidR="00CE7300" w:rsidRPr="00C31493">
        <w:rPr>
          <w:sz w:val="16"/>
          <w:szCs w:val="16"/>
        </w:rPr>
        <w:t>p.</w:t>
      </w:r>
      <w:r w:rsidR="00662832" w:rsidRPr="00C31493">
        <w:rPr>
          <w:sz w:val="16"/>
          <w:szCs w:val="16"/>
        </w:rPr>
        <w:t>125</w:t>
      </w:r>
      <w:r w:rsidR="00662832" w:rsidRPr="00662832">
        <w:rPr>
          <w:sz w:val="18"/>
          <w:szCs w:val="18"/>
        </w:rPr>
        <w:t>.</w:t>
      </w:r>
    </w:p>
  </w:footnote>
  <w:footnote w:id="31">
    <w:p w14:paraId="231B5173" w14:textId="119D813F" w:rsidR="00D253B9" w:rsidRPr="00D253B9" w:rsidRDefault="00D253B9">
      <w:pPr>
        <w:pStyle w:val="FootnoteText"/>
        <w:rPr>
          <w:lang w:val="en-US"/>
        </w:rPr>
      </w:pPr>
      <w:r>
        <w:rPr>
          <w:rStyle w:val="FootnoteReference"/>
        </w:rPr>
        <w:footnoteRef/>
      </w:r>
      <w:r>
        <w:t xml:space="preserve"> </w:t>
      </w:r>
      <w:bookmarkStart w:id="10" w:name="_Hlk174018798"/>
      <w:r w:rsidR="005D5481" w:rsidRPr="00ED1BB9">
        <w:rPr>
          <w:i/>
          <w:iCs/>
          <w:sz w:val="16"/>
          <w:szCs w:val="16"/>
        </w:rPr>
        <w:t>BBC News</w:t>
      </w:r>
      <w:r w:rsidR="005D5481" w:rsidRPr="00ED1BB9">
        <w:rPr>
          <w:sz w:val="16"/>
          <w:szCs w:val="16"/>
        </w:rPr>
        <w:t>, ‘In Quotes: Margret Thatcher’ (8</w:t>
      </w:r>
      <w:r w:rsidR="005D5481" w:rsidRPr="00ED1BB9">
        <w:rPr>
          <w:sz w:val="16"/>
          <w:szCs w:val="16"/>
          <w:vertAlign w:val="superscript"/>
        </w:rPr>
        <w:t>th</w:t>
      </w:r>
      <w:r w:rsidR="005D5481" w:rsidRPr="00ED1BB9">
        <w:rPr>
          <w:sz w:val="16"/>
          <w:szCs w:val="16"/>
        </w:rPr>
        <w:t xml:space="preserve"> April 2023) &lt;</w:t>
      </w:r>
      <w:hyperlink r:id="rId2" w:history="1">
        <w:r w:rsidR="005D5481" w:rsidRPr="00ED1BB9">
          <w:rPr>
            <w:rStyle w:val="Hyperlink"/>
            <w:sz w:val="16"/>
            <w:szCs w:val="16"/>
          </w:rPr>
          <w:t>https://www.bbc.co.uk/news/uk-politics-10377842</w:t>
        </w:r>
      </w:hyperlink>
      <w:r w:rsidR="005D5481" w:rsidRPr="00ED1BB9">
        <w:rPr>
          <w:sz w:val="16"/>
          <w:szCs w:val="16"/>
        </w:rPr>
        <w:t>&gt; [Accessed 27/07/2024].</w:t>
      </w:r>
      <w:bookmarkEnd w:id="10"/>
    </w:p>
  </w:footnote>
  <w:footnote w:id="32">
    <w:p w14:paraId="24F2B9A8" w14:textId="5BFA13B5" w:rsidR="00C43988" w:rsidRPr="00C43988" w:rsidRDefault="00C43988">
      <w:pPr>
        <w:pStyle w:val="FootnoteText"/>
        <w:rPr>
          <w:lang w:val="en-US"/>
        </w:rPr>
      </w:pPr>
      <w:r>
        <w:rPr>
          <w:rStyle w:val="FootnoteReference"/>
        </w:rPr>
        <w:footnoteRef/>
      </w:r>
      <w:r>
        <w:t xml:space="preserve"> </w:t>
      </w:r>
      <w:r w:rsidR="00013FF1" w:rsidRPr="00013FF1">
        <w:rPr>
          <w:sz w:val="16"/>
          <w:szCs w:val="16"/>
        </w:rPr>
        <w:t>Ibid.</w:t>
      </w:r>
    </w:p>
  </w:footnote>
  <w:footnote w:id="33">
    <w:p w14:paraId="16D32A6C" w14:textId="5A20F371" w:rsidR="0093442D" w:rsidRPr="0093442D" w:rsidRDefault="0093442D">
      <w:pPr>
        <w:pStyle w:val="FootnoteText"/>
        <w:rPr>
          <w:lang w:val="en-US"/>
        </w:rPr>
      </w:pPr>
      <w:r>
        <w:rPr>
          <w:rStyle w:val="FootnoteReference"/>
        </w:rPr>
        <w:footnoteRef/>
      </w:r>
      <w:r>
        <w:t xml:space="preserve"> </w:t>
      </w:r>
      <w:bookmarkStart w:id="11" w:name="_Hlk184989462"/>
      <w:bookmarkStart w:id="12" w:name="_Hlk174018875"/>
      <w:r w:rsidR="003569A9" w:rsidRPr="00ED1BB9">
        <w:rPr>
          <w:sz w:val="16"/>
          <w:szCs w:val="16"/>
        </w:rPr>
        <w:t xml:space="preserve">Michael Crick, </w:t>
      </w:r>
      <w:r w:rsidR="003569A9" w:rsidRPr="00ED1BB9">
        <w:rPr>
          <w:rFonts w:cs="Calibri"/>
          <w:i/>
          <w:iCs/>
          <w:sz w:val="16"/>
          <w:szCs w:val="16"/>
        </w:rPr>
        <w:t xml:space="preserve">Scargill and the Miners, </w:t>
      </w:r>
      <w:r w:rsidR="003569A9" w:rsidRPr="00ED1BB9">
        <w:rPr>
          <w:rFonts w:cs="Calibri"/>
          <w:sz w:val="16"/>
          <w:szCs w:val="16"/>
        </w:rPr>
        <w:t>(Hammondsworth: Penguin, 1985).</w:t>
      </w:r>
      <w:bookmarkEnd w:id="11"/>
      <w:r w:rsidR="003569A9" w:rsidRPr="00ED1BB9">
        <w:rPr>
          <w:rFonts w:cs="Calibri"/>
          <w:i/>
          <w:iCs/>
          <w:sz w:val="16"/>
          <w:szCs w:val="16"/>
        </w:rPr>
        <w:t xml:space="preserve"> </w:t>
      </w:r>
      <w:bookmarkEnd w:id="12"/>
      <w:r w:rsidR="003569A9" w:rsidRPr="00ED1BB9">
        <w:rPr>
          <w:rFonts w:cs="Calibri"/>
          <w:sz w:val="16"/>
          <w:szCs w:val="16"/>
        </w:rPr>
        <w:t>p. 12.</w:t>
      </w:r>
    </w:p>
  </w:footnote>
  <w:footnote w:id="34">
    <w:p w14:paraId="4B0C91F6" w14:textId="1C8442ED" w:rsidR="00E724CE" w:rsidRPr="00E724CE" w:rsidRDefault="00E724CE">
      <w:pPr>
        <w:pStyle w:val="FootnoteText"/>
        <w:rPr>
          <w:lang w:val="en-US"/>
        </w:rPr>
      </w:pPr>
      <w:r>
        <w:rPr>
          <w:rStyle w:val="FootnoteReference"/>
        </w:rPr>
        <w:footnoteRef/>
      </w:r>
      <w:r>
        <w:t xml:space="preserve"> </w:t>
      </w:r>
      <w:r w:rsidR="00013FF1">
        <w:rPr>
          <w:sz w:val="16"/>
          <w:szCs w:val="16"/>
        </w:rPr>
        <w:t>Ibid,</w:t>
      </w:r>
      <w:r w:rsidR="00D4784A" w:rsidRPr="00ED1BB9">
        <w:rPr>
          <w:rFonts w:cs="Calibri"/>
          <w:i/>
          <w:iCs/>
          <w:sz w:val="16"/>
          <w:szCs w:val="16"/>
        </w:rPr>
        <w:t xml:space="preserve"> </w:t>
      </w:r>
      <w:r w:rsidR="00D4784A" w:rsidRPr="00ED1BB9">
        <w:rPr>
          <w:rFonts w:cs="Calibri"/>
          <w:sz w:val="16"/>
          <w:szCs w:val="16"/>
        </w:rPr>
        <w:t>p.1</w:t>
      </w:r>
      <w:r w:rsidR="00D4784A">
        <w:rPr>
          <w:rFonts w:cs="Calibri"/>
          <w:sz w:val="16"/>
          <w:szCs w:val="16"/>
        </w:rPr>
        <w:t>09</w:t>
      </w:r>
      <w:r w:rsidR="00D4784A" w:rsidRPr="00ED1BB9">
        <w:rPr>
          <w:rFonts w:cs="Calibri"/>
          <w:sz w:val="16"/>
          <w:szCs w:val="16"/>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344C23" w14:textId="3B77BCC5" w:rsidR="000D3E70" w:rsidRPr="00C6708E" w:rsidRDefault="000D3E70" w:rsidP="000D3E70">
    <w:pPr>
      <w:pStyle w:val="Header"/>
      <w:rPr>
        <w:sz w:val="20"/>
        <w:szCs w:val="20"/>
      </w:rPr>
    </w:pPr>
    <w:r w:rsidRPr="00C6708E">
      <w:rPr>
        <w:sz w:val="20"/>
        <w:szCs w:val="20"/>
      </w:rPr>
      <w:t>Alex Hales-Owen (2221576)</w:t>
    </w:r>
    <w:r w:rsidRPr="00C6708E">
      <w:rPr>
        <w:sz w:val="20"/>
        <w:szCs w:val="20"/>
      </w:rPr>
      <w:tab/>
    </w:r>
    <w:r w:rsidRPr="00C6708E">
      <w:rPr>
        <w:sz w:val="20"/>
        <w:szCs w:val="20"/>
      </w:rPr>
      <w:tab/>
      <w:t>Enemies within and without (HPHI 5904 6904)</w:t>
    </w:r>
  </w:p>
  <w:p w14:paraId="3070C751" w14:textId="785998FA" w:rsidR="000D3E70" w:rsidRPr="00C6708E" w:rsidRDefault="000D3E70" w:rsidP="000D3E70">
    <w:pPr>
      <w:pStyle w:val="Header"/>
      <w:rPr>
        <w:sz w:val="18"/>
        <w:szCs w:val="18"/>
      </w:rPr>
    </w:pPr>
  </w:p>
  <w:p w14:paraId="203E1160" w14:textId="4F68A951" w:rsidR="000D3E70" w:rsidRPr="00C6708E" w:rsidRDefault="000D3E70" w:rsidP="000D3E70">
    <w:pPr>
      <w:shd w:val="clear" w:color="auto" w:fill="FFFFFF"/>
      <w:spacing w:after="0" w:line="240" w:lineRule="auto"/>
      <w:jc w:val="center"/>
      <w:textAlignment w:val="baseline"/>
      <w:rPr>
        <w:sz w:val="22"/>
        <w:szCs w:val="22"/>
        <w:u w:val="single"/>
      </w:rPr>
    </w:pPr>
    <w:r w:rsidRPr="00C6708E">
      <w:rPr>
        <w:rFonts w:eastAsia="Times New Roman"/>
        <w:b/>
        <w:bCs/>
        <w:color w:val="000000"/>
        <w:kern w:val="0"/>
        <w:sz w:val="22"/>
        <w:szCs w:val="22"/>
        <w:u w:val="single"/>
        <w:lang w:eastAsia="en-GB"/>
      </w:rPr>
      <w:t>What was Thatcher’s attitude towards the Falkland’s War, and what might this reveal about her broader political project? How effective and impactful was the position taken by Thatcher on the War, and what insights might this offer about how she transformed British politics?</w:t>
    </w:r>
  </w:p>
  <w:p w14:paraId="3D926B2B" w14:textId="33618555" w:rsidR="000D3E70" w:rsidRPr="00C6708E" w:rsidRDefault="000D3E70" w:rsidP="000D3E70">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E70"/>
    <w:rsid w:val="000011A8"/>
    <w:rsid w:val="00006CF3"/>
    <w:rsid w:val="00013FF1"/>
    <w:rsid w:val="00015266"/>
    <w:rsid w:val="00016824"/>
    <w:rsid w:val="0002122D"/>
    <w:rsid w:val="0003131E"/>
    <w:rsid w:val="0003184D"/>
    <w:rsid w:val="00032B35"/>
    <w:rsid w:val="00033A54"/>
    <w:rsid w:val="00035863"/>
    <w:rsid w:val="00036CE8"/>
    <w:rsid w:val="00050022"/>
    <w:rsid w:val="000535F9"/>
    <w:rsid w:val="00057C9C"/>
    <w:rsid w:val="00071A81"/>
    <w:rsid w:val="0008302F"/>
    <w:rsid w:val="00090AD0"/>
    <w:rsid w:val="00091316"/>
    <w:rsid w:val="000914E0"/>
    <w:rsid w:val="000A2816"/>
    <w:rsid w:val="000A421F"/>
    <w:rsid w:val="000A56EA"/>
    <w:rsid w:val="000A630E"/>
    <w:rsid w:val="000A7446"/>
    <w:rsid w:val="000B39BA"/>
    <w:rsid w:val="000B76B8"/>
    <w:rsid w:val="000D1862"/>
    <w:rsid w:val="000D35DE"/>
    <w:rsid w:val="000D3E70"/>
    <w:rsid w:val="000E3700"/>
    <w:rsid w:val="000E4615"/>
    <w:rsid w:val="001035A6"/>
    <w:rsid w:val="0010570E"/>
    <w:rsid w:val="00110D6F"/>
    <w:rsid w:val="00112960"/>
    <w:rsid w:val="0011665E"/>
    <w:rsid w:val="0012276F"/>
    <w:rsid w:val="00124368"/>
    <w:rsid w:val="00127651"/>
    <w:rsid w:val="001319BD"/>
    <w:rsid w:val="0013757E"/>
    <w:rsid w:val="001409AD"/>
    <w:rsid w:val="00141535"/>
    <w:rsid w:val="00142D3A"/>
    <w:rsid w:val="00150002"/>
    <w:rsid w:val="00150136"/>
    <w:rsid w:val="0015646D"/>
    <w:rsid w:val="001575B3"/>
    <w:rsid w:val="001613BC"/>
    <w:rsid w:val="00175A41"/>
    <w:rsid w:val="0017667B"/>
    <w:rsid w:val="00177FC4"/>
    <w:rsid w:val="0018155D"/>
    <w:rsid w:val="00187AB3"/>
    <w:rsid w:val="00187CC5"/>
    <w:rsid w:val="0019070E"/>
    <w:rsid w:val="001926F1"/>
    <w:rsid w:val="00195BC0"/>
    <w:rsid w:val="00196852"/>
    <w:rsid w:val="001A0B1B"/>
    <w:rsid w:val="001A7D0B"/>
    <w:rsid w:val="001B4D97"/>
    <w:rsid w:val="001C563C"/>
    <w:rsid w:val="001D2B61"/>
    <w:rsid w:val="001D5355"/>
    <w:rsid w:val="001E3C19"/>
    <w:rsid w:val="001E77AC"/>
    <w:rsid w:val="001F2E03"/>
    <w:rsid w:val="002011C6"/>
    <w:rsid w:val="00205F52"/>
    <w:rsid w:val="00207DCA"/>
    <w:rsid w:val="0021626F"/>
    <w:rsid w:val="00216525"/>
    <w:rsid w:val="00222E15"/>
    <w:rsid w:val="00225A5E"/>
    <w:rsid w:val="0022785A"/>
    <w:rsid w:val="00236B6D"/>
    <w:rsid w:val="0024362C"/>
    <w:rsid w:val="00262AEA"/>
    <w:rsid w:val="00262B34"/>
    <w:rsid w:val="002668F9"/>
    <w:rsid w:val="0027024D"/>
    <w:rsid w:val="002725EB"/>
    <w:rsid w:val="00283483"/>
    <w:rsid w:val="00287962"/>
    <w:rsid w:val="002A02B0"/>
    <w:rsid w:val="002A1E19"/>
    <w:rsid w:val="002A3C13"/>
    <w:rsid w:val="002A4232"/>
    <w:rsid w:val="002A4962"/>
    <w:rsid w:val="002A6DE1"/>
    <w:rsid w:val="002B2368"/>
    <w:rsid w:val="002B721F"/>
    <w:rsid w:val="002C4CAF"/>
    <w:rsid w:val="002D4BDD"/>
    <w:rsid w:val="002D5521"/>
    <w:rsid w:val="002E2633"/>
    <w:rsid w:val="002F316A"/>
    <w:rsid w:val="00315E96"/>
    <w:rsid w:val="00320E1B"/>
    <w:rsid w:val="0032205E"/>
    <w:rsid w:val="00325249"/>
    <w:rsid w:val="00335352"/>
    <w:rsid w:val="00335F6A"/>
    <w:rsid w:val="00347B7D"/>
    <w:rsid w:val="003534E3"/>
    <w:rsid w:val="003569A9"/>
    <w:rsid w:val="00360F4C"/>
    <w:rsid w:val="00365E78"/>
    <w:rsid w:val="0036723B"/>
    <w:rsid w:val="003724C0"/>
    <w:rsid w:val="00380772"/>
    <w:rsid w:val="003833AD"/>
    <w:rsid w:val="00385E59"/>
    <w:rsid w:val="00390B44"/>
    <w:rsid w:val="0039731C"/>
    <w:rsid w:val="003A20A8"/>
    <w:rsid w:val="003A54D4"/>
    <w:rsid w:val="003A6FA7"/>
    <w:rsid w:val="003B0421"/>
    <w:rsid w:val="003B0522"/>
    <w:rsid w:val="003B076F"/>
    <w:rsid w:val="003B784F"/>
    <w:rsid w:val="003B7BBD"/>
    <w:rsid w:val="003C0631"/>
    <w:rsid w:val="003C3A22"/>
    <w:rsid w:val="003C6994"/>
    <w:rsid w:val="003D28F1"/>
    <w:rsid w:val="003D3C5C"/>
    <w:rsid w:val="003E2E6A"/>
    <w:rsid w:val="003F4759"/>
    <w:rsid w:val="003F5A93"/>
    <w:rsid w:val="003F6A00"/>
    <w:rsid w:val="00401536"/>
    <w:rsid w:val="00407046"/>
    <w:rsid w:val="00412154"/>
    <w:rsid w:val="00420F36"/>
    <w:rsid w:val="00423322"/>
    <w:rsid w:val="00423FCC"/>
    <w:rsid w:val="00427D37"/>
    <w:rsid w:val="00431759"/>
    <w:rsid w:val="00432E3A"/>
    <w:rsid w:val="0043475B"/>
    <w:rsid w:val="00442DEA"/>
    <w:rsid w:val="004439BE"/>
    <w:rsid w:val="00446E65"/>
    <w:rsid w:val="0044793E"/>
    <w:rsid w:val="00450BFF"/>
    <w:rsid w:val="00451648"/>
    <w:rsid w:val="0045644D"/>
    <w:rsid w:val="00481F53"/>
    <w:rsid w:val="004822CE"/>
    <w:rsid w:val="00484DA4"/>
    <w:rsid w:val="00485C14"/>
    <w:rsid w:val="0048786F"/>
    <w:rsid w:val="004908B5"/>
    <w:rsid w:val="004932E9"/>
    <w:rsid w:val="0049479B"/>
    <w:rsid w:val="004970F6"/>
    <w:rsid w:val="00497775"/>
    <w:rsid w:val="004A5555"/>
    <w:rsid w:val="004B1584"/>
    <w:rsid w:val="004B5F33"/>
    <w:rsid w:val="004B6D85"/>
    <w:rsid w:val="004C2BEB"/>
    <w:rsid w:val="004C7D9D"/>
    <w:rsid w:val="004D5599"/>
    <w:rsid w:val="004D5EDB"/>
    <w:rsid w:val="004D7EC1"/>
    <w:rsid w:val="004E1169"/>
    <w:rsid w:val="004E221C"/>
    <w:rsid w:val="004F4B04"/>
    <w:rsid w:val="004F52E6"/>
    <w:rsid w:val="00501536"/>
    <w:rsid w:val="00502A4D"/>
    <w:rsid w:val="00510134"/>
    <w:rsid w:val="00510582"/>
    <w:rsid w:val="0052106D"/>
    <w:rsid w:val="00525264"/>
    <w:rsid w:val="0053762A"/>
    <w:rsid w:val="0053775E"/>
    <w:rsid w:val="00540B6A"/>
    <w:rsid w:val="00541DFC"/>
    <w:rsid w:val="005525A2"/>
    <w:rsid w:val="005527B9"/>
    <w:rsid w:val="005545FD"/>
    <w:rsid w:val="00560FED"/>
    <w:rsid w:val="00561ED3"/>
    <w:rsid w:val="00566FF1"/>
    <w:rsid w:val="00571357"/>
    <w:rsid w:val="00571760"/>
    <w:rsid w:val="005751C8"/>
    <w:rsid w:val="005767FC"/>
    <w:rsid w:val="00582329"/>
    <w:rsid w:val="0058391D"/>
    <w:rsid w:val="00584684"/>
    <w:rsid w:val="00593A49"/>
    <w:rsid w:val="00593F9D"/>
    <w:rsid w:val="005953DD"/>
    <w:rsid w:val="0059580F"/>
    <w:rsid w:val="005A2287"/>
    <w:rsid w:val="005A7DD1"/>
    <w:rsid w:val="005B6125"/>
    <w:rsid w:val="005C6774"/>
    <w:rsid w:val="005C6941"/>
    <w:rsid w:val="005D5205"/>
    <w:rsid w:val="005D541C"/>
    <w:rsid w:val="005D5481"/>
    <w:rsid w:val="005D62EE"/>
    <w:rsid w:val="005E0A68"/>
    <w:rsid w:val="005E33F2"/>
    <w:rsid w:val="005F1BAD"/>
    <w:rsid w:val="005F368C"/>
    <w:rsid w:val="005F6D32"/>
    <w:rsid w:val="00600E82"/>
    <w:rsid w:val="00601EAB"/>
    <w:rsid w:val="00603CA0"/>
    <w:rsid w:val="00610507"/>
    <w:rsid w:val="00611A1E"/>
    <w:rsid w:val="00623787"/>
    <w:rsid w:val="00625DD4"/>
    <w:rsid w:val="00627C1A"/>
    <w:rsid w:val="00632529"/>
    <w:rsid w:val="0063320B"/>
    <w:rsid w:val="006335E3"/>
    <w:rsid w:val="006337FA"/>
    <w:rsid w:val="0063513F"/>
    <w:rsid w:val="00643C52"/>
    <w:rsid w:val="00645ED5"/>
    <w:rsid w:val="00647AB3"/>
    <w:rsid w:val="006531FA"/>
    <w:rsid w:val="00653802"/>
    <w:rsid w:val="00655551"/>
    <w:rsid w:val="00655E93"/>
    <w:rsid w:val="00657F10"/>
    <w:rsid w:val="0066182F"/>
    <w:rsid w:val="00662832"/>
    <w:rsid w:val="006628B5"/>
    <w:rsid w:val="00662DF9"/>
    <w:rsid w:val="00666629"/>
    <w:rsid w:val="006716D1"/>
    <w:rsid w:val="00672323"/>
    <w:rsid w:val="00693EA8"/>
    <w:rsid w:val="00697C14"/>
    <w:rsid w:val="006A02CC"/>
    <w:rsid w:val="006A03DA"/>
    <w:rsid w:val="006A11E2"/>
    <w:rsid w:val="006A4CC7"/>
    <w:rsid w:val="006A56B9"/>
    <w:rsid w:val="006B1435"/>
    <w:rsid w:val="006B3044"/>
    <w:rsid w:val="006C38E9"/>
    <w:rsid w:val="006C48BD"/>
    <w:rsid w:val="006C4EB0"/>
    <w:rsid w:val="006D108D"/>
    <w:rsid w:val="006D6BF2"/>
    <w:rsid w:val="006E0E95"/>
    <w:rsid w:val="006E770B"/>
    <w:rsid w:val="006E7D39"/>
    <w:rsid w:val="006F3266"/>
    <w:rsid w:val="006F36DB"/>
    <w:rsid w:val="006F5168"/>
    <w:rsid w:val="006F73F8"/>
    <w:rsid w:val="007016CE"/>
    <w:rsid w:val="00705109"/>
    <w:rsid w:val="00707E63"/>
    <w:rsid w:val="007167B8"/>
    <w:rsid w:val="0071700E"/>
    <w:rsid w:val="0072636A"/>
    <w:rsid w:val="00726D72"/>
    <w:rsid w:val="007409BB"/>
    <w:rsid w:val="00741981"/>
    <w:rsid w:val="00751600"/>
    <w:rsid w:val="00752487"/>
    <w:rsid w:val="00767F8B"/>
    <w:rsid w:val="007742E6"/>
    <w:rsid w:val="00775ED3"/>
    <w:rsid w:val="00782622"/>
    <w:rsid w:val="007A41A5"/>
    <w:rsid w:val="007B0621"/>
    <w:rsid w:val="007B1021"/>
    <w:rsid w:val="007B2C9E"/>
    <w:rsid w:val="007B53BA"/>
    <w:rsid w:val="007B73E6"/>
    <w:rsid w:val="007B7A0A"/>
    <w:rsid w:val="007C02AD"/>
    <w:rsid w:val="007C53D8"/>
    <w:rsid w:val="007C6599"/>
    <w:rsid w:val="007D4A5F"/>
    <w:rsid w:val="007F0D08"/>
    <w:rsid w:val="007F17C0"/>
    <w:rsid w:val="007F1DAD"/>
    <w:rsid w:val="007F4265"/>
    <w:rsid w:val="007F74FE"/>
    <w:rsid w:val="008050A5"/>
    <w:rsid w:val="008061EC"/>
    <w:rsid w:val="00814666"/>
    <w:rsid w:val="00820D9D"/>
    <w:rsid w:val="00827CD9"/>
    <w:rsid w:val="00832593"/>
    <w:rsid w:val="00833F1E"/>
    <w:rsid w:val="008357AE"/>
    <w:rsid w:val="0084610C"/>
    <w:rsid w:val="00853979"/>
    <w:rsid w:val="0086113A"/>
    <w:rsid w:val="008617DC"/>
    <w:rsid w:val="00881880"/>
    <w:rsid w:val="00892B8B"/>
    <w:rsid w:val="00893790"/>
    <w:rsid w:val="008976EC"/>
    <w:rsid w:val="008A0D1D"/>
    <w:rsid w:val="008A4B77"/>
    <w:rsid w:val="008A5B05"/>
    <w:rsid w:val="008B30EB"/>
    <w:rsid w:val="008B43B8"/>
    <w:rsid w:val="008C4741"/>
    <w:rsid w:val="008D2C33"/>
    <w:rsid w:val="008D3C70"/>
    <w:rsid w:val="008D4200"/>
    <w:rsid w:val="008D78EE"/>
    <w:rsid w:val="008E33E9"/>
    <w:rsid w:val="008E3AF2"/>
    <w:rsid w:val="008E530D"/>
    <w:rsid w:val="008E63A1"/>
    <w:rsid w:val="008E71F9"/>
    <w:rsid w:val="008F7603"/>
    <w:rsid w:val="00904272"/>
    <w:rsid w:val="00907904"/>
    <w:rsid w:val="00912460"/>
    <w:rsid w:val="00912487"/>
    <w:rsid w:val="00913D8B"/>
    <w:rsid w:val="00915981"/>
    <w:rsid w:val="0092176D"/>
    <w:rsid w:val="00926B25"/>
    <w:rsid w:val="00927D71"/>
    <w:rsid w:val="00930344"/>
    <w:rsid w:val="009324DA"/>
    <w:rsid w:val="0093442D"/>
    <w:rsid w:val="00935638"/>
    <w:rsid w:val="00947332"/>
    <w:rsid w:val="00973EF0"/>
    <w:rsid w:val="00973FDC"/>
    <w:rsid w:val="00983103"/>
    <w:rsid w:val="009911AA"/>
    <w:rsid w:val="009A5B7D"/>
    <w:rsid w:val="009B3C72"/>
    <w:rsid w:val="009B3CAC"/>
    <w:rsid w:val="009B44EF"/>
    <w:rsid w:val="009B584C"/>
    <w:rsid w:val="009B6E26"/>
    <w:rsid w:val="009C2804"/>
    <w:rsid w:val="009C3167"/>
    <w:rsid w:val="009C5767"/>
    <w:rsid w:val="009C5DC2"/>
    <w:rsid w:val="009C7EC9"/>
    <w:rsid w:val="009D1242"/>
    <w:rsid w:val="009D4B8F"/>
    <w:rsid w:val="009D76DD"/>
    <w:rsid w:val="009E4FA5"/>
    <w:rsid w:val="009F127A"/>
    <w:rsid w:val="009F5A84"/>
    <w:rsid w:val="009F5F2F"/>
    <w:rsid w:val="00A03C53"/>
    <w:rsid w:val="00A04C8A"/>
    <w:rsid w:val="00A06251"/>
    <w:rsid w:val="00A06342"/>
    <w:rsid w:val="00A14182"/>
    <w:rsid w:val="00A1507C"/>
    <w:rsid w:val="00A15A31"/>
    <w:rsid w:val="00A17F21"/>
    <w:rsid w:val="00A24F02"/>
    <w:rsid w:val="00A270E8"/>
    <w:rsid w:val="00A360F9"/>
    <w:rsid w:val="00A40130"/>
    <w:rsid w:val="00A51428"/>
    <w:rsid w:val="00A5227C"/>
    <w:rsid w:val="00A53855"/>
    <w:rsid w:val="00A57E97"/>
    <w:rsid w:val="00A6079E"/>
    <w:rsid w:val="00A646C2"/>
    <w:rsid w:val="00A71B22"/>
    <w:rsid w:val="00A74614"/>
    <w:rsid w:val="00A7494C"/>
    <w:rsid w:val="00A821EC"/>
    <w:rsid w:val="00A86952"/>
    <w:rsid w:val="00A907A0"/>
    <w:rsid w:val="00A91B1B"/>
    <w:rsid w:val="00A92A44"/>
    <w:rsid w:val="00A931D9"/>
    <w:rsid w:val="00A96A36"/>
    <w:rsid w:val="00AA05D7"/>
    <w:rsid w:val="00AA3EF7"/>
    <w:rsid w:val="00AB0F0D"/>
    <w:rsid w:val="00AB4C5C"/>
    <w:rsid w:val="00AB7064"/>
    <w:rsid w:val="00AB7797"/>
    <w:rsid w:val="00AC4E89"/>
    <w:rsid w:val="00AC75F9"/>
    <w:rsid w:val="00AD23C9"/>
    <w:rsid w:val="00AD3225"/>
    <w:rsid w:val="00AD5E89"/>
    <w:rsid w:val="00AD7F34"/>
    <w:rsid w:val="00AE19C8"/>
    <w:rsid w:val="00AF362F"/>
    <w:rsid w:val="00AF6B68"/>
    <w:rsid w:val="00AF6FDB"/>
    <w:rsid w:val="00AF7CEF"/>
    <w:rsid w:val="00B02973"/>
    <w:rsid w:val="00B063E9"/>
    <w:rsid w:val="00B14222"/>
    <w:rsid w:val="00B174BC"/>
    <w:rsid w:val="00B20FD6"/>
    <w:rsid w:val="00B210D7"/>
    <w:rsid w:val="00B2639C"/>
    <w:rsid w:val="00B30ED7"/>
    <w:rsid w:val="00B3101D"/>
    <w:rsid w:val="00B32FF3"/>
    <w:rsid w:val="00B34CA1"/>
    <w:rsid w:val="00B420C9"/>
    <w:rsid w:val="00B454CD"/>
    <w:rsid w:val="00B4756B"/>
    <w:rsid w:val="00B5499E"/>
    <w:rsid w:val="00B575BE"/>
    <w:rsid w:val="00B60A0C"/>
    <w:rsid w:val="00B62608"/>
    <w:rsid w:val="00B6323D"/>
    <w:rsid w:val="00B650BA"/>
    <w:rsid w:val="00B67C18"/>
    <w:rsid w:val="00B7355D"/>
    <w:rsid w:val="00B7585D"/>
    <w:rsid w:val="00B761B9"/>
    <w:rsid w:val="00B8047C"/>
    <w:rsid w:val="00B923EB"/>
    <w:rsid w:val="00B94533"/>
    <w:rsid w:val="00B9499C"/>
    <w:rsid w:val="00BA6A32"/>
    <w:rsid w:val="00BA6B81"/>
    <w:rsid w:val="00BB000C"/>
    <w:rsid w:val="00BB37B4"/>
    <w:rsid w:val="00BB7972"/>
    <w:rsid w:val="00BC33E0"/>
    <w:rsid w:val="00BC3BB5"/>
    <w:rsid w:val="00BD1F98"/>
    <w:rsid w:val="00BD3E91"/>
    <w:rsid w:val="00BD6154"/>
    <w:rsid w:val="00BE27C1"/>
    <w:rsid w:val="00BE28E5"/>
    <w:rsid w:val="00BE3681"/>
    <w:rsid w:val="00BE4AE2"/>
    <w:rsid w:val="00BE609F"/>
    <w:rsid w:val="00BE7C0A"/>
    <w:rsid w:val="00BF01EA"/>
    <w:rsid w:val="00BF1386"/>
    <w:rsid w:val="00BF1A67"/>
    <w:rsid w:val="00BF5C5E"/>
    <w:rsid w:val="00C0023F"/>
    <w:rsid w:val="00C1096D"/>
    <w:rsid w:val="00C156E2"/>
    <w:rsid w:val="00C21DA5"/>
    <w:rsid w:val="00C23BBF"/>
    <w:rsid w:val="00C31493"/>
    <w:rsid w:val="00C36025"/>
    <w:rsid w:val="00C40DE7"/>
    <w:rsid w:val="00C43988"/>
    <w:rsid w:val="00C52C35"/>
    <w:rsid w:val="00C52FBD"/>
    <w:rsid w:val="00C55BF5"/>
    <w:rsid w:val="00C6416C"/>
    <w:rsid w:val="00C6708E"/>
    <w:rsid w:val="00C673F2"/>
    <w:rsid w:val="00C70225"/>
    <w:rsid w:val="00C756C5"/>
    <w:rsid w:val="00C87A37"/>
    <w:rsid w:val="00CA2B35"/>
    <w:rsid w:val="00CA4A4F"/>
    <w:rsid w:val="00CA709E"/>
    <w:rsid w:val="00CB6936"/>
    <w:rsid w:val="00CC6D76"/>
    <w:rsid w:val="00CD27FB"/>
    <w:rsid w:val="00CD7C2C"/>
    <w:rsid w:val="00CE164F"/>
    <w:rsid w:val="00CE40A7"/>
    <w:rsid w:val="00CE5C11"/>
    <w:rsid w:val="00CE7300"/>
    <w:rsid w:val="00CF09C1"/>
    <w:rsid w:val="00CF0D15"/>
    <w:rsid w:val="00CF4293"/>
    <w:rsid w:val="00CF763C"/>
    <w:rsid w:val="00D0070F"/>
    <w:rsid w:val="00D01BD9"/>
    <w:rsid w:val="00D03186"/>
    <w:rsid w:val="00D11C38"/>
    <w:rsid w:val="00D2181B"/>
    <w:rsid w:val="00D229A5"/>
    <w:rsid w:val="00D253B9"/>
    <w:rsid w:val="00D31AA9"/>
    <w:rsid w:val="00D3667E"/>
    <w:rsid w:val="00D404F6"/>
    <w:rsid w:val="00D44DC7"/>
    <w:rsid w:val="00D46890"/>
    <w:rsid w:val="00D4784A"/>
    <w:rsid w:val="00D52F36"/>
    <w:rsid w:val="00D54EF4"/>
    <w:rsid w:val="00D55A19"/>
    <w:rsid w:val="00D6119C"/>
    <w:rsid w:val="00D6708C"/>
    <w:rsid w:val="00D670A5"/>
    <w:rsid w:val="00D67C89"/>
    <w:rsid w:val="00D77AB2"/>
    <w:rsid w:val="00D81633"/>
    <w:rsid w:val="00D85F72"/>
    <w:rsid w:val="00D92842"/>
    <w:rsid w:val="00D9414A"/>
    <w:rsid w:val="00DA2952"/>
    <w:rsid w:val="00DA6B7F"/>
    <w:rsid w:val="00DA753E"/>
    <w:rsid w:val="00DB0F6F"/>
    <w:rsid w:val="00DB1C37"/>
    <w:rsid w:val="00DB499F"/>
    <w:rsid w:val="00DB56DA"/>
    <w:rsid w:val="00DB5AE5"/>
    <w:rsid w:val="00DB7676"/>
    <w:rsid w:val="00DC02B5"/>
    <w:rsid w:val="00DC503C"/>
    <w:rsid w:val="00DD0266"/>
    <w:rsid w:val="00DD046D"/>
    <w:rsid w:val="00DD39D2"/>
    <w:rsid w:val="00DD4481"/>
    <w:rsid w:val="00DD5358"/>
    <w:rsid w:val="00DD7247"/>
    <w:rsid w:val="00DE4695"/>
    <w:rsid w:val="00DE62DA"/>
    <w:rsid w:val="00DF47B9"/>
    <w:rsid w:val="00DF670F"/>
    <w:rsid w:val="00DF7233"/>
    <w:rsid w:val="00E015B2"/>
    <w:rsid w:val="00E0219A"/>
    <w:rsid w:val="00E11206"/>
    <w:rsid w:val="00E12FA9"/>
    <w:rsid w:val="00E14162"/>
    <w:rsid w:val="00E1430A"/>
    <w:rsid w:val="00E22799"/>
    <w:rsid w:val="00E35A70"/>
    <w:rsid w:val="00E40463"/>
    <w:rsid w:val="00E41BF8"/>
    <w:rsid w:val="00E4524C"/>
    <w:rsid w:val="00E45541"/>
    <w:rsid w:val="00E47FDA"/>
    <w:rsid w:val="00E47FF8"/>
    <w:rsid w:val="00E52132"/>
    <w:rsid w:val="00E557B6"/>
    <w:rsid w:val="00E66D69"/>
    <w:rsid w:val="00E6730C"/>
    <w:rsid w:val="00E724CE"/>
    <w:rsid w:val="00E73AC5"/>
    <w:rsid w:val="00E870E7"/>
    <w:rsid w:val="00E93324"/>
    <w:rsid w:val="00E94150"/>
    <w:rsid w:val="00E946AA"/>
    <w:rsid w:val="00E9569C"/>
    <w:rsid w:val="00E9626E"/>
    <w:rsid w:val="00EA18E6"/>
    <w:rsid w:val="00EA2309"/>
    <w:rsid w:val="00EA6637"/>
    <w:rsid w:val="00EA769B"/>
    <w:rsid w:val="00EA7B5B"/>
    <w:rsid w:val="00EB27D8"/>
    <w:rsid w:val="00EB4C53"/>
    <w:rsid w:val="00EC5131"/>
    <w:rsid w:val="00EC7B68"/>
    <w:rsid w:val="00ED1491"/>
    <w:rsid w:val="00EE05B8"/>
    <w:rsid w:val="00EE28EB"/>
    <w:rsid w:val="00EE2E1C"/>
    <w:rsid w:val="00EE5591"/>
    <w:rsid w:val="00EE6C5E"/>
    <w:rsid w:val="00EE6F17"/>
    <w:rsid w:val="00EF38A4"/>
    <w:rsid w:val="00F16641"/>
    <w:rsid w:val="00F27D2E"/>
    <w:rsid w:val="00F27D64"/>
    <w:rsid w:val="00F339E4"/>
    <w:rsid w:val="00F42663"/>
    <w:rsid w:val="00F47169"/>
    <w:rsid w:val="00F51DC8"/>
    <w:rsid w:val="00F54B10"/>
    <w:rsid w:val="00F6574B"/>
    <w:rsid w:val="00F661E9"/>
    <w:rsid w:val="00F700A3"/>
    <w:rsid w:val="00F71BAA"/>
    <w:rsid w:val="00F727CB"/>
    <w:rsid w:val="00F827D7"/>
    <w:rsid w:val="00F85571"/>
    <w:rsid w:val="00F87DA0"/>
    <w:rsid w:val="00F90B19"/>
    <w:rsid w:val="00F93262"/>
    <w:rsid w:val="00FA3B90"/>
    <w:rsid w:val="00FA4BA0"/>
    <w:rsid w:val="00FB2561"/>
    <w:rsid w:val="00FB6C40"/>
    <w:rsid w:val="00FB71FF"/>
    <w:rsid w:val="00FB7491"/>
    <w:rsid w:val="00FB7503"/>
    <w:rsid w:val="00FC190C"/>
    <w:rsid w:val="00FC3611"/>
    <w:rsid w:val="00FC3E34"/>
    <w:rsid w:val="00FD072C"/>
    <w:rsid w:val="00FD221C"/>
    <w:rsid w:val="00FD697A"/>
    <w:rsid w:val="00FD7BAB"/>
    <w:rsid w:val="00FE0A93"/>
    <w:rsid w:val="00FE1751"/>
    <w:rsid w:val="00FE4827"/>
    <w:rsid w:val="00FE7AE8"/>
    <w:rsid w:val="00FF1A5A"/>
    <w:rsid w:val="00FF2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482ABC"/>
  <w15:chartTrackingRefBased/>
  <w15:docId w15:val="{6DA4FA33-CF11-4ED8-A30B-2C95F3F91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7B8"/>
    <w:rPr>
      <w:rFonts w:ascii="Calibri" w:hAnsi="Calibri"/>
    </w:rPr>
  </w:style>
  <w:style w:type="paragraph" w:styleId="Heading1">
    <w:name w:val="heading 1"/>
    <w:basedOn w:val="Normal"/>
    <w:next w:val="Normal"/>
    <w:link w:val="Heading1Char"/>
    <w:uiPriority w:val="9"/>
    <w:qFormat/>
    <w:rsid w:val="000D3E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3E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E7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E7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D3E7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D3E7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D3E7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D3E7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D3E7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E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E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E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E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E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E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E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E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E70"/>
    <w:rPr>
      <w:rFonts w:eastAsiaTheme="majorEastAsia" w:cstheme="majorBidi"/>
      <w:color w:val="272727" w:themeColor="text1" w:themeTint="D8"/>
    </w:rPr>
  </w:style>
  <w:style w:type="paragraph" w:styleId="Title">
    <w:name w:val="Title"/>
    <w:basedOn w:val="Normal"/>
    <w:next w:val="Normal"/>
    <w:link w:val="TitleChar"/>
    <w:uiPriority w:val="10"/>
    <w:qFormat/>
    <w:rsid w:val="000D3E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E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E7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E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E70"/>
    <w:pPr>
      <w:spacing w:before="160"/>
      <w:jc w:val="center"/>
    </w:pPr>
    <w:rPr>
      <w:i/>
      <w:iCs/>
      <w:color w:val="404040" w:themeColor="text1" w:themeTint="BF"/>
    </w:rPr>
  </w:style>
  <w:style w:type="character" w:customStyle="1" w:styleId="QuoteChar">
    <w:name w:val="Quote Char"/>
    <w:basedOn w:val="DefaultParagraphFont"/>
    <w:link w:val="Quote"/>
    <w:uiPriority w:val="29"/>
    <w:rsid w:val="000D3E70"/>
    <w:rPr>
      <w:rFonts w:ascii="Calibri" w:hAnsi="Calibri"/>
      <w:i/>
      <w:iCs/>
      <w:color w:val="404040" w:themeColor="text1" w:themeTint="BF"/>
    </w:rPr>
  </w:style>
  <w:style w:type="paragraph" w:styleId="ListParagraph">
    <w:name w:val="List Paragraph"/>
    <w:basedOn w:val="Normal"/>
    <w:uiPriority w:val="34"/>
    <w:qFormat/>
    <w:rsid w:val="000D3E70"/>
    <w:pPr>
      <w:ind w:left="720"/>
      <w:contextualSpacing/>
    </w:pPr>
  </w:style>
  <w:style w:type="character" w:styleId="IntenseEmphasis">
    <w:name w:val="Intense Emphasis"/>
    <w:basedOn w:val="DefaultParagraphFont"/>
    <w:uiPriority w:val="21"/>
    <w:qFormat/>
    <w:rsid w:val="000D3E70"/>
    <w:rPr>
      <w:i/>
      <w:iCs/>
      <w:color w:val="0F4761" w:themeColor="accent1" w:themeShade="BF"/>
    </w:rPr>
  </w:style>
  <w:style w:type="paragraph" w:styleId="IntenseQuote">
    <w:name w:val="Intense Quote"/>
    <w:basedOn w:val="Normal"/>
    <w:next w:val="Normal"/>
    <w:link w:val="IntenseQuoteChar"/>
    <w:uiPriority w:val="30"/>
    <w:qFormat/>
    <w:rsid w:val="000D3E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E70"/>
    <w:rPr>
      <w:rFonts w:ascii="Calibri" w:hAnsi="Calibri"/>
      <w:i/>
      <w:iCs/>
      <w:color w:val="0F4761" w:themeColor="accent1" w:themeShade="BF"/>
    </w:rPr>
  </w:style>
  <w:style w:type="character" w:styleId="IntenseReference">
    <w:name w:val="Intense Reference"/>
    <w:basedOn w:val="DefaultParagraphFont"/>
    <w:uiPriority w:val="32"/>
    <w:qFormat/>
    <w:rsid w:val="000D3E70"/>
    <w:rPr>
      <w:b/>
      <w:bCs/>
      <w:smallCaps/>
      <w:color w:val="0F4761" w:themeColor="accent1" w:themeShade="BF"/>
      <w:spacing w:val="5"/>
    </w:rPr>
  </w:style>
  <w:style w:type="paragraph" w:styleId="Header">
    <w:name w:val="header"/>
    <w:basedOn w:val="Normal"/>
    <w:link w:val="HeaderChar"/>
    <w:uiPriority w:val="99"/>
    <w:unhideWhenUsed/>
    <w:rsid w:val="000D3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E70"/>
    <w:rPr>
      <w:rFonts w:ascii="Calibri" w:hAnsi="Calibri"/>
    </w:rPr>
  </w:style>
  <w:style w:type="paragraph" w:styleId="Footer">
    <w:name w:val="footer"/>
    <w:basedOn w:val="Normal"/>
    <w:link w:val="FooterChar"/>
    <w:uiPriority w:val="99"/>
    <w:unhideWhenUsed/>
    <w:rsid w:val="000D3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E70"/>
    <w:rPr>
      <w:rFonts w:ascii="Calibri" w:hAnsi="Calibri"/>
    </w:rPr>
  </w:style>
  <w:style w:type="paragraph" w:styleId="FootnoteText">
    <w:name w:val="footnote text"/>
    <w:basedOn w:val="Normal"/>
    <w:link w:val="FootnoteTextChar"/>
    <w:uiPriority w:val="99"/>
    <w:semiHidden/>
    <w:unhideWhenUsed/>
    <w:rsid w:val="00E143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430A"/>
    <w:rPr>
      <w:rFonts w:ascii="Calibri" w:hAnsi="Calibri"/>
      <w:sz w:val="20"/>
      <w:szCs w:val="20"/>
    </w:rPr>
  </w:style>
  <w:style w:type="character" w:styleId="FootnoteReference">
    <w:name w:val="footnote reference"/>
    <w:basedOn w:val="DefaultParagraphFont"/>
    <w:uiPriority w:val="99"/>
    <w:semiHidden/>
    <w:unhideWhenUsed/>
    <w:rsid w:val="00E1430A"/>
    <w:rPr>
      <w:vertAlign w:val="superscript"/>
    </w:rPr>
  </w:style>
  <w:style w:type="character" w:styleId="Hyperlink">
    <w:name w:val="Hyperlink"/>
    <w:basedOn w:val="DefaultParagraphFont"/>
    <w:uiPriority w:val="99"/>
    <w:unhideWhenUsed/>
    <w:rsid w:val="006A11E2"/>
    <w:rPr>
      <w:color w:val="467886" w:themeColor="hyperlink"/>
      <w:u w:val="single"/>
    </w:rPr>
  </w:style>
  <w:style w:type="character" w:styleId="UnresolvedMention">
    <w:name w:val="Unresolved Mention"/>
    <w:basedOn w:val="DefaultParagraphFont"/>
    <w:uiPriority w:val="99"/>
    <w:semiHidden/>
    <w:unhideWhenUsed/>
    <w:rsid w:val="006A11E2"/>
    <w:rPr>
      <w:color w:val="605E5C"/>
      <w:shd w:val="clear" w:color="auto" w:fill="E1DFDD"/>
    </w:rPr>
  </w:style>
  <w:style w:type="character" w:styleId="FollowedHyperlink">
    <w:name w:val="FollowedHyperlink"/>
    <w:basedOn w:val="DefaultParagraphFont"/>
    <w:uiPriority w:val="99"/>
    <w:semiHidden/>
    <w:unhideWhenUsed/>
    <w:rsid w:val="00BD61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06833">
      <w:bodyDiv w:val="1"/>
      <w:marLeft w:val="0"/>
      <w:marRight w:val="0"/>
      <w:marTop w:val="0"/>
      <w:marBottom w:val="0"/>
      <w:divBdr>
        <w:top w:val="none" w:sz="0" w:space="0" w:color="auto"/>
        <w:left w:val="none" w:sz="0" w:space="0" w:color="auto"/>
        <w:bottom w:val="none" w:sz="0" w:space="0" w:color="auto"/>
        <w:right w:val="none" w:sz="0" w:space="0" w:color="auto"/>
      </w:divBdr>
    </w:div>
    <w:div w:id="453789094">
      <w:bodyDiv w:val="1"/>
      <w:marLeft w:val="0"/>
      <w:marRight w:val="0"/>
      <w:marTop w:val="0"/>
      <w:marBottom w:val="0"/>
      <w:divBdr>
        <w:top w:val="none" w:sz="0" w:space="0" w:color="auto"/>
        <w:left w:val="none" w:sz="0" w:space="0" w:color="auto"/>
        <w:bottom w:val="none" w:sz="0" w:space="0" w:color="auto"/>
        <w:right w:val="none" w:sz="0" w:space="0" w:color="auto"/>
      </w:divBdr>
    </w:div>
    <w:div w:id="988510735">
      <w:bodyDiv w:val="1"/>
      <w:marLeft w:val="0"/>
      <w:marRight w:val="0"/>
      <w:marTop w:val="0"/>
      <w:marBottom w:val="0"/>
      <w:divBdr>
        <w:top w:val="none" w:sz="0" w:space="0" w:color="auto"/>
        <w:left w:val="none" w:sz="0" w:space="0" w:color="auto"/>
        <w:bottom w:val="none" w:sz="0" w:space="0" w:color="auto"/>
        <w:right w:val="none" w:sz="0" w:space="0" w:color="auto"/>
      </w:divBdr>
    </w:div>
    <w:div w:id="1589346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upi.com/Odd_News/2014/06/11/UPI-Almanac-for-Wednesday-June-11-2014/8871401309509/"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en.wikipedia.org/wiki/Peter_Carington,_6th_Baron_Carringt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garetthatcher.org/document/104989"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bbc.co.uk/news/uk-politics-1037784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avok.com.br/guerra-das-falklandsmalvinas-12-razoes-pelas-quais-a-guerra-foi-muito-singular"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bbc.co.uk/news/uk-politics-10377842" TargetMode="External"/><Relationship Id="rId1" Type="http://schemas.openxmlformats.org/officeDocument/2006/relationships/hyperlink" Target="https://www.margaretthatcher.org/document/1049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207088-03D7-468D-B00C-A0F05715D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2871</Words>
  <Characters>15968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dc:creator>
  <cp:keywords/>
  <dc:description/>
  <cp:lastModifiedBy>Alex Hales-Owen</cp:lastModifiedBy>
  <cp:revision>585</cp:revision>
  <dcterms:created xsi:type="dcterms:W3CDTF">2024-11-24T11:08:00Z</dcterms:created>
  <dcterms:modified xsi:type="dcterms:W3CDTF">2024-12-13T14:22:00Z</dcterms:modified>
</cp:coreProperties>
</file>