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92A79" w14:textId="77777777" w:rsidR="00F15BBB" w:rsidRPr="00F15BBB" w:rsidRDefault="00F15BBB" w:rsidP="00F15BBB">
      <w:pPr>
        <w:rPr>
          <w:b/>
          <w:bCs/>
        </w:rPr>
      </w:pPr>
      <w:r w:rsidRPr="00F15BBB">
        <w:rPr>
          <w:b/>
          <w:bCs/>
        </w:rPr>
        <w:t>2020 to 2021 (Deterioration)</w:t>
      </w:r>
    </w:p>
    <w:p w14:paraId="2ACF1F14" w14:textId="77777777" w:rsidR="00F15BBB" w:rsidRPr="00F15BBB" w:rsidRDefault="00F15BBB" w:rsidP="00F15BBB">
      <w:pPr>
        <w:numPr>
          <w:ilvl w:val="0"/>
          <w:numId w:val="1"/>
        </w:numPr>
      </w:pPr>
      <w:r w:rsidRPr="00F15BBB">
        <w:rPr>
          <w:b/>
          <w:bCs/>
        </w:rPr>
        <w:t>Cause:</w:t>
      </w:r>
      <w:r w:rsidRPr="00F15BBB">
        <w:t> The CCC increased from a very efficient 1.6 days to 13.0 days. This was driven by a </w:t>
      </w:r>
      <w:r w:rsidRPr="00F15BBB">
        <w:rPr>
          <w:b/>
          <w:bCs/>
        </w:rPr>
        <w:t>massive 107% increase in Receivable Days</w:t>
      </w:r>
      <w:r w:rsidRPr="00F15BBB">
        <w:t> (from 14.0 to 29.0 days). As the business recovered from the 2020 shutdowns and revenue surged by 79%, trade receivables skyrocketed as group business resumed on credit terms. While payables also increased, they could not keep pace with the surge in revenue and receivables.</w:t>
      </w:r>
    </w:p>
    <w:p w14:paraId="66E801CE" w14:textId="77777777" w:rsidR="00F15BBB" w:rsidRPr="00F15BBB" w:rsidRDefault="00F15BBB" w:rsidP="00F15BBB">
      <w:pPr>
        <w:rPr>
          <w:b/>
          <w:bCs/>
        </w:rPr>
      </w:pPr>
      <w:r w:rsidRPr="00F15BBB">
        <w:rPr>
          <w:b/>
          <w:bCs/>
        </w:rPr>
        <w:t>2021 to 2022 (Relatively Stable)</w:t>
      </w:r>
    </w:p>
    <w:p w14:paraId="6D9A16DF" w14:textId="77777777" w:rsidR="00F15BBB" w:rsidRPr="00F15BBB" w:rsidRDefault="00F15BBB" w:rsidP="00F15BBB">
      <w:pPr>
        <w:numPr>
          <w:ilvl w:val="0"/>
          <w:numId w:val="2"/>
        </w:numPr>
      </w:pPr>
      <w:r w:rsidRPr="00F15BBB">
        <w:rPr>
          <w:b/>
          <w:bCs/>
        </w:rPr>
        <w:t>Cause:</w:t>
      </w:r>
      <w:r w:rsidRPr="00F15BBB">
        <w:t> The CCC remained relatively stable at 14.1 days. Receivable Days improved from 29.0 to 23.6 days as the company became more efficient in collecting cash. However, Payable Days decreased significantly from 21.1 to 13.6 days, meaning the company was paying its suppliers faster, offsetting the improvement in collection. This was likely a return to normal payment terms after the pandemic period.</w:t>
      </w:r>
    </w:p>
    <w:p w14:paraId="4B6C5D73" w14:textId="77777777" w:rsidR="00F15BBB" w:rsidRPr="00F15BBB" w:rsidRDefault="00F15BBB" w:rsidP="00F15BBB">
      <w:pPr>
        <w:rPr>
          <w:b/>
          <w:bCs/>
        </w:rPr>
      </w:pPr>
      <w:r w:rsidRPr="00F15BBB">
        <w:rPr>
          <w:b/>
          <w:bCs/>
        </w:rPr>
        <w:t>2022 to 2023 (Significant Improvement)</w:t>
      </w:r>
    </w:p>
    <w:p w14:paraId="1749E91C" w14:textId="77777777" w:rsidR="00F15BBB" w:rsidRPr="00F15BBB" w:rsidRDefault="00F15BBB" w:rsidP="00F15BBB">
      <w:pPr>
        <w:numPr>
          <w:ilvl w:val="0"/>
          <w:numId w:val="3"/>
        </w:numPr>
      </w:pPr>
      <w:r w:rsidRPr="00F15BBB">
        <w:rPr>
          <w:b/>
          <w:bCs/>
        </w:rPr>
        <w:t>Cause:</w:t>
      </w:r>
      <w:r w:rsidRPr="00F15BBB">
        <w:t> The CCC improved substantially from 14.1 to 6.0 days. This was achieved through a </w:t>
      </w:r>
      <w:r w:rsidRPr="00F15BBB">
        <w:rPr>
          <w:b/>
          <w:bCs/>
        </w:rPr>
        <w:t>17.7% improvement in Receivable Days</w:t>
      </w:r>
      <w:r w:rsidRPr="00F15BBB">
        <w:t> (from 23.6 to 18.6 days), reflecting the company's strong cash flow generation and efficient collections. Payable Days also improved to 17.0 days, meaning the company was able to hold onto its cash for slightly longer before paying suppliers.</w:t>
      </w:r>
    </w:p>
    <w:p w14:paraId="098092F8" w14:textId="77777777" w:rsidR="00F15BBB" w:rsidRPr="00F15BBB" w:rsidRDefault="00F15BBB" w:rsidP="00F15BBB">
      <w:pPr>
        <w:rPr>
          <w:b/>
          <w:bCs/>
        </w:rPr>
      </w:pPr>
      <w:r w:rsidRPr="00F15BBB">
        <w:rPr>
          <w:b/>
          <w:bCs/>
        </w:rPr>
        <w:t>2023 to 2024 (Continued Improvement)</w:t>
      </w:r>
    </w:p>
    <w:p w14:paraId="2492E5A0" w14:textId="77777777" w:rsidR="00F15BBB" w:rsidRPr="00F15BBB" w:rsidRDefault="00F15BBB" w:rsidP="00F15BBB">
      <w:pPr>
        <w:numPr>
          <w:ilvl w:val="0"/>
          <w:numId w:val="4"/>
        </w:numPr>
      </w:pPr>
      <w:r w:rsidRPr="00F15BBB">
        <w:rPr>
          <w:b/>
          <w:bCs/>
        </w:rPr>
        <w:t>Cause:</w:t>
      </w:r>
      <w:r w:rsidRPr="00F15BBB">
        <w:t> The CCC improved to its most efficient level in the 5-year period at 3.0 days. This was driven by a </w:t>
      </w:r>
      <w:r w:rsidRPr="00F15BBB">
        <w:rPr>
          <w:b/>
          <w:bCs/>
        </w:rPr>
        <w:t>further 20.9% improvement in Receivable Days</w:t>
      </w:r>
      <w:r w:rsidRPr="00F15BBB">
        <w:t> (from 18.6 to 14.7 days), indicating exceptional cash collection efficiency. A stable and low Inventory Days (4.4) also contributed to the positive result. The company's ability to collect cash from customers far quicker than it needs to pay suppliers is a sign of excellent working capital management.</w:t>
      </w:r>
    </w:p>
    <w:p w14:paraId="327FE113" w14:textId="77777777" w:rsidR="00F15BBB" w:rsidRPr="00F15BBB" w:rsidRDefault="00F15BBB" w:rsidP="00F15BBB">
      <w:r w:rsidRPr="00F15BBB">
        <w:t>DeepThink</w:t>
      </w:r>
    </w:p>
    <w:p w14:paraId="6EEA6759" w14:textId="77777777" w:rsidR="00F15BBB" w:rsidRPr="00F15BBB" w:rsidRDefault="00F15BBB" w:rsidP="00F15BBB">
      <w:r w:rsidRPr="00F15BBB">
        <w:t>Search</w:t>
      </w:r>
    </w:p>
    <w:p w14:paraId="318BAC2E" w14:textId="77777777" w:rsidR="00F15BBB" w:rsidRPr="00F15BBB" w:rsidRDefault="00F15BBB" w:rsidP="00F15BBB">
      <w:r w:rsidRPr="00F15BBB">
        <w:t>AI-generated, for reference only</w:t>
      </w:r>
    </w:p>
    <w:p w14:paraId="56593B73" w14:textId="77777777" w:rsidR="00F15BBB" w:rsidRPr="00F15BBB" w:rsidRDefault="00F15BBB" w:rsidP="00F15BBB">
      <w:r w:rsidRPr="00F15BBB">
        <w:t>Calculate at least 10 key financial ratios for each of the 5 years: profitability , liquidity, efficiency , and leverage.</w:t>
      </w:r>
    </w:p>
    <w:p w14:paraId="384A8358" w14:textId="77777777" w:rsidR="00F15BBB" w:rsidRPr="00F15BBB" w:rsidRDefault="00F15BBB" w:rsidP="00F15BBB">
      <w:r w:rsidRPr="00F15BBB">
        <w:t>for the uppe 5 year anual reports ,Calculate at least 5 key financial ratios for each of the 5 years: investment (ROE, ROA, P/E), and cash flow (operating cash flow ratio, free cash flow margin). Present in a clear table with trend commentary.</w:t>
      </w:r>
    </w:p>
    <w:p w14:paraId="1D9D9545" w14:textId="77777777" w:rsidR="00F15BBB" w:rsidRPr="00F15BBB" w:rsidRDefault="00F15BBB" w:rsidP="00F15BBB">
      <w:r w:rsidRPr="00F15BBB">
        <w:lastRenderedPageBreak/>
        <w:t>Identify 2–3 direct competitors or industry average ratios (from sources like GlobalData, Yahoo Finance, or annual reports). Compare your company’s latest year ratios against these benchmarks.</w:t>
      </w:r>
    </w:p>
    <w:p w14:paraId="41744ACA" w14:textId="77777777" w:rsidR="00F15BBB" w:rsidRPr="00F15BBB" w:rsidRDefault="00F15BBB" w:rsidP="00F15BBB">
      <w:r w:rsidRPr="00F15BBB">
        <w:t>read this 5 year anual report and Calculate the cash conversion cycle (CCC) for each of the 5 years: Inventory Days + Receivable Days – Payable Days. Show your workings. Explain any significant changes year</w:t>
      </w:r>
      <w:r w:rsidRPr="00F15BBB">
        <w:noBreakHyphen/>
        <w:t>on</w:t>
      </w:r>
      <w:r w:rsidRPr="00F15BBB">
        <w:noBreakHyphen/>
        <w:t>year.</w:t>
      </w:r>
    </w:p>
    <w:p w14:paraId="18BA1673" w14:textId="7697F643" w:rsidR="00F15BBB" w:rsidRPr="00F15BBB" w:rsidRDefault="00F15BBB" w:rsidP="00F15BBB"/>
    <w:sectPr w:rsidR="00F15BBB" w:rsidRPr="00F15B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117D9" w14:textId="77777777" w:rsidR="00D62159" w:rsidRDefault="00D62159" w:rsidP="00A525BA">
      <w:pPr>
        <w:spacing w:after="0" w:line="240" w:lineRule="auto"/>
      </w:pPr>
      <w:r>
        <w:separator/>
      </w:r>
    </w:p>
  </w:endnote>
  <w:endnote w:type="continuationSeparator" w:id="0">
    <w:p w14:paraId="1768BBA1" w14:textId="77777777" w:rsidR="00D62159" w:rsidRDefault="00D62159" w:rsidP="00A52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93459" w14:textId="77777777" w:rsidR="00D62159" w:rsidRDefault="00D62159" w:rsidP="00A525BA">
      <w:pPr>
        <w:spacing w:after="0" w:line="240" w:lineRule="auto"/>
      </w:pPr>
      <w:r>
        <w:separator/>
      </w:r>
    </w:p>
  </w:footnote>
  <w:footnote w:type="continuationSeparator" w:id="0">
    <w:p w14:paraId="625C862B" w14:textId="77777777" w:rsidR="00D62159" w:rsidRDefault="00D62159" w:rsidP="00A52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02376"/>
    <w:multiLevelType w:val="multilevel"/>
    <w:tmpl w:val="2A521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C3068A"/>
    <w:multiLevelType w:val="multilevel"/>
    <w:tmpl w:val="0890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D03779"/>
    <w:multiLevelType w:val="multilevel"/>
    <w:tmpl w:val="D9786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1D2871"/>
    <w:multiLevelType w:val="multilevel"/>
    <w:tmpl w:val="8030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6084675">
    <w:abstractNumId w:val="2"/>
  </w:num>
  <w:num w:numId="2" w16cid:durableId="811603496">
    <w:abstractNumId w:val="3"/>
  </w:num>
  <w:num w:numId="3" w16cid:durableId="175120029">
    <w:abstractNumId w:val="1"/>
  </w:num>
  <w:num w:numId="4" w16cid:durableId="964584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BBB"/>
    <w:rsid w:val="004E2AB0"/>
    <w:rsid w:val="007B1EC1"/>
    <w:rsid w:val="00A525BA"/>
    <w:rsid w:val="00D03C97"/>
    <w:rsid w:val="00D62159"/>
    <w:rsid w:val="00F15B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EF3BB"/>
  <w15:chartTrackingRefBased/>
  <w15:docId w15:val="{55FDECDD-C076-4446-92A2-93B86D72E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B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5B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5B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5B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5B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5B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5B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5B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5B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B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5B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5B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5B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5B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5B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5B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5B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5BBB"/>
    <w:rPr>
      <w:rFonts w:eastAsiaTheme="majorEastAsia" w:cstheme="majorBidi"/>
      <w:color w:val="272727" w:themeColor="text1" w:themeTint="D8"/>
    </w:rPr>
  </w:style>
  <w:style w:type="paragraph" w:styleId="Title">
    <w:name w:val="Title"/>
    <w:basedOn w:val="Normal"/>
    <w:next w:val="Normal"/>
    <w:link w:val="TitleChar"/>
    <w:uiPriority w:val="10"/>
    <w:qFormat/>
    <w:rsid w:val="00F15B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5B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5B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5B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5BBB"/>
    <w:pPr>
      <w:spacing w:before="160"/>
      <w:jc w:val="center"/>
    </w:pPr>
    <w:rPr>
      <w:i/>
      <w:iCs/>
      <w:color w:val="404040" w:themeColor="text1" w:themeTint="BF"/>
    </w:rPr>
  </w:style>
  <w:style w:type="character" w:customStyle="1" w:styleId="QuoteChar">
    <w:name w:val="Quote Char"/>
    <w:basedOn w:val="DefaultParagraphFont"/>
    <w:link w:val="Quote"/>
    <w:uiPriority w:val="29"/>
    <w:rsid w:val="00F15BBB"/>
    <w:rPr>
      <w:i/>
      <w:iCs/>
      <w:color w:val="404040" w:themeColor="text1" w:themeTint="BF"/>
    </w:rPr>
  </w:style>
  <w:style w:type="paragraph" w:styleId="ListParagraph">
    <w:name w:val="List Paragraph"/>
    <w:basedOn w:val="Normal"/>
    <w:uiPriority w:val="34"/>
    <w:qFormat/>
    <w:rsid w:val="00F15BBB"/>
    <w:pPr>
      <w:ind w:left="720"/>
      <w:contextualSpacing/>
    </w:pPr>
  </w:style>
  <w:style w:type="character" w:styleId="IntenseEmphasis">
    <w:name w:val="Intense Emphasis"/>
    <w:basedOn w:val="DefaultParagraphFont"/>
    <w:uiPriority w:val="21"/>
    <w:qFormat/>
    <w:rsid w:val="00F15BBB"/>
    <w:rPr>
      <w:i/>
      <w:iCs/>
      <w:color w:val="0F4761" w:themeColor="accent1" w:themeShade="BF"/>
    </w:rPr>
  </w:style>
  <w:style w:type="paragraph" w:styleId="IntenseQuote">
    <w:name w:val="Intense Quote"/>
    <w:basedOn w:val="Normal"/>
    <w:next w:val="Normal"/>
    <w:link w:val="IntenseQuoteChar"/>
    <w:uiPriority w:val="30"/>
    <w:qFormat/>
    <w:rsid w:val="00F15B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5BBB"/>
    <w:rPr>
      <w:i/>
      <w:iCs/>
      <w:color w:val="0F4761" w:themeColor="accent1" w:themeShade="BF"/>
    </w:rPr>
  </w:style>
  <w:style w:type="character" w:styleId="IntenseReference">
    <w:name w:val="Intense Reference"/>
    <w:basedOn w:val="DefaultParagraphFont"/>
    <w:uiPriority w:val="32"/>
    <w:qFormat/>
    <w:rsid w:val="00F15BBB"/>
    <w:rPr>
      <w:b/>
      <w:bCs/>
      <w:smallCaps/>
      <w:color w:val="0F4761" w:themeColor="accent1" w:themeShade="BF"/>
      <w:spacing w:val="5"/>
    </w:rPr>
  </w:style>
  <w:style w:type="paragraph" w:styleId="Header">
    <w:name w:val="header"/>
    <w:basedOn w:val="Normal"/>
    <w:link w:val="HeaderChar"/>
    <w:uiPriority w:val="99"/>
    <w:unhideWhenUsed/>
    <w:rsid w:val="00A525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5BA"/>
  </w:style>
  <w:style w:type="paragraph" w:styleId="Footer">
    <w:name w:val="footer"/>
    <w:basedOn w:val="Normal"/>
    <w:link w:val="FooterChar"/>
    <w:uiPriority w:val="99"/>
    <w:unhideWhenUsed/>
    <w:rsid w:val="00A525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387</Words>
  <Characters>2210</Characters>
  <Application>Microsoft Office Word</Application>
  <DocSecurity>0</DocSecurity>
  <Lines>18</Lines>
  <Paragraphs>5</Paragraphs>
  <ScaleCrop>false</ScaleCrop>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Alpitaben Jigneshkumar Sharma (2534431)</dc:creator>
  <cp:keywords/>
  <dc:description/>
  <cp:lastModifiedBy>Alpitaben Jigneshkumar Sharma (2534431)</cp:lastModifiedBy>
  <cp:revision>2</cp:revision>
  <dcterms:created xsi:type="dcterms:W3CDTF">2026-07-31T11:35:00Z</dcterms:created>
  <dcterms:modified xsi:type="dcterms:W3CDTF">2026-07-31T11:35:00Z</dcterms:modified>
</cp:coreProperties>
</file>