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6F65B" w14:textId="330ABD39" w:rsidR="00051FC0" w:rsidRDefault="00051FC0" w:rsidP="00383727">
      <w:pPr>
        <w:spacing w:after="0" w:line="480" w:lineRule="auto"/>
        <w:contextualSpacing/>
        <w:jc w:val="both"/>
      </w:pPr>
    </w:p>
    <w:p w14:paraId="3E09F857" w14:textId="1F890A22" w:rsidR="00F22E45" w:rsidRDefault="00F22E45" w:rsidP="00383727">
      <w:pPr>
        <w:spacing w:after="0" w:line="480" w:lineRule="auto"/>
        <w:contextualSpacing/>
        <w:jc w:val="both"/>
      </w:pPr>
    </w:p>
    <w:p w14:paraId="67567CBC" w14:textId="77777777" w:rsidR="00F22E45" w:rsidRPr="00A75C85" w:rsidRDefault="00F22E45" w:rsidP="00383727">
      <w:pPr>
        <w:spacing w:after="0" w:line="480" w:lineRule="auto"/>
        <w:contextualSpacing/>
        <w:jc w:val="both"/>
      </w:pPr>
    </w:p>
    <w:p w14:paraId="4B55C05F" w14:textId="77777777" w:rsidR="00ED37B8" w:rsidRPr="00A75C85" w:rsidRDefault="005B3844" w:rsidP="00383727">
      <w:pPr>
        <w:spacing w:after="0" w:line="480" w:lineRule="auto"/>
        <w:contextualSpacing/>
        <w:jc w:val="center"/>
      </w:pPr>
      <w:r w:rsidRPr="00A75C85">
        <w:t>Sustainable Development Principles and Sustainable Tourism Principles</w:t>
      </w:r>
    </w:p>
    <w:p w14:paraId="4F8B1490" w14:textId="77777777" w:rsidR="00F22E45" w:rsidRDefault="00F22E45" w:rsidP="00F22E45">
      <w:pPr>
        <w:spacing w:after="0" w:line="480" w:lineRule="auto"/>
        <w:contextualSpacing/>
        <w:jc w:val="center"/>
      </w:pPr>
      <w:proofErr w:type="spellStart"/>
      <w:r>
        <w:t>Criscita</w:t>
      </w:r>
      <w:proofErr w:type="spellEnd"/>
      <w:r>
        <w:t xml:space="preserve"> </w:t>
      </w:r>
      <w:proofErr w:type="spellStart"/>
      <w:r>
        <w:t>Nicia</w:t>
      </w:r>
      <w:proofErr w:type="spellEnd"/>
      <w:r>
        <w:t xml:space="preserve"> De Carvalho R</w:t>
      </w:r>
      <w:r>
        <w:t>osa Correia</w:t>
      </w:r>
    </w:p>
    <w:p w14:paraId="33C1E902" w14:textId="0D04B9B9" w:rsidR="00ED37B8" w:rsidRPr="00A75C85" w:rsidRDefault="00F22E45" w:rsidP="00F22E45">
      <w:pPr>
        <w:spacing w:after="0" w:line="480" w:lineRule="auto"/>
        <w:contextualSpacing/>
        <w:jc w:val="center"/>
      </w:pPr>
      <w:r>
        <w:t xml:space="preserve">University of Wales Trinity Saint David </w:t>
      </w:r>
      <w:r w:rsidR="005B3844" w:rsidRPr="00A75C85">
        <w:br w:type="page"/>
      </w:r>
    </w:p>
    <w:sdt>
      <w:sdtPr>
        <w:rPr>
          <w:rFonts w:ascii="Times New Roman" w:eastAsiaTheme="minorHAnsi" w:hAnsi="Times New Roman" w:cs="Times New Roman"/>
          <w:b/>
          <w:color w:val="auto"/>
          <w:sz w:val="24"/>
          <w:szCs w:val="24"/>
          <w:lang w:val="en-GB"/>
        </w:rPr>
        <w:id w:val="587198606"/>
        <w:docPartObj>
          <w:docPartGallery w:val="Table of Contents"/>
          <w:docPartUnique/>
        </w:docPartObj>
      </w:sdtPr>
      <w:sdtEndPr>
        <w:rPr>
          <w:bCs/>
          <w:noProof/>
        </w:rPr>
      </w:sdtEndPr>
      <w:sdtContent>
        <w:p w14:paraId="3114CC2B" w14:textId="77777777" w:rsidR="00ED37B8" w:rsidRPr="00A75C85" w:rsidRDefault="005B3844" w:rsidP="001B25B9">
          <w:pPr>
            <w:pStyle w:val="TOCHeading"/>
            <w:spacing w:before="0" w:line="360" w:lineRule="auto"/>
            <w:contextualSpacing/>
            <w:jc w:val="center"/>
            <w:rPr>
              <w:rFonts w:ascii="Times New Roman" w:hAnsi="Times New Roman" w:cs="Times New Roman"/>
              <w:b/>
              <w:color w:val="auto"/>
              <w:sz w:val="24"/>
              <w:szCs w:val="24"/>
            </w:rPr>
          </w:pPr>
          <w:r w:rsidRPr="00A75C85">
            <w:rPr>
              <w:rFonts w:ascii="Times New Roman" w:hAnsi="Times New Roman" w:cs="Times New Roman"/>
              <w:b/>
              <w:color w:val="auto"/>
              <w:sz w:val="24"/>
              <w:szCs w:val="24"/>
            </w:rPr>
            <w:t>Table of Contents</w:t>
          </w:r>
        </w:p>
        <w:p w14:paraId="05E94A51" w14:textId="77777777" w:rsidR="00A70760" w:rsidRPr="00A75C85" w:rsidRDefault="00A70760" w:rsidP="001B25B9">
          <w:pPr>
            <w:spacing w:after="0" w:line="360" w:lineRule="auto"/>
            <w:contextualSpacing/>
            <w:jc w:val="both"/>
            <w:rPr>
              <w:lang w:val="en-US"/>
            </w:rPr>
          </w:pPr>
        </w:p>
        <w:p w14:paraId="61D4BDD8" w14:textId="77777777" w:rsidR="00235C47" w:rsidRPr="00A75C85" w:rsidRDefault="005B3844" w:rsidP="001B25B9">
          <w:pPr>
            <w:pStyle w:val="TOC1"/>
            <w:jc w:val="both"/>
            <w:rPr>
              <w:rFonts w:eastAsiaTheme="minorEastAsia"/>
              <w:noProof/>
              <w:lang w:val="en-US"/>
            </w:rPr>
          </w:pPr>
          <w:r w:rsidRPr="00A75C85">
            <w:fldChar w:fldCharType="begin"/>
          </w:r>
          <w:r w:rsidRPr="00A75C85">
            <w:instrText xml:space="preserve"> TOC \o "1-3" \h \z \u </w:instrText>
          </w:r>
          <w:r w:rsidRPr="00A75C85">
            <w:fldChar w:fldCharType="separate"/>
          </w:r>
          <w:hyperlink w:anchor="_Toc103412299" w:history="1">
            <w:r w:rsidRPr="00A75C85">
              <w:rPr>
                <w:rStyle w:val="Hyperlink"/>
                <w:noProof/>
                <w:color w:val="auto"/>
              </w:rPr>
              <w:t>Introduction</w:t>
            </w:r>
            <w:r w:rsidRPr="00A75C85">
              <w:rPr>
                <w:noProof/>
                <w:webHidden/>
              </w:rPr>
              <w:tab/>
            </w:r>
            <w:r w:rsidRPr="00A75C85">
              <w:rPr>
                <w:noProof/>
                <w:webHidden/>
              </w:rPr>
              <w:fldChar w:fldCharType="begin"/>
            </w:r>
            <w:r w:rsidRPr="00A75C85">
              <w:rPr>
                <w:noProof/>
                <w:webHidden/>
              </w:rPr>
              <w:instrText xml:space="preserve"> PAGEREF _Toc103412299 \h </w:instrText>
            </w:r>
            <w:r w:rsidRPr="00A75C85">
              <w:rPr>
                <w:noProof/>
                <w:webHidden/>
              </w:rPr>
            </w:r>
            <w:r w:rsidRPr="00A75C85">
              <w:rPr>
                <w:noProof/>
                <w:webHidden/>
              </w:rPr>
              <w:fldChar w:fldCharType="separate"/>
            </w:r>
            <w:r w:rsidR="001B25B9" w:rsidRPr="00A75C85">
              <w:rPr>
                <w:noProof/>
                <w:webHidden/>
              </w:rPr>
              <w:t>3</w:t>
            </w:r>
            <w:r w:rsidRPr="00A75C85">
              <w:rPr>
                <w:noProof/>
                <w:webHidden/>
              </w:rPr>
              <w:fldChar w:fldCharType="end"/>
            </w:r>
          </w:hyperlink>
        </w:p>
        <w:p w14:paraId="3983FF0E" w14:textId="77777777" w:rsidR="00235C47" w:rsidRPr="00A75C85" w:rsidRDefault="00000000" w:rsidP="001B25B9">
          <w:pPr>
            <w:pStyle w:val="TOC1"/>
            <w:jc w:val="both"/>
            <w:rPr>
              <w:rFonts w:eastAsiaTheme="minorEastAsia"/>
              <w:noProof/>
              <w:lang w:val="en-US"/>
            </w:rPr>
          </w:pPr>
          <w:hyperlink w:anchor="_Toc103412300" w:history="1">
            <w:r w:rsidR="005B3844" w:rsidRPr="00A75C85">
              <w:rPr>
                <w:rStyle w:val="Hyperlink"/>
                <w:noProof/>
                <w:color w:val="auto"/>
              </w:rPr>
              <w:t>Critical evaluation of the case studies</w:t>
            </w:r>
            <w:r w:rsidR="005B3844" w:rsidRPr="00A75C85">
              <w:rPr>
                <w:noProof/>
                <w:webHidden/>
              </w:rPr>
              <w:tab/>
            </w:r>
            <w:r w:rsidR="005B3844" w:rsidRPr="00A75C85">
              <w:rPr>
                <w:noProof/>
                <w:webHidden/>
              </w:rPr>
              <w:fldChar w:fldCharType="begin"/>
            </w:r>
            <w:r w:rsidR="005B3844" w:rsidRPr="00A75C85">
              <w:rPr>
                <w:noProof/>
                <w:webHidden/>
              </w:rPr>
              <w:instrText xml:space="preserve"> PAGEREF _Toc103412300 \h </w:instrText>
            </w:r>
            <w:r w:rsidR="005B3844" w:rsidRPr="00A75C85">
              <w:rPr>
                <w:noProof/>
                <w:webHidden/>
              </w:rPr>
            </w:r>
            <w:r w:rsidR="005B3844" w:rsidRPr="00A75C85">
              <w:rPr>
                <w:noProof/>
                <w:webHidden/>
              </w:rPr>
              <w:fldChar w:fldCharType="separate"/>
            </w:r>
            <w:r w:rsidR="001B25B9" w:rsidRPr="00A75C85">
              <w:rPr>
                <w:noProof/>
                <w:webHidden/>
              </w:rPr>
              <w:t>3</w:t>
            </w:r>
            <w:r w:rsidR="005B3844" w:rsidRPr="00A75C85">
              <w:rPr>
                <w:noProof/>
                <w:webHidden/>
              </w:rPr>
              <w:fldChar w:fldCharType="end"/>
            </w:r>
          </w:hyperlink>
        </w:p>
        <w:p w14:paraId="17DC9208" w14:textId="77777777" w:rsidR="00235C47" w:rsidRPr="00A75C85" w:rsidRDefault="00000000" w:rsidP="001B25B9">
          <w:pPr>
            <w:pStyle w:val="TOC1"/>
            <w:jc w:val="both"/>
            <w:rPr>
              <w:rFonts w:eastAsiaTheme="minorEastAsia"/>
              <w:noProof/>
              <w:lang w:val="en-US"/>
            </w:rPr>
          </w:pPr>
          <w:hyperlink w:anchor="_Toc103412301" w:history="1">
            <w:r w:rsidR="005B3844" w:rsidRPr="00A75C85">
              <w:rPr>
                <w:rStyle w:val="Hyperlink"/>
                <w:noProof/>
                <w:color w:val="auto"/>
              </w:rPr>
              <w:t>Conclusion</w:t>
            </w:r>
            <w:r w:rsidR="005B3844" w:rsidRPr="00A75C85">
              <w:rPr>
                <w:noProof/>
                <w:webHidden/>
              </w:rPr>
              <w:tab/>
            </w:r>
            <w:r w:rsidR="005B3844" w:rsidRPr="00A75C85">
              <w:rPr>
                <w:noProof/>
                <w:webHidden/>
              </w:rPr>
              <w:fldChar w:fldCharType="begin"/>
            </w:r>
            <w:r w:rsidR="005B3844" w:rsidRPr="00A75C85">
              <w:rPr>
                <w:noProof/>
                <w:webHidden/>
              </w:rPr>
              <w:instrText xml:space="preserve"> PAGEREF _Toc103412301 \h </w:instrText>
            </w:r>
            <w:r w:rsidR="005B3844" w:rsidRPr="00A75C85">
              <w:rPr>
                <w:noProof/>
                <w:webHidden/>
              </w:rPr>
            </w:r>
            <w:r w:rsidR="005B3844" w:rsidRPr="00A75C85">
              <w:rPr>
                <w:noProof/>
                <w:webHidden/>
              </w:rPr>
              <w:fldChar w:fldCharType="separate"/>
            </w:r>
            <w:r w:rsidR="001B25B9" w:rsidRPr="00A75C85">
              <w:rPr>
                <w:noProof/>
                <w:webHidden/>
              </w:rPr>
              <w:t>9</w:t>
            </w:r>
            <w:r w:rsidR="005B3844" w:rsidRPr="00A75C85">
              <w:rPr>
                <w:noProof/>
                <w:webHidden/>
              </w:rPr>
              <w:fldChar w:fldCharType="end"/>
            </w:r>
          </w:hyperlink>
        </w:p>
        <w:p w14:paraId="03DAFD80" w14:textId="77777777" w:rsidR="00235C47" w:rsidRPr="00A75C85" w:rsidRDefault="00000000" w:rsidP="001B25B9">
          <w:pPr>
            <w:pStyle w:val="TOC1"/>
            <w:jc w:val="both"/>
            <w:rPr>
              <w:rFonts w:eastAsiaTheme="minorEastAsia"/>
              <w:noProof/>
              <w:lang w:val="en-US"/>
            </w:rPr>
          </w:pPr>
          <w:hyperlink w:anchor="_Toc103412302" w:history="1">
            <w:r w:rsidR="005B3844" w:rsidRPr="00A75C85">
              <w:rPr>
                <w:rStyle w:val="Hyperlink"/>
                <w:noProof/>
                <w:color w:val="auto"/>
              </w:rPr>
              <w:t>References</w:t>
            </w:r>
            <w:r w:rsidR="005B3844" w:rsidRPr="00A75C85">
              <w:rPr>
                <w:noProof/>
                <w:webHidden/>
              </w:rPr>
              <w:tab/>
            </w:r>
            <w:r w:rsidR="005B3844" w:rsidRPr="00A75C85">
              <w:rPr>
                <w:noProof/>
                <w:webHidden/>
              </w:rPr>
              <w:fldChar w:fldCharType="begin"/>
            </w:r>
            <w:r w:rsidR="005B3844" w:rsidRPr="00A75C85">
              <w:rPr>
                <w:noProof/>
                <w:webHidden/>
              </w:rPr>
              <w:instrText xml:space="preserve"> PAGEREF _Toc103412302 \h </w:instrText>
            </w:r>
            <w:r w:rsidR="005B3844" w:rsidRPr="00A75C85">
              <w:rPr>
                <w:noProof/>
                <w:webHidden/>
              </w:rPr>
            </w:r>
            <w:r w:rsidR="005B3844" w:rsidRPr="00A75C85">
              <w:rPr>
                <w:noProof/>
                <w:webHidden/>
              </w:rPr>
              <w:fldChar w:fldCharType="separate"/>
            </w:r>
            <w:r w:rsidR="001B25B9" w:rsidRPr="00A75C85">
              <w:rPr>
                <w:noProof/>
                <w:webHidden/>
              </w:rPr>
              <w:t>10</w:t>
            </w:r>
            <w:r w:rsidR="005B3844" w:rsidRPr="00A75C85">
              <w:rPr>
                <w:noProof/>
                <w:webHidden/>
              </w:rPr>
              <w:fldChar w:fldCharType="end"/>
            </w:r>
          </w:hyperlink>
        </w:p>
        <w:p w14:paraId="033BBAA5" w14:textId="77777777" w:rsidR="00ED37B8" w:rsidRPr="00A75C85" w:rsidRDefault="005B3844" w:rsidP="001B25B9">
          <w:pPr>
            <w:spacing w:after="0" w:line="360" w:lineRule="auto"/>
            <w:contextualSpacing/>
            <w:jc w:val="both"/>
          </w:pPr>
          <w:r w:rsidRPr="00A75C85">
            <w:rPr>
              <w:b/>
              <w:bCs/>
              <w:noProof/>
            </w:rPr>
            <w:fldChar w:fldCharType="end"/>
          </w:r>
        </w:p>
      </w:sdtContent>
    </w:sdt>
    <w:p w14:paraId="257406B0" w14:textId="77777777" w:rsidR="00ED37B8" w:rsidRPr="00A75C85" w:rsidRDefault="00ED37B8" w:rsidP="00383727">
      <w:pPr>
        <w:spacing w:after="0" w:line="480" w:lineRule="auto"/>
        <w:contextualSpacing/>
        <w:jc w:val="both"/>
      </w:pPr>
    </w:p>
    <w:p w14:paraId="6F315100" w14:textId="77777777" w:rsidR="00ED37B8" w:rsidRPr="00A75C85" w:rsidRDefault="005B3844" w:rsidP="00383727">
      <w:pPr>
        <w:spacing w:after="0" w:line="480" w:lineRule="auto"/>
        <w:contextualSpacing/>
        <w:jc w:val="both"/>
        <w:rPr>
          <w:b/>
          <w:i/>
        </w:rPr>
      </w:pPr>
      <w:r w:rsidRPr="00A75C85">
        <w:br w:type="page"/>
      </w:r>
    </w:p>
    <w:p w14:paraId="51FD4D48" w14:textId="77777777" w:rsidR="0010236B" w:rsidRPr="00A75C85" w:rsidRDefault="005B3844" w:rsidP="00383727">
      <w:pPr>
        <w:pStyle w:val="Heading1"/>
        <w:spacing w:after="0" w:line="480" w:lineRule="auto"/>
        <w:contextualSpacing/>
        <w:jc w:val="both"/>
      </w:pPr>
      <w:bookmarkStart w:id="0" w:name="_Toc103412299"/>
      <w:r w:rsidRPr="00A75C85">
        <w:lastRenderedPageBreak/>
        <w:t>Introduction</w:t>
      </w:r>
      <w:bookmarkEnd w:id="0"/>
    </w:p>
    <w:p w14:paraId="7D8AACBA" w14:textId="77777777" w:rsidR="00897BC4" w:rsidRPr="00A75C85" w:rsidRDefault="005B3844" w:rsidP="00383727">
      <w:pPr>
        <w:spacing w:after="0" w:line="480" w:lineRule="auto"/>
        <w:ind w:firstLine="720"/>
        <w:contextualSpacing/>
        <w:jc w:val="both"/>
        <w:rPr>
          <w:shd w:val="clear" w:color="auto" w:fill="FFFFFF"/>
        </w:rPr>
      </w:pPr>
      <w:r w:rsidRPr="00A75C85">
        <w:rPr>
          <w:shd w:val="clear" w:color="auto" w:fill="FFFFFF"/>
        </w:rPr>
        <w:t xml:space="preserve">Sustainable tourism refers to travel and tourist methods that are environmentally friendly. It attempts to address all of tourism's good and bad effects. Its goal is to mitigate negative effects while promoting beneficial ones (Amerta et al., 2018). </w:t>
      </w:r>
      <w:r w:rsidR="007478E8" w:rsidRPr="00A75C85">
        <w:rPr>
          <w:shd w:val="clear" w:color="auto" w:fill="FFFFFF"/>
        </w:rPr>
        <w:t>Streimikiene et al. (2021) stated that s</w:t>
      </w:r>
      <w:r w:rsidRPr="00A75C85">
        <w:rPr>
          <w:shd w:val="clear" w:color="auto" w:fill="FFFFFF"/>
        </w:rPr>
        <w:t>ustainable tourism is developed at a desirable rate, considers current demands, and is connected to people and the environment. The ideal use of environmental benefits as a key element of tourism development, the consideration of basic natural cycles and practical long-term financial objectives, the organisation of the financial management of all spatial transport actors, including job and wage stability, and the organisation of important social and management, and the reduction of suffering are among the basic values of sustainable tourism</w:t>
      </w:r>
      <w:r w:rsidR="007478E8" w:rsidRPr="00A75C85">
        <w:rPr>
          <w:shd w:val="clear" w:color="auto" w:fill="FFFFFF"/>
        </w:rPr>
        <w:t xml:space="preserve"> (Amerta et al., 2018)</w:t>
      </w:r>
      <w:r w:rsidR="00235C47" w:rsidRPr="00A75C85">
        <w:rPr>
          <w:shd w:val="clear" w:color="auto" w:fill="FFFFFF"/>
        </w:rPr>
        <w:t xml:space="preserve">. </w:t>
      </w:r>
      <w:r w:rsidRPr="00A75C85">
        <w:rPr>
          <w:shd w:val="clear" w:color="auto" w:fill="FFFFFF"/>
        </w:rPr>
        <w:t xml:space="preserve">Tourism growth and renewed interest in nomadic sites must not be limited. </w:t>
      </w:r>
    </w:p>
    <w:p w14:paraId="4C115926" w14:textId="77777777" w:rsidR="00235C47" w:rsidRPr="00A75C85" w:rsidRDefault="00B36056" w:rsidP="00383727">
      <w:pPr>
        <w:spacing w:after="0" w:line="480" w:lineRule="auto"/>
        <w:ind w:firstLine="720"/>
        <w:contextualSpacing/>
        <w:jc w:val="both"/>
        <w:rPr>
          <w:shd w:val="clear" w:color="auto" w:fill="FFFFFF"/>
        </w:rPr>
      </w:pPr>
      <w:r>
        <w:rPr>
          <w:shd w:val="clear" w:color="auto" w:fill="FFFFFF"/>
        </w:rPr>
        <w:t>Daly</w:t>
      </w:r>
      <w:r w:rsidRPr="00A75C85">
        <w:rPr>
          <w:shd w:val="clear" w:color="auto" w:fill="FFFFFF"/>
        </w:rPr>
        <w:t xml:space="preserve"> </w:t>
      </w:r>
      <w:r>
        <w:rPr>
          <w:shd w:val="clear" w:color="auto" w:fill="FFFFFF"/>
        </w:rPr>
        <w:t>(</w:t>
      </w:r>
      <w:r w:rsidRPr="00A75C85">
        <w:rPr>
          <w:shd w:val="clear" w:color="auto" w:fill="FFFFFF"/>
        </w:rPr>
        <w:t>2017)</w:t>
      </w:r>
      <w:r>
        <w:rPr>
          <w:shd w:val="clear" w:color="auto" w:fill="FFFFFF"/>
        </w:rPr>
        <w:t xml:space="preserve"> suggested that s</w:t>
      </w:r>
      <w:r w:rsidR="005B3844" w:rsidRPr="00A75C85">
        <w:rPr>
          <w:shd w:val="clear" w:color="auto" w:fill="FFFFFF"/>
        </w:rPr>
        <w:t xml:space="preserve">ustainable development solves immediate issues without jeopardising people's ability to address future challenges. As the United Kingdom was chosen as the exhibition's tourist destination, two contextual evaluations of UK national parks, such as the “Yorkshire Dales and the New Forest”, are </w:t>
      </w:r>
      <w:r>
        <w:rPr>
          <w:shd w:val="clear" w:color="auto" w:fill="FFFFFF"/>
        </w:rPr>
        <w:t>considered</w:t>
      </w:r>
      <w:r w:rsidR="005B3844" w:rsidRPr="00A75C85">
        <w:rPr>
          <w:shd w:val="clear" w:color="auto" w:fill="FFFFFF"/>
        </w:rPr>
        <w:t>. The contextual studies are used to determine how sustainable tourism concepts are intrinsically tied to the sustainable development model.</w:t>
      </w:r>
    </w:p>
    <w:p w14:paraId="5095F121" w14:textId="77777777" w:rsidR="00897BC4" w:rsidRPr="00A75C85" w:rsidRDefault="00897BC4" w:rsidP="00383727">
      <w:pPr>
        <w:spacing w:after="0" w:line="480" w:lineRule="auto"/>
        <w:ind w:firstLine="720"/>
        <w:contextualSpacing/>
        <w:jc w:val="both"/>
      </w:pPr>
    </w:p>
    <w:p w14:paraId="23504F2A" w14:textId="77777777" w:rsidR="00E60875" w:rsidRPr="00A75C85" w:rsidRDefault="005B3844" w:rsidP="00383727">
      <w:pPr>
        <w:pStyle w:val="Heading1"/>
        <w:spacing w:after="0" w:line="480" w:lineRule="auto"/>
        <w:contextualSpacing/>
        <w:jc w:val="both"/>
      </w:pPr>
      <w:bookmarkStart w:id="1" w:name="_Toc103412300"/>
      <w:r w:rsidRPr="00A75C85">
        <w:t xml:space="preserve">Critical evaluation of the case </w:t>
      </w:r>
      <w:r w:rsidR="009B189B" w:rsidRPr="00A75C85">
        <w:t>studies</w:t>
      </w:r>
      <w:bookmarkEnd w:id="1"/>
      <w:r w:rsidR="009B189B" w:rsidRPr="00A75C85">
        <w:t xml:space="preserve"> </w:t>
      </w:r>
    </w:p>
    <w:p w14:paraId="5AF9BF5F" w14:textId="77777777" w:rsidR="00DB1320" w:rsidRPr="00A75C85" w:rsidRDefault="005B3844" w:rsidP="00383727">
      <w:pPr>
        <w:spacing w:after="0" w:line="480" w:lineRule="auto"/>
        <w:ind w:firstLine="720"/>
        <w:contextualSpacing/>
        <w:jc w:val="both"/>
      </w:pPr>
      <w:r w:rsidRPr="00A75C85">
        <w:t xml:space="preserve">The general goals of the </w:t>
      </w:r>
      <w:r w:rsidR="00383727" w:rsidRPr="00A75C85">
        <w:t>“</w:t>
      </w:r>
      <w:r w:rsidRPr="00A75C85">
        <w:t>National Parks</w:t>
      </w:r>
      <w:r w:rsidR="00383727" w:rsidRPr="00A75C85">
        <w:t>”</w:t>
      </w:r>
      <w:r w:rsidRPr="00A75C85">
        <w:t xml:space="preserve"> tourist plan are supported by </w:t>
      </w:r>
      <w:r w:rsidR="00897BC4" w:rsidRPr="00A75C85">
        <w:t xml:space="preserve">national and </w:t>
      </w:r>
      <w:r w:rsidRPr="00A75C85">
        <w:t>regional tourism initiatives in the United Kingdom. The Department of Culture, Media, and Sport released a National Tourism Strategy in 2011 that outlined the general approach to national activities and the major development areas</w:t>
      </w:r>
      <w:r w:rsidR="001A4356" w:rsidRPr="00A75C85">
        <w:t xml:space="preserve"> (Wearing et al., 2016)</w:t>
      </w:r>
      <w:r w:rsidRPr="00A75C85">
        <w:t xml:space="preserve">. This strategy has been changed </w:t>
      </w:r>
      <w:r w:rsidRPr="00A75C85">
        <w:lastRenderedPageBreak/>
        <w:t xml:space="preserve">to identify the direction of tourist development in the United Kingdom. This is especially beneficial because </w:t>
      </w:r>
      <w:r w:rsidR="00897BC4" w:rsidRPr="00A75C85">
        <w:t>several</w:t>
      </w:r>
      <w:r w:rsidRPr="00A75C85">
        <w:t xml:space="preserve"> broad viewpoints are </w:t>
      </w:r>
      <w:r w:rsidR="00897BC4" w:rsidRPr="00A75C85">
        <w:t>revealed</w:t>
      </w:r>
      <w:r w:rsidRPr="00A75C85">
        <w:t xml:space="preserve"> in regional tourist policies developed by neighbouring government agencies</w:t>
      </w:r>
      <w:r w:rsidR="001A4356" w:rsidRPr="00A75C85">
        <w:t xml:space="preserve"> (Wearing et al., 2016)</w:t>
      </w:r>
      <w:r w:rsidRPr="00A75C85">
        <w:t xml:space="preserve">. Regional plans are </w:t>
      </w:r>
      <w:r w:rsidR="00897BC4" w:rsidRPr="00A75C85">
        <w:t>made</w:t>
      </w:r>
      <w:r w:rsidRPr="00A75C85">
        <w:t xml:space="preserve"> in partnership with important stakeholders in each region and are structured similarly to national park administrations. However, </w:t>
      </w:r>
      <w:proofErr w:type="spellStart"/>
      <w:r w:rsidR="00B36056">
        <w:t>Streimikiene</w:t>
      </w:r>
      <w:proofErr w:type="spellEnd"/>
      <w:r w:rsidR="00B36056">
        <w:t xml:space="preserve"> et al.</w:t>
      </w:r>
      <w:r w:rsidR="00B36056" w:rsidRPr="00A75C85">
        <w:t xml:space="preserve"> </w:t>
      </w:r>
      <w:r w:rsidR="00B36056">
        <w:t>(</w:t>
      </w:r>
      <w:r w:rsidR="00B36056" w:rsidRPr="00A75C85">
        <w:t>2021)</w:t>
      </w:r>
      <w:r w:rsidR="00B36056">
        <w:t xml:space="preserve"> stated that </w:t>
      </w:r>
      <w:r w:rsidRPr="00A75C85">
        <w:t>they distinguish between the demands of stakeholders outside of the park limits and are a helpful tool for putting the national park situated in context. They also emphasise the human significance of the authors of major concepts for sustainable development and tourism and their approaches to dealing with delicate topics</w:t>
      </w:r>
      <w:r w:rsidR="001A4356" w:rsidRPr="00A75C85">
        <w:t xml:space="preserve"> (Wearing et al., 2016)</w:t>
      </w:r>
      <w:r w:rsidRPr="00A75C85">
        <w:t>.</w:t>
      </w:r>
    </w:p>
    <w:p w14:paraId="3A2F736F" w14:textId="77777777" w:rsidR="00602355" w:rsidRPr="00A75C85" w:rsidRDefault="005B3844" w:rsidP="00383727">
      <w:pPr>
        <w:spacing w:after="0" w:line="480" w:lineRule="auto"/>
        <w:ind w:firstLine="720"/>
        <w:contextualSpacing/>
        <w:jc w:val="both"/>
      </w:pPr>
      <w:r w:rsidRPr="00A75C85">
        <w:t>The Yorkshire Dales National Park is used to study how broad ideas of sustainable tourism might be applied following the principles of sustainable development through a contextual analysis and logical investigation</w:t>
      </w:r>
      <w:r w:rsidR="001A4356" w:rsidRPr="00A75C85">
        <w:t xml:space="preserve"> (</w:t>
      </w:r>
      <w:proofErr w:type="spellStart"/>
      <w:r w:rsidR="001A4356" w:rsidRPr="00A75C85">
        <w:t>Streimikiene</w:t>
      </w:r>
      <w:proofErr w:type="spellEnd"/>
      <w:r w:rsidR="001A4356" w:rsidRPr="00A75C85">
        <w:t xml:space="preserve"> et al., 2021)</w:t>
      </w:r>
      <w:r w:rsidRPr="00A75C85">
        <w:t xml:space="preserve">. The Yorkshire Dales National Park includes two provinces in northern England and comprises 1,762 square kilometres. It is a category </w:t>
      </w:r>
      <w:r w:rsidR="00B36056">
        <w:t xml:space="preserve">of </w:t>
      </w:r>
      <w:r w:rsidRPr="00A75C85">
        <w:t>five protected area established in 1954 with the primary goals of landscape security and enjoyment</w:t>
      </w:r>
      <w:r w:rsidR="001A4356" w:rsidRPr="00A75C85">
        <w:t xml:space="preserve"> (Murphy, 2014)</w:t>
      </w:r>
      <w:r w:rsidRPr="00A75C85">
        <w:t xml:space="preserve">. The more popular places of Sedbergh, </w:t>
      </w:r>
      <w:r w:rsidR="00897BC4" w:rsidRPr="00A75C85">
        <w:t>Grassington, Settle, and Hawes</w:t>
      </w:r>
      <w:r w:rsidRPr="00A75C85">
        <w:t xml:space="preserve"> and the more enclosed and intermediate moorland regions draw the majority of visitors. The Yorkshire Dales are anticipated to draw approximately 1</w:t>
      </w:r>
      <w:r w:rsidR="00897BC4" w:rsidRPr="00A75C85">
        <w:t>1</w:t>
      </w:r>
      <w:r w:rsidRPr="00A75C85">
        <w:t>.</w:t>
      </w:r>
      <w:r w:rsidR="00897BC4" w:rsidRPr="00A75C85">
        <w:t xml:space="preserve">5 </w:t>
      </w:r>
      <w:r w:rsidRPr="00A75C85">
        <w:t>million multi-day tourists and 1.</w:t>
      </w:r>
      <w:r w:rsidR="00897BC4" w:rsidRPr="00A75C85">
        <w:t>40</w:t>
      </w:r>
      <w:r w:rsidRPr="00A75C85">
        <w:t xml:space="preserve"> million return visitors </w:t>
      </w:r>
      <w:r w:rsidR="00897BC4" w:rsidRPr="00A75C85">
        <w:t>yearly</w:t>
      </w:r>
      <w:r w:rsidRPr="00A75C85">
        <w:t>, resulting in a</w:t>
      </w:r>
      <w:r w:rsidR="00897BC4" w:rsidRPr="00A75C85">
        <w:t xml:space="preserve">round </w:t>
      </w:r>
      <w:r w:rsidRPr="00A75C85">
        <w:t>£400 million</w:t>
      </w:r>
      <w:r w:rsidR="00B36056">
        <w:t xml:space="preserve"> </w:t>
      </w:r>
      <w:r w:rsidR="00B36056" w:rsidRPr="00A75C85">
        <w:t>(Murphy, 2014)</w:t>
      </w:r>
      <w:r w:rsidRPr="00A75C85">
        <w:t>. The natural ecosystem of the Yorkshire Dales is its greatest draw</w:t>
      </w:r>
      <w:r w:rsidR="00B36056">
        <w:t xml:space="preserve"> and t</w:t>
      </w:r>
      <w:r w:rsidRPr="00A75C85">
        <w:t>he region's vastness, harmony, tranquilly, and open areas attract many people</w:t>
      </w:r>
      <w:r w:rsidR="00B36056">
        <w:t xml:space="preserve"> </w:t>
      </w:r>
      <w:r w:rsidR="00B36056" w:rsidRPr="00A75C85">
        <w:t>(Mellon and Bramwell, 2016)</w:t>
      </w:r>
      <w:r w:rsidRPr="00A75C85">
        <w:t>.</w:t>
      </w:r>
    </w:p>
    <w:p w14:paraId="496C2D95" w14:textId="77777777" w:rsidR="00DB1320" w:rsidRPr="00A75C85" w:rsidRDefault="005B3844" w:rsidP="00383727">
      <w:pPr>
        <w:spacing w:after="0" w:line="480" w:lineRule="auto"/>
        <w:ind w:firstLine="720"/>
        <w:contextualSpacing/>
        <w:jc w:val="both"/>
      </w:pPr>
      <w:r w:rsidRPr="00A75C85">
        <w:t xml:space="preserve">Landowners are liable for their own property because the state does not claim the park's land. As a result, many people are active in the </w:t>
      </w:r>
      <w:r w:rsidR="00897BC4" w:rsidRPr="00A75C85">
        <w:t>national park's administration</w:t>
      </w:r>
      <w:r w:rsidR="001A4356" w:rsidRPr="00A75C85">
        <w:t xml:space="preserve"> (Murphy, 2014)</w:t>
      </w:r>
      <w:r w:rsidRPr="00A75C85">
        <w:t xml:space="preserve">. With several significant attractions, accessible products, infrastructure, accessibility, and public </w:t>
      </w:r>
      <w:r w:rsidRPr="00A75C85">
        <w:lastRenderedPageBreak/>
        <w:t xml:space="preserve">relations, the </w:t>
      </w:r>
      <w:r w:rsidR="00897BC4" w:rsidRPr="00A75C85">
        <w:t>“</w:t>
      </w:r>
      <w:r w:rsidRPr="00A75C85">
        <w:t>National Park</w:t>
      </w:r>
      <w:r w:rsidR="00897BC4" w:rsidRPr="00A75C85">
        <w:t>”</w:t>
      </w:r>
      <w:r w:rsidRPr="00A75C85">
        <w:t xml:space="preserve"> aggressively</w:t>
      </w:r>
      <w:r w:rsidR="00897BC4" w:rsidRPr="00A75C85">
        <w:t xml:space="preserve"> promotes sustainable tourism</w:t>
      </w:r>
      <w:r w:rsidR="001A4356" w:rsidRPr="00A75C85">
        <w:t xml:space="preserve"> (Mellon and Bramwell, 2016)</w:t>
      </w:r>
      <w:r w:rsidR="00897BC4" w:rsidRPr="00A75C85">
        <w:t>.</w:t>
      </w:r>
      <w:r w:rsidRPr="00A75C85">
        <w:t xml:space="preserve"> The </w:t>
      </w:r>
      <w:r w:rsidR="00897BC4" w:rsidRPr="00A75C85">
        <w:t>“</w:t>
      </w:r>
      <w:r w:rsidRPr="00A75C85">
        <w:t>Yorkshire Dales National Park Authority (YDNPA)</w:t>
      </w:r>
      <w:r w:rsidR="00897BC4" w:rsidRPr="00A75C85">
        <w:t>”</w:t>
      </w:r>
      <w:r w:rsidRPr="00A75C85">
        <w:t xml:space="preserve"> is a key player in tourist planning and management, ensuring that sustainable development principles implement sustainable tourism concepts</w:t>
      </w:r>
      <w:r w:rsidR="001A4356" w:rsidRPr="00A75C85">
        <w:t xml:space="preserve"> (Mellon and Bramwell, 2016)</w:t>
      </w:r>
      <w:r w:rsidRPr="00A75C85">
        <w:t>. The UK government has ensured that sustainable tourism practices are implemented in the national parks. The authorities have created district-specific heritage monitoring estimates based on sustainable development and tourist practices for that purpose. A long agricultural history has influenced the scenery and network of the Yorkshire Dales</w:t>
      </w:r>
      <w:r w:rsidR="001A4356" w:rsidRPr="00A75C85">
        <w:t xml:space="preserve"> (Font et al., 2017)</w:t>
      </w:r>
      <w:r w:rsidRPr="00A75C85">
        <w:t xml:space="preserve">. </w:t>
      </w:r>
    </w:p>
    <w:p w14:paraId="561D992D" w14:textId="77777777" w:rsidR="00602355" w:rsidRPr="00A75C85" w:rsidRDefault="005B3844" w:rsidP="00383727">
      <w:pPr>
        <w:spacing w:after="0" w:line="480" w:lineRule="auto"/>
        <w:ind w:firstLine="720"/>
        <w:contextualSpacing/>
        <w:jc w:val="both"/>
      </w:pPr>
      <w:r w:rsidRPr="00A75C85">
        <w:t>The hostile environment and poor soil quality have created unfavourable circumstances for the development of agricultural production, so farming has been favoured over all other activities in the area</w:t>
      </w:r>
      <w:r w:rsidR="001A4356" w:rsidRPr="00A75C85">
        <w:t xml:space="preserve"> (Mellon and Bramwell, 2016)</w:t>
      </w:r>
      <w:r w:rsidRPr="00A75C85">
        <w:t>. However, the British government has obtained specific estimates that could increase the maturity of the site and thus attract visitors from all over the world</w:t>
      </w:r>
      <w:r w:rsidR="001A4356" w:rsidRPr="00A75C85">
        <w:t xml:space="preserve"> (Murphy, 2014)</w:t>
      </w:r>
      <w:r w:rsidRPr="00A75C85">
        <w:t xml:space="preserve">. </w:t>
      </w:r>
      <w:r w:rsidR="00897BC4" w:rsidRPr="00A75C85">
        <w:t>Years of peaceful farming have produced man-made features such as dry stone walls, stone barns, old pathways, sheep breeds, and specific cheeses, all of which are valued cultural assets worldwide</w:t>
      </w:r>
      <w:r w:rsidR="001A4356" w:rsidRPr="00A75C85">
        <w:t xml:space="preserve"> (Murphy, 2014)</w:t>
      </w:r>
      <w:r w:rsidR="00897BC4" w:rsidRPr="00A75C85">
        <w:t>.</w:t>
      </w:r>
      <w:r w:rsidRPr="00A75C85">
        <w:t xml:space="preserve"> The rapid and lasting impact of the 2001 mouth</w:t>
      </w:r>
      <w:r w:rsidR="00897BC4" w:rsidRPr="00A75C85">
        <w:t xml:space="preserve"> and foot</w:t>
      </w:r>
      <w:r w:rsidRPr="00A75C85">
        <w:t xml:space="preserve"> disease crisis has drawn attention to the shared habitat and its importance to the economy of the Yorkshire Dales. A report estimated that between March and June 2001 alone, £19 million in tourism revenue was lost</w:t>
      </w:r>
      <w:r w:rsidR="001A4356" w:rsidRPr="00A75C85">
        <w:t xml:space="preserve"> (Font et al., 2017)</w:t>
      </w:r>
      <w:r w:rsidRPr="00A75C85">
        <w:t>.</w:t>
      </w:r>
    </w:p>
    <w:p w14:paraId="488A2A57" w14:textId="77777777" w:rsidR="00602355" w:rsidRPr="00A75C85" w:rsidRDefault="005B3844" w:rsidP="00383727">
      <w:pPr>
        <w:spacing w:after="0" w:line="480" w:lineRule="auto"/>
        <w:ind w:firstLine="720"/>
        <w:contextualSpacing/>
        <w:jc w:val="both"/>
      </w:pPr>
      <w:r w:rsidRPr="00A75C85">
        <w:t>Many farms were hard hit and had to cull their livestock, while other provinces' businesses faced declining revenues and redundancies</w:t>
      </w:r>
      <w:r w:rsidR="001A4356" w:rsidRPr="00A75C85">
        <w:t xml:space="preserve"> (</w:t>
      </w:r>
      <w:proofErr w:type="spellStart"/>
      <w:r w:rsidR="001A4356" w:rsidRPr="00A75C85">
        <w:t>Emas</w:t>
      </w:r>
      <w:proofErr w:type="spellEnd"/>
      <w:r w:rsidR="001A4356" w:rsidRPr="00A75C85">
        <w:t>, 2015)</w:t>
      </w:r>
      <w:r w:rsidRPr="00A75C85">
        <w:t>. The government has provided several subsidies for the resumption of business in the region, but these have not covered the impact of this crowd, leaving some businesses frustrated</w:t>
      </w:r>
      <w:r w:rsidR="001A4356" w:rsidRPr="00A75C85">
        <w:t xml:space="preserve"> (</w:t>
      </w:r>
      <w:proofErr w:type="spellStart"/>
      <w:r w:rsidR="001A4356" w:rsidRPr="00A75C85">
        <w:t>Emas</w:t>
      </w:r>
      <w:proofErr w:type="spellEnd"/>
      <w:r w:rsidR="001A4356" w:rsidRPr="00A75C85">
        <w:t>, 2015)</w:t>
      </w:r>
      <w:r w:rsidRPr="00A75C85">
        <w:t xml:space="preserve">. For some, however, the emergency was an opportunity to increase livestock and even to change their business philosophy, for </w:t>
      </w:r>
      <w:r w:rsidRPr="00A75C85">
        <w:lastRenderedPageBreak/>
        <w:t>instance, by opening farm shops or offering services to customers. Today, improved traditional farms can be seen in the Yorkshire Dales. In this fundamental context, the British government has made great efforts to ensure the implementation of sustainable tourism practices</w:t>
      </w:r>
      <w:r w:rsidR="001A4356" w:rsidRPr="00A75C85">
        <w:t xml:space="preserve"> (</w:t>
      </w:r>
      <w:proofErr w:type="spellStart"/>
      <w:r w:rsidR="001A4356" w:rsidRPr="00A75C85">
        <w:t>Streimikiene</w:t>
      </w:r>
      <w:proofErr w:type="spellEnd"/>
      <w:r w:rsidR="001A4356" w:rsidRPr="00A75C85">
        <w:t xml:space="preserve"> et al., 2021)</w:t>
      </w:r>
      <w:r w:rsidRPr="00A75C85">
        <w:t>. Since then, the UK's highest authorities have developed specific livestock regeneration measures in the Yorkshire Dales. However, these measures are remembered as incremental in terms of agriculture</w:t>
      </w:r>
      <w:r w:rsidR="001A4356" w:rsidRPr="00A75C85">
        <w:t xml:space="preserve"> (</w:t>
      </w:r>
      <w:proofErr w:type="spellStart"/>
      <w:r w:rsidR="001A4356" w:rsidRPr="00A75C85">
        <w:t>Streimikiene</w:t>
      </w:r>
      <w:proofErr w:type="spellEnd"/>
      <w:r w:rsidR="001A4356" w:rsidRPr="00A75C85">
        <w:t xml:space="preserve"> et al., 2021)</w:t>
      </w:r>
      <w:r w:rsidRPr="00A75C85">
        <w:t>.</w:t>
      </w:r>
    </w:p>
    <w:p w14:paraId="77872105" w14:textId="77777777" w:rsidR="00602355" w:rsidRPr="00A75C85" w:rsidRDefault="005B3844" w:rsidP="00383727">
      <w:pPr>
        <w:spacing w:after="0" w:line="480" w:lineRule="auto"/>
        <w:ind w:firstLine="720"/>
        <w:contextualSpacing/>
        <w:jc w:val="both"/>
      </w:pPr>
      <w:r w:rsidRPr="00A75C85">
        <w:t xml:space="preserve">A recent DEFRA study showed that the </w:t>
      </w:r>
      <w:r w:rsidR="00DB1320" w:rsidRPr="00A75C85">
        <w:t>amount</w:t>
      </w:r>
      <w:r w:rsidRPr="00A75C85">
        <w:t xml:space="preserve"> of livestock has </w:t>
      </w:r>
      <w:r w:rsidR="00DB1320" w:rsidRPr="00A75C85">
        <w:t>amplified</w:t>
      </w:r>
      <w:r w:rsidRPr="00A75C85">
        <w:t xml:space="preserve"> by </w:t>
      </w:r>
      <w:r w:rsidR="00DB1320" w:rsidRPr="00A75C85">
        <w:t>19</w:t>
      </w:r>
      <w:r w:rsidRPr="00A75C85">
        <w:t>.</w:t>
      </w:r>
      <w:r w:rsidR="00DB1320" w:rsidRPr="00A75C85">
        <w:t>5</w:t>
      </w:r>
      <w:r w:rsidRPr="00A75C85">
        <w:t>% to 875 head. As a result, a larger tourism market has been identified, and the Dales Tourism Partnership has used this to articulate the latest sustainable tourism practices</w:t>
      </w:r>
      <w:r w:rsidR="001A4356" w:rsidRPr="00A75C85">
        <w:t xml:space="preserve"> (Mellon and Bramwell, 2016)</w:t>
      </w:r>
      <w:r w:rsidRPr="00A75C85">
        <w:t>. The Environment Act (1995) made the National Parks Authority the essence of the neighbouring government structure today</w:t>
      </w:r>
      <w:r w:rsidR="001A4356" w:rsidRPr="00A75C85">
        <w:t xml:space="preserve"> (Murphy, 2014)</w:t>
      </w:r>
      <w:r w:rsidRPr="00A75C85">
        <w:t xml:space="preserve">. The YDNPA is responsible for planning and management and is required by law to provide a meaningful management plan that frames the park's profile and sustainable tourism development. </w:t>
      </w:r>
      <w:r w:rsidR="00DB1320" w:rsidRPr="00A75C85">
        <w:t xml:space="preserve">Their </w:t>
      </w:r>
      <w:r w:rsidR="00897BC4" w:rsidRPr="00A75C85">
        <w:t>main</w:t>
      </w:r>
      <w:r w:rsidR="00DB1320" w:rsidRPr="00A75C85">
        <w:t xml:space="preserve"> source of revenue is the government, and while they are distinct from neighbouring municipalities in a </w:t>
      </w:r>
      <w:r w:rsidR="00897BC4" w:rsidRPr="00A75C85">
        <w:t>few</w:t>
      </w:r>
      <w:r w:rsidR="00DB1320" w:rsidRPr="00A75C85">
        <w:t xml:space="preserve"> ways, their exemptions are </w:t>
      </w:r>
      <w:r w:rsidR="00897BC4" w:rsidRPr="00A75C85">
        <w:t>comparatively</w:t>
      </w:r>
      <w:r w:rsidR="00DB1320" w:rsidRPr="00A75C85">
        <w:t xml:space="preserve"> equivalent</w:t>
      </w:r>
      <w:r w:rsidR="001A4356" w:rsidRPr="00A75C85">
        <w:t xml:space="preserve"> (</w:t>
      </w:r>
      <w:proofErr w:type="spellStart"/>
      <w:r w:rsidR="001A4356" w:rsidRPr="00A75C85">
        <w:t>Streimikiene</w:t>
      </w:r>
      <w:proofErr w:type="spellEnd"/>
      <w:r w:rsidR="001A4356" w:rsidRPr="00A75C85">
        <w:t xml:space="preserve"> et al., 2021)</w:t>
      </w:r>
      <w:r w:rsidR="00DB1320" w:rsidRPr="00A75C85">
        <w:t>.</w:t>
      </w:r>
    </w:p>
    <w:p w14:paraId="160ABFB8" w14:textId="77777777" w:rsidR="00602355" w:rsidRPr="00A75C85" w:rsidRDefault="005B3844" w:rsidP="00383727">
      <w:pPr>
        <w:spacing w:after="0" w:line="480" w:lineRule="auto"/>
        <w:ind w:firstLine="720"/>
        <w:contextualSpacing/>
        <w:jc w:val="both"/>
      </w:pPr>
      <w:r w:rsidRPr="00A75C85">
        <w:t>The NPA, for example, is the region's planning and highway body, in charge of open access and rights of way</w:t>
      </w:r>
      <w:r w:rsidR="001A4356" w:rsidRPr="00A75C85">
        <w:t xml:space="preserve"> (Wearing et al., 2016)</w:t>
      </w:r>
      <w:r w:rsidRPr="00A75C85">
        <w:t xml:space="preserve">. From a tourism-specific perspective, the NPA has a tourism </w:t>
      </w:r>
      <w:r w:rsidR="00897BC4" w:rsidRPr="00A75C85">
        <w:t>group</w:t>
      </w:r>
      <w:r w:rsidRPr="00A75C85">
        <w:t xml:space="preserve"> that has started to lead the way by establishing a clear tourism system in the region, providing support and assistance to neighbouring tourism enterprises and working with stakeholders to help the region and reassure conscientious tourism practices</w:t>
      </w:r>
      <w:r w:rsidR="001A4356" w:rsidRPr="00A75C85">
        <w:t xml:space="preserve"> (Wearing et al., 2016)</w:t>
      </w:r>
      <w:r w:rsidRPr="00A75C85">
        <w:t xml:space="preserve">. The national park authorities have also ensured that the transport offered to visitors is as cheap as possible, so sustainable tourism practices seem to be a concern. Following the values of sustainable </w:t>
      </w:r>
      <w:r w:rsidRPr="00A75C85">
        <w:lastRenderedPageBreak/>
        <w:t>development, the British government has thus ensured the protection of the site's cultural heritage and sustainable tourism practices</w:t>
      </w:r>
      <w:r w:rsidR="001A4356" w:rsidRPr="00A75C85">
        <w:t xml:space="preserve"> (Font et al., 2017)</w:t>
      </w:r>
      <w:r w:rsidRPr="00A75C85">
        <w:t>.</w:t>
      </w:r>
    </w:p>
    <w:p w14:paraId="3569B5E9" w14:textId="77777777" w:rsidR="00602355" w:rsidRPr="00A75C85" w:rsidRDefault="005B3844" w:rsidP="00383727">
      <w:pPr>
        <w:spacing w:after="0" w:line="480" w:lineRule="auto"/>
        <w:ind w:firstLine="720"/>
        <w:contextualSpacing/>
        <w:jc w:val="both"/>
      </w:pPr>
      <w:r w:rsidRPr="00A75C85">
        <w:t xml:space="preserve">The </w:t>
      </w:r>
      <w:r w:rsidR="00897BC4" w:rsidRPr="00A75C85">
        <w:t>“</w:t>
      </w:r>
      <w:r w:rsidRPr="00A75C85">
        <w:t>New Forest National Park</w:t>
      </w:r>
      <w:r w:rsidR="00897BC4" w:rsidRPr="00A75C85">
        <w:t>”</w:t>
      </w:r>
      <w:r w:rsidRPr="00A75C85">
        <w:t xml:space="preserve"> was the focus of the initial investigation. The New Forest, which only measured 570 square kilometres and was established in 2005, is one of the UK's newest national parks</w:t>
      </w:r>
      <w:r w:rsidR="001A4356" w:rsidRPr="00A75C85">
        <w:t xml:space="preserve"> (Daly, 2017)</w:t>
      </w:r>
      <w:r w:rsidRPr="00A75C85">
        <w:t xml:space="preserve">. </w:t>
      </w:r>
      <w:r w:rsidR="00897BC4" w:rsidRPr="00A75C85">
        <w:t>Regardless of</w:t>
      </w:r>
      <w:r w:rsidRPr="00A75C85">
        <w:t xml:space="preserve"> its modest size, it has a</w:t>
      </w:r>
      <w:r w:rsidR="001A4356" w:rsidRPr="00A75C85">
        <w:t xml:space="preserve"> permanent population of 34,400</w:t>
      </w:r>
      <w:r w:rsidRPr="00A75C85">
        <w:t xml:space="preserve"> and receives over 13.5 million tourists each year, the majority of whom come overland, according to estimates from neighbouring governments</w:t>
      </w:r>
      <w:r w:rsidR="001A4356" w:rsidRPr="00A75C85">
        <w:t xml:space="preserve"> (Daly, 2017)</w:t>
      </w:r>
      <w:r w:rsidRPr="00A75C85">
        <w:t>. The main attraction of the New Forest is the physical landscape, with most visitor activities taking place outdoors. The most popular activities observed in the 2005 survey are hiking, camping, cycling, cruising, horseback riding and wildlife watching</w:t>
      </w:r>
      <w:r w:rsidR="001A4356" w:rsidRPr="00A75C85">
        <w:t xml:space="preserve"> (Murphy, 2014)</w:t>
      </w:r>
      <w:r w:rsidRPr="00A75C85">
        <w:t>. Several villages in the New Forest offer most of the centre's facilities, including many amenities. These villages attract an impressive number of visitors each year.</w:t>
      </w:r>
    </w:p>
    <w:p w14:paraId="33746ABC" w14:textId="77777777" w:rsidR="00DB1320" w:rsidRPr="00A75C85" w:rsidRDefault="005B3844" w:rsidP="00383727">
      <w:pPr>
        <w:spacing w:after="0" w:line="480" w:lineRule="auto"/>
        <w:ind w:firstLine="720"/>
        <w:contextualSpacing/>
        <w:jc w:val="both"/>
      </w:pPr>
      <w:r w:rsidRPr="00A75C85">
        <w:t>Lyndhurst is known as the 'Capital of the New Forest' among these ports of call. The seaside, Lyndhurst, Brockenhurst, and Burley are the most popular honeymoon spots, while many people are drawn to the forest and the wild horses that roam freely there</w:t>
      </w:r>
      <w:r w:rsidR="001A4356" w:rsidRPr="00A75C85">
        <w:t xml:space="preserve"> (</w:t>
      </w:r>
      <w:proofErr w:type="spellStart"/>
      <w:r w:rsidR="001A4356" w:rsidRPr="00A75C85">
        <w:t>Amerta</w:t>
      </w:r>
      <w:proofErr w:type="spellEnd"/>
      <w:r w:rsidR="001A4356" w:rsidRPr="00A75C85">
        <w:t xml:space="preserve"> et al., 2018)</w:t>
      </w:r>
      <w:r w:rsidRPr="00A75C85">
        <w:t xml:space="preserve">. </w:t>
      </w:r>
      <w:r w:rsidR="00897BC4" w:rsidRPr="00A75C85">
        <w:t>Unlike the Yorkshire Dales, the British Crown owns nearly half of the New Forest, maintained by the Forestry Commission, a non-sectarian government agency entrusted with safeguarding the country's forests</w:t>
      </w:r>
      <w:r w:rsidR="001A4356" w:rsidRPr="00A75C85">
        <w:t xml:space="preserve"> (</w:t>
      </w:r>
      <w:proofErr w:type="spellStart"/>
      <w:r w:rsidR="001A4356" w:rsidRPr="00A75C85">
        <w:t>Amerta</w:t>
      </w:r>
      <w:proofErr w:type="spellEnd"/>
      <w:r w:rsidR="001A4356" w:rsidRPr="00A75C85">
        <w:t xml:space="preserve"> et al., 2018)</w:t>
      </w:r>
      <w:r w:rsidR="00897BC4" w:rsidRPr="00A75C85">
        <w:t xml:space="preserve">. </w:t>
      </w:r>
      <w:r w:rsidRPr="00A75C85">
        <w:t xml:space="preserve">The forest is accompanied by distinctive agriculture and a wide 'open woodland' of heathland, moorland, grassland, and orchards and is said to have possibly the most impressive convergence of old ferns in Western Europe </w:t>
      </w:r>
      <w:r w:rsidR="001A4356" w:rsidRPr="00A75C85">
        <w:t>(Mellon and Bramwell, 2016)</w:t>
      </w:r>
      <w:r w:rsidRPr="00A75C85">
        <w:t>. The Forestry Commission regulates these open woods, which the British government holds.</w:t>
      </w:r>
    </w:p>
    <w:p w14:paraId="142F85E4" w14:textId="77777777" w:rsidR="00DB1320" w:rsidRPr="00A75C85" w:rsidRDefault="005B3844" w:rsidP="00383727">
      <w:pPr>
        <w:spacing w:after="0" w:line="480" w:lineRule="auto"/>
        <w:ind w:firstLine="720"/>
        <w:contextualSpacing/>
        <w:jc w:val="both"/>
      </w:pPr>
      <w:r w:rsidRPr="00A75C85">
        <w:t xml:space="preserve">Its primary use is to supply brushwood for civic animals and sporting activities. The wild horses that roam </w:t>
      </w:r>
      <w:r w:rsidR="00897BC4" w:rsidRPr="00A75C85">
        <w:t>easily</w:t>
      </w:r>
      <w:r w:rsidRPr="00A75C85">
        <w:t xml:space="preserve"> through the forest and are a significant </w:t>
      </w:r>
      <w:r w:rsidR="00897BC4" w:rsidRPr="00A75C85">
        <w:t>charm</w:t>
      </w:r>
      <w:r w:rsidRPr="00A75C85">
        <w:t xml:space="preserve"> for the numerous </w:t>
      </w:r>
      <w:r w:rsidR="00897BC4" w:rsidRPr="00A75C85">
        <w:t>tourists</w:t>
      </w:r>
      <w:r w:rsidRPr="00A75C85">
        <w:t xml:space="preserve"> are </w:t>
      </w:r>
      <w:r w:rsidRPr="00A75C85">
        <w:lastRenderedPageBreak/>
        <w:t>a unique characteristic of the area</w:t>
      </w:r>
      <w:r w:rsidR="001A4356" w:rsidRPr="00A75C85">
        <w:t xml:space="preserve"> (</w:t>
      </w:r>
      <w:proofErr w:type="spellStart"/>
      <w:r w:rsidR="001A4356" w:rsidRPr="00A75C85">
        <w:t>Amerta</w:t>
      </w:r>
      <w:proofErr w:type="spellEnd"/>
      <w:r w:rsidR="001A4356" w:rsidRPr="00A75C85">
        <w:t xml:space="preserve"> et al., 2018)</w:t>
      </w:r>
      <w:r w:rsidRPr="00A75C85">
        <w:t>. The region is a hub of activity inside the national park and consequently a popular tourist destination with a steady stream of tourists. The National Park as a whole bears witness to the New Forest's vast cultural and historical heritage.</w:t>
      </w:r>
      <w:r w:rsidR="00602355" w:rsidRPr="00A75C85">
        <w:t xml:space="preserve"> </w:t>
      </w:r>
      <w:r w:rsidRPr="00A75C85">
        <w:t>One of the most prominent elements of the National Park is the Crown's huge duty</w:t>
      </w:r>
      <w:r w:rsidR="001A4356" w:rsidRPr="00A75C85">
        <w:t xml:space="preserve"> (</w:t>
      </w:r>
      <w:proofErr w:type="spellStart"/>
      <w:r w:rsidR="001A4356" w:rsidRPr="00A75C85">
        <w:t>Streimikiene</w:t>
      </w:r>
      <w:proofErr w:type="spellEnd"/>
      <w:r w:rsidR="001A4356" w:rsidRPr="00A75C85">
        <w:t xml:space="preserve"> et al., 2021)</w:t>
      </w:r>
      <w:r w:rsidRPr="00A75C85">
        <w:t>. This territory is known as 'Royal Land,' mostly open woods. The 'Royal Lands' cover over half of the current National Park's entire area. Its woodland qualities support the Forestry Act's mandate that fundamentally evident advantages (such as timber and deer) be collected for the autocratic monarch's exclusive use</w:t>
      </w:r>
      <w:r w:rsidR="001A4356" w:rsidRPr="00A75C85">
        <w:t xml:space="preserve"> (</w:t>
      </w:r>
      <w:proofErr w:type="spellStart"/>
      <w:r w:rsidR="001A4356" w:rsidRPr="00A75C85">
        <w:t>Streimikiene</w:t>
      </w:r>
      <w:proofErr w:type="spellEnd"/>
      <w:r w:rsidR="001A4356" w:rsidRPr="00A75C85">
        <w:t xml:space="preserve"> et al., 2021)</w:t>
      </w:r>
      <w:r w:rsidRPr="00A75C85">
        <w:t>.</w:t>
      </w:r>
    </w:p>
    <w:p w14:paraId="7E303C43" w14:textId="77777777" w:rsidR="00501693" w:rsidRPr="00A75C85" w:rsidRDefault="005B3844" w:rsidP="00383727">
      <w:pPr>
        <w:spacing w:after="0" w:line="480" w:lineRule="auto"/>
        <w:ind w:firstLine="720"/>
        <w:contextualSpacing/>
        <w:jc w:val="both"/>
      </w:pPr>
      <w:r w:rsidRPr="00A75C85">
        <w:t>Therefore, it can be argued that the British government promoted sustainable tourism practices, ensuring the implementation of a sustainable development model and the protection of local heritage</w:t>
      </w:r>
      <w:r w:rsidR="001A4356" w:rsidRPr="00A75C85">
        <w:t xml:space="preserve"> (Wearing et al., 2016)</w:t>
      </w:r>
      <w:r w:rsidRPr="00A75C85">
        <w:t>. Initially, many forests were designated, especially in the south of England, and the New Forest was not particularly important. However, in the long run, progress was made due to the Forest Acts, which enabled local people to obtain 'common rights', giving them the right to feed livestock and store wood for heating on open forest land</w:t>
      </w:r>
      <w:r w:rsidR="001A4356" w:rsidRPr="00A75C85">
        <w:t xml:space="preserve"> (Mellon and Bramwell, 2016)</w:t>
      </w:r>
      <w:r w:rsidRPr="00A75C85">
        <w:t>. Today, the importance of these Forest Acts has faded, and many regions have long since set aside the legal opinions and land management practices that accompanied them</w:t>
      </w:r>
      <w:r w:rsidR="001A4356" w:rsidRPr="00A75C85">
        <w:t xml:space="preserve"> (Mellon and Bramwell, 2016)</w:t>
      </w:r>
      <w:r w:rsidRPr="00A75C85">
        <w:t xml:space="preserve">. </w:t>
      </w:r>
    </w:p>
    <w:p w14:paraId="1B84DEA3" w14:textId="77777777" w:rsidR="00602355" w:rsidRPr="00A75C85" w:rsidRDefault="005B3844" w:rsidP="00383727">
      <w:pPr>
        <w:spacing w:after="0" w:line="480" w:lineRule="auto"/>
        <w:ind w:firstLine="720"/>
        <w:contextualSpacing/>
        <w:jc w:val="both"/>
      </w:pPr>
      <w:r w:rsidRPr="00A75C85">
        <w:t>In protecting the region's cultural heritage, the UK government ensures that sustainable tourism practices are perceived as such, applying the criteria of sustainable development principles</w:t>
      </w:r>
      <w:r w:rsidR="001A4356" w:rsidRPr="00A75C85">
        <w:t xml:space="preserve"> (</w:t>
      </w:r>
      <w:proofErr w:type="spellStart"/>
      <w:r w:rsidR="001A4356" w:rsidRPr="00A75C85">
        <w:t>Emas</w:t>
      </w:r>
      <w:proofErr w:type="spellEnd"/>
      <w:r w:rsidR="001A4356" w:rsidRPr="00A75C85">
        <w:t>, 2015)</w:t>
      </w:r>
      <w:r w:rsidRPr="00A75C85">
        <w:t>. One of the main needs recognised in the Tourism Strategy for the New Forest is to improve access to undervalued areas that may feel prevented from entering the park due to various barriers such as lack of access, cost, transport, etc</w:t>
      </w:r>
      <w:r w:rsidR="001A4356" w:rsidRPr="00A75C85">
        <w:t xml:space="preserve"> (</w:t>
      </w:r>
      <w:proofErr w:type="spellStart"/>
      <w:r w:rsidR="001A4356" w:rsidRPr="00A75C85">
        <w:t>Emas</w:t>
      </w:r>
      <w:proofErr w:type="spellEnd"/>
      <w:r w:rsidR="001A4356" w:rsidRPr="00A75C85">
        <w:t>, 2015)</w:t>
      </w:r>
      <w:r w:rsidRPr="00A75C85">
        <w:t xml:space="preserve">. For example, many walks and access points in the New Forest are flat and therefore accessible to wheelchairs and pushchairs. In </w:t>
      </w:r>
      <w:r w:rsidRPr="00A75C85">
        <w:lastRenderedPageBreak/>
        <w:t xml:space="preserve">addition, the New Forester has promised a section of subtle </w:t>
      </w:r>
      <w:r w:rsidR="00DB1320" w:rsidRPr="00A75C85">
        <w:t>parts</w:t>
      </w:r>
      <w:r w:rsidRPr="00A75C85">
        <w:t xml:space="preserve"> and attractions that are </w:t>
      </w:r>
      <w:r w:rsidR="00DB1320" w:rsidRPr="00A75C85">
        <w:t>completely</w:t>
      </w:r>
      <w:r w:rsidRPr="00A75C85">
        <w:t xml:space="preserve"> </w:t>
      </w:r>
      <w:r w:rsidR="00DB1320" w:rsidRPr="00A75C85">
        <w:t>available</w:t>
      </w:r>
      <w:r w:rsidRPr="00A75C85">
        <w:t xml:space="preserve"> at this time of year</w:t>
      </w:r>
      <w:r w:rsidR="001A4356" w:rsidRPr="00A75C85">
        <w:t xml:space="preserve"> (Daly, 2017)</w:t>
      </w:r>
      <w:r w:rsidRPr="00A75C85">
        <w:t>.</w:t>
      </w:r>
    </w:p>
    <w:p w14:paraId="535DD646" w14:textId="77777777" w:rsidR="00671080" w:rsidRPr="00A75C85" w:rsidRDefault="005B3844" w:rsidP="00383727">
      <w:pPr>
        <w:spacing w:after="0" w:line="480" w:lineRule="auto"/>
        <w:ind w:firstLine="720"/>
        <w:contextualSpacing/>
        <w:jc w:val="both"/>
      </w:pPr>
      <w:r w:rsidRPr="00A75C85">
        <w:t>However, it is noted that one facility is trying to improve to promote accessibility, for example, by raising awareness of the use of easy doors versus the use of disabled doors and toilets</w:t>
      </w:r>
      <w:r w:rsidR="001A4356" w:rsidRPr="00A75C85">
        <w:t xml:space="preserve"> (Murphy, 2014)</w:t>
      </w:r>
      <w:r w:rsidRPr="00A75C85">
        <w:t>. The UK government is working to introduce key sustainable tourism practices, such as providing low-cost transport for visitors and improving the infrastructure of national parks that follow the principles of sustainable development. In addition, there are numerous car parks for those travelling by car</w:t>
      </w:r>
      <w:r w:rsidR="001A4356" w:rsidRPr="00A75C85">
        <w:t xml:space="preserve"> (Murphy, 2014)</w:t>
      </w:r>
      <w:r w:rsidRPr="00A75C85">
        <w:t>. These car parks are maintained and organised around the national parks, offering convenience and more serious access to the areas. The larger car parks are equipped with essential services, such as toilets, and although they are often charged for, this does not reduce the use of the car by visitors, which is their main means of transport</w:t>
      </w:r>
      <w:r w:rsidR="001A4356" w:rsidRPr="00A75C85">
        <w:t xml:space="preserve"> (</w:t>
      </w:r>
      <w:proofErr w:type="spellStart"/>
      <w:r w:rsidR="001A4356" w:rsidRPr="00A75C85">
        <w:t>Amerta</w:t>
      </w:r>
      <w:proofErr w:type="spellEnd"/>
      <w:r w:rsidR="001A4356" w:rsidRPr="00A75C85">
        <w:t xml:space="preserve"> et al., 2018)</w:t>
      </w:r>
      <w:r w:rsidRPr="00A75C85">
        <w:t xml:space="preserve">. </w:t>
      </w:r>
      <w:r w:rsidR="00546FFA" w:rsidRPr="00A75C85">
        <w:t>As a result, the national park authorities have put sustainable tourism concepts into effect by implementing sustainable development principles</w:t>
      </w:r>
      <w:r w:rsidR="001A4356" w:rsidRPr="00A75C85">
        <w:t xml:space="preserve"> (</w:t>
      </w:r>
      <w:proofErr w:type="spellStart"/>
      <w:r w:rsidR="001A4356" w:rsidRPr="00A75C85">
        <w:t>Amerta</w:t>
      </w:r>
      <w:proofErr w:type="spellEnd"/>
      <w:r w:rsidR="001A4356" w:rsidRPr="00A75C85">
        <w:t xml:space="preserve"> et al., 2018)</w:t>
      </w:r>
      <w:r w:rsidR="00546FFA" w:rsidRPr="00A75C85">
        <w:t>.</w:t>
      </w:r>
    </w:p>
    <w:p w14:paraId="51F22B12" w14:textId="77777777" w:rsidR="00602355" w:rsidRPr="00A75C85" w:rsidRDefault="00602355" w:rsidP="00383727">
      <w:pPr>
        <w:spacing w:after="0" w:line="480" w:lineRule="auto"/>
        <w:contextualSpacing/>
        <w:jc w:val="both"/>
      </w:pPr>
    </w:p>
    <w:p w14:paraId="526B441B" w14:textId="77777777" w:rsidR="00E67C8D" w:rsidRPr="00A75C85" w:rsidRDefault="005B3844" w:rsidP="00383727">
      <w:pPr>
        <w:pStyle w:val="Heading1"/>
        <w:spacing w:after="0" w:line="480" w:lineRule="auto"/>
        <w:contextualSpacing/>
        <w:jc w:val="both"/>
      </w:pPr>
      <w:bookmarkStart w:id="2" w:name="_Toc103412301"/>
      <w:r w:rsidRPr="00A75C85">
        <w:t>Conclusion</w:t>
      </w:r>
      <w:bookmarkEnd w:id="2"/>
    </w:p>
    <w:p w14:paraId="78208F3B" w14:textId="77777777" w:rsidR="008B591C" w:rsidRPr="00A75C85" w:rsidRDefault="005B3844" w:rsidP="00383727">
      <w:pPr>
        <w:spacing w:after="0" w:line="480" w:lineRule="auto"/>
        <w:ind w:firstLine="720"/>
        <w:contextualSpacing/>
        <w:jc w:val="both"/>
      </w:pPr>
      <w:r w:rsidRPr="00A75C85">
        <w:t xml:space="preserve">Subsequently, after a critical understanding and evaluation and a review of the contextual study of the UK National Parks, it is concluded that the principles of sustainable tourism are inextricably linked to the principles of sustainable development. </w:t>
      </w:r>
      <w:r w:rsidR="00546FFA" w:rsidRPr="00A75C85">
        <w:t>Both evaluations' conclusions and findings suggest that sustainable tourism can only be realised if sustainable development concepts are followed and embraced.</w:t>
      </w:r>
      <w:r w:rsidRPr="00A75C85">
        <w:t xml:space="preserve"> In both cases, acceptance of the principles of sustainable development, therefore, makes it possible to plan sustainable tourism development in a given area.</w:t>
      </w:r>
      <w:r w:rsidR="002341E6" w:rsidRPr="00A75C85">
        <w:br w:type="page"/>
      </w:r>
    </w:p>
    <w:p w14:paraId="1423B8F5" w14:textId="77777777" w:rsidR="00F11BC2" w:rsidRPr="00A75C85" w:rsidRDefault="005B3844" w:rsidP="00383727">
      <w:pPr>
        <w:pStyle w:val="Heading1"/>
        <w:spacing w:after="0" w:line="480" w:lineRule="auto"/>
        <w:contextualSpacing/>
        <w:jc w:val="center"/>
        <w:rPr>
          <w:i w:val="0"/>
        </w:rPr>
      </w:pPr>
      <w:bookmarkStart w:id="3" w:name="_Toc103412302"/>
      <w:r w:rsidRPr="00A75C85">
        <w:rPr>
          <w:i w:val="0"/>
        </w:rPr>
        <w:lastRenderedPageBreak/>
        <w:t>References</w:t>
      </w:r>
      <w:bookmarkEnd w:id="3"/>
    </w:p>
    <w:p w14:paraId="397B3F7C" w14:textId="77777777" w:rsidR="001A4356" w:rsidRPr="00A75C85" w:rsidRDefault="001A4356" w:rsidP="001A4356"/>
    <w:p w14:paraId="483F3F87" w14:textId="77777777" w:rsidR="00383727" w:rsidRPr="00A75C85" w:rsidRDefault="005B3844" w:rsidP="00383727">
      <w:pPr>
        <w:spacing w:after="0" w:line="480" w:lineRule="auto"/>
        <w:ind w:left="630" w:hanging="850"/>
        <w:contextualSpacing/>
        <w:jc w:val="both"/>
      </w:pPr>
      <w:r w:rsidRPr="00A75C85">
        <w:t>Amerta, I.M.S., Sara, I.M. and Bagiada, K., 2018. Sustainable tourism development. International research journal of management, IT and social sciences, 5(2), pp.248-254.</w:t>
      </w:r>
    </w:p>
    <w:p w14:paraId="3D7502D2" w14:textId="77777777" w:rsidR="00383727" w:rsidRPr="00A75C85" w:rsidRDefault="005B3844" w:rsidP="00383727">
      <w:pPr>
        <w:spacing w:after="0" w:line="480" w:lineRule="auto"/>
        <w:ind w:left="630" w:hanging="850"/>
        <w:contextualSpacing/>
        <w:jc w:val="both"/>
      </w:pPr>
      <w:r w:rsidRPr="00A75C85">
        <w:t>Daly, H.E., 2017. Toward some operational principles of sustainable development 1. In The economics of sustainability (pp. 97-102). Routledge.</w:t>
      </w:r>
    </w:p>
    <w:p w14:paraId="4CFA17E4" w14:textId="77777777" w:rsidR="00383727" w:rsidRPr="00A75C85" w:rsidRDefault="005B3844" w:rsidP="00383727">
      <w:pPr>
        <w:spacing w:after="0" w:line="480" w:lineRule="auto"/>
        <w:ind w:left="630" w:hanging="850"/>
        <w:contextualSpacing/>
        <w:jc w:val="both"/>
      </w:pPr>
      <w:r w:rsidRPr="00A75C85">
        <w:t>Emas, R., 2015. The concept of sustainable development: definition and defining principles. Brief for GSDR, 2015, pp.10-13140.</w:t>
      </w:r>
    </w:p>
    <w:p w14:paraId="31736B5B" w14:textId="77777777" w:rsidR="00383727" w:rsidRPr="00A75C85" w:rsidRDefault="005B3844" w:rsidP="00383727">
      <w:pPr>
        <w:spacing w:after="0" w:line="480" w:lineRule="auto"/>
        <w:ind w:left="630" w:hanging="850"/>
        <w:contextualSpacing/>
        <w:jc w:val="both"/>
      </w:pPr>
      <w:r w:rsidRPr="00A75C85">
        <w:t>Font, X., Elgammal, I. and Lamond, I., 2017. Greenhushing: the deliberate under communicating of sustainability practices by tourism businesses. Journal of Sustainable Tourism, 25(7), pp.1007-1023.</w:t>
      </w:r>
    </w:p>
    <w:p w14:paraId="33EA609F" w14:textId="77777777" w:rsidR="00383727" w:rsidRPr="00A75C85" w:rsidRDefault="005B3844" w:rsidP="00383727">
      <w:pPr>
        <w:spacing w:after="0" w:line="480" w:lineRule="auto"/>
        <w:ind w:left="630" w:hanging="850"/>
        <w:contextualSpacing/>
        <w:jc w:val="both"/>
      </w:pPr>
      <w:r w:rsidRPr="00A75C85">
        <w:t>Mellon, V. and Bramwell, B., 2016. Protected area policies and sustainable tourism: influences, relationships and co-evolution. Journal of Sustainable Tourism, 24(10), pp.1369-1386.</w:t>
      </w:r>
    </w:p>
    <w:p w14:paraId="41897014" w14:textId="77777777" w:rsidR="00383727" w:rsidRPr="00A75C85" w:rsidRDefault="005B3844" w:rsidP="00383727">
      <w:pPr>
        <w:spacing w:after="0" w:line="480" w:lineRule="auto"/>
        <w:ind w:left="630" w:hanging="850"/>
        <w:contextualSpacing/>
        <w:jc w:val="both"/>
      </w:pPr>
      <w:r w:rsidRPr="00A75C85">
        <w:t>Murphy, S.A., 2014. Sustainable tourism development in UK National Parks: principles, meaning &amp; practice. York St John University.</w:t>
      </w:r>
    </w:p>
    <w:p w14:paraId="509D9192" w14:textId="77777777" w:rsidR="00383727" w:rsidRPr="00A75C85" w:rsidRDefault="005B3844" w:rsidP="00383727">
      <w:pPr>
        <w:spacing w:after="0" w:line="480" w:lineRule="auto"/>
        <w:ind w:left="630" w:hanging="850"/>
        <w:contextualSpacing/>
        <w:jc w:val="both"/>
      </w:pPr>
      <w:r w:rsidRPr="00A75C85">
        <w:t>Streimikiene, D., Svagzdiene, B., Jasinskas, E. and Simanavicius, A., 2021. Sustainable tourism development and competitiveness: The systematic literature review. Sustainable development, 29(1), pp.259-271.</w:t>
      </w:r>
    </w:p>
    <w:p w14:paraId="47E673DE" w14:textId="77777777" w:rsidR="00383727" w:rsidRPr="00A75C85" w:rsidRDefault="005B3844" w:rsidP="00383727">
      <w:pPr>
        <w:spacing w:after="0" w:line="480" w:lineRule="auto"/>
        <w:ind w:left="630" w:hanging="850"/>
        <w:contextualSpacing/>
        <w:jc w:val="both"/>
      </w:pPr>
      <w:r w:rsidRPr="00A75C85">
        <w:t>Wearing, S.L., Schweinsberg, S. and Tower, J., 2016. Marketing national parks for sustainable tourism. In Marketing National Parks for Sustainable Tourism. Channel View Publications.</w:t>
      </w:r>
    </w:p>
    <w:p w14:paraId="6EF7DFB7" w14:textId="77777777" w:rsidR="00DF5869" w:rsidRPr="00A75C85" w:rsidRDefault="00DF5869" w:rsidP="00383727">
      <w:pPr>
        <w:spacing w:after="0" w:line="480" w:lineRule="auto"/>
        <w:ind w:left="630" w:hanging="850"/>
        <w:contextualSpacing/>
        <w:jc w:val="both"/>
      </w:pPr>
    </w:p>
    <w:p w14:paraId="364E680A" w14:textId="77777777" w:rsidR="00DF5869" w:rsidRPr="00A75C85" w:rsidRDefault="00DF5869" w:rsidP="00DF5869"/>
    <w:p w14:paraId="78FA2B82" w14:textId="77777777" w:rsidR="00DF5869" w:rsidRPr="00A75C85" w:rsidRDefault="00DF5869" w:rsidP="00DF5869"/>
    <w:p w14:paraId="30641F4D" w14:textId="77777777" w:rsidR="00DF5869" w:rsidRPr="00A75C85" w:rsidRDefault="00DF5869" w:rsidP="00DF5869"/>
    <w:sectPr w:rsidR="00DF5869" w:rsidRPr="00A75C85" w:rsidSect="00986F72">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5659E" w14:textId="77777777" w:rsidR="00E1679A" w:rsidRDefault="00E1679A">
      <w:pPr>
        <w:spacing w:after="0" w:line="240" w:lineRule="auto"/>
      </w:pPr>
      <w:r>
        <w:separator/>
      </w:r>
    </w:p>
  </w:endnote>
  <w:endnote w:type="continuationSeparator" w:id="0">
    <w:p w14:paraId="795ED079" w14:textId="77777777" w:rsidR="00E1679A" w:rsidRDefault="00E16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76950" w14:textId="77777777" w:rsidR="00E1679A" w:rsidRDefault="00E1679A">
      <w:pPr>
        <w:spacing w:after="0" w:line="240" w:lineRule="auto"/>
      </w:pPr>
      <w:r>
        <w:separator/>
      </w:r>
    </w:p>
  </w:footnote>
  <w:footnote w:type="continuationSeparator" w:id="0">
    <w:p w14:paraId="095EB03D" w14:textId="77777777" w:rsidR="00E1679A" w:rsidRDefault="00E16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90923"/>
      <w:docPartObj>
        <w:docPartGallery w:val="Page Numbers (Top of Page)"/>
        <w:docPartUnique/>
      </w:docPartObj>
    </w:sdtPr>
    <w:sdtEndPr>
      <w:rPr>
        <w:noProof/>
      </w:rPr>
    </w:sdtEndPr>
    <w:sdtContent>
      <w:p w14:paraId="3E4C3162" w14:textId="77777777" w:rsidR="00986F72" w:rsidRDefault="005B3844">
        <w:pPr>
          <w:pStyle w:val="Header"/>
          <w:jc w:val="right"/>
        </w:pPr>
        <w:r w:rsidRPr="00ED37B8">
          <w:t xml:space="preserve">Sustainable Tourism </w:t>
        </w:r>
        <w:r>
          <w:t xml:space="preserve">   </w:t>
        </w:r>
        <w:r>
          <w:fldChar w:fldCharType="begin"/>
        </w:r>
        <w:r>
          <w:instrText xml:space="preserve"> PAGE   \* MERGEFORMAT </w:instrText>
        </w:r>
        <w:r>
          <w:fldChar w:fldCharType="separate"/>
        </w:r>
        <w:r w:rsidR="00B36056">
          <w:rPr>
            <w:noProof/>
          </w:rPr>
          <w:t>6</w:t>
        </w:r>
        <w:r>
          <w:rPr>
            <w:noProof/>
          </w:rPr>
          <w:fldChar w:fldCharType="end"/>
        </w:r>
      </w:p>
    </w:sdtContent>
  </w:sdt>
  <w:p w14:paraId="0C0F4D01" w14:textId="77777777" w:rsidR="00986F72" w:rsidRDefault="00986F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45E"/>
    <w:rsid w:val="00000315"/>
    <w:rsid w:val="00002B89"/>
    <w:rsid w:val="00006C36"/>
    <w:rsid w:val="00012E92"/>
    <w:rsid w:val="000177E5"/>
    <w:rsid w:val="00047430"/>
    <w:rsid w:val="00051FC0"/>
    <w:rsid w:val="00053ABE"/>
    <w:rsid w:val="00065581"/>
    <w:rsid w:val="00066E93"/>
    <w:rsid w:val="00082EAF"/>
    <w:rsid w:val="000834DA"/>
    <w:rsid w:val="00086114"/>
    <w:rsid w:val="00093CFA"/>
    <w:rsid w:val="0009698F"/>
    <w:rsid w:val="00097C7F"/>
    <w:rsid w:val="000A6F50"/>
    <w:rsid w:val="000C10C0"/>
    <w:rsid w:val="000F31DA"/>
    <w:rsid w:val="000F3C0F"/>
    <w:rsid w:val="000F3ED2"/>
    <w:rsid w:val="0010236B"/>
    <w:rsid w:val="00122FAE"/>
    <w:rsid w:val="00124194"/>
    <w:rsid w:val="00150C1F"/>
    <w:rsid w:val="00156A8C"/>
    <w:rsid w:val="00166CD4"/>
    <w:rsid w:val="00186CDD"/>
    <w:rsid w:val="001941B6"/>
    <w:rsid w:val="001A4356"/>
    <w:rsid w:val="001B25B9"/>
    <w:rsid w:val="001B48A1"/>
    <w:rsid w:val="001C179A"/>
    <w:rsid w:val="001D48F8"/>
    <w:rsid w:val="001D7FB3"/>
    <w:rsid w:val="001E0A11"/>
    <w:rsid w:val="001E753B"/>
    <w:rsid w:val="00227BC8"/>
    <w:rsid w:val="002341E6"/>
    <w:rsid w:val="00235623"/>
    <w:rsid w:val="00235C47"/>
    <w:rsid w:val="00236ABF"/>
    <w:rsid w:val="0024690D"/>
    <w:rsid w:val="00263BE8"/>
    <w:rsid w:val="002B1B4F"/>
    <w:rsid w:val="002B389F"/>
    <w:rsid w:val="002B63F7"/>
    <w:rsid w:val="002C1677"/>
    <w:rsid w:val="002C2E3C"/>
    <w:rsid w:val="002C4DB9"/>
    <w:rsid w:val="002D3A47"/>
    <w:rsid w:val="002E2C08"/>
    <w:rsid w:val="00300AC3"/>
    <w:rsid w:val="0030699B"/>
    <w:rsid w:val="00322E05"/>
    <w:rsid w:val="00336E2D"/>
    <w:rsid w:val="0033710C"/>
    <w:rsid w:val="00347286"/>
    <w:rsid w:val="00354297"/>
    <w:rsid w:val="003663AB"/>
    <w:rsid w:val="003773DC"/>
    <w:rsid w:val="00383727"/>
    <w:rsid w:val="003C1CDE"/>
    <w:rsid w:val="003D441C"/>
    <w:rsid w:val="003E7F91"/>
    <w:rsid w:val="004001A9"/>
    <w:rsid w:val="00406D6F"/>
    <w:rsid w:val="004203D5"/>
    <w:rsid w:val="00423C1D"/>
    <w:rsid w:val="00423EBD"/>
    <w:rsid w:val="0043722E"/>
    <w:rsid w:val="00452B78"/>
    <w:rsid w:val="00464023"/>
    <w:rsid w:val="00467EFB"/>
    <w:rsid w:val="0048123B"/>
    <w:rsid w:val="00482412"/>
    <w:rsid w:val="00485C3D"/>
    <w:rsid w:val="004B3FE9"/>
    <w:rsid w:val="004B66B0"/>
    <w:rsid w:val="004D1A7A"/>
    <w:rsid w:val="004D375E"/>
    <w:rsid w:val="00501693"/>
    <w:rsid w:val="00522A80"/>
    <w:rsid w:val="00543824"/>
    <w:rsid w:val="00546FFA"/>
    <w:rsid w:val="00552628"/>
    <w:rsid w:val="00565BB0"/>
    <w:rsid w:val="00572B03"/>
    <w:rsid w:val="00582968"/>
    <w:rsid w:val="00584FBA"/>
    <w:rsid w:val="005A6CFF"/>
    <w:rsid w:val="005A6D74"/>
    <w:rsid w:val="005B25A1"/>
    <w:rsid w:val="005B3844"/>
    <w:rsid w:val="005B4F81"/>
    <w:rsid w:val="00602355"/>
    <w:rsid w:val="00612494"/>
    <w:rsid w:val="00620DA8"/>
    <w:rsid w:val="0062377A"/>
    <w:rsid w:val="00626F29"/>
    <w:rsid w:val="00627EEC"/>
    <w:rsid w:val="00635C96"/>
    <w:rsid w:val="00640937"/>
    <w:rsid w:val="00671080"/>
    <w:rsid w:val="0069145E"/>
    <w:rsid w:val="006B2B8B"/>
    <w:rsid w:val="006B5793"/>
    <w:rsid w:val="006D7271"/>
    <w:rsid w:val="006E57CD"/>
    <w:rsid w:val="00716612"/>
    <w:rsid w:val="0071784E"/>
    <w:rsid w:val="00727A5D"/>
    <w:rsid w:val="0073030E"/>
    <w:rsid w:val="00732AC7"/>
    <w:rsid w:val="00735ADA"/>
    <w:rsid w:val="00737A3F"/>
    <w:rsid w:val="00743380"/>
    <w:rsid w:val="00745520"/>
    <w:rsid w:val="007478E8"/>
    <w:rsid w:val="00751E06"/>
    <w:rsid w:val="007700DE"/>
    <w:rsid w:val="00781993"/>
    <w:rsid w:val="007836DB"/>
    <w:rsid w:val="007937B2"/>
    <w:rsid w:val="007A46D1"/>
    <w:rsid w:val="007B4D8C"/>
    <w:rsid w:val="007D3553"/>
    <w:rsid w:val="007D5CCD"/>
    <w:rsid w:val="007F2402"/>
    <w:rsid w:val="007F2AFA"/>
    <w:rsid w:val="007F7667"/>
    <w:rsid w:val="0081010A"/>
    <w:rsid w:val="008117F9"/>
    <w:rsid w:val="00816D29"/>
    <w:rsid w:val="00820F30"/>
    <w:rsid w:val="0083440F"/>
    <w:rsid w:val="00835EE2"/>
    <w:rsid w:val="00860CEB"/>
    <w:rsid w:val="00861490"/>
    <w:rsid w:val="008700D8"/>
    <w:rsid w:val="00892521"/>
    <w:rsid w:val="00897159"/>
    <w:rsid w:val="00897BC4"/>
    <w:rsid w:val="008A0FDF"/>
    <w:rsid w:val="008A1AAA"/>
    <w:rsid w:val="008B3039"/>
    <w:rsid w:val="008B591C"/>
    <w:rsid w:val="008C074D"/>
    <w:rsid w:val="008E428B"/>
    <w:rsid w:val="00911E8A"/>
    <w:rsid w:val="0093064C"/>
    <w:rsid w:val="00944717"/>
    <w:rsid w:val="00944F8D"/>
    <w:rsid w:val="009531DE"/>
    <w:rsid w:val="00963A61"/>
    <w:rsid w:val="00965DEC"/>
    <w:rsid w:val="00986F72"/>
    <w:rsid w:val="0098775A"/>
    <w:rsid w:val="009952FC"/>
    <w:rsid w:val="00996020"/>
    <w:rsid w:val="009A527E"/>
    <w:rsid w:val="009B189B"/>
    <w:rsid w:val="009C2038"/>
    <w:rsid w:val="009C4B15"/>
    <w:rsid w:val="009C7146"/>
    <w:rsid w:val="009E1148"/>
    <w:rsid w:val="009E1BEB"/>
    <w:rsid w:val="00A04271"/>
    <w:rsid w:val="00A34EA4"/>
    <w:rsid w:val="00A47CB6"/>
    <w:rsid w:val="00A70760"/>
    <w:rsid w:val="00A75C85"/>
    <w:rsid w:val="00A82BF7"/>
    <w:rsid w:val="00A92CA2"/>
    <w:rsid w:val="00A94440"/>
    <w:rsid w:val="00AA2ABF"/>
    <w:rsid w:val="00AB42E7"/>
    <w:rsid w:val="00AE3E09"/>
    <w:rsid w:val="00B04EE4"/>
    <w:rsid w:val="00B121E4"/>
    <w:rsid w:val="00B152F7"/>
    <w:rsid w:val="00B36056"/>
    <w:rsid w:val="00B50487"/>
    <w:rsid w:val="00B51B02"/>
    <w:rsid w:val="00B60D18"/>
    <w:rsid w:val="00B67FBC"/>
    <w:rsid w:val="00BC6EEC"/>
    <w:rsid w:val="00C12067"/>
    <w:rsid w:val="00C27B2A"/>
    <w:rsid w:val="00C4766A"/>
    <w:rsid w:val="00C81E15"/>
    <w:rsid w:val="00C95BD3"/>
    <w:rsid w:val="00C96289"/>
    <w:rsid w:val="00CC27F5"/>
    <w:rsid w:val="00CD5867"/>
    <w:rsid w:val="00CE1AE0"/>
    <w:rsid w:val="00CF0F7C"/>
    <w:rsid w:val="00D51259"/>
    <w:rsid w:val="00D61F9A"/>
    <w:rsid w:val="00D62A1A"/>
    <w:rsid w:val="00D71F72"/>
    <w:rsid w:val="00D834B8"/>
    <w:rsid w:val="00D868E1"/>
    <w:rsid w:val="00DB1320"/>
    <w:rsid w:val="00DC2D51"/>
    <w:rsid w:val="00DE3E54"/>
    <w:rsid w:val="00DF041B"/>
    <w:rsid w:val="00DF5869"/>
    <w:rsid w:val="00E02B1D"/>
    <w:rsid w:val="00E13C03"/>
    <w:rsid w:val="00E1679A"/>
    <w:rsid w:val="00E23BA3"/>
    <w:rsid w:val="00E26B41"/>
    <w:rsid w:val="00E31D38"/>
    <w:rsid w:val="00E51A62"/>
    <w:rsid w:val="00E561C4"/>
    <w:rsid w:val="00E60875"/>
    <w:rsid w:val="00E6554A"/>
    <w:rsid w:val="00E67C8D"/>
    <w:rsid w:val="00E8468D"/>
    <w:rsid w:val="00E85ACE"/>
    <w:rsid w:val="00EC16A7"/>
    <w:rsid w:val="00ED1E75"/>
    <w:rsid w:val="00ED37B8"/>
    <w:rsid w:val="00EE27E1"/>
    <w:rsid w:val="00F1090F"/>
    <w:rsid w:val="00F11BC2"/>
    <w:rsid w:val="00F169EA"/>
    <w:rsid w:val="00F22E45"/>
    <w:rsid w:val="00F43EF7"/>
    <w:rsid w:val="00F57597"/>
    <w:rsid w:val="00F73AF4"/>
    <w:rsid w:val="00F8443B"/>
    <w:rsid w:val="00F86A40"/>
    <w:rsid w:val="00FA3D36"/>
    <w:rsid w:val="00FB5C92"/>
    <w:rsid w:val="00FB6B96"/>
    <w:rsid w:val="00FC298E"/>
    <w:rsid w:val="00FC632E"/>
    <w:rsid w:val="00FE3091"/>
    <w:rsid w:val="00FF57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75776"/>
  <w15:chartTrackingRefBased/>
  <w15:docId w15:val="{AC0E110D-BF6D-45FD-B4FF-B9175E020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45E"/>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745520"/>
    <w:pPr>
      <w:outlineLvl w:val="0"/>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520"/>
    <w:rPr>
      <w:rFonts w:ascii="Times New Roman" w:hAnsi="Times New Roman" w:cs="Times New Roman"/>
      <w:b/>
      <w:i/>
      <w:sz w:val="24"/>
      <w:szCs w:val="24"/>
      <w:lang w:val="en-GB"/>
    </w:rPr>
  </w:style>
  <w:style w:type="character" w:styleId="Strong">
    <w:name w:val="Strong"/>
    <w:basedOn w:val="DefaultParagraphFont"/>
    <w:uiPriority w:val="22"/>
    <w:qFormat/>
    <w:rsid w:val="000F31DA"/>
    <w:rPr>
      <w:b/>
      <w:bCs/>
    </w:rPr>
  </w:style>
  <w:style w:type="paragraph" w:styleId="NormalWeb">
    <w:name w:val="Normal (Web)"/>
    <w:basedOn w:val="Normal"/>
    <w:uiPriority w:val="99"/>
    <w:semiHidden/>
    <w:unhideWhenUsed/>
    <w:rsid w:val="00354297"/>
    <w:pPr>
      <w:spacing w:before="100" w:beforeAutospacing="1" w:after="100" w:afterAutospacing="1" w:line="240" w:lineRule="auto"/>
    </w:pPr>
    <w:rPr>
      <w:rFonts w:eastAsia="Times New Roman"/>
      <w:lang w:eastAsia="en-GB"/>
    </w:rPr>
  </w:style>
  <w:style w:type="paragraph" w:styleId="TOCHeading">
    <w:name w:val="TOC Heading"/>
    <w:basedOn w:val="Heading1"/>
    <w:next w:val="Normal"/>
    <w:uiPriority w:val="39"/>
    <w:unhideWhenUsed/>
    <w:qFormat/>
    <w:rsid w:val="00ED37B8"/>
    <w:pPr>
      <w:keepNext/>
      <w:keepLines/>
      <w:spacing w:before="240" w:after="0"/>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DE3E54"/>
    <w:pPr>
      <w:tabs>
        <w:tab w:val="right" w:leader="dot" w:pos="9350"/>
      </w:tabs>
      <w:spacing w:after="0" w:line="360" w:lineRule="auto"/>
      <w:contextualSpacing/>
    </w:pPr>
  </w:style>
  <w:style w:type="character" w:styleId="Hyperlink">
    <w:name w:val="Hyperlink"/>
    <w:basedOn w:val="DefaultParagraphFont"/>
    <w:uiPriority w:val="99"/>
    <w:unhideWhenUsed/>
    <w:rsid w:val="00ED37B8"/>
    <w:rPr>
      <w:color w:val="0563C1" w:themeColor="hyperlink"/>
      <w:u w:val="single"/>
    </w:rPr>
  </w:style>
  <w:style w:type="paragraph" w:styleId="Header">
    <w:name w:val="header"/>
    <w:basedOn w:val="Normal"/>
    <w:link w:val="HeaderChar"/>
    <w:uiPriority w:val="99"/>
    <w:unhideWhenUsed/>
    <w:rsid w:val="00986F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6F72"/>
    <w:rPr>
      <w:rFonts w:ascii="Times New Roman" w:hAnsi="Times New Roman" w:cs="Times New Roman"/>
      <w:sz w:val="24"/>
      <w:szCs w:val="24"/>
      <w:lang w:val="en-GB"/>
    </w:rPr>
  </w:style>
  <w:style w:type="paragraph" w:styleId="Footer">
    <w:name w:val="footer"/>
    <w:basedOn w:val="Normal"/>
    <w:link w:val="FooterChar"/>
    <w:uiPriority w:val="99"/>
    <w:unhideWhenUsed/>
    <w:rsid w:val="00986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6F72"/>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C3300-4CA8-4F36-B5E0-53EF355ED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2365</Words>
  <Characters>13484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Criscita De Carvalho Rosa Correia (2004629)</cp:lastModifiedBy>
  <cp:revision>2</cp:revision>
  <dcterms:created xsi:type="dcterms:W3CDTF">2022-07-22T14:47:00Z</dcterms:created>
  <dcterms:modified xsi:type="dcterms:W3CDTF">2022-07-22T14:47:00Z</dcterms:modified>
</cp:coreProperties>
</file>