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3F4828">
      <w:pPr>
        <w:spacing w:after="0" w:line="360" w:lineRule="auto"/>
        <w:jc w:val="center"/>
        <w:rPr>
          <w:rFonts w:ascii="Times New Roman" w:hAnsi="Times New Roman" w:eastAsia="Calibri" w:cs="Calibri"/>
          <w:sz w:val="24"/>
          <w:szCs w:val="22"/>
          <w:lang w:val="en-GB" w:eastAsia="en-IN" w:bidi="ar-SA"/>
        </w:rPr>
      </w:pPr>
      <w:r>
        <w:rPr>
          <w:rFonts w:eastAsia="Times New Roman" w:cs="Times New Roman"/>
          <w:b/>
          <w:color w:val="000000"/>
          <w:szCs w:val="24"/>
        </w:rPr>
        <w:t>How can Human-Machine Interaction (HMI) enhance driver’s experiential perception of “SPEED”</w:t>
      </w:r>
      <w:r>
        <w:rPr>
          <w:rFonts w:cs="Times New Roman"/>
          <w:szCs w:val="24"/>
        </w:rPr>
        <w:br w:type="page"/>
      </w:r>
    </w:p>
    <w:p w14:paraId="0000000B">
      <w:pPr>
        <w:spacing w:after="0" w:line="360" w:lineRule="auto"/>
        <w:rPr>
          <w:rFonts w:eastAsia="Times New Roman" w:cs="Times New Roman"/>
          <w:b/>
          <w:color w:val="000000"/>
          <w:szCs w:val="24"/>
        </w:rPr>
      </w:pPr>
      <w:bookmarkStart w:id="19" w:name="_GoBack"/>
      <w:r>
        <w:rPr>
          <w:rFonts w:eastAsia="Times New Roman" w:cs="Times New Roman"/>
          <w:b/>
          <w:color w:val="000000"/>
          <w:szCs w:val="24"/>
        </w:rPr>
        <w:t xml:space="preserve">Introduction </w:t>
      </w:r>
    </w:p>
    <w:p w14:paraId="0000000C">
      <w:pPr>
        <w:spacing w:after="0" w:line="360" w:lineRule="auto"/>
        <w:ind w:firstLine="720"/>
        <w:rPr>
          <w:rFonts w:eastAsia="Times New Roman" w:cs="Times New Roman"/>
          <w:color w:val="000000"/>
          <w:szCs w:val="24"/>
        </w:rPr>
      </w:pPr>
      <w:r>
        <w:rPr>
          <w:rFonts w:eastAsia="Times New Roman" w:cs="Times New Roman"/>
          <w:color w:val="000000"/>
          <w:szCs w:val="24"/>
        </w:rPr>
        <w:t xml:space="preserve">The essay is on the topic “How can Human-Machine Interaction (HMI) enhance the driver’s experiential perception </w:t>
      </w:r>
      <w:r>
        <w:rPr>
          <w:rFonts w:eastAsia="Times New Roman" w:cs="Times New Roman"/>
          <w:szCs w:val="24"/>
        </w:rPr>
        <w:t>of "Speed "</w:t>
      </w:r>
      <w:r>
        <w:rPr>
          <w:rFonts w:eastAsia="Times New Roman" w:cs="Times New Roman"/>
          <w:color w:val="000000"/>
          <w:szCs w:val="24"/>
        </w:rPr>
        <w:t xml:space="preserve">. The main point of this topic revolves around the reasons for the driver's speed experience to be enhanced and why should the experience be enhanced by HMI.  With the development of today's technology, the car interior is gradually becoming more intelligent, focusing on the car system and human-machine interaction system. Society is currently adopting the essence of Industry 5.0. Industry 5.0 is part of the larger 5.0 society that wants to adopt a society that would be super smart and intelligent but with human centricity (Leng </w:t>
      </w:r>
      <w:r>
        <w:rPr>
          <w:rFonts w:eastAsia="Times New Roman" w:cs="Times New Roman"/>
          <w:i/>
          <w:color w:val="000000"/>
          <w:szCs w:val="24"/>
        </w:rPr>
        <w:t>et al.</w:t>
      </w:r>
      <w:r>
        <w:rPr>
          <w:rFonts w:eastAsia="Times New Roman" w:cs="Times New Roman"/>
          <w:color w:val="000000"/>
          <w:szCs w:val="24"/>
        </w:rPr>
        <w:t xml:space="preserve">, 2022). It leverages advanced technologies such as robotics, the Internet of Things, artificial intelligence, and extended reality in order to resolve many issues that prevail in society (Mourtzis, Angelopoulos and Panopoulos, 2023). This means that in the current and upcoming society, the concept of human-machine interfaces or HMI will be of focus and will try to improve this collaboration between robots and humans. This can be seen possibly in all industries, especially the manufacturing industry (Mourtzis, Angelopoulos and Panopoulos, 2023). As autonomous driving technology continues to evolve, HMI will soon start becoming more important for the drivers to interact with the vehicle information. </w:t>
      </w:r>
    </w:p>
    <w:p w14:paraId="0000000D">
      <w:pPr>
        <w:spacing w:after="0" w:line="360" w:lineRule="auto"/>
        <w:ind w:firstLine="720"/>
        <w:rPr>
          <w:rFonts w:eastAsia="Times New Roman" w:cs="Times New Roman"/>
          <w:color w:val="000000"/>
          <w:szCs w:val="24"/>
        </w:rPr>
      </w:pPr>
      <w:r>
        <w:rPr>
          <w:rFonts w:eastAsia="Times New Roman" w:cs="Times New Roman"/>
          <w:color w:val="000000"/>
          <w:szCs w:val="24"/>
        </w:rPr>
        <w:t xml:space="preserve">HMI helps drivers communicate with the system of the vehicle in real-time, without having to depend on the interface when they are driving. It helps exchange information and converts the information into data. Some important features that HMI offers are augmented reality, voice control, custom design and gesture control (Zhang, Liao and Tu, 2022). In the current times, HMI technology used in automotive vehicles is limited to mid to high-end energy vehicles and there are chances of further growth. HMI tends to connect the driver and the car, but also the outside world to both of them, allowing better processing of surrounding environment information relevant to safe and controlled driving. HMI is developing rapidly and keeps updating the technology for making vehicle improvements. This can enhance the driver's driving experience tremendously. Speed experience cannot be avoided for drivers, whether the safety or driving experience, speed is essential for both. The focus of this research is thus, on speed and experience. It talks about the visualisation and materialisation of speed and highlights the perception of experience for different groups. Such as the feeling associated with speed like the impact of fast or slow speed as well as catching speed. </w:t>
      </w:r>
    </w:p>
    <w:p w14:paraId="0000000E">
      <w:pPr>
        <w:spacing w:after="0" w:line="360" w:lineRule="auto"/>
        <w:ind w:firstLine="720"/>
        <w:rPr>
          <w:rFonts w:eastAsia="Times New Roman" w:cs="Times New Roman"/>
          <w:b/>
          <w:color w:val="000000"/>
          <w:szCs w:val="24"/>
        </w:rPr>
      </w:pPr>
      <w:r>
        <w:rPr>
          <w:rFonts w:eastAsia="Times New Roman" w:cs="Times New Roman"/>
          <w:color w:val="000000"/>
          <w:szCs w:val="24"/>
        </w:rPr>
        <w:t xml:space="preserve">Therefore, this essay examines the philosophical foundation of the proposed work around HMI, showcasing how different elements give shape to the research and the overall approach. The essay starts with an introductory paragraph which is followed by a discussion of the importance of philosophical foundation while introducing key terms. The next section focuses on the worldview and the story of my work. The following section talks about how I know what I know and the ontological stances. The final section is the conclusion paragraph about the important lessons. </w:t>
      </w:r>
    </w:p>
    <w:p w14:paraId="0000000F">
      <w:pPr>
        <w:spacing w:after="0" w:line="360" w:lineRule="auto"/>
        <w:rPr>
          <w:rFonts w:eastAsia="Times New Roman" w:cs="Times New Roman"/>
          <w:b/>
          <w:color w:val="000000"/>
          <w:szCs w:val="24"/>
        </w:rPr>
      </w:pPr>
      <w:r>
        <w:rPr>
          <w:rFonts w:eastAsia="Times New Roman" w:cs="Times New Roman"/>
          <w:b/>
          <w:color w:val="000000"/>
          <w:szCs w:val="24"/>
        </w:rPr>
        <w:t xml:space="preserve">Importance of Philosophical foundations </w:t>
      </w:r>
    </w:p>
    <w:p w14:paraId="00000010">
      <w:pPr>
        <w:spacing w:after="0" w:line="360" w:lineRule="auto"/>
        <w:ind w:firstLine="720"/>
        <w:rPr>
          <w:rFonts w:eastAsia="Times New Roman" w:cs="Times New Roman"/>
          <w:color w:val="000000"/>
          <w:szCs w:val="24"/>
        </w:rPr>
      </w:pPr>
      <w:r>
        <w:rPr>
          <w:rFonts w:eastAsia="Times New Roman" w:cs="Times New Roman"/>
          <w:color w:val="000000"/>
          <w:szCs w:val="24"/>
        </w:rPr>
        <w:t xml:space="preserve">Existentialism is a philosophical doctrine that believes in human freedom and there is a belief that with this freedom, individuals also get some responsibilities.  Existentialism believes that every individual is free to make their own life choices and it is upon them, what they want their life to be (Aberšek, 2024). Hence, it talks about free choices. This simply means that people create meaning for their lives with the choices they make and the decisions they make. They create meaning through their own choices and actions. There is another belief among the existentialists regarding the self, in which they consider that the self is not a thing or a substance which has some essence or some pre-given nature. On the other hand, they believe that the self is a situated activity where humans are always trying to create a meaning of themselves or the self, as life unfolds (Aho, 2023). This typically means that for individuals the essence is not given in advance, but they are thrown into existence, whereby it is up to them how they want to ‘create’ themselves.  </w:t>
      </w:r>
    </w:p>
    <w:p w14:paraId="00000011">
      <w:pPr>
        <w:spacing w:after="0" w:line="360" w:lineRule="auto"/>
        <w:ind w:firstLine="720"/>
        <w:rPr>
          <w:rFonts w:eastAsia="Times New Roman" w:cs="Times New Roman"/>
          <w:color w:val="000000"/>
          <w:szCs w:val="24"/>
        </w:rPr>
      </w:pPr>
      <w:r>
        <w:rPr>
          <w:rFonts w:eastAsia="Times New Roman" w:cs="Times New Roman"/>
          <w:color w:val="000000"/>
          <w:szCs w:val="24"/>
        </w:rPr>
        <w:t>In this accord, the speed is understood from this philosophy in a better way. Speed here can be another word for the freedom that the driver experiences. This is because here the driver has the capability to make any decision regarding control, which is aligned with humans having their own freedom of making choices. Simply put, cars will not only be a way to travel or a simple vehicle, but it is also how the driver will be able to express themselves fully, based on their will. Similarly, as already described above, the freedom or decisions to make own choices also has responsibility, and that representative here will be to take care of actions in such a way that will not have negative consequences while driving. This is because there are many dangers of speeding a car. However, as this is an HMI, there is some duality which helps keep the driver much more grounded and closer to the safety features that help them be aware of the reality of the roads. Along with feeling empowered, the HMI feature offers them feedback and warnings about cars, roads and barking conditions which are helpful.</w:t>
      </w:r>
    </w:p>
    <w:p w14:paraId="00000012">
      <w:pPr>
        <w:spacing w:after="0" w:line="360" w:lineRule="auto"/>
        <w:ind w:firstLine="720"/>
        <w:rPr>
          <w:rFonts w:eastAsia="Times New Roman" w:cs="Times New Roman"/>
          <w:color w:val="000000"/>
          <w:szCs w:val="24"/>
        </w:rPr>
      </w:pPr>
      <w:r>
        <w:rPr>
          <w:rFonts w:eastAsia="Times New Roman" w:cs="Times New Roman"/>
          <w:color w:val="000000"/>
          <w:szCs w:val="24"/>
        </w:rPr>
        <w:t xml:space="preserve">On the other hand, there is another type of philosophy which is called phenomenology which believes in analysing and describing any phenomena, in the way things tend to appear. Thus, a good understanding of phenomenological philosophy allows any researcher to get an enhanced understanding of their subjects and their experiences, in different ways which is otherwise not possible (Cudjoe, 2023).it is a type of qualitative research which focuses on studying the lived experiences of the individual in their lifetime. The main goal of this philosophy is to describe the meaning of these experiences, in terms of how the experiences happened and what kind of experiences happened. Many different forms of phenomenology </w:t>
      </w:r>
      <w:r>
        <w:rPr>
          <w:rFonts w:eastAsia="Times New Roman" w:cs="Times New Roman"/>
          <w:szCs w:val="24"/>
        </w:rPr>
        <w:t>exist</w:t>
      </w:r>
      <w:r>
        <w:rPr>
          <w:rFonts w:eastAsia="Times New Roman" w:cs="Times New Roman"/>
          <w:color w:val="000000"/>
          <w:szCs w:val="24"/>
        </w:rPr>
        <w:t xml:space="preserve"> which </w:t>
      </w:r>
      <w:r>
        <w:rPr>
          <w:rFonts w:eastAsia="Times New Roman" w:cs="Times New Roman"/>
          <w:szCs w:val="24"/>
        </w:rPr>
        <w:t>help</w:t>
      </w:r>
      <w:r>
        <w:rPr>
          <w:rFonts w:eastAsia="Times New Roman" w:cs="Times New Roman"/>
          <w:color w:val="000000"/>
          <w:szCs w:val="24"/>
        </w:rPr>
        <w:t xml:space="preserve"> individuals to make meaning of the world related to what and how of human experiences (Neubauer, Witkop and Varpio, 2019). From this perspective, I can say that with that drivers will get the experience of driving through the speed which is a very emotional and sensory experience. For example, if I am the driver and I drive this car, I get excited by the noise of the engine, the feeling of accelerating the car, or another sound that comes from the roads. These are the experiences which humans go through, and it is not just how humans think about speed in general, but how they feel the experience within themselves and their bodies. </w:t>
      </w:r>
    </w:p>
    <w:p w14:paraId="00000013">
      <w:pPr>
        <w:spacing w:after="0" w:line="360" w:lineRule="auto"/>
        <w:ind w:firstLine="720"/>
        <w:rPr>
          <w:rFonts w:eastAsia="Times New Roman" w:cs="Times New Roman"/>
          <w:color w:val="000000"/>
          <w:szCs w:val="24"/>
        </w:rPr>
      </w:pPr>
      <w:r>
        <w:rPr>
          <w:rFonts w:eastAsia="Times New Roman" w:cs="Times New Roman"/>
          <w:color w:val="000000"/>
          <w:szCs w:val="24"/>
        </w:rPr>
        <w:t xml:space="preserve">Just like phenomenology and existentialism, Humanism is also another philosophical framework which influences many studies in the social sciences and arts. Humanism simply is human-centred and it talks about the importance of humane experiences, and human nature and the potential that they have. Humanism reduced the importance of the divine to the human man along with opposing any type of religious beliefs or dogmas (Hankins, 2007). It considered that philosophy should not be connected to human beings as a biological entity that was created as an evolutionary process, without any heavenly or spiritual process. It essentially believes that human beings are worthy; they are important, valuable and dignified and focus on the growth, creativity and self-actualisation of human beings (Cartwright and Mantegna, 2020). This means that just like best driving will present a unique emotional journey, it will also ensure the driver’s safety, and comfort. Moreover, when the design of the car and speed are maintained and integrated in an appropriate manner it can result in the driver achieving their higher needs fulfilment and self-actualisation needs, as it fulfils their emotional experiences. With this high potential, the human driver is able to achieve their own safety and others on the road. </w:t>
      </w:r>
    </w:p>
    <w:p w14:paraId="00000014">
      <w:pPr>
        <w:spacing w:after="0" w:line="360" w:lineRule="auto"/>
        <w:rPr>
          <w:rFonts w:eastAsia="Times New Roman" w:cs="Times New Roman"/>
          <w:b/>
          <w:color w:val="000000"/>
          <w:szCs w:val="24"/>
        </w:rPr>
      </w:pPr>
      <w:r>
        <w:rPr>
          <w:rFonts w:eastAsia="Times New Roman" w:cs="Times New Roman"/>
          <w:b/>
          <w:color w:val="000000"/>
          <w:szCs w:val="24"/>
        </w:rPr>
        <w:t xml:space="preserve">Worldview </w:t>
      </w:r>
    </w:p>
    <w:p w14:paraId="00000015">
      <w:pPr>
        <w:spacing w:after="0" w:line="360" w:lineRule="auto"/>
        <w:rPr>
          <w:rFonts w:eastAsia="Times New Roman" w:cs="Times New Roman"/>
          <w:color w:val="000000"/>
          <w:szCs w:val="24"/>
        </w:rPr>
      </w:pPr>
      <w:r>
        <w:rPr>
          <w:rFonts w:eastAsia="Times New Roman" w:cs="Times New Roman"/>
          <w:b/>
          <w:i/>
          <w:color w:val="000000"/>
          <w:szCs w:val="24"/>
        </w:rPr>
        <w:t xml:space="preserve">Identification of Core Beliefs and Influences </w:t>
      </w:r>
    </w:p>
    <w:p w14:paraId="00000016">
      <w:pPr>
        <w:spacing w:after="0" w:line="360" w:lineRule="auto"/>
        <w:ind w:firstLine="720"/>
        <w:rPr>
          <w:rFonts w:eastAsia="Times New Roman" w:cs="Times New Roman"/>
          <w:color w:val="000000"/>
          <w:szCs w:val="24"/>
        </w:rPr>
      </w:pPr>
      <w:r>
        <w:rPr>
          <w:rFonts w:eastAsia="Times New Roman" w:cs="Times New Roman"/>
          <w:color w:val="000000"/>
          <w:szCs w:val="24"/>
        </w:rPr>
        <w:t xml:space="preserve">The belief in </w:t>
      </w:r>
      <w:r>
        <w:rPr>
          <w:rFonts w:eastAsia="Times New Roman" w:cs="Times New Roman"/>
          <w:b/>
          <w:i/>
          <w:color w:val="000000"/>
          <w:szCs w:val="24"/>
        </w:rPr>
        <w:t xml:space="preserve">humanism </w:t>
      </w:r>
      <w:r>
        <w:rPr>
          <w:rFonts w:eastAsia="Times New Roman" w:cs="Times New Roman"/>
          <w:color w:val="000000"/>
          <w:szCs w:val="24"/>
        </w:rPr>
        <w:t xml:space="preserve">is my first core area of worldview. Humanism considers that humans are more valuable and have their existence which is important. Humanism also believes that non-human life does not have a soul or a mind and thus is </w:t>
      </w:r>
      <w:r>
        <w:rPr>
          <w:rFonts w:eastAsia="Times New Roman" w:cs="Times New Roman"/>
          <w:i/>
          <w:color w:val="000000"/>
          <w:szCs w:val="24"/>
        </w:rPr>
        <w:t>automata</w:t>
      </w:r>
      <w:r>
        <w:rPr>
          <w:rFonts w:eastAsia="Times New Roman" w:cs="Times New Roman"/>
          <w:color w:val="000000"/>
          <w:szCs w:val="24"/>
        </w:rPr>
        <w:t xml:space="preserve"> (Davidson, 2021). Humans are separated from divinity and religious spiritual practices. Humanism believes that human beings are capable enough to exercise their autonomy and can thus, grow. Therefore, it is believed under humanism that because humans have experienced, those experiences and emotions form the basis for all types of arts, design, innovation and solving all kinds of problems in the world. Thus, the core belief of humanism or human-centred design largely formed based on this simple worldview. Since humans are the most essential part, that means the type of design for a car cannot just be based on the functional system but provide an experience that would not be one-sided but will be holistic. This holistic experience will, thus, shape the way the driver feels their emotions. </w:t>
      </w:r>
    </w:p>
    <w:p w14:paraId="00000017">
      <w:pPr>
        <w:spacing w:after="0" w:line="360" w:lineRule="auto"/>
        <w:ind w:firstLine="720"/>
        <w:rPr>
          <w:rFonts w:eastAsia="Times New Roman" w:cs="Times New Roman"/>
          <w:color w:val="000000"/>
          <w:szCs w:val="24"/>
        </w:rPr>
      </w:pPr>
      <w:r>
        <w:rPr>
          <w:rFonts w:eastAsia="Times New Roman" w:cs="Times New Roman"/>
          <w:color w:val="000000"/>
          <w:szCs w:val="24"/>
        </w:rPr>
        <w:t xml:space="preserve">Another part of humanism which enthusiasts me is the importance that is given to personal human choices and autonomy. When talking about the importance of human choices, it can directly relate to designing a car in a certain way because the driver has the discretion of driving the car the way they want. This means that the driver can create experiences that would help them express themselves better with the help of the car. For example, when humans and machines interact for a car design, the driver is able to engage very well with the car such as new features, or the entire interactive or immersive system. At the same time, they are also able to ensure that they are safe and comfortable. There is a choice in how they would take this interaction. Instead </w:t>
      </w:r>
      <w:r>
        <w:rPr>
          <w:rFonts w:eastAsia="Times New Roman" w:cs="Times New Roman"/>
          <w:szCs w:val="24"/>
        </w:rPr>
        <w:t>of a car</w:t>
      </w:r>
      <w:r>
        <w:rPr>
          <w:rFonts w:eastAsia="Times New Roman" w:cs="Times New Roman"/>
          <w:color w:val="000000"/>
          <w:szCs w:val="24"/>
        </w:rPr>
        <w:t xml:space="preserve"> just being travelling equipment between point X and Y, this car would be used in a very meaningful manner with clear demarcations of choices. This way, the human perceptions and needs are the centre of the world. Hence, they are the starting point of this design, which connects speed, experiences, emotions, and freedom altogether. Therefore, in my worldview, humans take centre stage, while everything rests below humans. Therefore, for the design process, these needs and emotions are what are most important. Moreover, it also implies that apart from functional benefits, the knowledge of human ideas, experiences and emotions presents new ways in which humans can further experience meaningful interactions in automobiles and technology. This also shows that humans do not have simplistic thinking, but have complex emotions which also show their experiences in the world. </w:t>
      </w:r>
    </w:p>
    <w:p w14:paraId="00000018">
      <w:pPr>
        <w:spacing w:after="0" w:line="360" w:lineRule="auto"/>
        <w:ind w:firstLine="720"/>
        <w:rPr>
          <w:rFonts w:eastAsia="Times New Roman" w:cs="Times New Roman"/>
          <w:color w:val="000000"/>
          <w:szCs w:val="24"/>
        </w:rPr>
      </w:pPr>
      <w:r>
        <w:rPr>
          <w:rFonts w:eastAsia="Times New Roman" w:cs="Times New Roman"/>
          <w:color w:val="000000"/>
          <w:szCs w:val="24"/>
        </w:rPr>
        <w:t xml:space="preserve">Another core belief in my worldview is that </w:t>
      </w:r>
      <w:r>
        <w:rPr>
          <w:rFonts w:eastAsia="Times New Roman" w:cs="Times New Roman"/>
          <w:b/>
          <w:i/>
          <w:color w:val="000000"/>
          <w:szCs w:val="24"/>
        </w:rPr>
        <w:t>every-day experiences</w:t>
      </w:r>
      <w:r>
        <w:rPr>
          <w:rFonts w:eastAsia="Times New Roman" w:cs="Times New Roman"/>
          <w:color w:val="000000"/>
          <w:szCs w:val="24"/>
        </w:rPr>
        <w:t xml:space="preserve"> of the world are essential for designing. Just because humans are mortal beings who have many complex sensory and emotional experiences, there are also raw and everyday experiences that humans go through. Even before it is analysed or reflected upon, the raw ideas, perceptions and experiences are the ways in which humans experience things in this world. These pieces are formed before one starts to make sense of the world. When human and machine interaction systems are considered, then this means that the driver before analysing or thinking much deeper about the interactive system just starts feeling it first. They get the feeling that there is a seamless connection between the car and the driver. Hence, with all the detailed information that the HMI car system entails will not be something that will come to the mind of the driver first, because it will feel like a natural extension of the body of the driver. This experience knowledge which resembles the importance of everyday experience is important which will drive the interface of the design, being immersive and intuitive. </w:t>
      </w:r>
    </w:p>
    <w:p w14:paraId="00000019">
      <w:pPr>
        <w:spacing w:after="0" w:line="360" w:lineRule="auto"/>
        <w:ind w:firstLine="720"/>
        <w:rPr>
          <w:rFonts w:eastAsia="Times New Roman" w:cs="Times New Roman"/>
          <w:color w:val="000000"/>
          <w:szCs w:val="24"/>
        </w:rPr>
      </w:pPr>
      <w:r>
        <w:rPr>
          <w:rFonts w:eastAsia="Times New Roman" w:cs="Times New Roman"/>
          <w:color w:val="000000"/>
          <w:szCs w:val="24"/>
        </w:rPr>
        <w:t xml:space="preserve">The drivers’ perception of the speed is important here, as with the new design the driver will be able to experience different experiences at different speeds. They can also have the option to achieve a unique feeling of speed in the driving experience they wish. This means that the driver’s perception of speed is what we are talking about. They can get speed from accelerating on open highways, or de-accelerating during the peak hours of work when the city is crowded. Let’s consider the example of the ignition button flip from Lamborghini and the McLaren automotive company which launched the P1 flip instruments. McLaren’s design was created in such a way which gives the driver the feeling of driving a Formula 1 racing car, while Lamborghini gave the feeling of a driver driving a fighter jet (Endter, 2024). </w:t>
      </w:r>
      <w:r>
        <w:rPr>
          <w:rFonts w:eastAsia="Times New Roman" w:cs="Times New Roman"/>
          <w:szCs w:val="24"/>
        </w:rPr>
        <w:t>Although both</w:t>
      </w:r>
      <w:r>
        <w:rPr>
          <w:rFonts w:eastAsia="Times New Roman" w:cs="Times New Roman"/>
          <w:color w:val="000000"/>
          <w:szCs w:val="24"/>
        </w:rPr>
        <w:t xml:space="preserve"> the car designs have different parts, they </w:t>
      </w:r>
      <w:r>
        <w:rPr>
          <w:rFonts w:eastAsia="Times New Roman" w:cs="Times New Roman"/>
          <w:szCs w:val="24"/>
        </w:rPr>
        <w:t>offer</w:t>
      </w:r>
      <w:r>
        <w:rPr>
          <w:rFonts w:eastAsia="Times New Roman" w:cs="Times New Roman"/>
          <w:color w:val="000000"/>
          <w:szCs w:val="24"/>
        </w:rPr>
        <w:t xml:space="preserve"> the driver different experiences when compared to normal cars which are driven every day. Hence, with such HMI design considered, this new design will be created where unique experiences can be felt every single ride, from the point of view of the driver. Therefore, it can be said that such designs not only fulfil the functional needs of the car, but they also provide unique experiences that hit the driver’s senses. They feel they are in control of the car which is beyond the other experiences of the world. Therefore, even before reflecting upon what the driver will feel, they already feel the emotions connected to the speed inside their bodies. This is the point where the designing for HMI starts making it beneficial and experiential. </w:t>
      </w:r>
    </w:p>
    <w:p w14:paraId="0000001A">
      <w:pPr>
        <w:spacing w:after="0" w:line="360" w:lineRule="auto"/>
        <w:ind w:firstLine="720"/>
        <w:rPr>
          <w:rFonts w:eastAsia="Times New Roman" w:cs="Times New Roman"/>
          <w:color w:val="000000"/>
          <w:szCs w:val="24"/>
        </w:rPr>
      </w:pPr>
      <w:r>
        <w:rPr>
          <w:rFonts w:eastAsia="Times New Roman" w:cs="Times New Roman"/>
          <w:color w:val="000000"/>
          <w:szCs w:val="24"/>
        </w:rPr>
        <w:t>Another belief that influences my worldview is the matter of experience</w:t>
      </w:r>
      <w:r>
        <w:rPr>
          <w:rFonts w:eastAsia="Times New Roman" w:cs="Times New Roman"/>
          <w:b/>
          <w:i/>
          <w:color w:val="000000"/>
          <w:szCs w:val="24"/>
        </w:rPr>
        <w:t xml:space="preserve"> </w:t>
      </w:r>
      <w:r>
        <w:rPr>
          <w:rFonts w:eastAsia="Times New Roman" w:cs="Times New Roman"/>
          <w:color w:val="000000"/>
          <w:szCs w:val="24"/>
        </w:rPr>
        <w:t xml:space="preserve">and engagement of the driver with the car through </w:t>
      </w:r>
      <w:r>
        <w:rPr>
          <w:rFonts w:eastAsia="Times New Roman" w:cs="Times New Roman"/>
          <w:b/>
          <w:i/>
          <w:color w:val="000000"/>
          <w:szCs w:val="24"/>
        </w:rPr>
        <w:t>emotions</w:t>
      </w:r>
      <w:r>
        <w:rPr>
          <w:rFonts w:eastAsia="Times New Roman" w:cs="Times New Roman"/>
          <w:color w:val="000000"/>
          <w:szCs w:val="24"/>
        </w:rPr>
        <w:t xml:space="preserve">. It follows the belief that a car is not just a vehicle, but a bag of experience where the driver needs to be engaged with the car while driving. The car can be emotional for the driver, regardless of what type of car they drive, whether it is for adventure or luxury (Soza‐Parra, 2023). Then the focus of the car should be an area of the heart and emotions for the driver. These emotions also shape the experiences of the driver, where they feel more into the process of driving, altogether. The previous example of Lamborghini and McLaren showcases that even small designs can become big emotional elements for the driver, they have the ability to transform regular experiences into massive ones. These thus, create an experience that increases the energy and feeling of the driver. This way, the newly added features can enhance the emotional connections and engagement of the driver. </w:t>
      </w:r>
    </w:p>
    <w:p w14:paraId="0000001B">
      <w:pPr>
        <w:spacing w:after="0" w:line="360" w:lineRule="auto"/>
        <w:ind w:firstLine="720"/>
        <w:rPr>
          <w:rFonts w:eastAsia="Times New Roman" w:cs="Times New Roman"/>
          <w:color w:val="000000"/>
          <w:szCs w:val="24"/>
        </w:rPr>
      </w:pPr>
      <w:r>
        <w:rPr>
          <w:rFonts w:eastAsia="Times New Roman" w:cs="Times New Roman"/>
          <w:color w:val="000000"/>
          <w:szCs w:val="24"/>
        </w:rPr>
        <w:t xml:space="preserve">Drivers from different age groups might experience the HMI in different ways, and this is essential to get a better understanding of my worldview. This essentially will show different age groups experience the integration of technology and speed differently. Starting from the age of 18 until the age of 30 drivers or young drivers, experience this kind of driving in the sense of living a life of freedom and exercising their choices (Hyundai, no date). They also feel comfortable and excited when driving such a car, because it has high-performance features, is immersive, is interactive and is highly autonomous (Hartwich, Beggiato and Krems, 2018). These allow them to experience the thrilling feeling associated with driving. They further use features that allow them to tailor their choice of driving; this again gives them chances to exercise their own will of divisions. For these age groups, being comfortable is not important but exciting. On the contrary, when drivers between the age group of above 30 years are considered, they find the areas which will give them more comfort while driving. These drivers also search for the safety of the passenger including themselves and others on the road. This is because they understand the practicality of driving more than others. Even though it can be said that these age groups like the thrill that comes from high-speed cars or such high-performance cars, for them making a balance between thrill and control is more essential. Hence, when HMI is concerned for them, it should focus more on control and safety features like road conditions of the car, feedback system, features that help avoid collisions and so on. On the other hand, when drivers over the age of 60 are concerned, safety is most important, because of their age. Therefore, HMI needs to focus on designing the car in such a manner that would be easy for the drivers to handle. Since they naturally drive the safest way (Kim and Sivangula, 2024), HMI personalising for their safety can be very effective. However, the older a driver gets they feel threatened by the lack of control they get with vehicles which are mostly automated (Zhang, Yang and Robert, 2021). Therefore, to achieve the best emotional experience and trust among old drivers, personalisation needs to be undertaken in HMI focusing on what they want.  Therefore, it can be said that these are some of the core beliefs and the drivers of my influences that have shaped my worldview. </w:t>
      </w:r>
    </w:p>
    <w:p w14:paraId="0000001C">
      <w:pPr>
        <w:spacing w:after="0" w:line="360" w:lineRule="auto"/>
        <w:rPr>
          <w:rFonts w:eastAsia="Times New Roman" w:cs="Times New Roman"/>
          <w:color w:val="000000"/>
          <w:szCs w:val="24"/>
        </w:rPr>
      </w:pPr>
      <w:r>
        <w:rPr>
          <w:rFonts w:cs="Times New Roman"/>
          <w:szCs w:val="24"/>
        </w:rPr>
        <w:br w:type="page"/>
      </w:r>
    </w:p>
    <w:p w14:paraId="0000001D">
      <w:pPr>
        <w:spacing w:after="0" w:line="360" w:lineRule="auto"/>
        <w:rPr>
          <w:rFonts w:eastAsia="Times New Roman" w:cs="Times New Roman"/>
          <w:b/>
          <w:color w:val="000000"/>
          <w:szCs w:val="24"/>
        </w:rPr>
      </w:pPr>
      <w:r>
        <w:rPr>
          <w:rFonts w:eastAsia="Times New Roman" w:cs="Times New Roman"/>
          <w:b/>
          <w:color w:val="000000"/>
          <w:szCs w:val="24"/>
        </w:rPr>
        <w:t xml:space="preserve">Story of my work </w:t>
      </w:r>
    </w:p>
    <w:p w14:paraId="0000001E">
      <w:pPr>
        <w:spacing w:after="0" w:line="360" w:lineRule="auto"/>
        <w:rPr>
          <w:rFonts w:eastAsia="Times New Roman" w:cs="Times New Roman"/>
          <w:b/>
          <w:i/>
          <w:color w:val="000000"/>
          <w:szCs w:val="24"/>
        </w:rPr>
      </w:pPr>
      <w:r>
        <w:rPr>
          <w:rFonts w:eastAsia="Times New Roman" w:cs="Times New Roman"/>
          <w:b/>
          <w:i/>
          <w:color w:val="000000"/>
          <w:szCs w:val="24"/>
        </w:rPr>
        <w:t>Does your work have a story?</w:t>
      </w:r>
    </w:p>
    <w:p w14:paraId="0000001F">
      <w:pPr>
        <w:spacing w:after="0" w:line="360" w:lineRule="auto"/>
        <w:ind w:firstLine="720"/>
        <w:rPr>
          <w:rFonts w:eastAsia="Times New Roman" w:cs="Times New Roman"/>
          <w:color w:val="000000"/>
          <w:szCs w:val="24"/>
        </w:rPr>
      </w:pPr>
      <w:r>
        <w:rPr>
          <w:rFonts w:eastAsia="Times New Roman" w:cs="Times New Roman"/>
          <w:color w:val="000000"/>
          <w:szCs w:val="24"/>
        </w:rPr>
        <w:t xml:space="preserve">How one perceives speed is often demographically determined or at least some demographic factors indeed play central roles in shaping the perception of speed. To give a basic example, people from the younger generation (the key demographic factor here is ‘age’) prefers speed, as it makes driving a thrilling experience. Contrarily, relatively older people prefer security over thrill while driving and, hence, have a negative perception regarding speed. Here, speed is essentially associated with ‘fastness,’ which led relatively older people to equate speedy i.e., fast driving with danger or an essentially uncomfortable driving experience. As I am concerned here with human experience, as evident from the Worldview, the story of my work is essentially about the experience of speed. It appears that this association of speed with fastness and the eventual deterrence to it citing causes like ‘dangerous’ or ‘uncomfortable experience,’ at least in the older people, stems from an essential resistance to ‘thrill.’ Here, the idea of ‘thrill’ can be described as the outcome of an action that the actor is not accustomed to or something that </w:t>
      </w:r>
      <w:r>
        <w:rPr>
          <w:rFonts w:eastAsia="Times New Roman" w:cs="Times New Roman"/>
          <w:szCs w:val="24"/>
        </w:rPr>
        <w:t>is beyond</w:t>
      </w:r>
      <w:r>
        <w:rPr>
          <w:rFonts w:eastAsia="Times New Roman" w:cs="Times New Roman"/>
          <w:color w:val="000000"/>
          <w:szCs w:val="24"/>
        </w:rPr>
        <w:t xml:space="preserve"> his/her comfort zone (Buckley, 2018). In other words, thrill only comes when someone is doing something that is beyond his/her scheduled, cosy activities. Most people yet do not strive for that due to the reasons named above i.e., in short, thrill is always accompanied by a feeling of discomfort, as it is something beyond what the concerned individuals are habituated to. This is one of the essential premises of the story of my work. </w:t>
      </w:r>
    </w:p>
    <w:p w14:paraId="00000020">
      <w:pPr>
        <w:spacing w:after="0" w:line="360" w:lineRule="auto"/>
        <w:ind w:firstLine="720"/>
        <w:rPr>
          <w:rFonts w:eastAsia="Times New Roman" w:cs="Times New Roman"/>
          <w:color w:val="000000"/>
          <w:szCs w:val="24"/>
        </w:rPr>
      </w:pPr>
      <w:r>
        <w:rPr>
          <w:rFonts w:eastAsia="Times New Roman" w:cs="Times New Roman"/>
          <w:color w:val="000000"/>
          <w:szCs w:val="24"/>
        </w:rPr>
        <w:t xml:space="preserve">Now, an attempt can be made to improve the perception of speed regardless of the demographic factors that determine them. The fact that some people feel unsafe whenever driving or riding a vehicle that goes beyond the stipulated speed limit is the experience that needs to be addressed here to improve the perception of speed or, in terms of existential philosophy (will be described at length in the ‘Ontological Stance’ segment), transforming the consciousness of speed. This is regardless of demographic factors like age since the relatively younger people, though they like high-speed vehicles, are not beyond the paradigm of safe driving. One can say, thus, that this enterprise of improving the perception of speed involves balancing between safe driving and the thrill of driving (which is, up to now, considered essentially unsafe). This is the climax of the story of my work, which is self-perpetuating i.e., it will happen time and again, punctuated by the evolution of technology that will reach increasing heights of speed control as long as my work remains relevant. </w:t>
      </w:r>
    </w:p>
    <w:p w14:paraId="00000021">
      <w:pPr>
        <w:spacing w:after="0" w:line="360" w:lineRule="auto"/>
        <w:ind w:firstLine="720"/>
        <w:rPr>
          <w:rFonts w:eastAsia="Times New Roman" w:cs="Times New Roman"/>
          <w:color w:val="000000"/>
          <w:szCs w:val="24"/>
        </w:rPr>
      </w:pPr>
      <w:r>
        <w:rPr>
          <w:rFonts w:eastAsia="Times New Roman" w:cs="Times New Roman"/>
          <w:color w:val="000000"/>
          <w:szCs w:val="24"/>
        </w:rPr>
        <w:t xml:space="preserve">One can refer to “Speed and Politics,” a 1977 book by the French cultural theorist Paul Virilio to understand how the aspect of speed is ingrained in the idea of the modern state. This book is specifically relevant in this context since Virilio extensively discussed technological developments, specifically in transportation and communication, to show how they are related to control and power dynamics in the modern state (Gee, 2023). One of Virilio’s key assumptions is that speed </w:t>
      </w:r>
      <w:r>
        <w:rPr>
          <w:rFonts w:eastAsia="Times New Roman" w:cs="Times New Roman"/>
          <w:szCs w:val="24"/>
        </w:rPr>
        <w:t>in modern</w:t>
      </w:r>
      <w:r>
        <w:rPr>
          <w:rFonts w:eastAsia="Times New Roman" w:cs="Times New Roman"/>
          <w:color w:val="000000"/>
          <w:szCs w:val="24"/>
        </w:rPr>
        <w:t xml:space="preserve"> society needs to be understood as a political weapon or a tool to assert power (Matthewman, 2013). One of the best examples to defend this claim will be the practice in modern society to assess military might base on the ability to act swiftly i.e., in a capricious speed. Another of Virilio’s insights that is apt for the current purpose is that the evolution of human civilisation can be understood in terms of the evolution in acquiring control over speed (Matthewman, 2013; Gee, 2023). The best example for that will be communication or, to be precise, the evolution of communication technology where the principal focus is evidently in how fast the message to be conveyed is communicated. With the discovery of Gutenberg press in 1440 and putting it in commercial use in 1454, for example, not only the speed of news has been increased but acceleration in sharing knowledge has also been traced (Füssel, 2001; Nowlin, 2023). With the latest advancement of communication technology, moreover, especially with social media, messages can be spread and communicated in seconds. This proves that the control over speed is one of the prerogatives </w:t>
      </w:r>
      <w:r>
        <w:rPr>
          <w:rFonts w:eastAsia="Times New Roman" w:cs="Times New Roman"/>
          <w:szCs w:val="24"/>
        </w:rPr>
        <w:t>that modern</w:t>
      </w:r>
      <w:r>
        <w:rPr>
          <w:rFonts w:eastAsia="Times New Roman" w:cs="Times New Roman"/>
          <w:color w:val="000000"/>
          <w:szCs w:val="24"/>
        </w:rPr>
        <w:t xml:space="preserve"> society </w:t>
      </w:r>
      <w:r>
        <w:rPr>
          <w:rFonts w:eastAsia="Times New Roman" w:cs="Times New Roman"/>
          <w:szCs w:val="24"/>
        </w:rPr>
        <w:t>has</w:t>
      </w:r>
      <w:r>
        <w:rPr>
          <w:rFonts w:eastAsia="Times New Roman" w:cs="Times New Roman"/>
          <w:color w:val="000000"/>
          <w:szCs w:val="24"/>
        </w:rPr>
        <w:t xml:space="preserve"> always thrived for and, perhaps, the push for technological advancements also came from there. This can be reiterated in the context of transportation technology as well, and, thus, is relevant for the context. In other words, to reach the climax of the story of my work – i.e., balancing safety and thrill related to speed – one needs to think it over through how technological advancements led to superior control over speed of vehicles. </w:t>
      </w:r>
    </w:p>
    <w:p w14:paraId="00000022">
      <w:pPr>
        <w:spacing w:after="0" w:line="360" w:lineRule="auto"/>
        <w:ind w:firstLine="720"/>
        <w:rPr>
          <w:rFonts w:eastAsia="Times New Roman" w:cs="Times New Roman"/>
          <w:color w:val="000000"/>
          <w:szCs w:val="24"/>
        </w:rPr>
      </w:pPr>
      <w:r>
        <w:rPr>
          <w:rFonts w:eastAsia="Times New Roman" w:cs="Times New Roman"/>
          <w:color w:val="000000"/>
          <w:szCs w:val="24"/>
        </w:rPr>
        <w:t xml:space="preserve">One must </w:t>
      </w:r>
      <w:r>
        <w:rPr>
          <w:rFonts w:eastAsia="Times New Roman" w:cs="Times New Roman"/>
          <w:szCs w:val="24"/>
        </w:rPr>
        <w:t>admit here</w:t>
      </w:r>
      <w:r>
        <w:rPr>
          <w:rFonts w:eastAsia="Times New Roman" w:cs="Times New Roman"/>
          <w:color w:val="000000"/>
          <w:szCs w:val="24"/>
        </w:rPr>
        <w:t xml:space="preserve"> that encouraging the younger generation to drive safely via greater control over speed is understandable. However, it might appear a little confusing when one ponders how greater control over speed is related to offering the relatively older people the </w:t>
      </w:r>
      <w:r>
        <w:rPr>
          <w:rFonts w:eastAsia="Times New Roman" w:cs="Times New Roman"/>
          <w:szCs w:val="24"/>
        </w:rPr>
        <w:t>taste of the</w:t>
      </w:r>
      <w:r>
        <w:rPr>
          <w:rFonts w:eastAsia="Times New Roman" w:cs="Times New Roman"/>
          <w:color w:val="000000"/>
          <w:szCs w:val="24"/>
        </w:rPr>
        <w:t xml:space="preserve"> thrill of driving at a standard speed without feeling unsafe. Here, once again, one needs to stress the idea of thrill described above and how it is related to the notion of speed, as propounded by Virilio. Virilio sees speed as a mechanism of power since, briefly put, higher (or sophisticated) control over speed leads to greater command over time and space (Chatterjee, 2024). The fact that people have a feeling of comfort in performing tasks they are accustomed with or a feeling of security when driving slowly since they feel a greater grip </w:t>
      </w:r>
      <w:r>
        <w:rPr>
          <w:rFonts w:eastAsia="Times New Roman" w:cs="Times New Roman"/>
          <w:szCs w:val="24"/>
        </w:rPr>
        <w:t>over space</w:t>
      </w:r>
      <w:r>
        <w:rPr>
          <w:rFonts w:eastAsia="Times New Roman" w:cs="Times New Roman"/>
          <w:color w:val="000000"/>
          <w:szCs w:val="24"/>
        </w:rPr>
        <w:t xml:space="preserve"> and time. For instance, while driving slowly, cars maintain a standard distance between the car ahead or behind. Similarly, by driving slowly, one has the idea of the time needed to avoid a collision or reduce the thrust of collision. Now, with an Analog car interface, the driver only has a hypothetical idea of the time and space i.e., he/she needs to rely solely on trained intuition or muscle memory (Maćkiewicz, Kuś and Hensel, 2023). Latest technologies, such as the human-machine interface (HMI) solutions, enables the driver not only to engage with the interior of the vehicle but also with the exterior smartly. In other words, with the latest digital car interfaces, the driver has a concrete idea, instead of a hypothetical one, of the time and space. Now, as noted above, this greater command on the time and space is tantamount to empowering the relatively older drivers where they will enjoy the thrill of speed without </w:t>
      </w:r>
      <w:r>
        <w:rPr>
          <w:rFonts w:eastAsia="Times New Roman" w:cs="Times New Roman"/>
          <w:szCs w:val="24"/>
        </w:rPr>
        <w:t>involving unsafe</w:t>
      </w:r>
      <w:r>
        <w:rPr>
          <w:rFonts w:eastAsia="Times New Roman" w:cs="Times New Roman"/>
          <w:color w:val="000000"/>
          <w:szCs w:val="24"/>
        </w:rPr>
        <w:t xml:space="preserve"> driving.    </w:t>
      </w:r>
    </w:p>
    <w:p w14:paraId="00000023">
      <w:pPr>
        <w:spacing w:after="0" w:line="360" w:lineRule="auto"/>
        <w:rPr>
          <w:rFonts w:eastAsia="Times New Roman" w:cs="Times New Roman"/>
          <w:b/>
          <w:i/>
          <w:color w:val="000000"/>
          <w:szCs w:val="24"/>
        </w:rPr>
      </w:pPr>
      <w:r>
        <w:rPr>
          <w:rFonts w:eastAsia="Times New Roman" w:cs="Times New Roman"/>
          <w:b/>
          <w:i/>
          <w:color w:val="000000"/>
          <w:szCs w:val="24"/>
        </w:rPr>
        <w:t>Acknowledging biases</w:t>
      </w:r>
    </w:p>
    <w:p w14:paraId="00000024">
      <w:pPr>
        <w:spacing w:after="0" w:line="360" w:lineRule="auto"/>
        <w:ind w:firstLine="720"/>
        <w:rPr>
          <w:rFonts w:eastAsia="Times New Roman" w:cs="Times New Roman"/>
          <w:color w:val="000000"/>
          <w:szCs w:val="24"/>
        </w:rPr>
      </w:pPr>
      <w:r>
        <w:rPr>
          <w:rFonts w:eastAsia="Times New Roman" w:cs="Times New Roman"/>
          <w:color w:val="000000"/>
          <w:szCs w:val="24"/>
        </w:rPr>
        <w:t xml:space="preserve">This story of my work indeed has some biases. The primary among them can be the assumption that younger people essentially prefer speed or fastness and the older people do not prefer it. Though it is a common phenomenon and resonates with the lived experience of most of the younger or older people, there is no objective evidence as such to substantiate this foundational role of age in shaping perceptions about speed. However, in the tradition of existential philosophy, social phenomena are not to be studied </w:t>
      </w:r>
      <w:r>
        <w:rPr>
          <w:rFonts w:eastAsia="Times New Roman" w:cs="Times New Roman"/>
          <w:szCs w:val="24"/>
        </w:rPr>
        <w:t>objectively</w:t>
      </w:r>
      <w:r>
        <w:rPr>
          <w:rFonts w:eastAsia="Times New Roman" w:cs="Times New Roman"/>
          <w:color w:val="000000"/>
          <w:szCs w:val="24"/>
        </w:rPr>
        <w:t xml:space="preserve">, as one of its principal assumptions is that reality of a specific individual is shaped by the individual’s lived </w:t>
      </w:r>
      <w:r>
        <w:rPr>
          <w:rFonts w:eastAsia="Times New Roman" w:cs="Times New Roman"/>
          <w:szCs w:val="24"/>
        </w:rPr>
        <w:t>experience</w:t>
      </w:r>
      <w:r>
        <w:rPr>
          <w:rFonts w:eastAsia="Times New Roman" w:cs="Times New Roman"/>
          <w:color w:val="000000"/>
          <w:szCs w:val="24"/>
        </w:rPr>
        <w:t xml:space="preserve">. The assumption somewhat resonates with the key assumptions of Social Constructivism where, briefly put, reality is said to be constructed through the shared feelings, values, and experiences (Mapuya, 2021). Thus, there is indeed a considerable number of older people that deem speed as something dangerous or uncomfortable, as they are not only accustomed to slowness but also share that feeling with other like-minded people. </w:t>
      </w:r>
    </w:p>
    <w:p w14:paraId="00000025">
      <w:pPr>
        <w:spacing w:after="0" w:line="360" w:lineRule="auto"/>
        <w:ind w:firstLine="720"/>
        <w:rPr>
          <w:rFonts w:eastAsia="Times New Roman" w:cs="Times New Roman"/>
          <w:color w:val="000000"/>
          <w:szCs w:val="24"/>
        </w:rPr>
      </w:pPr>
      <w:r>
        <w:rPr>
          <w:rFonts w:eastAsia="Times New Roman" w:cs="Times New Roman"/>
          <w:color w:val="000000"/>
          <w:szCs w:val="24"/>
        </w:rPr>
        <w:t xml:space="preserve">Nevertheless, since no objective evidence can be furnished in favour of that, this story of mine attempted to reach a conclusion where the perceptions about speed can be transformed regardless of age. In other words, the story of my work, as told above, challenges the somewhat facile association of speed with fastness and eventually with danger and discomfort. Hence, it stressed technological advancements that allows drivers to be safe while experiencing the thrill related to speed. One can also argue that the idea of ‘thrill’ presented here is biased, as there will obviously be some people that can find thrill induced by speed even in their mundane, everyday life. This can be challenged by suggesting that, irrespective of whether they gather feelings of thrill from their everyday lives or not, there is thrill in doing something that they usually do not do unquestionably. For example, when the people that usually stay at home ride a roller coaster, they undoubtedly experience thrill and, thus, the question of whether they experience the same thrill in their everyday activities or not becomes irrelevant here. The story of my work presented here attempts to prove that technological advancements transform the idea about speed by enabling greater control over it. With such an interface, a young adult can feel that he/she is participating in a race where, in effect, he/she is abiding by the stipulated speed limits. Similarly, with greater command over time and space, the old people will have the absent feeling of safety that typically deterred them from speed. </w:t>
      </w:r>
    </w:p>
    <w:p w14:paraId="00000026">
      <w:pPr>
        <w:spacing w:after="0" w:line="360" w:lineRule="auto"/>
        <w:rPr>
          <w:rFonts w:eastAsia="Times New Roman" w:cs="Times New Roman"/>
          <w:b/>
          <w:color w:val="000000"/>
          <w:szCs w:val="24"/>
        </w:rPr>
      </w:pPr>
      <w:r>
        <w:rPr>
          <w:rFonts w:eastAsia="Times New Roman" w:cs="Times New Roman"/>
          <w:b/>
          <w:color w:val="000000"/>
          <w:szCs w:val="24"/>
        </w:rPr>
        <w:t>Epistemological stance (How do I know what I know)</w:t>
      </w:r>
    </w:p>
    <w:p w14:paraId="00000027">
      <w:pPr>
        <w:spacing w:after="0" w:line="360" w:lineRule="auto"/>
        <w:rPr>
          <w:rFonts w:eastAsia="Times New Roman" w:cs="Times New Roman"/>
          <w:b/>
          <w:i/>
          <w:color w:val="000000"/>
          <w:szCs w:val="24"/>
        </w:rPr>
      </w:pPr>
      <w:r>
        <w:rPr>
          <w:rFonts w:eastAsia="Times New Roman" w:cs="Times New Roman"/>
          <w:b/>
          <w:i/>
          <w:color w:val="000000"/>
          <w:szCs w:val="24"/>
        </w:rPr>
        <w:t xml:space="preserve">Finding reliable information </w:t>
      </w:r>
    </w:p>
    <w:p w14:paraId="00000028">
      <w:pPr>
        <w:spacing w:after="0" w:line="360" w:lineRule="auto"/>
        <w:ind w:firstLine="720"/>
        <w:rPr>
          <w:rFonts w:eastAsia="Times New Roman" w:cs="Times New Roman"/>
          <w:color w:val="000000"/>
          <w:szCs w:val="24"/>
        </w:rPr>
      </w:pPr>
      <w:r>
        <w:rPr>
          <w:rFonts w:eastAsia="Times New Roman" w:cs="Times New Roman"/>
          <w:color w:val="000000"/>
          <w:szCs w:val="24"/>
        </w:rPr>
        <w:t xml:space="preserve">While stating my worldview, it has been already noted that the source of knowledge in the tradition of existential philosophy is everyday experience (Jedličková </w:t>
      </w:r>
      <w:r>
        <w:rPr>
          <w:rFonts w:eastAsia="Times New Roman" w:cs="Times New Roman"/>
          <w:i/>
          <w:color w:val="000000"/>
          <w:szCs w:val="24"/>
        </w:rPr>
        <w:t>et al</w:t>
      </w:r>
      <w:r>
        <w:rPr>
          <w:rFonts w:eastAsia="Times New Roman" w:cs="Times New Roman"/>
          <w:color w:val="000000"/>
          <w:szCs w:val="24"/>
        </w:rPr>
        <w:t xml:space="preserve">., 2022). As already stated above, moreover, it is pre-reflective in nature. In other words, epistemology in the domain of existentialism essentially strives for descriptions of the raw experience instead of its explanation highlighting causes and effects. Now, by deliberately being critical to epistemology that claims to generate objective knowledge (the philosophy of Positivism, for example, which is used to generate knowledge in science), the existential epistemology challenges rationalism (i.e., studying every phenomenon with reference to its cause and effect) (Heidenreich </w:t>
      </w:r>
      <w:r>
        <w:rPr>
          <w:rFonts w:eastAsia="Times New Roman" w:cs="Times New Roman"/>
          <w:i/>
          <w:color w:val="000000"/>
          <w:szCs w:val="24"/>
        </w:rPr>
        <w:t>et al</w:t>
      </w:r>
      <w:r>
        <w:rPr>
          <w:rFonts w:eastAsia="Times New Roman" w:cs="Times New Roman"/>
          <w:color w:val="000000"/>
          <w:szCs w:val="24"/>
        </w:rPr>
        <w:t xml:space="preserve">., 2021). To give an example, after a roller coaster ride, the raw experiences of the rider is prioritised here over explanatory paradigms (e.g., classical mechanics) that put the experiences into a common pattern to understand its nature. In other words, as stated above, here information rests on subjectivity, as experiences reveal the reality to a specific individual. From the social constructivist perspective, moreover, reality is perceived as an outcome of intersubjectivity (Zahavi, 2022). Simply put, people of a society shape its reality on the foundation of shared subjective experiences.  </w:t>
      </w:r>
    </w:p>
    <w:p w14:paraId="00000029">
      <w:pPr>
        <w:spacing w:after="0" w:line="360" w:lineRule="auto"/>
        <w:ind w:firstLine="720"/>
        <w:rPr>
          <w:rFonts w:eastAsia="Times New Roman" w:cs="Times New Roman"/>
          <w:color w:val="000000"/>
          <w:szCs w:val="24"/>
        </w:rPr>
      </w:pPr>
      <w:r>
        <w:rPr>
          <w:rFonts w:eastAsia="Times New Roman" w:cs="Times New Roman"/>
          <w:color w:val="000000"/>
          <w:szCs w:val="24"/>
        </w:rPr>
        <w:t xml:space="preserve">Thus, in the context of speed and car designs, the source of information is essentially </w:t>
      </w:r>
      <w:r>
        <w:rPr>
          <w:rFonts w:eastAsia="Times New Roman" w:cs="Times New Roman"/>
          <w:i/>
          <w:color w:val="000000"/>
          <w:szCs w:val="24"/>
        </w:rPr>
        <w:t>individual testimonies</w:t>
      </w:r>
      <w:r>
        <w:rPr>
          <w:rFonts w:eastAsia="Times New Roman" w:cs="Times New Roman"/>
          <w:color w:val="000000"/>
          <w:szCs w:val="24"/>
        </w:rPr>
        <w:t xml:space="preserve">, which in modern </w:t>
      </w:r>
      <w:r>
        <w:rPr>
          <w:rFonts w:eastAsia="Times New Roman" w:cs="Times New Roman"/>
          <w:szCs w:val="24"/>
        </w:rPr>
        <w:t>parlance is called</w:t>
      </w:r>
      <w:r>
        <w:rPr>
          <w:rFonts w:eastAsia="Times New Roman" w:cs="Times New Roman"/>
          <w:color w:val="000000"/>
          <w:szCs w:val="24"/>
        </w:rPr>
        <w:t xml:space="preserve"> User Experience (UX). UX can be roughly defined as the holistic experience of a person purchasing and using a product, which is usually articulated in terms of the relative ease of use or how pleasing </w:t>
      </w:r>
      <w:r>
        <w:rPr>
          <w:rFonts w:eastAsia="Times New Roman" w:cs="Times New Roman"/>
          <w:szCs w:val="24"/>
        </w:rPr>
        <w:t>it is</w:t>
      </w:r>
      <w:r>
        <w:rPr>
          <w:rFonts w:eastAsia="Times New Roman" w:cs="Times New Roman"/>
          <w:color w:val="000000"/>
          <w:szCs w:val="24"/>
        </w:rPr>
        <w:t xml:space="preserve"> to use (Zardari </w:t>
      </w:r>
      <w:r>
        <w:rPr>
          <w:rFonts w:eastAsia="Times New Roman" w:cs="Times New Roman"/>
          <w:i/>
          <w:color w:val="000000"/>
          <w:szCs w:val="24"/>
        </w:rPr>
        <w:t>et al</w:t>
      </w:r>
      <w:r>
        <w:rPr>
          <w:rFonts w:eastAsia="Times New Roman" w:cs="Times New Roman"/>
          <w:color w:val="000000"/>
          <w:szCs w:val="24"/>
        </w:rPr>
        <w:t xml:space="preserve">., 2021). As this essay is dealing with technological innovations in interface design, one can also stress the Technology Acceptance Model (TAM), which stressed ‘ease of use’ to be one of the key perceptions that influences adoption of information technology (IT) (Fedorko, Bacik and Gavurova, 2022). In case of in-car systems or car interfaces, for example, UX is focused on balancing technology with safety standards to reduce probable distractions and, thus, improve the concentration of the drivers (e.g., the dashboard speed display). </w:t>
      </w:r>
    </w:p>
    <w:p w14:paraId="0000002A">
      <w:pPr>
        <w:spacing w:after="0" w:line="360" w:lineRule="auto"/>
        <w:ind w:firstLine="720"/>
        <w:rPr>
          <w:rFonts w:eastAsia="Times New Roman" w:cs="Times New Roman"/>
          <w:color w:val="000000"/>
          <w:szCs w:val="24"/>
        </w:rPr>
      </w:pPr>
      <w:r>
        <w:rPr>
          <w:rFonts w:eastAsia="Times New Roman" w:cs="Times New Roman"/>
          <w:color w:val="000000"/>
          <w:szCs w:val="24"/>
        </w:rPr>
        <w:t xml:space="preserve">The individual testimonies proposed as the source of information can be gathered in various ways. For instance, as far as drivers are concerned, ethnographic research can be conducted where the way the drivers interact with the UX and the corresponding emotional states can be noted down (Ploder and Hamann, 2021). For these testimonies to inform UX design, one can conduct interviews with drivers or frequent riders to, for instance, gather information about their most memorable driving/riding experience or to know about their expectations about UX design. The designers can also think of arranging simulated drives to test the new interface based on several parameters such as ease of use, as mentioned above or cognitive barriers, if any, that cause distractions.  </w:t>
      </w:r>
    </w:p>
    <w:p w14:paraId="0000002B">
      <w:pPr>
        <w:spacing w:after="0" w:line="360" w:lineRule="auto"/>
        <w:rPr>
          <w:rFonts w:eastAsia="Times New Roman" w:cs="Times New Roman"/>
          <w:b/>
          <w:i/>
          <w:color w:val="000000"/>
          <w:szCs w:val="24"/>
        </w:rPr>
      </w:pPr>
      <w:r>
        <w:rPr>
          <w:rFonts w:cs="Times New Roman"/>
          <w:szCs w:val="24"/>
        </w:rPr>
        <w:br w:type="page"/>
      </w:r>
      <w:r>
        <w:rPr>
          <w:rFonts w:eastAsia="Times New Roman" w:cs="Times New Roman"/>
          <w:b/>
          <w:i/>
          <w:color w:val="000000"/>
          <w:szCs w:val="24"/>
        </w:rPr>
        <w:t>Openness to new ideas</w:t>
      </w:r>
    </w:p>
    <w:p w14:paraId="0000002C">
      <w:pPr>
        <w:spacing w:after="0" w:line="360" w:lineRule="auto"/>
        <w:ind w:firstLine="720"/>
        <w:rPr>
          <w:rFonts w:eastAsia="Times New Roman" w:cs="Times New Roman"/>
          <w:color w:val="000000"/>
          <w:szCs w:val="24"/>
        </w:rPr>
      </w:pPr>
      <w:r>
        <w:rPr>
          <w:rFonts w:eastAsia="Times New Roman" w:cs="Times New Roman"/>
          <w:color w:val="000000"/>
          <w:szCs w:val="24"/>
        </w:rPr>
        <w:t xml:space="preserve">While gathering information by applying the existential or phenomenological epistemology, one needs to maintain a certain openness to new ideas essentially because this way of gathering information is not flawless. For instance, with total disregard to objectivity by attributing importance only to the lived experience of the participants (drivers, frequent riders), this epistemology runs the risk of encouraging subjective bias (Pashak </w:t>
      </w:r>
      <w:r>
        <w:rPr>
          <w:rFonts w:eastAsia="Times New Roman" w:cs="Times New Roman"/>
          <w:i/>
          <w:color w:val="000000"/>
          <w:szCs w:val="24"/>
        </w:rPr>
        <w:t>et al</w:t>
      </w:r>
      <w:r>
        <w:rPr>
          <w:rFonts w:eastAsia="Times New Roman" w:cs="Times New Roman"/>
          <w:color w:val="000000"/>
          <w:szCs w:val="24"/>
        </w:rPr>
        <w:t xml:space="preserve">., 2023). In other words, the subjective experiences of the participants can shape the worldview of the one connecting the information and, thus, contaminate the findings with a subjective bias. It might be also evident from this that these findings will lack objectivity and, thus, make it challenging to vouch for its generalisability (Pashak </w:t>
      </w:r>
      <w:r>
        <w:rPr>
          <w:rFonts w:eastAsia="Times New Roman" w:cs="Times New Roman"/>
          <w:i/>
          <w:color w:val="000000"/>
          <w:szCs w:val="24"/>
        </w:rPr>
        <w:t>et al</w:t>
      </w:r>
      <w:r>
        <w:rPr>
          <w:rFonts w:eastAsia="Times New Roman" w:cs="Times New Roman"/>
          <w:color w:val="000000"/>
          <w:szCs w:val="24"/>
        </w:rPr>
        <w:t xml:space="preserve">., 2023). The findings, in other words, will be valid only for a small population and, thus, they might not hold true for all </w:t>
      </w:r>
      <w:r>
        <w:rPr>
          <w:rFonts w:eastAsia="Times New Roman" w:cs="Times New Roman"/>
          <w:szCs w:val="24"/>
        </w:rPr>
        <w:t>populations</w:t>
      </w:r>
      <w:r>
        <w:rPr>
          <w:rFonts w:eastAsia="Times New Roman" w:cs="Times New Roman"/>
          <w:color w:val="000000"/>
          <w:szCs w:val="24"/>
        </w:rPr>
        <w:t xml:space="preserve"> in general. Contrary to the participants influencing the worldview of the researcher, there can also be possibilities of social desirability bias. Social desirability bias refers to the tendency to hide or underreport details pertaining to one’s attitudes or behaviours to appear socially acceptable (Kwak, Ma and Kim, 2021). Thus, as the primary sources of information here </w:t>
      </w:r>
      <w:r>
        <w:rPr>
          <w:rFonts w:eastAsia="Times New Roman" w:cs="Times New Roman"/>
          <w:szCs w:val="24"/>
        </w:rPr>
        <w:t>are the</w:t>
      </w:r>
      <w:r>
        <w:rPr>
          <w:rFonts w:eastAsia="Times New Roman" w:cs="Times New Roman"/>
          <w:color w:val="000000"/>
          <w:szCs w:val="24"/>
        </w:rPr>
        <w:t xml:space="preserve"> testimonies of the users, there is a possibility for the participants to overreport those attributes that might create a desirable image of them to the researcher. </w:t>
      </w:r>
    </w:p>
    <w:p w14:paraId="0000002D">
      <w:pPr>
        <w:spacing w:after="0" w:line="360" w:lineRule="auto"/>
        <w:ind w:firstLine="720"/>
        <w:rPr>
          <w:rFonts w:eastAsia="Times New Roman" w:cs="Times New Roman"/>
          <w:color w:val="000000"/>
          <w:szCs w:val="24"/>
        </w:rPr>
      </w:pPr>
      <w:r>
        <w:rPr>
          <w:rFonts w:eastAsia="Times New Roman" w:cs="Times New Roman"/>
          <w:color w:val="000000"/>
          <w:szCs w:val="24"/>
        </w:rPr>
        <w:t xml:space="preserve">Here, openness to new ideas can refer to intentional attention to sets of data that contradict the findings of a phenomenological epistemology. For example, after getting the subjective interpretations related to UX, the information gatherer (i.e., me, in the current case) can think of triangulating it with supplementary findings gathered, for instance, through a survey. In the discipline of academic research, it is known as mixed-method research where, simply but, both subjective and objective insights are sought for to understand a specific social phenomenon. Survey is an expedient tool for this since it generates quantitative data and, thus, can introduce the desired objectivity in the essentially subjective dataset (Mazhar </w:t>
      </w:r>
      <w:r>
        <w:rPr>
          <w:rFonts w:eastAsia="Times New Roman" w:cs="Times New Roman"/>
          <w:i/>
          <w:color w:val="000000"/>
          <w:szCs w:val="24"/>
        </w:rPr>
        <w:t>et al</w:t>
      </w:r>
      <w:r>
        <w:rPr>
          <w:rFonts w:eastAsia="Times New Roman" w:cs="Times New Roman"/>
          <w:color w:val="000000"/>
          <w:szCs w:val="24"/>
        </w:rPr>
        <w:t xml:space="preserve">., 2021). </w:t>
      </w:r>
    </w:p>
    <w:p w14:paraId="0000002E">
      <w:pPr>
        <w:spacing w:after="0" w:line="360" w:lineRule="auto"/>
        <w:ind w:firstLine="720"/>
        <w:rPr>
          <w:rFonts w:eastAsia="Times New Roman" w:cs="Times New Roman"/>
          <w:color w:val="000000"/>
          <w:szCs w:val="24"/>
        </w:rPr>
      </w:pPr>
      <w:r>
        <w:rPr>
          <w:rFonts w:eastAsia="Times New Roman" w:cs="Times New Roman"/>
          <w:color w:val="000000"/>
          <w:szCs w:val="24"/>
        </w:rPr>
        <w:t xml:space="preserve">It is already noted that the epistemology of a phenomenological perspective to my work is pre-reflective i.e., it rendered description of raw experiences as its principal dataset. In this regard, to overcome this flaw inherent </w:t>
      </w:r>
      <w:r>
        <w:rPr>
          <w:rFonts w:eastAsia="Times New Roman" w:cs="Times New Roman"/>
          <w:szCs w:val="24"/>
        </w:rPr>
        <w:t>to epistemology</w:t>
      </w:r>
      <w:r>
        <w:rPr>
          <w:rFonts w:eastAsia="Times New Roman" w:cs="Times New Roman"/>
          <w:color w:val="000000"/>
          <w:szCs w:val="24"/>
        </w:rPr>
        <w:t xml:space="preserve">, one can think of entertaining some degree of reflection. This reflection can be mainly directed toward deciphering flaws in the basic assumptions (like I attempted to do in the previous segment) or the subjective biases that one has entertained somewhat unknowingly. Practically, researchers like me can think of maintaining a reflective journal where the results of questioning the assumptions or biases are recorded. On a more cognitive level, instead of taking the lived experience of myself or the participants as it is, attempts can be made to put it into certain perspectives. In other words, the collector of information must strive for contextualising the lived experiences so that it can be attached to an emerging pattern and, thus, attain some transparency. In summary, openness to new ideas must be exercised to save the findings from being subjected to biases and other flaws stated above. </w:t>
      </w:r>
    </w:p>
    <w:p w14:paraId="0000002F">
      <w:pPr>
        <w:spacing w:after="0" w:line="360" w:lineRule="auto"/>
        <w:rPr>
          <w:rFonts w:eastAsia="Times New Roman" w:cs="Times New Roman"/>
          <w:b/>
          <w:color w:val="000000"/>
          <w:szCs w:val="24"/>
        </w:rPr>
      </w:pPr>
      <w:r>
        <w:rPr>
          <w:rFonts w:eastAsia="Times New Roman" w:cs="Times New Roman"/>
          <w:b/>
          <w:color w:val="000000"/>
          <w:szCs w:val="24"/>
        </w:rPr>
        <w:t>Ontological stance</w:t>
      </w:r>
    </w:p>
    <w:p w14:paraId="00000030">
      <w:pPr>
        <w:spacing w:after="0" w:line="360" w:lineRule="auto"/>
        <w:ind w:firstLine="720"/>
        <w:rPr>
          <w:rFonts w:eastAsia="Times New Roman" w:cs="Times New Roman"/>
          <w:color w:val="000000"/>
          <w:szCs w:val="24"/>
        </w:rPr>
      </w:pPr>
      <w:r>
        <w:rPr>
          <w:rFonts w:eastAsia="Times New Roman" w:cs="Times New Roman"/>
          <w:color w:val="000000"/>
          <w:szCs w:val="24"/>
        </w:rPr>
        <w:t xml:space="preserve">My ontological stance is essentially determined by </w:t>
      </w:r>
      <w:r>
        <w:rPr>
          <w:rFonts w:eastAsia="Times New Roman" w:cs="Times New Roman"/>
          <w:i/>
          <w:color w:val="000000"/>
          <w:szCs w:val="24"/>
        </w:rPr>
        <w:t>humanism</w:t>
      </w:r>
      <w:r>
        <w:rPr>
          <w:rFonts w:eastAsia="Times New Roman" w:cs="Times New Roman"/>
          <w:color w:val="000000"/>
          <w:szCs w:val="24"/>
        </w:rPr>
        <w:t xml:space="preserve">. Developed during the Renaissance in Europe, it proposes a worldview centred on human beings (Stenmark, 2022). It is indeed a rupture from the tradition where the values or dignity of the human beings were deemed subordinate to the divine will, for instance, or other supernatural phenomena. The fact that I work here with the existentialist philosophy is justified by considering humanism as my ontological stance, as it essentially assumes that the reality is revealed through human experience. </w:t>
      </w:r>
    </w:p>
    <w:p w14:paraId="00000031">
      <w:pPr>
        <w:spacing w:after="0" w:line="360" w:lineRule="auto"/>
        <w:ind w:firstLine="720"/>
        <w:rPr>
          <w:rFonts w:eastAsia="Times New Roman" w:cs="Times New Roman"/>
          <w:color w:val="000000"/>
          <w:szCs w:val="24"/>
        </w:rPr>
      </w:pPr>
      <w:r>
        <w:rPr>
          <w:rFonts w:eastAsia="Times New Roman" w:cs="Times New Roman"/>
          <w:color w:val="000000"/>
          <w:szCs w:val="24"/>
        </w:rPr>
        <w:t xml:space="preserve">It is, thus, banal to mention that the doctrines pertaining to </w:t>
      </w:r>
      <w:r>
        <w:rPr>
          <w:rFonts w:eastAsia="Times New Roman" w:cs="Times New Roman"/>
          <w:i/>
          <w:color w:val="000000"/>
          <w:szCs w:val="24"/>
        </w:rPr>
        <w:t>existentialism</w:t>
      </w:r>
      <w:r>
        <w:rPr>
          <w:rFonts w:eastAsia="Times New Roman" w:cs="Times New Roman"/>
          <w:color w:val="000000"/>
          <w:szCs w:val="24"/>
        </w:rPr>
        <w:t xml:space="preserve"> have </w:t>
      </w:r>
      <w:r>
        <w:rPr>
          <w:rFonts w:eastAsia="Times New Roman" w:cs="Times New Roman"/>
          <w:szCs w:val="24"/>
        </w:rPr>
        <w:t>also been shaped</w:t>
      </w:r>
      <w:r>
        <w:rPr>
          <w:rFonts w:eastAsia="Times New Roman" w:cs="Times New Roman"/>
          <w:color w:val="000000"/>
          <w:szCs w:val="24"/>
        </w:rPr>
        <w:t xml:space="preserve"> by ontological stance. As stressed extensively above, it is concerned principally with human beings making free choices and the experience they are having in the process. This is a suitable ontological stance as far as my work is concerned, as it stresses personalisation and customisation in UX design, as I stressed above. </w:t>
      </w:r>
    </w:p>
    <w:p w14:paraId="00000032">
      <w:pPr>
        <w:spacing w:after="0" w:line="360" w:lineRule="auto"/>
        <w:rPr>
          <w:rFonts w:eastAsia="Times New Roman" w:cs="Times New Roman"/>
          <w:i/>
          <w:color w:val="000000"/>
          <w:szCs w:val="24"/>
        </w:rPr>
      </w:pPr>
      <w:r>
        <w:rPr>
          <w:rFonts w:eastAsia="Times New Roman" w:cs="Times New Roman"/>
          <w:i/>
          <w:color w:val="000000"/>
          <w:szCs w:val="24"/>
        </w:rPr>
        <w:t xml:space="preserve">Phenomenology </w:t>
      </w:r>
      <w:r>
        <w:rPr>
          <w:rFonts w:eastAsia="Times New Roman" w:cs="Times New Roman"/>
          <w:color w:val="000000"/>
          <w:szCs w:val="24"/>
        </w:rPr>
        <w:t xml:space="preserve">– or the philosophy of experience also determined by ontological stance. The emphasis on the perception of speed in this essay affirms the expediency of this ontological stance. One of the key dictums that dominate the realm of phenomenology is articulated by Edmund Husserl, one of the pioneers of this tradition – ‘Consciousness is consciousness of something’ (Klein, 2023). It meant to highlight that consciousness cannot grow upon a vacuum, as it needs a substance to develop upon. Hence, in this essay, instead of speed as such, the consciousness about the idea of speed is attempted to be tested so that it can be changed and, in effect, the perception as well. Emphasising this also justifies my overall work, as the concern with UX is essentially stemmed from the typical experience of the drivers or the frequent riders. </w:t>
      </w:r>
      <w:r>
        <w:rPr>
          <w:rFonts w:eastAsia="Times New Roman" w:cs="Times New Roman"/>
          <w:i/>
          <w:color w:val="000000"/>
          <w:szCs w:val="24"/>
        </w:rPr>
        <w:t xml:space="preserve"> </w:t>
      </w:r>
    </w:p>
    <w:p w14:paraId="00000033">
      <w:pPr>
        <w:spacing w:after="0" w:line="360" w:lineRule="auto"/>
        <w:rPr>
          <w:rFonts w:eastAsia="Times New Roman" w:cs="Times New Roman"/>
          <w:b/>
          <w:color w:val="000000"/>
          <w:szCs w:val="24"/>
        </w:rPr>
      </w:pPr>
      <w:r>
        <w:rPr>
          <w:rFonts w:eastAsia="Times New Roman" w:cs="Times New Roman"/>
          <w:b/>
          <w:color w:val="000000"/>
          <w:szCs w:val="24"/>
        </w:rPr>
        <w:t>Conclusion</w:t>
      </w:r>
    </w:p>
    <w:p w14:paraId="00000034">
      <w:pPr>
        <w:spacing w:after="0" w:line="360" w:lineRule="auto"/>
        <w:ind w:firstLine="720"/>
        <w:rPr>
          <w:rFonts w:eastAsia="Times New Roman" w:cs="Times New Roman"/>
          <w:color w:val="000000"/>
          <w:szCs w:val="24"/>
        </w:rPr>
      </w:pPr>
      <w:r>
        <w:rPr>
          <w:rFonts w:eastAsia="Times New Roman" w:cs="Times New Roman"/>
          <w:color w:val="000000"/>
          <w:szCs w:val="24"/>
        </w:rPr>
        <w:t xml:space="preserve">Upon reflecting on the worldview, philosophies and values, I have come to understand that based on this view the way one approaches design, art and innovation changes. When one focuses on human-centred design aspects </w:t>
      </w:r>
      <w:r>
        <w:rPr>
          <w:rFonts w:eastAsia="Times New Roman" w:cs="Times New Roman"/>
          <w:szCs w:val="24"/>
        </w:rPr>
        <w:t>of humanism</w:t>
      </w:r>
      <w:r>
        <w:rPr>
          <w:rFonts w:eastAsia="Times New Roman" w:cs="Times New Roman"/>
          <w:color w:val="000000"/>
          <w:szCs w:val="24"/>
        </w:rPr>
        <w:t xml:space="preserve"> their sole importance is human, therefore focusing on creating something that will increase the value of humans and help them exercise empowerment becomes crucial. Furthermore, I have learned that everyday experiences of the world are important. Just because humans are mortal beings who have many complex sensory and emotional experiences, there are also raw and everyday experiences that humans go through. Another value that I have formed from the world view is that any vehicle including that of a car is not just a vehicle, but a bag of experience where the driver prefers to be engaged with the car while driving. This means there is an emotional attachment and connection between the experiences. Speed is one such important element which drives all these philosophies well. Based on the human-centred philosophical foundation, the perception of experience associated with speed can be different for different age groups. This further increases the applicability of humane experiences and personalisation as technology advances. </w:t>
      </w:r>
    </w:p>
    <w:p w14:paraId="00000035">
      <w:pPr>
        <w:spacing w:after="0" w:line="360" w:lineRule="auto"/>
        <w:ind w:firstLine="720"/>
        <w:rPr>
          <w:rFonts w:eastAsia="Times New Roman" w:cs="Times New Roman"/>
          <w:color w:val="000000"/>
          <w:szCs w:val="24"/>
        </w:rPr>
      </w:pPr>
      <w:r>
        <w:rPr>
          <w:rFonts w:eastAsia="Times New Roman" w:cs="Times New Roman"/>
          <w:color w:val="000000"/>
          <w:szCs w:val="24"/>
        </w:rPr>
        <w:t>Telling the story of my work in this essay was also an endeavour to articulate the philosophical ideas related to humanism, existentialism, and phenomenology through real-life experiences. The focus on changing the perception of speed comes after the acknowledgement of the existential dictum of much renown: consciousness is consciousness of something. Referring to the significance of speed in modern society, this essay also attempted to show how technological innovations in UX design can enable the drivers with greater command over space and time and, thus, can ensure a thrilling and safe drive for all. This essay also attempted to explain my epistemological and ontological stance. The epistemology akin to the philosophic foundation and worldview suggested here, again, stresses subjective interpretations over objective facts. Though it is good to have individual testimonies based on the experience of UX design, this essay has also described the inherent flaws in this epistemology, essentially to justify openness to new ideas. In ontological stance as well, the concern with personalised UX design of this essay is justified through doctrines of humanism, phenomenology, and existentialism.</w:t>
      </w:r>
    </w:p>
    <w:bookmarkEnd w:id="19"/>
    <w:p w14:paraId="00000036">
      <w:pPr>
        <w:spacing w:after="0" w:line="360" w:lineRule="auto"/>
        <w:rPr>
          <w:rFonts w:eastAsia="Times New Roman" w:cs="Times New Roman"/>
          <w:color w:val="000000"/>
          <w:szCs w:val="24"/>
        </w:rPr>
      </w:pPr>
      <w:r>
        <w:rPr>
          <w:rFonts w:cs="Times New Roman"/>
          <w:szCs w:val="24"/>
        </w:rPr>
        <w:br w:type="page"/>
      </w:r>
    </w:p>
    <w:p w14:paraId="00000037">
      <w:pPr>
        <w:spacing w:after="0" w:line="360" w:lineRule="auto"/>
        <w:rPr>
          <w:rFonts w:eastAsia="Times New Roman" w:cs="Times New Roman"/>
          <w:b/>
          <w:color w:val="000000"/>
          <w:szCs w:val="24"/>
        </w:rPr>
      </w:pPr>
      <w:r>
        <w:rPr>
          <w:rFonts w:eastAsia="Times New Roman" w:cs="Times New Roman"/>
          <w:b/>
          <w:color w:val="000000"/>
          <w:szCs w:val="24"/>
        </w:rPr>
        <w:t xml:space="preserve">References </w:t>
      </w:r>
    </w:p>
    <w:p w14:paraId="00000038">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Aberšek, B. (2024) ‘From Chaos to the Absurd: Existentialism for the 21st Century’, </w:t>
      </w:r>
      <w:r>
        <w:rPr>
          <w:rFonts w:eastAsia="Times New Roman" w:cs="Times New Roman"/>
          <w:i/>
          <w:color w:val="000000"/>
          <w:szCs w:val="24"/>
        </w:rPr>
        <w:t>Philosophies</w:t>
      </w:r>
      <w:r>
        <w:rPr>
          <w:rFonts w:eastAsia="Times New Roman" w:cs="Times New Roman"/>
          <w:color w:val="000000"/>
          <w:szCs w:val="24"/>
        </w:rPr>
        <w:t xml:space="preserve">, 9(6), p. 168. Available at: </w:t>
      </w:r>
      <w:r>
        <w:fldChar w:fldCharType="begin"/>
      </w:r>
      <w:r>
        <w:instrText xml:space="preserve"> HYPERLINK "https://doi.org/10.3390/philosophies9060168" \h </w:instrText>
      </w:r>
      <w:r>
        <w:fldChar w:fldCharType="separate"/>
      </w:r>
      <w:r>
        <w:rPr>
          <w:rFonts w:eastAsia="Times New Roman" w:cs="Times New Roman"/>
          <w:color w:val="000000"/>
          <w:szCs w:val="24"/>
          <w:u w:val="single"/>
        </w:rPr>
        <w:t>https://doi.org/10.3390/philosophies9060168</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39">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Aho, K. (2023) </w:t>
      </w:r>
      <w:r>
        <w:rPr>
          <w:rFonts w:eastAsia="Times New Roman" w:cs="Times New Roman"/>
          <w:i/>
          <w:color w:val="000000"/>
          <w:szCs w:val="24"/>
        </w:rPr>
        <w:t>Existentialism</w:t>
      </w:r>
      <w:r>
        <w:rPr>
          <w:rFonts w:eastAsia="Times New Roman" w:cs="Times New Roman"/>
          <w:color w:val="000000"/>
          <w:szCs w:val="24"/>
        </w:rPr>
        <w:t xml:space="preserve">, </w:t>
      </w:r>
      <w:r>
        <w:rPr>
          <w:rFonts w:eastAsia="Times New Roman" w:cs="Times New Roman"/>
          <w:i/>
          <w:color w:val="000000"/>
          <w:szCs w:val="24"/>
        </w:rPr>
        <w:t>Stanford Encyclopedia of Philosophy</w:t>
      </w:r>
      <w:r>
        <w:rPr>
          <w:rFonts w:eastAsia="Times New Roman" w:cs="Times New Roman"/>
          <w:color w:val="000000"/>
          <w:szCs w:val="24"/>
        </w:rPr>
        <w:t>. Stanford University. Available at: https://plato.stanford.edu/entries/existentialism/ (Accessed: 2 January 2025).</w:t>
      </w:r>
    </w:p>
    <w:p w14:paraId="0000003A">
      <w:pPr>
        <w:spacing w:after="0" w:line="360" w:lineRule="auto"/>
        <w:ind w:left="720" w:hanging="720"/>
        <w:rPr>
          <w:rFonts w:eastAsia="Times New Roman" w:cs="Times New Roman"/>
          <w:color w:val="000000"/>
          <w:szCs w:val="24"/>
        </w:rPr>
      </w:pPr>
      <w:bookmarkStart w:id="0" w:name="_heading=h.gjdgxs" w:colFirst="0" w:colLast="0"/>
      <w:bookmarkEnd w:id="0"/>
      <w:r>
        <w:rPr>
          <w:rFonts w:eastAsia="Times New Roman" w:cs="Times New Roman"/>
          <w:color w:val="000000"/>
          <w:szCs w:val="24"/>
        </w:rPr>
        <w:t xml:space="preserve">Buckley, R.C. (2018) ‘To analyze thrill, define extreme sports,’ </w:t>
      </w:r>
      <w:r>
        <w:rPr>
          <w:rFonts w:eastAsia="Times New Roman" w:cs="Times New Roman"/>
          <w:i/>
          <w:color w:val="000000"/>
          <w:szCs w:val="24"/>
        </w:rPr>
        <w:t>Frontiers in psychology</w:t>
      </w:r>
      <w:r>
        <w:rPr>
          <w:rFonts w:eastAsia="Times New Roman" w:cs="Times New Roman"/>
          <w:color w:val="000000"/>
          <w:szCs w:val="24"/>
        </w:rPr>
        <w:t xml:space="preserve">, 9. Available at: </w:t>
      </w:r>
      <w:r>
        <w:fldChar w:fldCharType="begin"/>
      </w:r>
      <w:r>
        <w:instrText xml:space="preserve"> HYPERLINK "https://doi.org/10.3389/fpsyg.2018.01216" \h </w:instrText>
      </w:r>
      <w:r>
        <w:fldChar w:fldCharType="separate"/>
      </w:r>
      <w:r>
        <w:rPr>
          <w:rFonts w:eastAsia="Times New Roman" w:cs="Times New Roman"/>
          <w:color w:val="000000"/>
          <w:szCs w:val="24"/>
          <w:u w:val="single"/>
        </w:rPr>
        <w:t>https://doi.org/10.3389/fpsyg.2018.01216</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3B">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Cartwright, M. and Mantegna, A. (2020) Renaissance humanism. </w:t>
      </w:r>
      <w:r>
        <w:rPr>
          <w:rFonts w:eastAsia="Times New Roman" w:cs="Times New Roman"/>
          <w:i/>
          <w:color w:val="000000"/>
          <w:szCs w:val="24"/>
        </w:rPr>
        <w:t>World History Encyclopedia</w:t>
      </w:r>
      <w:r>
        <w:rPr>
          <w:rFonts w:eastAsia="Times New Roman" w:cs="Times New Roman"/>
          <w:color w:val="000000"/>
          <w:szCs w:val="24"/>
        </w:rPr>
        <w:t xml:space="preserve">. Available at: </w:t>
      </w:r>
      <w:r>
        <w:fldChar w:fldCharType="begin"/>
      </w:r>
      <w:r>
        <w:instrText xml:space="preserve"> HYPERLINK "https://www.worldhistory.org/Renaissance_Humanism/" \h </w:instrText>
      </w:r>
      <w:r>
        <w:fldChar w:fldCharType="separate"/>
      </w:r>
      <w:r>
        <w:rPr>
          <w:rFonts w:eastAsia="Times New Roman" w:cs="Times New Roman"/>
          <w:color w:val="000000"/>
          <w:szCs w:val="24"/>
          <w:u w:val="single"/>
        </w:rPr>
        <w:t>https://www.worldhistory.org/Renaissance_Humanism/</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3C">
      <w:pPr>
        <w:spacing w:after="0" w:line="360" w:lineRule="auto"/>
        <w:ind w:left="720" w:hanging="720"/>
        <w:rPr>
          <w:rFonts w:eastAsia="Times New Roman" w:cs="Times New Roman"/>
          <w:color w:val="000000"/>
          <w:szCs w:val="24"/>
        </w:rPr>
      </w:pPr>
      <w:bookmarkStart w:id="1" w:name="_heading=h.30j0zll" w:colFirst="0" w:colLast="0"/>
      <w:bookmarkEnd w:id="1"/>
      <w:r>
        <w:rPr>
          <w:rFonts w:eastAsia="Times New Roman" w:cs="Times New Roman"/>
          <w:color w:val="000000"/>
          <w:szCs w:val="24"/>
        </w:rPr>
        <w:t xml:space="preserve">Chatterjee, T. (2024) ‘Wars Have Got Boring: The Affect of Watching Everything All the Time,’ </w:t>
      </w:r>
      <w:r>
        <w:rPr>
          <w:rFonts w:eastAsia="Times New Roman" w:cs="Times New Roman"/>
          <w:i/>
          <w:color w:val="000000"/>
          <w:szCs w:val="24"/>
        </w:rPr>
        <w:t>Spectra</w:t>
      </w:r>
      <w:r>
        <w:rPr>
          <w:rFonts w:eastAsia="Times New Roman" w:cs="Times New Roman"/>
          <w:color w:val="000000"/>
          <w:szCs w:val="24"/>
        </w:rPr>
        <w:t xml:space="preserve">, 11(1). Available at: </w:t>
      </w:r>
      <w:r>
        <w:fldChar w:fldCharType="begin"/>
      </w:r>
      <w:r>
        <w:instrText xml:space="preserve"> HYPERLINK "https://doi.org/10.21061/spectra.v11i1.240" \h </w:instrText>
      </w:r>
      <w:r>
        <w:fldChar w:fldCharType="separate"/>
      </w:r>
      <w:r>
        <w:rPr>
          <w:rFonts w:eastAsia="Times New Roman" w:cs="Times New Roman"/>
          <w:color w:val="000000"/>
          <w:szCs w:val="24"/>
          <w:u w:val="single"/>
        </w:rPr>
        <w:t>https://doi.org/10.21061/spectra.v11i1.240</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3D">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Cudjoe, E. (2023) ‘Making Sense of Husserlian Phenomenological Philosophy in Empirical Research’, </w:t>
      </w:r>
      <w:r>
        <w:rPr>
          <w:rFonts w:eastAsia="Times New Roman" w:cs="Times New Roman"/>
          <w:i/>
          <w:color w:val="000000"/>
          <w:szCs w:val="24"/>
        </w:rPr>
        <w:t>International Journal of Qualitative Methods</w:t>
      </w:r>
      <w:r>
        <w:rPr>
          <w:rFonts w:eastAsia="Times New Roman" w:cs="Times New Roman"/>
          <w:color w:val="000000"/>
          <w:szCs w:val="24"/>
        </w:rPr>
        <w:t xml:space="preserve">, 22, p. 160940692311710-160940692311710. Available at: </w:t>
      </w:r>
      <w:r>
        <w:fldChar w:fldCharType="begin"/>
      </w:r>
      <w:r>
        <w:instrText xml:space="preserve"> HYPERLINK "https://doi.org/10.1177/16094069231171099" \h </w:instrText>
      </w:r>
      <w:r>
        <w:fldChar w:fldCharType="separate"/>
      </w:r>
      <w:r>
        <w:rPr>
          <w:rFonts w:eastAsia="Times New Roman" w:cs="Times New Roman"/>
          <w:color w:val="000000"/>
          <w:szCs w:val="24"/>
          <w:u w:val="single"/>
        </w:rPr>
        <w:t>https://doi.org/10.1177/16094069231171099</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3E">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Davidson, M. (2021) ‘Humanism and Sustainable Development’, </w:t>
      </w:r>
      <w:r>
        <w:rPr>
          <w:rFonts w:eastAsia="Times New Roman" w:cs="Times New Roman"/>
          <w:i/>
          <w:color w:val="000000"/>
          <w:szCs w:val="24"/>
        </w:rPr>
        <w:t>Worldviews: Global Religions, Culture, and Ecology</w:t>
      </w:r>
      <w:r>
        <w:rPr>
          <w:rFonts w:eastAsia="Times New Roman" w:cs="Times New Roman"/>
          <w:color w:val="000000"/>
          <w:szCs w:val="24"/>
        </w:rPr>
        <w:t xml:space="preserve">, 25(3), pp. 183–205. Available at: </w:t>
      </w:r>
      <w:r>
        <w:fldChar w:fldCharType="begin"/>
      </w:r>
      <w:r>
        <w:instrText xml:space="preserve"> HYPERLINK "https://doi.org/10.1163/15685357-20210903" \h </w:instrText>
      </w:r>
      <w:r>
        <w:fldChar w:fldCharType="separate"/>
      </w:r>
      <w:r>
        <w:rPr>
          <w:rFonts w:eastAsia="Times New Roman" w:cs="Times New Roman"/>
          <w:color w:val="000000"/>
          <w:szCs w:val="24"/>
          <w:u w:val="single"/>
        </w:rPr>
        <w:t>https://doi.org/10.1163/15685357-20210903</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3F">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Endter, R. (2024) </w:t>
      </w:r>
      <w:r>
        <w:rPr>
          <w:rFonts w:eastAsia="Times New Roman" w:cs="Times New Roman"/>
          <w:i/>
          <w:color w:val="000000"/>
          <w:szCs w:val="24"/>
        </w:rPr>
        <w:t>Lamborghini Denver</w:t>
      </w:r>
      <w:r>
        <w:rPr>
          <w:rFonts w:eastAsia="Times New Roman" w:cs="Times New Roman"/>
          <w:color w:val="000000"/>
          <w:szCs w:val="24"/>
        </w:rPr>
        <w:t xml:space="preserve">, </w:t>
      </w:r>
      <w:r>
        <w:rPr>
          <w:rFonts w:eastAsia="Times New Roman" w:cs="Times New Roman"/>
          <w:i/>
          <w:color w:val="000000"/>
          <w:szCs w:val="24"/>
        </w:rPr>
        <w:t>Lamborghini Denver</w:t>
      </w:r>
      <w:r>
        <w:rPr>
          <w:rFonts w:eastAsia="Times New Roman" w:cs="Times New Roman"/>
          <w:color w:val="000000"/>
          <w:szCs w:val="24"/>
        </w:rPr>
        <w:t>. Available at: https://www.mikewardlamborghini.com/feel-like-a-pilot-in-the-lamborghini-revuelto-cockpit/ (Accessed: 2 January 2025).</w:t>
      </w:r>
    </w:p>
    <w:p w14:paraId="00000040">
      <w:pPr>
        <w:spacing w:after="0" w:line="360" w:lineRule="auto"/>
        <w:ind w:left="720" w:hanging="720"/>
        <w:rPr>
          <w:rFonts w:eastAsia="Times New Roman" w:cs="Times New Roman"/>
          <w:color w:val="000000"/>
          <w:szCs w:val="24"/>
        </w:rPr>
      </w:pPr>
      <w:bookmarkStart w:id="2" w:name="_heading=h.1fob9te" w:colFirst="0" w:colLast="0"/>
      <w:bookmarkEnd w:id="2"/>
      <w:r>
        <w:rPr>
          <w:rFonts w:eastAsia="Times New Roman" w:cs="Times New Roman"/>
          <w:color w:val="000000"/>
          <w:szCs w:val="24"/>
        </w:rPr>
        <w:t xml:space="preserve">Fedorko, I., Bacik, R. and Gavurova, B. (2022) ‘Analysis of selected technology acceptance model constructs and their impact on user behavior,’ </w:t>
      </w:r>
      <w:r>
        <w:rPr>
          <w:rFonts w:eastAsia="Times New Roman" w:cs="Times New Roman"/>
          <w:i/>
          <w:color w:val="000000"/>
          <w:szCs w:val="24"/>
        </w:rPr>
        <w:t>Innovative Marketing</w:t>
      </w:r>
      <w:r>
        <w:rPr>
          <w:rFonts w:eastAsia="Times New Roman" w:cs="Times New Roman"/>
          <w:color w:val="000000"/>
          <w:szCs w:val="24"/>
        </w:rPr>
        <w:t xml:space="preserve">, 18(3), pp. 72-83. Available at: </w:t>
      </w:r>
      <w:r>
        <w:fldChar w:fldCharType="begin"/>
      </w:r>
      <w:r>
        <w:instrText xml:space="preserve"> HYPERLINK "http://dx.doi.org/10.21511/im.18(3).2022.07" \h </w:instrText>
      </w:r>
      <w:r>
        <w:fldChar w:fldCharType="separate"/>
      </w:r>
      <w:r>
        <w:rPr>
          <w:rFonts w:eastAsia="Times New Roman" w:cs="Times New Roman"/>
          <w:color w:val="000000"/>
          <w:szCs w:val="24"/>
          <w:u w:val="single"/>
        </w:rPr>
        <w:t>http://dx.doi.org/10.21511/im.18(3).2022.07</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1">
      <w:pPr>
        <w:spacing w:after="0" w:line="360" w:lineRule="auto"/>
        <w:ind w:left="720" w:hanging="720"/>
        <w:rPr>
          <w:rFonts w:eastAsia="Times New Roman" w:cs="Times New Roman"/>
          <w:color w:val="000000"/>
          <w:szCs w:val="24"/>
        </w:rPr>
      </w:pPr>
      <w:bookmarkStart w:id="3" w:name="_heading=h.3znysh7" w:colFirst="0" w:colLast="0"/>
      <w:bookmarkEnd w:id="3"/>
      <w:r>
        <w:rPr>
          <w:rFonts w:eastAsia="Times New Roman" w:cs="Times New Roman"/>
          <w:color w:val="000000"/>
          <w:szCs w:val="24"/>
        </w:rPr>
        <w:t xml:space="preserve">Füssel, S. (2001) ‘Gutenberg and today’s media change,’ </w:t>
      </w:r>
      <w:r>
        <w:rPr>
          <w:rFonts w:eastAsia="Times New Roman" w:cs="Times New Roman"/>
          <w:i/>
          <w:color w:val="000000"/>
          <w:szCs w:val="24"/>
        </w:rPr>
        <w:t>Publishing research quarterly</w:t>
      </w:r>
      <w:r>
        <w:rPr>
          <w:rFonts w:eastAsia="Times New Roman" w:cs="Times New Roman"/>
          <w:color w:val="000000"/>
          <w:szCs w:val="24"/>
        </w:rPr>
        <w:t xml:space="preserve">, 16(4), pp. 3-10. Available at: </w:t>
      </w:r>
      <w:r>
        <w:fldChar w:fldCharType="begin"/>
      </w:r>
      <w:r>
        <w:instrText xml:space="preserve"> HYPERLINK "https://www.researchgate.net/profile/Stephan-Fuessel/publication/225899092_Gutenberg_and_today's_media_change/links/55c5f14308aeb9756743839d/Gutenberg-and-todays-media-change.pdf" \h </w:instrText>
      </w:r>
      <w:r>
        <w:fldChar w:fldCharType="separate"/>
      </w:r>
      <w:r>
        <w:rPr>
          <w:rFonts w:eastAsia="Times New Roman" w:cs="Times New Roman"/>
          <w:color w:val="000000"/>
          <w:szCs w:val="24"/>
          <w:u w:val="single"/>
        </w:rPr>
        <w:t>https://www.researchgate.net/profile/Stephan-Fuessel/publication/225899092_Gutenberg_and_today's_media_change/links/55c5f14308aeb9756743839d/Gutenberg-and-todays-media-change.pdf</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2">
      <w:pPr>
        <w:spacing w:after="0" w:line="360" w:lineRule="auto"/>
        <w:ind w:left="720" w:hanging="720"/>
        <w:rPr>
          <w:rFonts w:eastAsia="Times New Roman" w:cs="Times New Roman"/>
          <w:color w:val="000000"/>
          <w:szCs w:val="24"/>
        </w:rPr>
      </w:pPr>
      <w:bookmarkStart w:id="4" w:name="_heading=h.2et92p0" w:colFirst="0" w:colLast="0"/>
      <w:bookmarkEnd w:id="4"/>
      <w:r>
        <w:rPr>
          <w:rFonts w:eastAsia="Times New Roman" w:cs="Times New Roman"/>
          <w:color w:val="000000"/>
          <w:szCs w:val="24"/>
        </w:rPr>
        <w:t xml:space="preserve">Gee, R. (2023) ‘A critical exploration of the “agile career”: a means of exposing the politics and economy of precarity via the lens of dromology,’ </w:t>
      </w:r>
      <w:r>
        <w:rPr>
          <w:rFonts w:eastAsia="Times New Roman" w:cs="Times New Roman"/>
          <w:i/>
          <w:color w:val="000000"/>
          <w:szCs w:val="24"/>
        </w:rPr>
        <w:t>British Journal of Guidance &amp; Counselling</w:t>
      </w:r>
      <w:r>
        <w:rPr>
          <w:rFonts w:eastAsia="Times New Roman" w:cs="Times New Roman"/>
          <w:color w:val="000000"/>
          <w:szCs w:val="24"/>
        </w:rPr>
        <w:t xml:space="preserve">, 51(4), pp. 574-586. Available at: </w:t>
      </w:r>
      <w:r>
        <w:fldChar w:fldCharType="begin"/>
      </w:r>
      <w:r>
        <w:instrText xml:space="preserve"> HYPERLINK "https://doi.org/10.1080/03069885.2022.2030859" \h </w:instrText>
      </w:r>
      <w:r>
        <w:fldChar w:fldCharType="separate"/>
      </w:r>
      <w:r>
        <w:rPr>
          <w:rFonts w:eastAsia="Times New Roman" w:cs="Times New Roman"/>
          <w:color w:val="000000"/>
          <w:szCs w:val="24"/>
          <w:u w:val="single"/>
        </w:rPr>
        <w:t>https://doi.org/10.1080/03069885.2022.2030859</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3">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Hankins, J. (2007) ‘Humanism, scholasticism, and Renaissance philosophy’, </w:t>
      </w:r>
      <w:r>
        <w:rPr>
          <w:rFonts w:eastAsia="Times New Roman" w:cs="Times New Roman"/>
          <w:i/>
          <w:color w:val="000000"/>
          <w:szCs w:val="24"/>
        </w:rPr>
        <w:t>The Cambridge Companion to Renaissance Philosophy</w:t>
      </w:r>
      <w:r>
        <w:rPr>
          <w:rFonts w:eastAsia="Times New Roman" w:cs="Times New Roman"/>
          <w:color w:val="000000"/>
          <w:szCs w:val="24"/>
        </w:rPr>
        <w:t xml:space="preserve">, </w:t>
      </w:r>
      <w:r>
        <w:rPr>
          <w:rFonts w:eastAsia="Times New Roman" w:cs="Times New Roman"/>
          <w:i/>
          <w:color w:val="000000"/>
          <w:szCs w:val="24"/>
        </w:rPr>
        <w:t>1</w:t>
      </w:r>
      <w:r>
        <w:rPr>
          <w:rFonts w:eastAsia="Times New Roman" w:cs="Times New Roman"/>
          <w:color w:val="000000"/>
          <w:szCs w:val="24"/>
        </w:rPr>
        <w:t xml:space="preserve">, pp.30-48. Available at: </w:t>
      </w:r>
      <w:r>
        <w:fldChar w:fldCharType="begin"/>
      </w:r>
      <w:r>
        <w:instrText xml:space="preserve"> HYPERLINK "https://www.academia.edu/download/50822108/CCRPHankins1.pdf" \h </w:instrText>
      </w:r>
      <w:r>
        <w:fldChar w:fldCharType="separate"/>
      </w:r>
      <w:r>
        <w:rPr>
          <w:rFonts w:eastAsia="Times New Roman" w:cs="Times New Roman"/>
          <w:color w:val="000000"/>
          <w:szCs w:val="24"/>
          <w:u w:val="single"/>
        </w:rPr>
        <w:t>https://www.academia.edu/download/50822108/CCRPHankins1.pdf</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4">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Hartwich, F., Beggiato, M. and Krems, J.F. (2018) ‘Driving comfort, enjoyment and acceptance of automated driving – effects of drivers’ age and driving style familiarity’, </w:t>
      </w:r>
      <w:r>
        <w:rPr>
          <w:rFonts w:eastAsia="Times New Roman" w:cs="Times New Roman"/>
          <w:i/>
          <w:color w:val="000000"/>
          <w:szCs w:val="24"/>
        </w:rPr>
        <w:t>Ergonomics</w:t>
      </w:r>
      <w:r>
        <w:rPr>
          <w:rFonts w:eastAsia="Times New Roman" w:cs="Times New Roman"/>
          <w:color w:val="000000"/>
          <w:szCs w:val="24"/>
        </w:rPr>
        <w:t xml:space="preserve">, 61(8), pp. 1017–1032. Available at: </w:t>
      </w:r>
      <w:r>
        <w:fldChar w:fldCharType="begin"/>
      </w:r>
      <w:r>
        <w:instrText xml:space="preserve"> HYPERLINK "https://doi.org/10.1080/00140139.2018.1441448" \h </w:instrText>
      </w:r>
      <w:r>
        <w:fldChar w:fldCharType="separate"/>
      </w:r>
      <w:r>
        <w:rPr>
          <w:rFonts w:eastAsia="Times New Roman" w:cs="Times New Roman"/>
          <w:color w:val="000000"/>
          <w:szCs w:val="24"/>
          <w:u w:val="single"/>
        </w:rPr>
        <w:t>https://doi.org/10.1080/00140139.2018.1441448</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5">
      <w:pPr>
        <w:spacing w:after="0" w:line="360" w:lineRule="auto"/>
        <w:ind w:left="720" w:hanging="720"/>
        <w:rPr>
          <w:rFonts w:eastAsia="Times New Roman" w:cs="Times New Roman"/>
          <w:color w:val="000000"/>
          <w:szCs w:val="24"/>
        </w:rPr>
      </w:pPr>
      <w:bookmarkStart w:id="5" w:name="_heading=h.tyjcwt" w:colFirst="0" w:colLast="0"/>
      <w:bookmarkEnd w:id="5"/>
      <w:r>
        <w:rPr>
          <w:rFonts w:eastAsia="Times New Roman" w:cs="Times New Roman"/>
          <w:color w:val="000000"/>
          <w:szCs w:val="24"/>
        </w:rPr>
        <w:t xml:space="preserve">Heidenreich, T., Noyon, A., Worrell, M. and Menzies, R. (2021) ‘Existential approaches and cognitive behavior therapy: Challenges and potential,’ </w:t>
      </w:r>
      <w:r>
        <w:rPr>
          <w:rFonts w:eastAsia="Times New Roman" w:cs="Times New Roman"/>
          <w:i/>
          <w:color w:val="000000"/>
          <w:szCs w:val="24"/>
        </w:rPr>
        <w:t>International Journal of Cognitive Therapy</w:t>
      </w:r>
      <w:r>
        <w:rPr>
          <w:rFonts w:eastAsia="Times New Roman" w:cs="Times New Roman"/>
          <w:color w:val="000000"/>
          <w:szCs w:val="24"/>
        </w:rPr>
        <w:t xml:space="preserve">, 14, pp. 209-234. Available at: </w:t>
      </w:r>
      <w:r>
        <w:fldChar w:fldCharType="begin"/>
      </w:r>
      <w:r>
        <w:instrText xml:space="preserve"> HYPERLINK "https://doi.org/10.1007/s41811-020-00096-1" \h </w:instrText>
      </w:r>
      <w:r>
        <w:fldChar w:fldCharType="separate"/>
      </w:r>
      <w:r>
        <w:rPr>
          <w:rFonts w:eastAsia="Times New Roman" w:cs="Times New Roman"/>
          <w:color w:val="000000"/>
          <w:szCs w:val="24"/>
          <w:u w:val="single"/>
        </w:rPr>
        <w:t>https://doi.org/10.1007/s41811-020-00096-1</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6">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Hyundai (no date) </w:t>
      </w:r>
      <w:r>
        <w:rPr>
          <w:rFonts w:eastAsia="Times New Roman" w:cs="Times New Roman"/>
          <w:i/>
          <w:color w:val="000000"/>
          <w:szCs w:val="24"/>
        </w:rPr>
        <w:t>Driving experience - How does it feel to drive an electric car?</w:t>
      </w:r>
      <w:r>
        <w:rPr>
          <w:rFonts w:eastAsia="Times New Roman" w:cs="Times New Roman"/>
          <w:color w:val="000000"/>
          <w:szCs w:val="24"/>
        </w:rPr>
        <w:t xml:space="preserve">, </w:t>
      </w:r>
      <w:r>
        <w:rPr>
          <w:rFonts w:eastAsia="Times New Roman" w:cs="Times New Roman"/>
          <w:i/>
          <w:color w:val="000000"/>
          <w:szCs w:val="24"/>
        </w:rPr>
        <w:t>www.hyundai.news</w:t>
      </w:r>
      <w:r>
        <w:rPr>
          <w:rFonts w:eastAsia="Times New Roman" w:cs="Times New Roman"/>
          <w:color w:val="000000"/>
          <w:szCs w:val="24"/>
        </w:rPr>
        <w:t>. Available at: https://www.hyundai.news/eu/articles/stories/how-does-it-feel-to-drive-an-electric-car.html (Accessed: 2 January 2025).</w:t>
      </w:r>
    </w:p>
    <w:p w14:paraId="00000047">
      <w:pPr>
        <w:spacing w:after="0" w:line="360" w:lineRule="auto"/>
        <w:ind w:left="720" w:hanging="720"/>
        <w:rPr>
          <w:rFonts w:eastAsia="Times New Roman" w:cs="Times New Roman"/>
          <w:color w:val="000000"/>
          <w:szCs w:val="24"/>
        </w:rPr>
      </w:pPr>
      <w:bookmarkStart w:id="6" w:name="_heading=h.3dy6vkm" w:colFirst="0" w:colLast="0"/>
      <w:bookmarkEnd w:id="6"/>
      <w:r>
        <w:rPr>
          <w:rFonts w:eastAsia="Times New Roman" w:cs="Times New Roman"/>
          <w:color w:val="000000"/>
          <w:szCs w:val="24"/>
        </w:rPr>
        <w:t xml:space="preserve">Jedličková, L., Müller, M., Halová, D. and Cserge, T. (2022) ‘Combining interpretative phenomenological analysis and existential hermeneutic phenomenology to reveal critical moments of managerial lived experience: a methodological guide,’ </w:t>
      </w:r>
      <w:r>
        <w:rPr>
          <w:rFonts w:eastAsia="Times New Roman" w:cs="Times New Roman"/>
          <w:i/>
          <w:color w:val="000000"/>
          <w:szCs w:val="24"/>
        </w:rPr>
        <w:t>Qualitative Research in Organizations and Management: An International Journal</w:t>
      </w:r>
      <w:r>
        <w:rPr>
          <w:rFonts w:eastAsia="Times New Roman" w:cs="Times New Roman"/>
          <w:color w:val="000000"/>
          <w:szCs w:val="24"/>
        </w:rPr>
        <w:t xml:space="preserve">, 17(1), pp. 84-102. Available at: </w:t>
      </w:r>
      <w:r>
        <w:fldChar w:fldCharType="begin"/>
      </w:r>
      <w:r>
        <w:instrText xml:space="preserve"> HYPERLINK "https://doi.org/10.1108/QROM-09-2020-2024" \h </w:instrText>
      </w:r>
      <w:r>
        <w:fldChar w:fldCharType="separate"/>
      </w:r>
      <w:r>
        <w:rPr>
          <w:rFonts w:eastAsia="Times New Roman" w:cs="Times New Roman"/>
          <w:color w:val="000000"/>
          <w:szCs w:val="24"/>
          <w:u w:val="single"/>
        </w:rPr>
        <w:t>https://doi.org/10.1108/QROM-09-2020-2024</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8">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Kim, S. and Sivangula, P. (2024) ‘Toward Safe and Confident Silver Drivers: Interview Study Investigating Older Adults’ Driving Practices’, </w:t>
      </w:r>
      <w:r>
        <w:rPr>
          <w:rFonts w:eastAsia="Times New Roman" w:cs="Times New Roman"/>
          <w:i/>
          <w:color w:val="000000"/>
          <w:szCs w:val="24"/>
        </w:rPr>
        <w:t>JMIR Aging</w:t>
      </w:r>
      <w:r>
        <w:rPr>
          <w:rFonts w:eastAsia="Times New Roman" w:cs="Times New Roman"/>
          <w:color w:val="000000"/>
          <w:szCs w:val="24"/>
        </w:rPr>
        <w:t xml:space="preserve">, 7, p. e57402. Available at: </w:t>
      </w:r>
      <w:r>
        <w:fldChar w:fldCharType="begin"/>
      </w:r>
      <w:r>
        <w:instrText xml:space="preserve"> HYPERLINK "https://doi.org/10.2196/57402" \h </w:instrText>
      </w:r>
      <w:r>
        <w:fldChar w:fldCharType="separate"/>
      </w:r>
      <w:r>
        <w:rPr>
          <w:rFonts w:eastAsia="Times New Roman" w:cs="Times New Roman"/>
          <w:color w:val="000000"/>
          <w:szCs w:val="24"/>
          <w:u w:val="single"/>
        </w:rPr>
        <w:t>https://doi.org/10.2196/57402</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9">
      <w:pPr>
        <w:spacing w:after="0" w:line="360" w:lineRule="auto"/>
        <w:ind w:left="720" w:hanging="720"/>
        <w:rPr>
          <w:rFonts w:eastAsia="Times New Roman" w:cs="Times New Roman"/>
          <w:color w:val="000000"/>
          <w:szCs w:val="24"/>
        </w:rPr>
      </w:pPr>
      <w:bookmarkStart w:id="7" w:name="_heading=h.1t3h5sf" w:colFirst="0" w:colLast="0"/>
      <w:bookmarkEnd w:id="7"/>
      <w:r>
        <w:rPr>
          <w:rFonts w:eastAsia="Times New Roman" w:cs="Times New Roman"/>
          <w:color w:val="000000"/>
          <w:szCs w:val="24"/>
        </w:rPr>
        <w:t xml:space="preserve">Klein, A. (2023) ‘Russell's Representationalism about Consciousness: Reconsidering His Relationship to James,’ </w:t>
      </w:r>
      <w:r>
        <w:rPr>
          <w:rFonts w:eastAsia="Times New Roman" w:cs="Times New Roman"/>
          <w:i/>
          <w:color w:val="000000"/>
          <w:szCs w:val="24"/>
        </w:rPr>
        <w:t>Russell: The Journal of Bertrand Russell Studies</w:t>
      </w:r>
      <w:r>
        <w:rPr>
          <w:rFonts w:eastAsia="Times New Roman" w:cs="Times New Roman"/>
          <w:color w:val="000000"/>
          <w:szCs w:val="24"/>
        </w:rPr>
        <w:t xml:space="preserve">, 43(1), pp. 3-41. Available at: </w:t>
      </w:r>
      <w:r>
        <w:fldChar w:fldCharType="begin"/>
      </w:r>
      <w:r>
        <w:instrText xml:space="preserve"> HYPERLINK "https://doi.org/10.1353/rss.2023.a904085" \h </w:instrText>
      </w:r>
      <w:r>
        <w:fldChar w:fldCharType="separate"/>
      </w:r>
      <w:r>
        <w:rPr>
          <w:rFonts w:eastAsia="Times New Roman" w:cs="Times New Roman"/>
          <w:color w:val="000000"/>
          <w:szCs w:val="24"/>
          <w:u w:val="single"/>
        </w:rPr>
        <w:t>https://doi.org/10.1353/rss.2023.a904085</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A">
      <w:pPr>
        <w:spacing w:after="0" w:line="360" w:lineRule="auto"/>
        <w:ind w:left="720" w:hanging="720"/>
        <w:rPr>
          <w:rFonts w:eastAsia="Times New Roman" w:cs="Times New Roman"/>
          <w:color w:val="000000"/>
          <w:szCs w:val="24"/>
        </w:rPr>
      </w:pPr>
      <w:bookmarkStart w:id="8" w:name="_heading=h.4d34og8" w:colFirst="0" w:colLast="0"/>
      <w:bookmarkEnd w:id="8"/>
      <w:r>
        <w:rPr>
          <w:rFonts w:eastAsia="Times New Roman" w:cs="Times New Roman"/>
          <w:color w:val="000000"/>
          <w:szCs w:val="24"/>
        </w:rPr>
        <w:t xml:space="preserve">Kwak, D.H.A., Ma, X. and Kim, S. (2021) ‘When does social desirability become a problem? Detection and reduction of social desirability bias in information systems research,’ </w:t>
      </w:r>
      <w:r>
        <w:rPr>
          <w:rFonts w:eastAsia="Times New Roman" w:cs="Times New Roman"/>
          <w:i/>
          <w:color w:val="000000"/>
          <w:szCs w:val="24"/>
        </w:rPr>
        <w:t>Information &amp; Management</w:t>
      </w:r>
      <w:r>
        <w:rPr>
          <w:rFonts w:eastAsia="Times New Roman" w:cs="Times New Roman"/>
          <w:color w:val="000000"/>
          <w:szCs w:val="24"/>
        </w:rPr>
        <w:t xml:space="preserve">, 58(7). Available at: </w:t>
      </w:r>
      <w:r>
        <w:fldChar w:fldCharType="begin"/>
      </w:r>
      <w:r>
        <w:instrText xml:space="preserve"> HYPERLINK "https://doi.org/10.1016/j.im.2021.103500" \h </w:instrText>
      </w:r>
      <w:r>
        <w:fldChar w:fldCharType="separate"/>
      </w:r>
      <w:r>
        <w:rPr>
          <w:rFonts w:eastAsia="Times New Roman" w:cs="Times New Roman"/>
          <w:color w:val="000000"/>
          <w:szCs w:val="24"/>
          <w:u w:val="single"/>
        </w:rPr>
        <w:t>https://doi.org/10.1016/j.im.2021.103500</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B">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Leng, J., Sha, W., Wang, B., Zheng, P., Zhuang, C., Liu, Q., Wuest, T., Mourtzis, D. and Wang, L. (2022) ‘Industry 5.0: Prospect and retrospect’, </w:t>
      </w:r>
      <w:r>
        <w:rPr>
          <w:rFonts w:eastAsia="Times New Roman" w:cs="Times New Roman"/>
          <w:i/>
          <w:color w:val="000000"/>
          <w:szCs w:val="24"/>
        </w:rPr>
        <w:t>Journal of Manufacturing Systems</w:t>
      </w:r>
      <w:r>
        <w:rPr>
          <w:rFonts w:eastAsia="Times New Roman" w:cs="Times New Roman"/>
          <w:color w:val="000000"/>
          <w:szCs w:val="24"/>
        </w:rPr>
        <w:t xml:space="preserve">, 65(1), pp. 279–295. Available at: </w:t>
      </w:r>
      <w:r>
        <w:fldChar w:fldCharType="begin"/>
      </w:r>
      <w:r>
        <w:instrText xml:space="preserve"> HYPERLINK "https://doi.org/10.1016/j.jmsy.2022.09.017" \h </w:instrText>
      </w:r>
      <w:r>
        <w:fldChar w:fldCharType="separate"/>
      </w:r>
      <w:r>
        <w:rPr>
          <w:rFonts w:eastAsia="Times New Roman" w:cs="Times New Roman"/>
          <w:color w:val="000000"/>
          <w:szCs w:val="24"/>
          <w:u w:val="single"/>
        </w:rPr>
        <w:t>https://doi.org/10.1016/j.jmsy.2022.09.017</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C">
      <w:pPr>
        <w:spacing w:after="0" w:line="360" w:lineRule="auto"/>
        <w:ind w:left="720" w:hanging="720"/>
        <w:rPr>
          <w:rFonts w:eastAsia="Times New Roman" w:cs="Times New Roman"/>
          <w:color w:val="000000"/>
          <w:szCs w:val="24"/>
        </w:rPr>
      </w:pPr>
      <w:bookmarkStart w:id="9" w:name="_heading=h.2s8eyo1" w:colFirst="0" w:colLast="0"/>
      <w:bookmarkEnd w:id="9"/>
      <w:r>
        <w:rPr>
          <w:rFonts w:eastAsia="Times New Roman" w:cs="Times New Roman"/>
          <w:color w:val="000000"/>
          <w:szCs w:val="24"/>
        </w:rPr>
        <w:t xml:space="preserve">Maćkiewicz, B., Kuś, K. and Hensel, W.M. (2023) ‘The influence of philosophical training on the evaluation of philosophical cases: a controlled longitudinal study,’ </w:t>
      </w:r>
      <w:r>
        <w:rPr>
          <w:rFonts w:eastAsia="Times New Roman" w:cs="Times New Roman"/>
          <w:i/>
          <w:color w:val="000000"/>
          <w:szCs w:val="24"/>
        </w:rPr>
        <w:t>Synthese</w:t>
      </w:r>
      <w:r>
        <w:rPr>
          <w:rFonts w:eastAsia="Times New Roman" w:cs="Times New Roman"/>
          <w:color w:val="000000"/>
          <w:szCs w:val="24"/>
        </w:rPr>
        <w:t xml:space="preserve">, 202(4). Available at: </w:t>
      </w:r>
      <w:r>
        <w:fldChar w:fldCharType="begin"/>
      </w:r>
      <w:r>
        <w:instrText xml:space="preserve"> HYPERLINK "https://doi.org/10.1007/s11229-023-04316-x" \h </w:instrText>
      </w:r>
      <w:r>
        <w:fldChar w:fldCharType="separate"/>
      </w:r>
      <w:r>
        <w:rPr>
          <w:rFonts w:eastAsia="Times New Roman" w:cs="Times New Roman"/>
          <w:color w:val="000000"/>
          <w:szCs w:val="24"/>
          <w:u w:val="single"/>
        </w:rPr>
        <w:t>https://doi.org/10.1007/s11229-023-04316-x</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D">
      <w:pPr>
        <w:spacing w:after="0" w:line="360" w:lineRule="auto"/>
        <w:ind w:left="720" w:hanging="720"/>
        <w:rPr>
          <w:rFonts w:eastAsia="Times New Roman" w:cs="Times New Roman"/>
          <w:i/>
          <w:color w:val="000000"/>
          <w:szCs w:val="24"/>
        </w:rPr>
      </w:pPr>
      <w:bookmarkStart w:id="10" w:name="_heading=h.17dp8vu" w:colFirst="0" w:colLast="0"/>
      <w:bookmarkEnd w:id="10"/>
      <w:r>
        <w:rPr>
          <w:rFonts w:eastAsia="Times New Roman" w:cs="Times New Roman"/>
          <w:color w:val="000000"/>
          <w:szCs w:val="24"/>
        </w:rPr>
        <w:t xml:space="preserve">Mapuya, M. (2021) ‘First-Year Accounting Student Teachers' Constructivist Learning Experiences, The Lecturer's Role and Implications for Curriculum Implementation,’ </w:t>
      </w:r>
      <w:r>
        <w:rPr>
          <w:rFonts w:eastAsia="Times New Roman" w:cs="Times New Roman"/>
          <w:i/>
          <w:color w:val="000000"/>
          <w:szCs w:val="24"/>
        </w:rPr>
        <w:t>International Journal of Learning, Teaching and Educational Research</w:t>
      </w:r>
      <w:r>
        <w:rPr>
          <w:rFonts w:eastAsia="Times New Roman" w:cs="Times New Roman"/>
          <w:color w:val="000000"/>
          <w:szCs w:val="24"/>
        </w:rPr>
        <w:t xml:space="preserve">, 20(1), pp. 103-119. Available at: </w:t>
      </w:r>
      <w:r>
        <w:fldChar w:fldCharType="begin"/>
      </w:r>
      <w:r>
        <w:instrText xml:space="preserve"> HYPERLINK "https://doi.org/10.26803/ijlter.20.1.6" \h </w:instrText>
      </w:r>
      <w:r>
        <w:fldChar w:fldCharType="separate"/>
      </w:r>
      <w:r>
        <w:rPr>
          <w:rFonts w:eastAsia="Times New Roman" w:cs="Times New Roman"/>
          <w:color w:val="000000"/>
          <w:szCs w:val="24"/>
          <w:u w:val="single"/>
        </w:rPr>
        <w:t>https://doi.org/10.26803/ijlter.20.1.6</w:t>
      </w:r>
      <w:r>
        <w:rPr>
          <w:rFonts w:eastAsia="Times New Roman" w:cs="Times New Roman"/>
          <w:color w:val="000000"/>
          <w:szCs w:val="24"/>
          <w:u w:val="single"/>
        </w:rPr>
        <w:fldChar w:fldCharType="end"/>
      </w:r>
      <w:r>
        <w:rPr>
          <w:rFonts w:eastAsia="Times New Roman" w:cs="Times New Roman"/>
          <w:i/>
          <w:color w:val="000000"/>
          <w:szCs w:val="24"/>
        </w:rPr>
        <w:t xml:space="preserve"> </w:t>
      </w:r>
    </w:p>
    <w:p w14:paraId="0000004E">
      <w:pPr>
        <w:spacing w:after="0" w:line="360" w:lineRule="auto"/>
        <w:ind w:left="720" w:hanging="720"/>
        <w:rPr>
          <w:rFonts w:eastAsia="Times New Roman" w:cs="Times New Roman"/>
          <w:color w:val="000000"/>
          <w:szCs w:val="24"/>
        </w:rPr>
      </w:pPr>
      <w:bookmarkStart w:id="11" w:name="_heading=h.3rdcrjn" w:colFirst="0" w:colLast="0"/>
      <w:bookmarkEnd w:id="11"/>
      <w:r>
        <w:rPr>
          <w:rFonts w:eastAsia="Times New Roman" w:cs="Times New Roman"/>
          <w:color w:val="000000"/>
          <w:szCs w:val="24"/>
        </w:rPr>
        <w:t xml:space="preserve">Matthewman, S. (2013) ‘Accidentology: A Critical Assessment of Paul Virilio's Political Economy of Speed.’ </w:t>
      </w:r>
      <w:r>
        <w:rPr>
          <w:rFonts w:eastAsia="Times New Roman" w:cs="Times New Roman"/>
          <w:i/>
          <w:color w:val="000000"/>
          <w:szCs w:val="24"/>
        </w:rPr>
        <w:t>Cultural Politics</w:t>
      </w:r>
      <w:r>
        <w:rPr>
          <w:rFonts w:eastAsia="Times New Roman" w:cs="Times New Roman"/>
          <w:color w:val="000000"/>
          <w:szCs w:val="24"/>
        </w:rPr>
        <w:t xml:space="preserve">, 9(3), pp. 280-295. Available at: </w:t>
      </w:r>
      <w:r>
        <w:fldChar w:fldCharType="begin"/>
      </w:r>
      <w:r>
        <w:instrText xml:space="preserve"> HYPERLINK "https://doi.org/10.1215/17432197-2346982" \h </w:instrText>
      </w:r>
      <w:r>
        <w:fldChar w:fldCharType="separate"/>
      </w:r>
      <w:r>
        <w:rPr>
          <w:rFonts w:eastAsia="Times New Roman" w:cs="Times New Roman"/>
          <w:color w:val="000000"/>
          <w:szCs w:val="24"/>
          <w:u w:val="single"/>
        </w:rPr>
        <w:t>https://doi.org/10.1215/17432197-2346982</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4F">
      <w:pPr>
        <w:spacing w:after="0" w:line="360" w:lineRule="auto"/>
        <w:ind w:left="720" w:hanging="720"/>
        <w:rPr>
          <w:rFonts w:eastAsia="Times New Roman" w:cs="Times New Roman"/>
          <w:color w:val="000000"/>
          <w:szCs w:val="24"/>
        </w:rPr>
      </w:pPr>
      <w:bookmarkStart w:id="12" w:name="_heading=h.26in1rg" w:colFirst="0" w:colLast="0"/>
      <w:bookmarkEnd w:id="12"/>
      <w:r>
        <w:rPr>
          <w:rFonts w:eastAsia="Times New Roman" w:cs="Times New Roman"/>
          <w:color w:val="000000"/>
          <w:szCs w:val="24"/>
        </w:rPr>
        <w:t xml:space="preserve">Mazhar, S.A., Anjum, R., Anwar, A.I. and Khan, A.A. (2021) ‘Methods of data collection: A fundamental tool of research,’ </w:t>
      </w:r>
      <w:r>
        <w:rPr>
          <w:rFonts w:eastAsia="Times New Roman" w:cs="Times New Roman"/>
          <w:i/>
          <w:color w:val="000000"/>
          <w:szCs w:val="24"/>
        </w:rPr>
        <w:t>Journal of Integrated Community Health</w:t>
      </w:r>
      <w:r>
        <w:rPr>
          <w:rFonts w:eastAsia="Times New Roman" w:cs="Times New Roman"/>
          <w:color w:val="000000"/>
          <w:szCs w:val="24"/>
        </w:rPr>
        <w:t xml:space="preserve">, 10(1), pp. 6-10. Available at: </w:t>
      </w:r>
      <w:r>
        <w:fldChar w:fldCharType="begin"/>
      </w:r>
      <w:r>
        <w:instrText xml:space="preserve"> HYPERLINK "http://medicaljournalshouse.com/index.php/ADR-CommunityHealth/article/download/631/496" \h </w:instrText>
      </w:r>
      <w:r>
        <w:fldChar w:fldCharType="separate"/>
      </w:r>
      <w:r>
        <w:rPr>
          <w:rFonts w:eastAsia="Times New Roman" w:cs="Times New Roman"/>
          <w:color w:val="000000"/>
          <w:szCs w:val="24"/>
          <w:u w:val="single"/>
        </w:rPr>
        <w:t>http://medicaljournalshouse.com/index.php/ADR-CommunityHealth/article/download/631/496</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50">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Mourtzis, D., Angelopoulos, J. and Panopoulos, N. (2023) ‘The Future of the Human–Machine Interface (HMI) in Society 5.0’, </w:t>
      </w:r>
      <w:r>
        <w:rPr>
          <w:rFonts w:eastAsia="Times New Roman" w:cs="Times New Roman"/>
          <w:i/>
          <w:color w:val="000000"/>
          <w:szCs w:val="24"/>
        </w:rPr>
        <w:t>Future Internet</w:t>
      </w:r>
      <w:r>
        <w:rPr>
          <w:rFonts w:eastAsia="Times New Roman" w:cs="Times New Roman"/>
          <w:color w:val="000000"/>
          <w:szCs w:val="24"/>
        </w:rPr>
        <w:t xml:space="preserve">, 15(5), p. 162. Available at: </w:t>
      </w:r>
      <w:r>
        <w:fldChar w:fldCharType="begin"/>
      </w:r>
      <w:r>
        <w:instrText xml:space="preserve"> HYPERLINK "https://doi.org/10.3390/fi15050162" \h </w:instrText>
      </w:r>
      <w:r>
        <w:fldChar w:fldCharType="separate"/>
      </w:r>
      <w:r>
        <w:rPr>
          <w:rFonts w:eastAsia="Times New Roman" w:cs="Times New Roman"/>
          <w:color w:val="000000"/>
          <w:szCs w:val="24"/>
          <w:u w:val="single"/>
        </w:rPr>
        <w:t>https://doi.org/10.3390/fi15050162</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51">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Neubauer, B., Witkop, C. and Varpio, L. (2019) ‘How Phenomenology Can Help Us Learn from the Experiences of Others’, </w:t>
      </w:r>
      <w:r>
        <w:rPr>
          <w:rFonts w:eastAsia="Times New Roman" w:cs="Times New Roman"/>
          <w:i/>
          <w:color w:val="000000"/>
          <w:szCs w:val="24"/>
        </w:rPr>
        <w:t>Perspectives on Medical Education</w:t>
      </w:r>
      <w:r>
        <w:rPr>
          <w:rFonts w:eastAsia="Times New Roman" w:cs="Times New Roman"/>
          <w:color w:val="000000"/>
          <w:szCs w:val="24"/>
        </w:rPr>
        <w:t xml:space="preserve">, 8(2), pp. 90–97. Available at: </w:t>
      </w:r>
      <w:r>
        <w:fldChar w:fldCharType="begin"/>
      </w:r>
      <w:r>
        <w:instrText xml:space="preserve"> HYPERLINK "https://doi.org/10.1007/s40037-019-0509-2" \h </w:instrText>
      </w:r>
      <w:r>
        <w:fldChar w:fldCharType="separate"/>
      </w:r>
      <w:r>
        <w:rPr>
          <w:rFonts w:eastAsia="Times New Roman" w:cs="Times New Roman"/>
          <w:color w:val="000000"/>
          <w:szCs w:val="24"/>
          <w:u w:val="single"/>
        </w:rPr>
        <w:t>https://doi.org/10.1007/s40037-019-0509-2</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52">
      <w:pPr>
        <w:spacing w:after="0" w:line="360" w:lineRule="auto"/>
        <w:ind w:left="720" w:hanging="720"/>
        <w:rPr>
          <w:rFonts w:eastAsia="Times New Roman" w:cs="Times New Roman"/>
          <w:color w:val="000000"/>
          <w:szCs w:val="24"/>
        </w:rPr>
      </w:pPr>
      <w:bookmarkStart w:id="13" w:name="_heading=h.lnxbz9" w:colFirst="0" w:colLast="0"/>
      <w:bookmarkEnd w:id="13"/>
      <w:r>
        <w:rPr>
          <w:rFonts w:eastAsia="Times New Roman" w:cs="Times New Roman"/>
          <w:color w:val="000000"/>
          <w:szCs w:val="24"/>
        </w:rPr>
        <w:t>Nowlin, E. (2023) ‘A Conceptual Exploration of How B2B Salesperson Fear of Innovation Influences Role Stress and Customer-Perceived Service Quality,’ In </w:t>
      </w:r>
      <w:r>
        <w:rPr>
          <w:rFonts w:eastAsia="Times New Roman" w:cs="Times New Roman"/>
          <w:i/>
          <w:color w:val="000000"/>
          <w:szCs w:val="24"/>
        </w:rPr>
        <w:t>Customer Centric Support Services in the Digital Age: The Next Frontier of Competitive Advantage</w:t>
      </w:r>
      <w:r>
        <w:rPr>
          <w:rFonts w:eastAsia="Times New Roman" w:cs="Times New Roman"/>
          <w:color w:val="000000"/>
          <w:szCs w:val="24"/>
        </w:rPr>
        <w:t xml:space="preserve"> (pp. 131-152). Cham: Springer International Publishing. Available at: </w:t>
      </w:r>
      <w:r>
        <w:fldChar w:fldCharType="begin"/>
      </w:r>
      <w:r>
        <w:instrText xml:space="preserve"> HYPERLINK "https://www.researchgate.net/profile/Varsha-Jain-6/publication/377012395_Customer-Centric_Support_Services_An_Introduction_to_the_Next_Frontier_for_Competitive_Advantage_in_the_Digital_Era/links/6597c1996f6e450f19cb9788/Customer-Centric-Support-Services-An-Introduction-to-the-Next-Frontier-for-Competitive-Advantage-in-the-Digital-Era.pdf" \l "page=148" \h </w:instrText>
      </w:r>
      <w:r>
        <w:fldChar w:fldCharType="separate"/>
      </w:r>
      <w:r>
        <w:rPr>
          <w:rFonts w:eastAsia="Times New Roman" w:cs="Times New Roman"/>
          <w:color w:val="000000"/>
          <w:szCs w:val="24"/>
          <w:u w:val="single"/>
        </w:rPr>
        <w:t>https://www.researchgate.net/profile/Varsha-Jain-6/publication/377012395_Customer-Centric_Support_Services_An_Introduction_to_the_Next_Frontier_for_Competitive_Advantage_in_the_Digital_Era/links/6597c1996f6e450f19cb9788/Customer-Centric-Support-Services-An-Introduction-to-the-Next-Frontier-for-Competitive-Advantage-in-the-Digital-Era.pdf#page=148</w:t>
      </w:r>
      <w:r>
        <w:rPr>
          <w:rFonts w:eastAsia="Times New Roman" w:cs="Times New Roman"/>
          <w:color w:val="000000"/>
          <w:szCs w:val="24"/>
          <w:u w:val="single"/>
        </w:rPr>
        <w:fldChar w:fldCharType="end"/>
      </w:r>
    </w:p>
    <w:p w14:paraId="00000053">
      <w:pPr>
        <w:spacing w:after="0" w:line="360" w:lineRule="auto"/>
        <w:ind w:left="720" w:hanging="720"/>
        <w:rPr>
          <w:rFonts w:eastAsia="Times New Roman" w:cs="Times New Roman"/>
          <w:color w:val="000000"/>
          <w:szCs w:val="24"/>
        </w:rPr>
      </w:pPr>
      <w:bookmarkStart w:id="14" w:name="_heading=h.35nkun2" w:colFirst="0" w:colLast="0"/>
      <w:bookmarkEnd w:id="14"/>
      <w:r>
        <w:rPr>
          <w:rFonts w:eastAsia="Times New Roman" w:cs="Times New Roman"/>
          <w:color w:val="000000"/>
          <w:szCs w:val="24"/>
        </w:rPr>
        <w:t xml:space="preserve">Pashak, T.J., Nelson, O.M., Tunstull, M.D., Vanderstelt, B.H., Nichols, D.P. and Hitt, J.M. (2023) ‘Embrace subjectivity: existentially-informed clinical psychological science, practice, and teaching,’ </w:t>
      </w:r>
      <w:r>
        <w:rPr>
          <w:rFonts w:eastAsia="Times New Roman" w:cs="Times New Roman"/>
          <w:i/>
          <w:color w:val="000000"/>
          <w:szCs w:val="24"/>
        </w:rPr>
        <w:t>Clinical Psychologist</w:t>
      </w:r>
      <w:r>
        <w:rPr>
          <w:rFonts w:eastAsia="Times New Roman" w:cs="Times New Roman"/>
          <w:color w:val="000000"/>
          <w:szCs w:val="24"/>
        </w:rPr>
        <w:t xml:space="preserve">, 27(1), pp. 4-21. Available at: </w:t>
      </w:r>
      <w:r>
        <w:fldChar w:fldCharType="begin"/>
      </w:r>
      <w:r>
        <w:instrText xml:space="preserve"> HYPERLINK "https://doi.org/10.1080/13284207.2022.2108695" \h </w:instrText>
      </w:r>
      <w:r>
        <w:fldChar w:fldCharType="separate"/>
      </w:r>
      <w:r>
        <w:rPr>
          <w:rFonts w:eastAsia="Times New Roman" w:cs="Times New Roman"/>
          <w:color w:val="000000"/>
          <w:szCs w:val="24"/>
          <w:u w:val="single"/>
        </w:rPr>
        <w:t>https://doi.org/10.1080/13284207.2022.2108695</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54">
      <w:pPr>
        <w:spacing w:after="0" w:line="360" w:lineRule="auto"/>
        <w:ind w:left="720" w:hanging="720"/>
        <w:rPr>
          <w:rFonts w:eastAsia="Times New Roman" w:cs="Times New Roman"/>
          <w:color w:val="000000"/>
          <w:szCs w:val="24"/>
        </w:rPr>
      </w:pPr>
      <w:bookmarkStart w:id="15" w:name="_heading=h.1ksv4uv" w:colFirst="0" w:colLast="0"/>
      <w:bookmarkEnd w:id="15"/>
      <w:r>
        <w:rPr>
          <w:rFonts w:eastAsia="Times New Roman" w:cs="Times New Roman"/>
          <w:color w:val="000000"/>
          <w:szCs w:val="24"/>
        </w:rPr>
        <w:t xml:space="preserve">Ploder, A. and Hamann, J. (2021) ‘Practices of ethnographic research: Introduction to the special issue,’ </w:t>
      </w:r>
      <w:r>
        <w:rPr>
          <w:rFonts w:eastAsia="Times New Roman" w:cs="Times New Roman"/>
          <w:i/>
          <w:color w:val="000000"/>
          <w:szCs w:val="24"/>
        </w:rPr>
        <w:t>Journal of Contemporary Ethnography</w:t>
      </w:r>
      <w:r>
        <w:rPr>
          <w:rFonts w:eastAsia="Times New Roman" w:cs="Times New Roman"/>
          <w:color w:val="000000"/>
          <w:szCs w:val="24"/>
        </w:rPr>
        <w:t xml:space="preserve">, 50(1), pp. 3-10. Available at: </w:t>
      </w:r>
      <w:r>
        <w:fldChar w:fldCharType="begin"/>
      </w:r>
      <w:r>
        <w:instrText xml:space="preserve"> HYPERLINK "https://doi.org/10.1177/0891241620979100" \h </w:instrText>
      </w:r>
      <w:r>
        <w:fldChar w:fldCharType="separate"/>
      </w:r>
      <w:r>
        <w:rPr>
          <w:rFonts w:eastAsia="Times New Roman" w:cs="Times New Roman"/>
          <w:color w:val="000000"/>
          <w:szCs w:val="24"/>
          <w:u w:val="single"/>
        </w:rPr>
        <w:t>https://doi.org/10.1177/0891241620979100</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55">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Soza‐Parra, J. (2023) ‘The role of personal motives in determining car ownership and use: a literature review’, </w:t>
      </w:r>
      <w:r>
        <w:rPr>
          <w:rFonts w:eastAsia="Times New Roman" w:cs="Times New Roman"/>
          <w:i/>
          <w:color w:val="000000"/>
          <w:szCs w:val="24"/>
        </w:rPr>
        <w:t>Transport Reviews</w:t>
      </w:r>
      <w:r>
        <w:rPr>
          <w:rFonts w:eastAsia="Times New Roman" w:cs="Times New Roman"/>
          <w:color w:val="000000"/>
          <w:szCs w:val="24"/>
        </w:rPr>
        <w:t xml:space="preserve">, 44(3), pp. 1–21. Available at: </w:t>
      </w:r>
      <w:r>
        <w:fldChar w:fldCharType="begin"/>
      </w:r>
      <w:r>
        <w:instrText xml:space="preserve"> HYPERLINK "https://doi.org/10.1080/01441647.2023.2278445" \h </w:instrText>
      </w:r>
      <w:r>
        <w:fldChar w:fldCharType="separate"/>
      </w:r>
      <w:r>
        <w:rPr>
          <w:rFonts w:eastAsia="Times New Roman" w:cs="Times New Roman"/>
          <w:color w:val="000000"/>
          <w:szCs w:val="24"/>
          <w:u w:val="single"/>
        </w:rPr>
        <w:t>https://doi.org/10.1080/01441647.2023.2278445</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56">
      <w:pPr>
        <w:spacing w:after="0" w:line="360" w:lineRule="auto"/>
        <w:ind w:left="720" w:hanging="720"/>
        <w:rPr>
          <w:rFonts w:eastAsia="Times New Roman" w:cs="Times New Roman"/>
          <w:color w:val="000000"/>
          <w:szCs w:val="24"/>
        </w:rPr>
      </w:pPr>
      <w:bookmarkStart w:id="16" w:name="_heading=h.44sinio" w:colFirst="0" w:colLast="0"/>
      <w:bookmarkEnd w:id="16"/>
      <w:r>
        <w:rPr>
          <w:rFonts w:eastAsia="Times New Roman" w:cs="Times New Roman"/>
          <w:color w:val="000000"/>
          <w:szCs w:val="24"/>
        </w:rPr>
        <w:t xml:space="preserve">Stenmark, M. (2022) ‘Secular Worldviews: Scientism and Secular Humanism,’ </w:t>
      </w:r>
      <w:r>
        <w:rPr>
          <w:rFonts w:eastAsia="Times New Roman" w:cs="Times New Roman"/>
          <w:i/>
          <w:color w:val="000000"/>
          <w:szCs w:val="24"/>
        </w:rPr>
        <w:t>European journal for philosophy of religion</w:t>
      </w:r>
      <w:r>
        <w:rPr>
          <w:rFonts w:eastAsia="Times New Roman" w:cs="Times New Roman"/>
          <w:color w:val="000000"/>
          <w:szCs w:val="24"/>
        </w:rPr>
        <w:t xml:space="preserve">, 14(4), pp. 237-264. Available at: DOI: 10.24204/EJPR.2022.3640 </w:t>
      </w:r>
    </w:p>
    <w:p w14:paraId="00000057">
      <w:pPr>
        <w:spacing w:after="0" w:line="360" w:lineRule="auto"/>
        <w:ind w:left="720" w:hanging="720"/>
        <w:rPr>
          <w:rFonts w:eastAsia="Times New Roman" w:cs="Times New Roman"/>
          <w:color w:val="000000"/>
          <w:szCs w:val="24"/>
        </w:rPr>
      </w:pPr>
      <w:bookmarkStart w:id="17" w:name="_heading=h.2jxsxqh" w:colFirst="0" w:colLast="0"/>
      <w:bookmarkEnd w:id="17"/>
      <w:r>
        <w:rPr>
          <w:rFonts w:eastAsia="Times New Roman" w:cs="Times New Roman"/>
          <w:color w:val="000000"/>
          <w:szCs w:val="24"/>
        </w:rPr>
        <w:t xml:space="preserve">Zahavi, D. (2022) ‘Individuality and community: The limits of social constructivism,’ </w:t>
      </w:r>
      <w:r>
        <w:rPr>
          <w:rFonts w:eastAsia="Times New Roman" w:cs="Times New Roman"/>
          <w:i/>
          <w:color w:val="000000"/>
          <w:szCs w:val="24"/>
        </w:rPr>
        <w:t>Ethos</w:t>
      </w:r>
      <w:r>
        <w:rPr>
          <w:rFonts w:eastAsia="Times New Roman" w:cs="Times New Roman"/>
          <w:color w:val="000000"/>
          <w:szCs w:val="24"/>
        </w:rPr>
        <w:t xml:space="preserve">, 50(4), pp. 392-409. Available at: </w:t>
      </w:r>
      <w:r>
        <w:fldChar w:fldCharType="begin"/>
      </w:r>
      <w:r>
        <w:instrText xml:space="preserve"> HYPERLINK "https://doi.org/10.1111/etho.12364" \h </w:instrText>
      </w:r>
      <w:r>
        <w:fldChar w:fldCharType="separate"/>
      </w:r>
      <w:r>
        <w:rPr>
          <w:rFonts w:eastAsia="Times New Roman" w:cs="Times New Roman"/>
          <w:color w:val="000000"/>
          <w:szCs w:val="24"/>
          <w:u w:val="single"/>
        </w:rPr>
        <w:t>https://doi.org/10.1111/etho.12364</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58">
      <w:pPr>
        <w:spacing w:after="0" w:line="360" w:lineRule="auto"/>
        <w:ind w:left="720" w:hanging="720"/>
        <w:rPr>
          <w:rFonts w:eastAsia="Times New Roman" w:cs="Times New Roman"/>
          <w:color w:val="000000"/>
          <w:szCs w:val="24"/>
        </w:rPr>
      </w:pPr>
      <w:bookmarkStart w:id="18" w:name="_heading=h.z337ya" w:colFirst="0" w:colLast="0"/>
      <w:bookmarkEnd w:id="18"/>
      <w:r>
        <w:rPr>
          <w:rFonts w:eastAsia="Times New Roman" w:cs="Times New Roman"/>
          <w:color w:val="000000"/>
          <w:szCs w:val="24"/>
        </w:rPr>
        <w:t xml:space="preserve">Zardari, B.A., Hussain, Z., Arain, A.A., Rizvi, W.H. and Vighio, M.S. (2021) ‘Development and validation of user experience-based e-learning acceptance model for sustainable higher education,’ </w:t>
      </w:r>
      <w:r>
        <w:rPr>
          <w:rFonts w:eastAsia="Times New Roman" w:cs="Times New Roman"/>
          <w:i/>
          <w:color w:val="000000"/>
          <w:szCs w:val="24"/>
        </w:rPr>
        <w:t>Sustainability</w:t>
      </w:r>
      <w:r>
        <w:rPr>
          <w:rFonts w:eastAsia="Times New Roman" w:cs="Times New Roman"/>
          <w:color w:val="000000"/>
          <w:szCs w:val="24"/>
        </w:rPr>
        <w:t xml:space="preserve">, 13(11). Available at: </w:t>
      </w:r>
      <w:r>
        <w:fldChar w:fldCharType="begin"/>
      </w:r>
      <w:r>
        <w:instrText xml:space="preserve"> HYPERLINK "https://doi.org/10.3390/su13116201" \h </w:instrText>
      </w:r>
      <w:r>
        <w:fldChar w:fldCharType="separate"/>
      </w:r>
      <w:r>
        <w:rPr>
          <w:rFonts w:eastAsia="Times New Roman" w:cs="Times New Roman"/>
          <w:color w:val="000000"/>
          <w:szCs w:val="24"/>
          <w:u w:val="single"/>
        </w:rPr>
        <w:t>https://doi.org/10.3390/su13116201</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59">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Zhang, Q., Yang, X.J. and Robert, L.P. (2021) ‘Drivers’ Age and Automated Vehicle Explanations’, </w:t>
      </w:r>
      <w:r>
        <w:rPr>
          <w:rFonts w:eastAsia="Times New Roman" w:cs="Times New Roman"/>
          <w:i/>
          <w:color w:val="000000"/>
          <w:szCs w:val="24"/>
        </w:rPr>
        <w:t>Sustainability</w:t>
      </w:r>
      <w:r>
        <w:rPr>
          <w:rFonts w:eastAsia="Times New Roman" w:cs="Times New Roman"/>
          <w:color w:val="000000"/>
          <w:szCs w:val="24"/>
        </w:rPr>
        <w:t xml:space="preserve">, 13(4), p. 1948. Available at: </w:t>
      </w:r>
      <w:r>
        <w:fldChar w:fldCharType="begin"/>
      </w:r>
      <w:r>
        <w:instrText xml:space="preserve"> HYPERLINK "https://doi.org/10.3390/su13041948" \h </w:instrText>
      </w:r>
      <w:r>
        <w:fldChar w:fldCharType="separate"/>
      </w:r>
      <w:r>
        <w:rPr>
          <w:rFonts w:eastAsia="Times New Roman" w:cs="Times New Roman"/>
          <w:color w:val="000000"/>
          <w:szCs w:val="24"/>
          <w:u w:val="single"/>
        </w:rPr>
        <w:t>https://doi.org/10.3390/su13041948</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00005A">
      <w:pPr>
        <w:spacing w:after="0" w:line="360" w:lineRule="auto"/>
        <w:ind w:left="720" w:hanging="720"/>
        <w:rPr>
          <w:rFonts w:eastAsia="Times New Roman" w:cs="Times New Roman"/>
          <w:color w:val="000000"/>
          <w:szCs w:val="24"/>
        </w:rPr>
      </w:pPr>
      <w:r>
        <w:rPr>
          <w:rFonts w:eastAsia="Times New Roman" w:cs="Times New Roman"/>
          <w:color w:val="000000"/>
          <w:szCs w:val="24"/>
        </w:rPr>
        <w:t xml:space="preserve">Zhang, X., Liao, X.P. and Tu, J.C. (2022) ‘A Study of Bibliometric Trends in Automotive Human–Machine Interfaces’, </w:t>
      </w:r>
      <w:r>
        <w:rPr>
          <w:rFonts w:eastAsia="Times New Roman" w:cs="Times New Roman"/>
          <w:i/>
          <w:color w:val="000000"/>
          <w:szCs w:val="24"/>
        </w:rPr>
        <w:t>Sustainability</w:t>
      </w:r>
      <w:r>
        <w:rPr>
          <w:rFonts w:eastAsia="Times New Roman" w:cs="Times New Roman"/>
          <w:color w:val="000000"/>
          <w:szCs w:val="24"/>
        </w:rPr>
        <w:t xml:space="preserve">, 14(15), p. 9262. Available at: </w:t>
      </w:r>
      <w:r>
        <w:fldChar w:fldCharType="begin"/>
      </w:r>
      <w:r>
        <w:instrText xml:space="preserve"> HYPERLINK "https://doi.org/10.3390/su14159262" \h </w:instrText>
      </w:r>
      <w:r>
        <w:fldChar w:fldCharType="separate"/>
      </w:r>
      <w:r>
        <w:rPr>
          <w:rFonts w:eastAsia="Times New Roman" w:cs="Times New Roman"/>
          <w:color w:val="000000"/>
          <w:szCs w:val="24"/>
          <w:u w:val="single"/>
        </w:rPr>
        <w:t>https://doi.org/10.3390/su14159262</w:t>
      </w:r>
      <w:r>
        <w:rPr>
          <w:rFonts w:eastAsia="Times New Roman" w:cs="Times New Roman"/>
          <w:color w:val="000000"/>
          <w:szCs w:val="24"/>
          <w:u w:val="single"/>
        </w:rPr>
        <w:fldChar w:fldCharType="end"/>
      </w:r>
      <w:r>
        <w:rPr>
          <w:rFonts w:eastAsia="Times New Roman" w:cs="Times New Roman"/>
          <w:color w:val="000000"/>
          <w:szCs w:val="24"/>
        </w:rPr>
        <w:t xml:space="preserve">. </w:t>
      </w:r>
    </w:p>
    <w:p w14:paraId="005532DE"/>
    <w:sectPr>
      <w:footerReference r:id="rId5" w:type="default"/>
      <w:pgSz w:w="11906" w:h="16838"/>
      <w:pgMar w:top="1440" w:right="1440" w:bottom="1440" w:left="1440"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5B">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jc w:val="right"/>
      <w:rPr>
        <w:rFonts w:eastAsia="Times New Roman" w:cs="Times New Roman"/>
        <w:color w:val="000000"/>
        <w:szCs w:val="24"/>
      </w:rPr>
    </w:pPr>
    <w:r>
      <w:rPr>
        <w:rFonts w:eastAsia="Times New Roman" w:cs="Times New Roman"/>
        <w:color w:val="000000"/>
        <w:szCs w:val="24"/>
      </w:rPr>
      <w:fldChar w:fldCharType="begin"/>
    </w:r>
    <w:r>
      <w:rPr>
        <w:rFonts w:eastAsia="Times New Roman" w:cs="Times New Roman"/>
        <w:color w:val="000000"/>
        <w:szCs w:val="24"/>
      </w:rPr>
      <w:instrText xml:space="preserve">PAGE</w:instrText>
    </w:r>
    <w:r>
      <w:rPr>
        <w:rFonts w:eastAsia="Times New Roman" w:cs="Times New Roman"/>
        <w:color w:val="000000"/>
        <w:szCs w:val="24"/>
      </w:rPr>
      <w:fldChar w:fldCharType="separate"/>
    </w:r>
    <w:r>
      <w:rPr>
        <w:rFonts w:eastAsia="Times New Roman" w:cs="Times New Roman"/>
        <w:color w:val="000000"/>
        <w:szCs w:val="24"/>
      </w:rPr>
      <w:t>1</w:t>
    </w:r>
    <w:r>
      <w:rPr>
        <w:rFonts w:eastAsia="Times New Roman" w:cs="Times New Roman"/>
        <w:color w:val="000000"/>
        <w:szCs w:val="24"/>
      </w:rPr>
      <w:fldChar w:fldCharType="end"/>
    </w:r>
  </w:p>
  <w:p w14:paraId="0000005C">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15F653A"/>
    <w:rsid w:val="315F65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480" w:lineRule="auto"/>
      <w:jc w:val="both"/>
    </w:pPr>
    <w:rPr>
      <w:rFonts w:ascii="Times New Roman" w:hAnsi="Times New Roman" w:eastAsia="Calibri" w:cs="Calibri"/>
      <w:sz w:val="24"/>
      <w:szCs w:val="22"/>
      <w:lang w:val="en-GB" w:eastAsia="en-I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0</Lines>
  <Paragraphs>0</Paragraphs>
  <TotalTime>2</TotalTime>
  <ScaleCrop>false</ScaleCrop>
  <LinksUpToDate>false</LinksUpToDate>
  <CharactersWithSpaces>0</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2025-01-04T12:52:00Z</dcterms:created>
  <dc:creator>Administrator</dc:creator>
  <cp:lastModifiedBy>ÜSAW</cp:lastModifiedBy>
  <dcterms:modified xsi:type="dcterms:W3CDTF">2025-01-04T12:54:42Z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6B2B6010B07348398358CEA00C77AA72_11</vt:lpwstr>
  </property>
  <property fmtid="{D5CDD505-2E9C-101B-9397-08002B2CF9AE}" pid="4" name="KSOTemplateDocerSaveRecord">
    <vt:lpwstr>eyJoZGlkIjoiMzc2NjJjOTNiZGNjOGNiNDUwZjUxMDdhYzg0NzdhNmQiLCJ1c2VySWQiOiI1OTIwNjYxNDIifQ==</vt:lpwstr>
  </property>
</Properties>
</file>