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F01ED" w:rsidR="007E7745" w:rsidP="0076357B" w:rsidRDefault="32CA595D" w14:paraId="0AEE880B" w14:textId="4F2CFB37">
      <w:pPr>
        <w:spacing w:line="360" w:lineRule="auto"/>
        <w:jc w:val="both"/>
        <w:rPr>
          <w:rFonts w:ascii="Arial" w:hAnsi="Arial" w:cs="Arial"/>
        </w:rPr>
      </w:pPr>
      <w:r w:rsidRPr="078572C3" w:rsidR="79F43790">
        <w:rPr>
          <w:rFonts w:ascii="Arial" w:hAnsi="Arial" w:cs="Arial"/>
        </w:rPr>
        <w:t xml:space="preserve"> </w:t>
      </w:r>
      <w:r w:rsidRPr="078572C3" w:rsidR="32CA595D">
        <w:rPr>
          <w:rFonts w:ascii="Arial" w:hAnsi="Arial" w:cs="Arial"/>
        </w:rPr>
        <w:t xml:space="preserve"> </w:t>
      </w:r>
    </w:p>
    <w:p w:rsidRPr="00DF01ED" w:rsidR="00EB12BC" w:rsidP="0076357B" w:rsidRDefault="00EB12BC" w14:paraId="7BE5D506" w14:textId="77777777">
      <w:pPr>
        <w:spacing w:line="360" w:lineRule="auto"/>
        <w:jc w:val="both"/>
        <w:rPr>
          <w:rFonts w:ascii="Arial" w:hAnsi="Arial" w:cs="Arial"/>
          <w:szCs w:val="24"/>
        </w:rPr>
      </w:pPr>
      <w:r w:rsidRPr="00DF01ED">
        <w:rPr>
          <w:rFonts w:ascii="Arial" w:hAnsi="Arial" w:cs="Arial"/>
          <w:noProof/>
          <w:szCs w:val="24"/>
          <w:lang w:val="en-US"/>
        </w:rPr>
        <w:drawing>
          <wp:anchor distT="0" distB="0" distL="114300" distR="114300" simplePos="0" relativeHeight="251658240" behindDoc="0" locked="0" layoutInCell="1" allowOverlap="1" wp14:anchorId="68109DB8" wp14:editId="607F98F9">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DF01ED" w:rsidR="00EB12BC" w:rsidP="0076357B" w:rsidRDefault="00EB12BC" w14:paraId="3B2A4EE0" w14:textId="77777777">
      <w:pPr>
        <w:spacing w:line="360" w:lineRule="auto"/>
        <w:jc w:val="both"/>
        <w:rPr>
          <w:rFonts w:ascii="Arial" w:hAnsi="Arial" w:cs="Arial"/>
          <w:szCs w:val="24"/>
        </w:rPr>
      </w:pPr>
    </w:p>
    <w:p w:rsidRPr="00DF01ED" w:rsidR="00EB12BC" w:rsidP="0076357B" w:rsidRDefault="00EB12BC" w14:paraId="6120BF6A" w14:textId="77777777">
      <w:pPr>
        <w:spacing w:line="360" w:lineRule="auto"/>
        <w:jc w:val="both"/>
        <w:rPr>
          <w:rFonts w:ascii="Arial" w:hAnsi="Arial" w:cs="Arial"/>
          <w:szCs w:val="24"/>
        </w:rPr>
      </w:pPr>
    </w:p>
    <w:p w:rsidRPr="00DF01ED" w:rsidR="00EB12BC" w:rsidP="0076357B" w:rsidRDefault="00EB12BC" w14:paraId="405C2FC2" w14:textId="77777777">
      <w:pPr>
        <w:spacing w:line="360" w:lineRule="auto"/>
        <w:jc w:val="both"/>
        <w:rPr>
          <w:rFonts w:ascii="Arial" w:hAnsi="Arial" w:cs="Arial"/>
          <w:szCs w:val="24"/>
        </w:rPr>
      </w:pPr>
    </w:p>
    <w:p w:rsidRPr="00DF01ED" w:rsidR="00EB12BC" w:rsidP="0076357B" w:rsidRDefault="00EB12BC" w14:paraId="2BA0EEAF" w14:textId="77777777">
      <w:pPr>
        <w:tabs>
          <w:tab w:val="left" w:pos="6540"/>
        </w:tabs>
        <w:spacing w:line="360" w:lineRule="auto"/>
        <w:jc w:val="both"/>
        <w:rPr>
          <w:rFonts w:ascii="Arial" w:hAnsi="Arial" w:cs="Arial"/>
          <w:sz w:val="28"/>
          <w:szCs w:val="28"/>
        </w:rPr>
      </w:pPr>
    </w:p>
    <w:p w:rsidRPr="00DF01ED" w:rsidR="00EB12BC" w:rsidP="0076357B" w:rsidRDefault="00EB12BC" w14:paraId="57F174CF" w14:textId="3B7A90C5">
      <w:pPr>
        <w:tabs>
          <w:tab w:val="left" w:pos="6540"/>
        </w:tabs>
        <w:spacing w:line="360" w:lineRule="auto"/>
        <w:jc w:val="both"/>
        <w:rPr>
          <w:rFonts w:ascii="Arial" w:hAnsi="Arial" w:cs="Arial"/>
          <w:sz w:val="28"/>
          <w:szCs w:val="28"/>
          <w:lang w:val="nl-NL"/>
        </w:rPr>
      </w:pPr>
      <w:r w:rsidRPr="00DF01ED">
        <w:rPr>
          <w:rFonts w:ascii="Arial" w:hAnsi="Arial" w:cs="Arial"/>
          <w:b/>
          <w:bCs/>
          <w:sz w:val="28"/>
          <w:szCs w:val="28"/>
          <w:lang w:val="nl-NL"/>
        </w:rPr>
        <w:t>Student name</w:t>
      </w:r>
      <w:r w:rsidRPr="00DF01ED">
        <w:rPr>
          <w:rFonts w:ascii="Arial" w:hAnsi="Arial" w:cs="Arial"/>
          <w:sz w:val="28"/>
          <w:szCs w:val="28"/>
          <w:lang w:val="nl-NL"/>
        </w:rPr>
        <w:t>:</w:t>
      </w:r>
      <w:r w:rsidR="00D65DCA">
        <w:rPr>
          <w:rFonts w:ascii="Arial" w:hAnsi="Arial" w:cs="Arial"/>
          <w:sz w:val="28"/>
          <w:szCs w:val="28"/>
          <w:lang w:val="nl-NL"/>
        </w:rPr>
        <w:t>Ashura San-Sellus</w:t>
      </w:r>
    </w:p>
    <w:p w:rsidRPr="00DF01ED" w:rsidR="00EB12BC" w:rsidP="0076357B" w:rsidRDefault="00EB12BC" w14:paraId="651AFCBE" w14:textId="1A04E0FD">
      <w:pPr>
        <w:tabs>
          <w:tab w:val="left" w:pos="6540"/>
        </w:tabs>
        <w:spacing w:line="360" w:lineRule="auto"/>
        <w:jc w:val="both"/>
        <w:rPr>
          <w:rFonts w:ascii="Arial" w:hAnsi="Arial" w:cs="Arial"/>
          <w:sz w:val="28"/>
          <w:szCs w:val="28"/>
          <w:lang w:val="nl-NL"/>
        </w:rPr>
      </w:pPr>
      <w:r w:rsidRPr="00DF01ED">
        <w:rPr>
          <w:rFonts w:ascii="Arial" w:hAnsi="Arial" w:cs="Arial"/>
          <w:b/>
          <w:bCs/>
          <w:sz w:val="28"/>
          <w:szCs w:val="28"/>
          <w:lang w:val="nl-NL"/>
        </w:rPr>
        <w:t>Student ID</w:t>
      </w:r>
      <w:r w:rsidRPr="00DF01ED">
        <w:rPr>
          <w:rFonts w:ascii="Arial" w:hAnsi="Arial" w:cs="Arial"/>
          <w:sz w:val="28"/>
          <w:szCs w:val="28"/>
          <w:lang w:val="nl-NL"/>
        </w:rPr>
        <w:t>:</w:t>
      </w:r>
      <w:r w:rsidR="00524198">
        <w:rPr>
          <w:rFonts w:ascii="Arial" w:hAnsi="Arial" w:cs="Arial"/>
          <w:sz w:val="28"/>
          <w:szCs w:val="28"/>
          <w:lang w:val="nl-NL"/>
        </w:rPr>
        <w:t>2</w:t>
      </w:r>
      <w:r w:rsidR="00BA70DF">
        <w:rPr>
          <w:rFonts w:ascii="Arial" w:hAnsi="Arial" w:cs="Arial"/>
          <w:sz w:val="28"/>
          <w:szCs w:val="28"/>
          <w:lang w:val="nl-NL"/>
        </w:rPr>
        <w:t>4</w:t>
      </w:r>
      <w:r w:rsidR="00524198">
        <w:rPr>
          <w:rFonts w:ascii="Arial" w:hAnsi="Arial" w:cs="Arial"/>
          <w:sz w:val="28"/>
          <w:szCs w:val="28"/>
          <w:lang w:val="nl-NL"/>
        </w:rPr>
        <w:t>12818</w:t>
      </w:r>
    </w:p>
    <w:p w:rsidRPr="00BA70DF" w:rsidR="00EB12BC" w:rsidP="0076357B" w:rsidRDefault="00BA70DF" w14:paraId="575EF32B" w14:textId="634F727A">
      <w:pPr>
        <w:tabs>
          <w:tab w:val="left" w:pos="6540"/>
        </w:tabs>
        <w:spacing w:line="360" w:lineRule="auto"/>
        <w:jc w:val="both"/>
        <w:rPr>
          <w:rFonts w:ascii="Arial" w:hAnsi="Arial" w:cs="Arial"/>
          <w:b/>
          <w:bCs/>
          <w:sz w:val="28"/>
          <w:szCs w:val="28"/>
          <w:lang w:val="nl-NL"/>
        </w:rPr>
      </w:pPr>
      <w:r w:rsidRPr="00BA70DF">
        <w:rPr>
          <w:rFonts w:ascii="Arial" w:hAnsi="Arial" w:cs="Arial"/>
          <w:b/>
          <w:bCs/>
          <w:sz w:val="28"/>
          <w:szCs w:val="28"/>
          <w:lang w:val="nl-NL"/>
        </w:rPr>
        <w:t>Date: 5th December 2025</w:t>
      </w:r>
    </w:p>
    <w:p w:rsidR="00BA70DF" w:rsidP="0076357B" w:rsidRDefault="00BA70DF" w14:paraId="28456206" w14:textId="77777777">
      <w:pPr>
        <w:tabs>
          <w:tab w:val="left" w:pos="6540"/>
        </w:tabs>
        <w:spacing w:line="360" w:lineRule="auto"/>
        <w:jc w:val="both"/>
        <w:rPr>
          <w:rFonts w:ascii="Arial" w:hAnsi="Arial" w:cs="Arial"/>
          <w:sz w:val="28"/>
          <w:szCs w:val="28"/>
          <w:lang w:val="nl-NL"/>
        </w:rPr>
      </w:pPr>
    </w:p>
    <w:p w:rsidRPr="00DF01ED" w:rsidR="00BA70DF" w:rsidP="0076357B" w:rsidRDefault="00BA70DF" w14:paraId="6E82ED72" w14:textId="77777777">
      <w:pPr>
        <w:tabs>
          <w:tab w:val="left" w:pos="6540"/>
        </w:tabs>
        <w:spacing w:line="360" w:lineRule="auto"/>
        <w:jc w:val="both"/>
        <w:rPr>
          <w:rFonts w:ascii="Arial" w:hAnsi="Arial" w:cs="Arial"/>
          <w:sz w:val="28"/>
          <w:szCs w:val="28"/>
          <w:lang w:val="nl-NL"/>
        </w:rPr>
      </w:pPr>
    </w:p>
    <w:p w:rsidRPr="00BA70DF" w:rsidR="00EB12BC" w:rsidP="0076357B" w:rsidRDefault="00EB12BC" w14:paraId="70A392E8" w14:textId="77777777">
      <w:pPr>
        <w:tabs>
          <w:tab w:val="left" w:pos="6540"/>
        </w:tabs>
        <w:spacing w:line="360" w:lineRule="auto"/>
        <w:jc w:val="both"/>
        <w:rPr>
          <w:rFonts w:ascii="Arial" w:hAnsi="Arial" w:cs="Arial"/>
          <w:b/>
          <w:bCs/>
          <w:sz w:val="28"/>
          <w:szCs w:val="28"/>
        </w:rPr>
      </w:pPr>
      <w:r w:rsidRPr="00BA70DF">
        <w:rPr>
          <w:rFonts w:ascii="Arial" w:hAnsi="Arial" w:cs="Arial"/>
          <w:b/>
          <w:bCs/>
          <w:sz w:val="28"/>
          <w:szCs w:val="28"/>
        </w:rPr>
        <w:t>Module name</w:t>
      </w:r>
      <w:r w:rsidRPr="00BA70DF">
        <w:rPr>
          <w:rFonts w:ascii="Arial" w:hAnsi="Arial" w:cs="Arial"/>
          <w:sz w:val="28"/>
          <w:szCs w:val="28"/>
        </w:rPr>
        <w:t xml:space="preserve">: </w:t>
      </w:r>
      <w:r w:rsidRPr="00BA70DF" w:rsidR="00DF01ED">
        <w:rPr>
          <w:rFonts w:ascii="Arial" w:hAnsi="Arial" w:cs="Arial"/>
          <w:sz w:val="28"/>
          <w:szCs w:val="28"/>
        </w:rPr>
        <w:t xml:space="preserve"> </w:t>
      </w:r>
      <w:r w:rsidRPr="00BA70DF" w:rsidR="00DF01ED">
        <w:rPr>
          <w:rFonts w:ascii="Arial" w:hAnsi="Arial" w:cs="Arial"/>
          <w:b/>
          <w:bCs/>
          <w:sz w:val="28"/>
          <w:szCs w:val="28"/>
        </w:rPr>
        <w:t>Introduction to Physiology</w:t>
      </w:r>
    </w:p>
    <w:p w:rsidRPr="00DF01ED" w:rsidR="00EB12BC" w:rsidP="0076357B" w:rsidRDefault="00EB12BC" w14:paraId="4E47C9C3" w14:textId="77777777">
      <w:pPr>
        <w:tabs>
          <w:tab w:val="left" w:pos="6540"/>
        </w:tabs>
        <w:spacing w:line="360" w:lineRule="auto"/>
        <w:jc w:val="both"/>
        <w:rPr>
          <w:rFonts w:ascii="Arial" w:hAnsi="Arial" w:cs="Arial"/>
          <w:b/>
          <w:bCs/>
          <w:sz w:val="28"/>
          <w:szCs w:val="28"/>
        </w:rPr>
      </w:pPr>
      <w:r w:rsidRPr="00DF01ED">
        <w:rPr>
          <w:rFonts w:ascii="Arial" w:hAnsi="Arial" w:cs="Arial"/>
          <w:b/>
          <w:bCs/>
          <w:sz w:val="28"/>
          <w:szCs w:val="28"/>
        </w:rPr>
        <w:t>Module code</w:t>
      </w:r>
      <w:r w:rsidRPr="00DF01ED">
        <w:rPr>
          <w:rFonts w:ascii="Arial" w:hAnsi="Arial" w:cs="Arial"/>
          <w:sz w:val="28"/>
          <w:szCs w:val="28"/>
        </w:rPr>
        <w:t>:</w:t>
      </w:r>
      <w:r w:rsidRPr="00DF01ED" w:rsidR="00DF01ED">
        <w:t xml:space="preserve"> </w:t>
      </w:r>
      <w:r w:rsidRPr="00DF01ED" w:rsidR="00DF01ED">
        <w:rPr>
          <w:rFonts w:ascii="Arial" w:hAnsi="Arial" w:cs="Arial"/>
          <w:b/>
          <w:bCs/>
          <w:sz w:val="28"/>
          <w:szCs w:val="28"/>
        </w:rPr>
        <w:t>BMHP5023</w:t>
      </w:r>
    </w:p>
    <w:p w:rsidRPr="00DF01ED" w:rsidR="00EB12BC" w:rsidP="0076357B" w:rsidRDefault="00EB12BC" w14:paraId="331424DE" w14:textId="77777777">
      <w:pPr>
        <w:tabs>
          <w:tab w:val="left" w:pos="6540"/>
        </w:tabs>
        <w:spacing w:line="360" w:lineRule="auto"/>
        <w:jc w:val="both"/>
        <w:rPr>
          <w:rFonts w:ascii="Arial" w:hAnsi="Arial" w:cs="Arial"/>
          <w:b/>
          <w:bCs/>
          <w:sz w:val="28"/>
          <w:szCs w:val="28"/>
        </w:rPr>
      </w:pPr>
      <w:r w:rsidRPr="00DF01ED">
        <w:rPr>
          <w:rFonts w:ascii="Arial" w:hAnsi="Arial" w:cs="Arial"/>
          <w:b/>
          <w:bCs/>
          <w:sz w:val="28"/>
          <w:szCs w:val="28"/>
        </w:rPr>
        <w:t>Lecturer name</w:t>
      </w:r>
      <w:r w:rsidRPr="00DF01ED">
        <w:rPr>
          <w:rFonts w:ascii="Arial" w:hAnsi="Arial" w:cs="Arial"/>
          <w:sz w:val="28"/>
          <w:szCs w:val="28"/>
        </w:rPr>
        <w:t>:</w:t>
      </w:r>
      <w:r w:rsidRPr="00DF01ED" w:rsidR="00DF01ED">
        <w:rPr>
          <w:rFonts w:ascii="Arial" w:hAnsi="Arial" w:cs="Arial"/>
          <w:sz w:val="28"/>
          <w:szCs w:val="28"/>
        </w:rPr>
        <w:t xml:space="preserve"> </w:t>
      </w:r>
      <w:r w:rsidRPr="00DF01ED" w:rsidR="00DF01ED">
        <w:rPr>
          <w:rFonts w:ascii="Arial" w:hAnsi="Arial" w:cs="Arial"/>
          <w:b/>
          <w:bCs/>
          <w:sz w:val="28"/>
          <w:szCs w:val="28"/>
        </w:rPr>
        <w:t>Shaila Hussain</w:t>
      </w:r>
    </w:p>
    <w:p w:rsidRPr="00DF01ED" w:rsidR="001B7A40" w:rsidP="0076357B" w:rsidRDefault="001B7A40" w14:paraId="26D72920" w14:textId="77777777">
      <w:pPr>
        <w:tabs>
          <w:tab w:val="left" w:pos="6540"/>
        </w:tabs>
        <w:spacing w:line="360" w:lineRule="auto"/>
        <w:jc w:val="both"/>
        <w:rPr>
          <w:rFonts w:ascii="Arial" w:hAnsi="Arial" w:cs="Arial"/>
          <w:b/>
          <w:bCs/>
          <w:sz w:val="28"/>
          <w:szCs w:val="28"/>
        </w:rPr>
      </w:pPr>
    </w:p>
    <w:p w:rsidRPr="00DF01ED" w:rsidR="001B7A40" w:rsidP="00DF01ED" w:rsidRDefault="001B7A40" w14:paraId="27516740" w14:textId="77777777">
      <w:pPr>
        <w:tabs>
          <w:tab w:val="left" w:pos="6540"/>
        </w:tabs>
        <w:spacing w:line="360" w:lineRule="auto"/>
        <w:jc w:val="both"/>
        <w:rPr>
          <w:rFonts w:ascii="Arial" w:hAnsi="Arial" w:cs="Arial"/>
          <w:b/>
          <w:bCs/>
          <w:sz w:val="28"/>
          <w:szCs w:val="28"/>
        </w:rPr>
      </w:pPr>
      <w:r w:rsidRPr="00DF01ED">
        <w:rPr>
          <w:rFonts w:ascii="Arial" w:hAnsi="Arial" w:cs="Arial"/>
          <w:b/>
          <w:bCs/>
          <w:sz w:val="28"/>
          <w:szCs w:val="28"/>
        </w:rPr>
        <w:t xml:space="preserve">Assessment: </w:t>
      </w:r>
      <w:r w:rsidRPr="00DF01ED" w:rsidR="00DF01ED">
        <w:rPr>
          <w:rFonts w:ascii="Arial" w:hAnsi="Arial" w:cs="Arial"/>
          <w:b/>
          <w:bCs/>
          <w:sz w:val="28"/>
          <w:szCs w:val="28"/>
        </w:rPr>
        <w:t xml:space="preserve"> Component 1: Written Assignment (Case Study Report)</w:t>
      </w:r>
    </w:p>
    <w:p w:rsidRPr="00DF01ED" w:rsidR="000C4EDA" w:rsidP="0076357B" w:rsidRDefault="000C4EDA" w14:paraId="78F2C5AF" w14:textId="77777777">
      <w:pPr>
        <w:tabs>
          <w:tab w:val="left" w:pos="6540"/>
        </w:tabs>
        <w:spacing w:line="360" w:lineRule="auto"/>
        <w:jc w:val="both"/>
        <w:rPr>
          <w:rFonts w:ascii="Arial" w:hAnsi="Arial" w:cs="Arial"/>
          <w:sz w:val="28"/>
          <w:szCs w:val="28"/>
        </w:rPr>
      </w:pPr>
    </w:p>
    <w:p w:rsidRPr="00DF01ED" w:rsidR="000C4EDA" w:rsidP="0076357B" w:rsidRDefault="000C4EDA" w14:paraId="1496B6B3" w14:textId="77777777">
      <w:pPr>
        <w:spacing w:line="360" w:lineRule="auto"/>
        <w:jc w:val="both"/>
        <w:rPr>
          <w:rFonts w:ascii="Arial" w:hAnsi="Arial" w:cs="Arial"/>
          <w:sz w:val="28"/>
          <w:szCs w:val="28"/>
        </w:rPr>
      </w:pPr>
      <w:r w:rsidRPr="00DF01ED">
        <w:rPr>
          <w:rFonts w:ascii="Arial" w:hAnsi="Arial" w:cs="Arial"/>
          <w:sz w:val="28"/>
          <w:szCs w:val="28"/>
        </w:rPr>
        <w:br w:type="page"/>
      </w:r>
    </w:p>
    <w:p w:rsidRPr="00DF01ED" w:rsidR="000C4EDA" w:rsidP="0076357B" w:rsidRDefault="000C4EDA" w14:paraId="74EBA8B2" w14:textId="77777777">
      <w:pPr>
        <w:pStyle w:val="Heading1"/>
        <w:spacing w:line="360" w:lineRule="auto"/>
        <w:jc w:val="both"/>
        <w:rPr>
          <w:rFonts w:cs="Arial"/>
        </w:rPr>
      </w:pPr>
      <w:r w:rsidRPr="1C87530C">
        <w:rPr>
          <w:rFonts w:cs="Arial"/>
        </w:rPr>
        <w:t>1. Introduction</w:t>
      </w:r>
    </w:p>
    <w:p w:rsidR="296DF662" w:rsidP="1C87530C" w:rsidRDefault="296DF662" w14:paraId="726A0FC9" w14:textId="49C927C9">
      <w:pPr>
        <w:tabs>
          <w:tab w:val="left" w:pos="6540"/>
        </w:tabs>
        <w:spacing w:line="360" w:lineRule="auto"/>
        <w:jc w:val="both"/>
        <w:rPr>
          <w:rFonts w:ascii="Arial" w:hAnsi="Arial" w:cs="Arial"/>
          <w:sz w:val="22"/>
          <w:lang w:val="en-US"/>
        </w:rPr>
      </w:pPr>
      <w:r w:rsidRPr="1C87530C">
        <w:rPr>
          <w:rFonts w:ascii="Arial" w:hAnsi="Arial" w:cs="Arial"/>
          <w:sz w:val="22"/>
          <w:lang w:val="en-US"/>
        </w:rPr>
        <w:t>Briefly summarise the scenario...</w:t>
      </w:r>
    </w:p>
    <w:p w:rsidRPr="00DF01ED" w:rsidR="0076357B" w:rsidP="1C87530C" w:rsidRDefault="0076357B" w14:paraId="0FB3B34C" w14:textId="74DD23EE">
      <w:pPr>
        <w:tabs>
          <w:tab w:val="left" w:pos="6540"/>
        </w:tabs>
        <w:spacing w:line="360" w:lineRule="auto"/>
        <w:jc w:val="both"/>
        <w:rPr>
          <w:rFonts w:ascii="Arial" w:hAnsi="Arial" w:cs="Arial"/>
          <w:sz w:val="22"/>
          <w:lang w:val="en-US"/>
        </w:rPr>
      </w:pPr>
      <w:r w:rsidRPr="1C87530C">
        <w:rPr>
          <w:rFonts w:ascii="Arial" w:hAnsi="Arial" w:cs="Arial"/>
          <w:sz w:val="22"/>
          <w:lang w:val="en-US"/>
        </w:rPr>
        <w:t xml:space="preserve">Diabetes has become a major global health threat that is increasing worldwide prevalence, which is driven by factors such as unhealthy diets, </w:t>
      </w:r>
      <w:r w:rsidRPr="1C87530C" w:rsidR="72996B1B">
        <w:rPr>
          <w:rFonts w:ascii="Arial" w:hAnsi="Arial" w:cs="Arial"/>
          <w:sz w:val="22"/>
          <w:lang w:val="en-US"/>
        </w:rPr>
        <w:t>obesity,</w:t>
      </w:r>
      <w:r w:rsidRPr="1C87530C">
        <w:rPr>
          <w:rFonts w:ascii="Arial" w:hAnsi="Arial" w:cs="Arial"/>
          <w:sz w:val="22"/>
          <w:lang w:val="en-US"/>
        </w:rPr>
        <w:t xml:space="preserve"> and sedentary lifestyles. The condition of diabetes is chronic, which can lead to serious complications </w:t>
      </w:r>
      <w:r w:rsidRPr="1C87530C" w:rsidR="00331F8C">
        <w:rPr>
          <w:rFonts w:ascii="Arial" w:hAnsi="Arial" w:cs="Arial"/>
          <w:sz w:val="22"/>
          <w:lang w:val="en-US"/>
        </w:rPr>
        <w:t xml:space="preserve">from kidney disease to cardiovascular diseases to eyesight </w:t>
      </w:r>
      <w:r w:rsidRPr="1C87530C" w:rsidR="6DC8181B">
        <w:rPr>
          <w:rFonts w:ascii="Arial" w:hAnsi="Arial" w:cs="Arial"/>
          <w:sz w:val="22"/>
          <w:lang w:val="en-US"/>
        </w:rPr>
        <w:t>problems</w:t>
      </w:r>
      <w:r w:rsidRPr="1C87530C" w:rsidR="00331F8C">
        <w:rPr>
          <w:rFonts w:ascii="Arial" w:hAnsi="Arial" w:cs="Arial"/>
          <w:sz w:val="22"/>
          <w:lang w:val="en-US"/>
        </w:rPr>
        <w:t xml:space="preserve"> significantly imposing serious</w:t>
      </w:r>
      <w:r w:rsidRPr="1C87530C">
        <w:rPr>
          <w:rFonts w:ascii="Arial" w:hAnsi="Arial" w:cs="Arial"/>
          <w:sz w:val="22"/>
          <w:lang w:val="en-US"/>
        </w:rPr>
        <w:t xml:space="preserve"> public health and economic burden (World Health Organisation, 2024). This dramatic rise in the count of undiagnosed individuals who are thriving with diabetes is a problematic trend that is continuing</w:t>
      </w:r>
      <w:r w:rsidRPr="1C87530C" w:rsidR="005C6428">
        <w:rPr>
          <w:rFonts w:ascii="Arial" w:hAnsi="Arial" w:cs="Arial"/>
          <w:sz w:val="22"/>
          <w:lang w:val="en-US"/>
        </w:rPr>
        <w:t>.</w:t>
      </w:r>
    </w:p>
    <w:p w:rsidRPr="00DF01ED" w:rsidR="00C03A91" w:rsidP="0076357B" w:rsidRDefault="0076357B" w14:paraId="7BF21D2F" w14:textId="77777777">
      <w:pPr>
        <w:tabs>
          <w:tab w:val="left" w:pos="6540"/>
        </w:tabs>
        <w:spacing w:line="360" w:lineRule="auto"/>
        <w:jc w:val="center"/>
        <w:rPr>
          <w:rFonts w:ascii="Arial" w:hAnsi="Arial" w:cs="Arial"/>
          <w:sz w:val="22"/>
        </w:rPr>
      </w:pPr>
      <w:r w:rsidRPr="00DF01ED">
        <w:rPr>
          <w:rFonts w:ascii="Arial" w:hAnsi="Arial" w:cs="Arial"/>
          <w:noProof/>
          <w:sz w:val="22"/>
        </w:rPr>
        <w:drawing>
          <wp:inline distT="114300" distB="114300" distL="114300" distR="114300" wp14:anchorId="1A1C6F56" wp14:editId="4FE7F8C7">
            <wp:extent cx="4929188" cy="4495222"/>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929188" cy="4495222"/>
                    </a:xfrm>
                    <a:prstGeom prst="rect">
                      <a:avLst/>
                    </a:prstGeom>
                    <a:ln/>
                  </pic:spPr>
                </pic:pic>
              </a:graphicData>
            </a:graphic>
          </wp:inline>
        </w:drawing>
      </w:r>
    </w:p>
    <w:p w:rsidRPr="00DF01ED" w:rsidR="0076357B" w:rsidP="0076357B" w:rsidRDefault="0076357B" w14:paraId="12568538" w14:textId="77777777">
      <w:pPr>
        <w:tabs>
          <w:tab w:val="left" w:pos="6540"/>
        </w:tabs>
        <w:spacing w:line="360" w:lineRule="auto"/>
        <w:jc w:val="center"/>
        <w:rPr>
          <w:rFonts w:ascii="Arial" w:hAnsi="Arial" w:cs="Arial"/>
          <w:b/>
          <w:bCs/>
          <w:sz w:val="22"/>
          <w:lang w:val="en-US"/>
        </w:rPr>
      </w:pPr>
      <w:r w:rsidRPr="00DF01ED">
        <w:rPr>
          <w:rFonts w:ascii="Arial" w:hAnsi="Arial" w:cs="Arial"/>
          <w:b/>
          <w:bCs/>
          <w:sz w:val="22"/>
          <w:lang w:val="en-US"/>
        </w:rPr>
        <w:t>Figure 1:</w:t>
      </w:r>
      <w:r w:rsidRPr="00DF01ED">
        <w:rPr>
          <w:rFonts w:ascii="Arial" w:hAnsi="Arial" w:cs="Arial"/>
          <w:sz w:val="22"/>
          <w:lang w:val="en-US"/>
        </w:rPr>
        <w:t xml:space="preserve"> </w:t>
      </w:r>
      <w:r w:rsidRPr="00DF01ED">
        <w:rPr>
          <w:rFonts w:ascii="Arial" w:hAnsi="Arial" w:cs="Arial"/>
          <w:b/>
          <w:bCs/>
          <w:sz w:val="22"/>
          <w:lang w:val="en-US"/>
        </w:rPr>
        <w:t>Diabetes Around the World</w:t>
      </w:r>
    </w:p>
    <w:p w:rsidRPr="00DF01ED" w:rsidR="0076357B" w:rsidP="0076357B" w:rsidRDefault="0076357B" w14:paraId="1C41739D" w14:textId="77777777">
      <w:pPr>
        <w:tabs>
          <w:tab w:val="left" w:pos="6540"/>
        </w:tabs>
        <w:spacing w:line="360" w:lineRule="auto"/>
        <w:jc w:val="center"/>
        <w:rPr>
          <w:rFonts w:ascii="Arial" w:hAnsi="Arial" w:cs="Arial"/>
          <w:sz w:val="22"/>
          <w:lang w:val="en-US"/>
        </w:rPr>
      </w:pPr>
      <w:r w:rsidRPr="00DF01ED">
        <w:rPr>
          <w:rFonts w:ascii="Arial" w:hAnsi="Arial" w:cs="Arial"/>
          <w:sz w:val="22"/>
          <w:lang w:val="en-US"/>
        </w:rPr>
        <w:t>(Source: International Diabetes Federation, 2025)</w:t>
      </w:r>
    </w:p>
    <w:p w:rsidRPr="00DF01ED" w:rsidR="0076357B" w:rsidP="0076357B" w:rsidRDefault="0076357B" w14:paraId="15FCFF57"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 xml:space="preserve">The above image portrays how </w:t>
      </w:r>
      <w:r w:rsidR="00060BB7">
        <w:rPr>
          <w:rFonts w:ascii="Arial" w:hAnsi="Arial" w:cs="Arial"/>
          <w:sz w:val="22"/>
          <w:lang w:val="en-US"/>
        </w:rPr>
        <w:t>around</w:t>
      </w:r>
      <w:r w:rsidRPr="00DF01ED">
        <w:rPr>
          <w:rFonts w:ascii="Arial" w:hAnsi="Arial" w:cs="Arial"/>
          <w:sz w:val="22"/>
          <w:lang w:val="en-US"/>
        </w:rPr>
        <w:t xml:space="preserve"> 589 million </w:t>
      </w:r>
      <w:r w:rsidR="00060BB7">
        <w:rPr>
          <w:rFonts w:ascii="Arial" w:hAnsi="Arial" w:cs="Arial"/>
          <w:sz w:val="22"/>
          <w:lang w:val="en-US"/>
        </w:rPr>
        <w:t>people have leading a live with</w:t>
      </w:r>
      <w:r w:rsidRPr="00DF01ED">
        <w:rPr>
          <w:rFonts w:ascii="Arial" w:hAnsi="Arial" w:cs="Arial"/>
          <w:sz w:val="22"/>
          <w:lang w:val="en-US"/>
        </w:rPr>
        <w:t xml:space="preserve"> diabetes where 252 million of them are undiagnosed. Also, it shows how almost 853 million people are anticipated to get diabetes by 2050 which raises the importance of conducting this study.</w:t>
      </w:r>
    </w:p>
    <w:p w:rsidRPr="00DF01ED" w:rsidR="0076357B" w:rsidP="078572C3" w:rsidRDefault="0076357B" w14:paraId="25DC7404" w14:textId="6E5DA95B">
      <w:pPr>
        <w:tabs>
          <w:tab w:val="left" w:pos="6540"/>
        </w:tabs>
        <w:spacing w:line="360" w:lineRule="auto"/>
        <w:jc w:val="both"/>
        <w:rPr>
          <w:rFonts w:ascii="Arial" w:hAnsi="Arial" w:cs="Arial"/>
          <w:sz w:val="22"/>
          <w:szCs w:val="22"/>
          <w:lang w:val="en-US"/>
        </w:rPr>
      </w:pPr>
      <w:r w:rsidRPr="078572C3" w:rsidR="0076357B">
        <w:rPr>
          <w:rFonts w:ascii="Arial" w:hAnsi="Arial" w:cs="Arial"/>
          <w:sz w:val="22"/>
          <w:szCs w:val="22"/>
          <w:lang w:val="en-US"/>
        </w:rPr>
        <w:t xml:space="preserve">Diabetes appears when the pancreas </w:t>
      </w:r>
      <w:r w:rsidRPr="078572C3" w:rsidR="00060BB7">
        <w:rPr>
          <w:rFonts w:ascii="Arial" w:hAnsi="Arial" w:cs="Arial"/>
          <w:sz w:val="22"/>
          <w:szCs w:val="22"/>
          <w:lang w:val="en-US"/>
        </w:rPr>
        <w:t>fails to</w:t>
      </w:r>
      <w:r w:rsidRPr="078572C3" w:rsidR="00060BB7">
        <w:rPr>
          <w:rFonts w:ascii="Arial" w:hAnsi="Arial" w:cs="Arial"/>
          <w:sz w:val="22"/>
          <w:szCs w:val="22"/>
          <w:lang w:val="en-US"/>
        </w:rPr>
        <w:t xml:space="preserve"> produce </w:t>
      </w:r>
      <w:r w:rsidRPr="078572C3" w:rsidR="00060BB7">
        <w:rPr>
          <w:rFonts w:ascii="Arial" w:hAnsi="Arial" w:cs="Arial"/>
          <w:sz w:val="22"/>
          <w:szCs w:val="22"/>
          <w:lang w:val="en-US"/>
        </w:rPr>
        <w:t>the insulin</w:t>
      </w:r>
      <w:r w:rsidRPr="078572C3" w:rsidR="00060BB7">
        <w:rPr>
          <w:rFonts w:ascii="Arial" w:hAnsi="Arial" w:cs="Arial"/>
          <w:sz w:val="22"/>
          <w:szCs w:val="22"/>
          <w:lang w:val="en-US"/>
        </w:rPr>
        <w:t xml:space="preserve"> </w:t>
      </w:r>
      <w:r w:rsidRPr="078572C3" w:rsidR="0076357B">
        <w:rPr>
          <w:rFonts w:ascii="Arial" w:hAnsi="Arial" w:cs="Arial"/>
          <w:sz w:val="22"/>
          <w:szCs w:val="22"/>
          <w:lang w:val="en-US"/>
        </w:rPr>
        <w:t>and it is fundamentally an endocrine disorder</w:t>
      </w:r>
      <w:r w:rsidRPr="078572C3" w:rsidR="7950ED3B">
        <w:rPr>
          <w:rFonts w:ascii="Arial" w:hAnsi="Arial" w:cs="Arial"/>
          <w:sz w:val="22"/>
          <w:szCs w:val="22"/>
          <w:lang w:val="en-US"/>
        </w:rPr>
        <w:t xml:space="preserve">. </w:t>
      </w:r>
      <w:r w:rsidRPr="078572C3" w:rsidR="7950ED3B">
        <w:rPr>
          <w:rFonts w:ascii="Arial" w:hAnsi="Arial" w:cs="Arial"/>
          <w:sz w:val="22"/>
          <w:szCs w:val="22"/>
          <w:lang w:val="en-US"/>
        </w:rPr>
        <w:t>So</w:t>
      </w:r>
      <w:r w:rsidRPr="078572C3" w:rsidR="7950ED3B">
        <w:rPr>
          <w:rFonts w:ascii="Arial" w:hAnsi="Arial" w:cs="Arial"/>
          <w:sz w:val="22"/>
          <w:szCs w:val="22"/>
          <w:lang w:val="en-US"/>
        </w:rPr>
        <w:t xml:space="preserve"> what is an endocrine system anyway?</w:t>
      </w:r>
      <w:r w:rsidRPr="078572C3" w:rsidR="0076357B">
        <w:rPr>
          <w:rFonts w:ascii="Arial" w:hAnsi="Arial" w:cs="Arial"/>
          <w:sz w:val="22"/>
          <w:szCs w:val="22"/>
          <w:lang w:val="en-US"/>
        </w:rPr>
        <w:t xml:space="preserve"> </w:t>
      </w:r>
      <w:r w:rsidRPr="078572C3" w:rsidR="7D3B6789">
        <w:rPr>
          <w:rFonts w:ascii="Arial" w:hAnsi="Arial" w:cs="Arial"/>
          <w:sz w:val="22"/>
          <w:szCs w:val="22"/>
          <w:lang w:val="en-US"/>
        </w:rPr>
        <w:t>Well,</w:t>
      </w:r>
      <w:r w:rsidRPr="078572C3" w:rsidR="7D3B6789">
        <w:rPr>
          <w:rFonts w:ascii="Arial" w:hAnsi="Arial" w:cs="Arial"/>
          <w:sz w:val="22"/>
          <w:szCs w:val="22"/>
          <w:lang w:val="en-US"/>
        </w:rPr>
        <w:t xml:space="preserve"> t</w:t>
      </w:r>
      <w:r w:rsidRPr="078572C3" w:rsidR="0076357B">
        <w:rPr>
          <w:rFonts w:ascii="Arial" w:hAnsi="Arial" w:cs="Arial"/>
          <w:sz w:val="22"/>
          <w:szCs w:val="22"/>
          <w:lang w:val="en-US"/>
        </w:rPr>
        <w:t xml:space="preserve">he endocrine system regulates hormone production, release of insulin and glucagon by the pancreas for controlling blood sugar homeostasis (Knight, 2021). </w:t>
      </w:r>
    </w:p>
    <w:p w:rsidRPr="00DF01ED" w:rsidR="0076357B" w:rsidP="0076357B" w:rsidRDefault="0076357B" w14:paraId="155B74E7" w14:textId="77777777">
      <w:pPr>
        <w:tabs>
          <w:tab w:val="left" w:pos="6540"/>
        </w:tabs>
        <w:spacing w:line="360" w:lineRule="auto"/>
        <w:jc w:val="both"/>
        <w:rPr>
          <w:rFonts w:ascii="Arial" w:hAnsi="Arial" w:cs="Arial"/>
          <w:sz w:val="22"/>
          <w:lang w:val="en-US"/>
        </w:rPr>
      </w:pPr>
      <w:r w:rsidRPr="00DF01ED">
        <w:rPr>
          <w:rFonts w:ascii="Arial" w:hAnsi="Arial" w:cs="Arial"/>
          <w:noProof/>
          <w:sz w:val="22"/>
          <w:lang w:val="en-US"/>
        </w:rPr>
        <w:drawing>
          <wp:inline distT="114300" distB="114300" distL="114300" distR="114300" wp14:anchorId="113FCF86" wp14:editId="58090A5D">
            <wp:extent cx="5731200" cy="2895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200" cy="2895600"/>
                    </a:xfrm>
                    <a:prstGeom prst="rect">
                      <a:avLst/>
                    </a:prstGeom>
                    <a:ln/>
                  </pic:spPr>
                </pic:pic>
              </a:graphicData>
            </a:graphic>
          </wp:inline>
        </w:drawing>
      </w:r>
    </w:p>
    <w:p w:rsidRPr="00DF01ED" w:rsidR="0076357B" w:rsidP="0076357B" w:rsidRDefault="0076357B" w14:paraId="70A08547" w14:textId="77777777">
      <w:pPr>
        <w:tabs>
          <w:tab w:val="left" w:pos="6540"/>
        </w:tabs>
        <w:spacing w:line="360" w:lineRule="auto"/>
        <w:jc w:val="center"/>
        <w:rPr>
          <w:rFonts w:ascii="Arial" w:hAnsi="Arial" w:cs="Arial"/>
          <w:sz w:val="22"/>
          <w:lang w:val="en-US"/>
        </w:rPr>
      </w:pPr>
      <w:r w:rsidRPr="00DF01ED">
        <w:rPr>
          <w:rFonts w:ascii="Arial" w:hAnsi="Arial" w:cs="Arial"/>
          <w:b/>
          <w:bCs/>
          <w:sz w:val="22"/>
          <w:lang w:val="en-US"/>
        </w:rPr>
        <w:t>Figure 2: The Endocrine Pancreas</w:t>
      </w:r>
    </w:p>
    <w:p w:rsidRPr="00DF01ED" w:rsidR="0076357B" w:rsidP="0076357B" w:rsidRDefault="0076357B" w14:paraId="5925D9F2" w14:textId="77777777">
      <w:pPr>
        <w:tabs>
          <w:tab w:val="left" w:pos="6540"/>
        </w:tabs>
        <w:spacing w:line="360" w:lineRule="auto"/>
        <w:jc w:val="center"/>
        <w:rPr>
          <w:rFonts w:ascii="Arial" w:hAnsi="Arial" w:cs="Arial"/>
          <w:sz w:val="22"/>
          <w:lang w:val="en-US"/>
        </w:rPr>
      </w:pPr>
      <w:r w:rsidRPr="00DF01ED">
        <w:rPr>
          <w:rFonts w:ascii="Arial" w:hAnsi="Arial" w:cs="Arial"/>
          <w:sz w:val="22"/>
          <w:lang w:val="en-US"/>
        </w:rPr>
        <w:t xml:space="preserve">(Source: </w:t>
      </w:r>
      <w:r w:rsidRPr="00940A12" w:rsidR="00940A12">
        <w:rPr>
          <w:rFonts w:ascii="Arial" w:hAnsi="Arial" w:cs="Arial"/>
          <w:sz w:val="22"/>
        </w:rPr>
        <w:t>Anatomy and Physiology</w:t>
      </w:r>
      <w:r w:rsidR="00940A12">
        <w:rPr>
          <w:rFonts w:ascii="Arial" w:hAnsi="Arial" w:cs="Arial"/>
          <w:sz w:val="22"/>
        </w:rPr>
        <w:t xml:space="preserve">, </w:t>
      </w:r>
      <w:r w:rsidRPr="00DF01ED">
        <w:rPr>
          <w:rFonts w:ascii="Arial" w:hAnsi="Arial" w:cs="Arial"/>
          <w:sz w:val="22"/>
          <w:lang w:val="en-US"/>
        </w:rPr>
        <w:t>2013)</w:t>
      </w:r>
    </w:p>
    <w:p w:rsidR="0076357B" w:rsidP="0076357B" w:rsidRDefault="0076357B" w14:paraId="1C26FB26"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The two diabetes types are Type 1 diabetes, which develops at a young age or in childhood, where the immune system destroys insulin production in the pancreas and Type 2 diabetes, where body cells resist insulin, which is strongly a genetic factor. The key risk factors of diabetes are high blood pressure (BP), high cholesterol, physical inactivity, obesity and genes.</w:t>
      </w:r>
    </w:p>
    <w:p w:rsidRPr="000612E6" w:rsidR="0076357B" w:rsidP="000612E6" w:rsidRDefault="00C5096C" w14:paraId="1E7D994E" w14:textId="77777777">
      <w:pPr>
        <w:tabs>
          <w:tab w:val="left" w:pos="6540"/>
        </w:tabs>
        <w:spacing w:line="360" w:lineRule="auto"/>
        <w:jc w:val="both"/>
        <w:rPr>
          <w:rFonts w:ascii="Arial" w:hAnsi="Arial" w:cs="Arial"/>
          <w:sz w:val="22"/>
          <w:lang w:val="en-US"/>
        </w:rPr>
      </w:pPr>
      <w:r>
        <w:rPr>
          <w:rFonts w:ascii="Arial" w:hAnsi="Arial" w:cs="Arial"/>
          <w:sz w:val="22"/>
          <w:lang w:val="en-US"/>
        </w:rPr>
        <w:t>The study explores the</w:t>
      </w:r>
      <w:r w:rsidRPr="00DF01ED" w:rsidR="0076357B">
        <w:rPr>
          <w:rFonts w:ascii="Arial" w:hAnsi="Arial" w:cs="Arial"/>
          <w:sz w:val="22"/>
          <w:lang w:val="en-US"/>
        </w:rPr>
        <w:t xml:space="preserve"> intricate mechanisms that the body employs for regulating a safe range of blood sugar levels</w:t>
      </w:r>
      <w:r w:rsidR="00C764D0">
        <w:rPr>
          <w:rFonts w:ascii="Arial" w:hAnsi="Arial" w:cs="Arial"/>
          <w:sz w:val="22"/>
          <w:lang w:val="en-US"/>
        </w:rPr>
        <w:t xml:space="preserve"> along with the implications of type 2 diabetes as part of endocrine process disorder and </w:t>
      </w:r>
      <w:r w:rsidR="008512AA">
        <w:rPr>
          <w:rFonts w:ascii="Arial" w:hAnsi="Arial" w:cs="Arial"/>
          <w:sz w:val="22"/>
          <w:lang w:val="en-US"/>
        </w:rPr>
        <w:t xml:space="preserve">physiological </w:t>
      </w:r>
      <w:r w:rsidR="00C764D0">
        <w:rPr>
          <w:rFonts w:ascii="Arial" w:hAnsi="Arial" w:cs="Arial"/>
          <w:sz w:val="22"/>
          <w:lang w:val="en-US"/>
        </w:rPr>
        <w:t>mechanisms.</w:t>
      </w:r>
      <w:r w:rsidRPr="00DF01ED" w:rsidR="0076357B">
        <w:rPr>
          <w:rFonts w:ascii="Arial" w:hAnsi="Arial" w:cs="Arial"/>
          <w:sz w:val="22"/>
          <w:lang w:val="en-US"/>
        </w:rPr>
        <w:t xml:space="preserve"> This report </w:t>
      </w:r>
      <w:r w:rsidR="00060BB7">
        <w:rPr>
          <w:rFonts w:ascii="Arial" w:hAnsi="Arial" w:cs="Arial"/>
          <w:sz w:val="22"/>
          <w:lang w:val="en-US"/>
        </w:rPr>
        <w:t>details</w:t>
      </w:r>
      <w:r w:rsidRPr="00DF01ED" w:rsidR="0076357B">
        <w:rPr>
          <w:rFonts w:ascii="Arial" w:hAnsi="Arial" w:cs="Arial"/>
          <w:sz w:val="22"/>
          <w:lang w:val="en-US"/>
        </w:rPr>
        <w:t xml:space="preserve"> </w:t>
      </w:r>
      <w:r w:rsidR="00060BB7">
        <w:rPr>
          <w:rFonts w:ascii="Arial" w:hAnsi="Arial" w:cs="Arial"/>
          <w:sz w:val="22"/>
          <w:lang w:val="en-US"/>
        </w:rPr>
        <w:t>the</w:t>
      </w:r>
      <w:r w:rsidRPr="00DF01ED" w:rsidR="0076357B">
        <w:rPr>
          <w:rFonts w:ascii="Arial" w:hAnsi="Arial" w:cs="Arial"/>
          <w:sz w:val="22"/>
          <w:lang w:val="en-US"/>
        </w:rPr>
        <w:t xml:space="preserve"> cellular metabolism </w:t>
      </w:r>
      <w:r w:rsidR="00060BB7">
        <w:rPr>
          <w:rFonts w:ascii="Arial" w:hAnsi="Arial" w:cs="Arial"/>
          <w:sz w:val="22"/>
          <w:lang w:val="en-US"/>
        </w:rPr>
        <w:t>to showcase energy production</w:t>
      </w:r>
      <w:r w:rsidRPr="00DF01ED" w:rsidR="0076357B">
        <w:rPr>
          <w:rFonts w:ascii="Arial" w:hAnsi="Arial" w:cs="Arial"/>
          <w:sz w:val="22"/>
          <w:lang w:val="en-US"/>
        </w:rPr>
        <w:t xml:space="preserve"> and </w:t>
      </w:r>
      <w:r w:rsidR="00060BB7">
        <w:rPr>
          <w:rFonts w:ascii="Arial" w:hAnsi="Arial" w:cs="Arial"/>
          <w:sz w:val="22"/>
          <w:lang w:val="en-US"/>
        </w:rPr>
        <w:t>discusses</w:t>
      </w:r>
      <w:r w:rsidRPr="00DF01ED" w:rsidR="0076357B">
        <w:rPr>
          <w:rFonts w:ascii="Arial" w:hAnsi="Arial" w:cs="Arial"/>
          <w:sz w:val="22"/>
          <w:lang w:val="en-US"/>
        </w:rPr>
        <w:t xml:space="preserve"> the </w:t>
      </w:r>
      <w:r w:rsidR="00060BB7">
        <w:rPr>
          <w:rFonts w:ascii="Arial" w:hAnsi="Arial" w:cs="Arial"/>
          <w:sz w:val="22"/>
          <w:lang w:val="en-US"/>
        </w:rPr>
        <w:t>relevance of effective tracking and recording of the blood sugar levels</w:t>
      </w:r>
      <w:r w:rsidRPr="00DF01ED" w:rsidR="0076357B">
        <w:rPr>
          <w:rFonts w:ascii="Arial" w:hAnsi="Arial" w:cs="Arial"/>
          <w:sz w:val="22"/>
          <w:lang w:val="en-US"/>
        </w:rPr>
        <w:t xml:space="preserve"> in Type 2 diabetes. Then the report will provide recommendations that can help the patients to stay healthy, which will include specific</w:t>
      </w:r>
    </w:p>
    <w:p w:rsidR="000612E6" w:rsidRDefault="000612E6" w14:paraId="536EF72A" w14:textId="77777777">
      <w:pPr>
        <w:rPr>
          <w:rFonts w:ascii="Arial" w:hAnsi="Arial" w:cs="Arial" w:eastAsiaTheme="majorEastAsia"/>
          <w:b/>
          <w:sz w:val="32"/>
          <w:szCs w:val="32"/>
        </w:rPr>
      </w:pPr>
      <w:r>
        <w:rPr>
          <w:rFonts w:cs="Arial"/>
        </w:rPr>
        <w:br w:type="page"/>
      </w:r>
    </w:p>
    <w:p w:rsidRPr="00DF01ED" w:rsidR="00C03A91" w:rsidP="0076357B" w:rsidRDefault="00C03A91" w14:paraId="630CD814" w14:textId="77777777">
      <w:pPr>
        <w:pStyle w:val="Heading1"/>
        <w:spacing w:line="360" w:lineRule="auto"/>
        <w:jc w:val="both"/>
        <w:rPr>
          <w:rFonts w:cs="Arial"/>
        </w:rPr>
      </w:pPr>
      <w:r w:rsidRPr="00DF01ED">
        <w:rPr>
          <w:rFonts w:cs="Arial"/>
        </w:rPr>
        <w:t xml:space="preserve">2. </w:t>
      </w:r>
      <w:r w:rsidRPr="00DF01ED" w:rsidR="00FD7392">
        <w:rPr>
          <w:rFonts w:cs="Arial"/>
        </w:rPr>
        <w:t>Blood Sugar Regulation</w:t>
      </w:r>
    </w:p>
    <w:p w:rsidRPr="00DF01ED" w:rsidR="0076357B" w:rsidP="0076357B" w:rsidRDefault="0076357B" w14:paraId="7ECA5E97"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 xml:space="preserve">The blood sugar levels or glucose in the body are safe and effective through the homeostasis process, which is mainly controlled by insulin and glucagon hormones that are produced by the pancreas. A healthy body maintains a blood sugar level within a narrow range, which is typically 70 to 140 mg/dL after meals </w:t>
      </w:r>
      <w:r w:rsidRPr="00DF01ED" w:rsidR="00DF01ED">
        <w:rPr>
          <w:rFonts w:ascii="Arial" w:hAnsi="Arial" w:cs="Arial"/>
          <w:sz w:val="22"/>
          <w:lang w:val="en-US"/>
        </w:rPr>
        <w:t>and 80</w:t>
      </w:r>
      <w:r w:rsidRPr="00DF01ED">
        <w:rPr>
          <w:rFonts w:ascii="Arial" w:hAnsi="Arial" w:cs="Arial"/>
          <w:sz w:val="22"/>
          <w:lang w:val="en-US"/>
        </w:rPr>
        <w:t xml:space="preserve"> to 90 mg/dL when an individual fasts (Dhatariya and Umpierrez, 2024). It is essential for the brain and other organs to keep the blood sugar in a healthy range, as the brain relies on a constant glucose supply and cannot store it, which makes it crucial for maintaining proper brain functioning. Apart from that, the hormonal regulation stays flawless when the pancreas releases insulin that helps cells to absorb glucose from blood, which brings those levels back to the normal range after eating. The condition of diabetes or indication of prediabetes occurs when the blood sugar levels go beyond the normal range set by the American Diabetes Association (ADA) (American Diabetes Association, 2025). Blood sugar levels indicate prediabetes when it falls between 140 to 199mg/dL after a couple hour oral test of glucose tolerance and the level of 200 mg/dL or more blood sugar level suggests diabetes. Thus, it becomes crucial to control blood sugar levels to handle diabetes and monitoring blood sugar levels becomes vital to manage diabetes.</w:t>
      </w:r>
    </w:p>
    <w:p w:rsidRPr="00DF01ED" w:rsidR="0076357B" w:rsidP="0076357B" w:rsidRDefault="0076357B" w14:paraId="349BB334" w14:textId="77777777">
      <w:pPr>
        <w:tabs>
          <w:tab w:val="left" w:pos="6540"/>
        </w:tabs>
        <w:spacing w:line="360" w:lineRule="auto"/>
        <w:jc w:val="center"/>
        <w:rPr>
          <w:rFonts w:ascii="Arial" w:hAnsi="Arial" w:cs="Arial"/>
          <w:sz w:val="22"/>
          <w:lang w:val="en-US"/>
        </w:rPr>
      </w:pPr>
      <w:r w:rsidRPr="00DF01ED">
        <w:rPr>
          <w:rFonts w:ascii="Arial" w:hAnsi="Arial" w:cs="Arial"/>
          <w:noProof/>
          <w:sz w:val="22"/>
          <w:lang w:val="en-US"/>
        </w:rPr>
        <w:drawing>
          <wp:inline distT="114300" distB="114300" distL="114300" distR="114300" wp14:anchorId="6DDF84F3" wp14:editId="32FC3F16">
            <wp:extent cx="4948238" cy="3686271"/>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4948238" cy="3686271"/>
                    </a:xfrm>
                    <a:prstGeom prst="rect">
                      <a:avLst/>
                    </a:prstGeom>
                    <a:ln/>
                  </pic:spPr>
                </pic:pic>
              </a:graphicData>
            </a:graphic>
          </wp:inline>
        </w:drawing>
      </w:r>
    </w:p>
    <w:p w:rsidRPr="00DF01ED" w:rsidR="0076357B" w:rsidP="0076357B" w:rsidRDefault="0076357B" w14:paraId="54369E8B" w14:textId="77777777">
      <w:pPr>
        <w:tabs>
          <w:tab w:val="left" w:pos="6540"/>
        </w:tabs>
        <w:spacing w:line="360" w:lineRule="auto"/>
        <w:jc w:val="center"/>
        <w:rPr>
          <w:rFonts w:ascii="Arial" w:hAnsi="Arial" w:cs="Arial"/>
          <w:b/>
          <w:bCs/>
          <w:sz w:val="22"/>
          <w:lang w:val="en-US"/>
        </w:rPr>
      </w:pPr>
      <w:r w:rsidRPr="00DF01ED">
        <w:rPr>
          <w:rFonts w:ascii="Arial" w:hAnsi="Arial" w:cs="Arial"/>
          <w:b/>
          <w:bCs/>
          <w:sz w:val="22"/>
          <w:lang w:val="en-US"/>
        </w:rPr>
        <w:t>Figure 3: Blood Sugar Levels’ Severity</w:t>
      </w:r>
    </w:p>
    <w:p w:rsidRPr="00DF01ED" w:rsidR="0076357B" w:rsidP="00DF01ED" w:rsidRDefault="0076357B" w14:paraId="4E6D0D5E" w14:textId="77777777">
      <w:pPr>
        <w:tabs>
          <w:tab w:val="left" w:pos="6540"/>
        </w:tabs>
        <w:spacing w:line="360" w:lineRule="auto"/>
        <w:jc w:val="center"/>
        <w:rPr>
          <w:rFonts w:ascii="Arial" w:hAnsi="Arial" w:cs="Arial"/>
          <w:sz w:val="22"/>
          <w:lang w:val="en-US"/>
        </w:rPr>
      </w:pPr>
      <w:r w:rsidRPr="00DF01ED">
        <w:rPr>
          <w:rFonts w:ascii="Arial" w:hAnsi="Arial" w:cs="Arial"/>
          <w:sz w:val="22"/>
          <w:lang w:val="en-US"/>
        </w:rPr>
        <w:t>(Source: MEDINDIA, 2025)</w:t>
      </w:r>
    </w:p>
    <w:p w:rsidRPr="00DF01ED" w:rsidR="0076357B" w:rsidP="0076357B" w:rsidRDefault="0076357B" w14:paraId="48A6A4F1"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 xml:space="preserve">As per Figure 3, a blood pressure level of more than 180 mg/dL makes the blood pressure poor, and a level of less than 150 mg/dL makes it excellent. The blood sugar regulation can be understood through the following process as described in Figure 4. Carbohydrates are </w:t>
      </w:r>
      <w:r w:rsidR="00060BB7">
        <w:rPr>
          <w:rFonts w:ascii="Arial" w:hAnsi="Arial" w:cs="Arial"/>
          <w:sz w:val="22"/>
          <w:lang w:val="en-US"/>
        </w:rPr>
        <w:t xml:space="preserve">dissected </w:t>
      </w:r>
      <w:r w:rsidR="00C24087">
        <w:rPr>
          <w:rFonts w:ascii="Arial" w:hAnsi="Arial" w:cs="Arial"/>
          <w:sz w:val="22"/>
          <w:lang w:val="en-US"/>
        </w:rPr>
        <w:t xml:space="preserve">into </w:t>
      </w:r>
      <w:r w:rsidRPr="00DF01ED" w:rsidR="00C24087">
        <w:rPr>
          <w:rFonts w:ascii="Arial" w:hAnsi="Arial" w:cs="Arial"/>
          <w:sz w:val="22"/>
          <w:lang w:val="en-US"/>
        </w:rPr>
        <w:t>glucose</w:t>
      </w:r>
      <w:r w:rsidRPr="00DF01ED">
        <w:rPr>
          <w:rFonts w:ascii="Arial" w:hAnsi="Arial" w:cs="Arial"/>
          <w:sz w:val="22"/>
          <w:lang w:val="en-US"/>
        </w:rPr>
        <w:t xml:space="preserve"> after a meal and are absorbed into the bloodstream, which results in an increased blood glucose level. Then the pancreas </w:t>
      </w:r>
      <w:r w:rsidR="00C24087">
        <w:rPr>
          <w:rFonts w:ascii="Arial" w:hAnsi="Arial" w:cs="Arial"/>
          <w:sz w:val="22"/>
          <w:lang w:val="en-US"/>
        </w:rPr>
        <w:t>reacts</w:t>
      </w:r>
      <w:r w:rsidRPr="00DF01ED">
        <w:rPr>
          <w:rFonts w:ascii="Arial" w:hAnsi="Arial" w:cs="Arial"/>
          <w:sz w:val="22"/>
          <w:lang w:val="en-US"/>
        </w:rPr>
        <w:t xml:space="preserve"> to this higher level of glucose by releasing insulin into the bloodstream. After that, as insulin acts on body cells like fat, muscle and liver cells, it allows those to pass through glucose, resulting in entering the cells to be used for energy, which is called glucose uptake (Rahman </w:t>
      </w:r>
      <w:r w:rsidRPr="00DF01ED">
        <w:rPr>
          <w:rFonts w:ascii="Arial" w:hAnsi="Arial" w:cs="Arial"/>
          <w:i/>
          <w:iCs/>
          <w:sz w:val="22"/>
          <w:lang w:val="en-US"/>
        </w:rPr>
        <w:t>et al.</w:t>
      </w:r>
      <w:r w:rsidRPr="00DF01ED">
        <w:rPr>
          <w:rFonts w:ascii="Arial" w:hAnsi="Arial" w:cs="Arial"/>
          <w:sz w:val="22"/>
          <w:lang w:val="en-US"/>
        </w:rPr>
        <w:t xml:space="preserve">, 2021). The muscles and liver can store further excess glucose as glycogen. However, when glucose </w:t>
      </w:r>
      <w:r w:rsidR="00C24087">
        <w:rPr>
          <w:rFonts w:ascii="Arial" w:hAnsi="Arial" w:cs="Arial"/>
          <w:sz w:val="22"/>
          <w:lang w:val="en-US"/>
        </w:rPr>
        <w:t>segregates from</w:t>
      </w:r>
      <w:r w:rsidRPr="00DF01ED">
        <w:rPr>
          <w:rFonts w:ascii="Arial" w:hAnsi="Arial" w:cs="Arial"/>
          <w:sz w:val="22"/>
          <w:lang w:val="en-US"/>
        </w:rPr>
        <w:t xml:space="preserve"> bloodstream and </w:t>
      </w:r>
      <w:r w:rsidR="00C24087">
        <w:rPr>
          <w:rFonts w:ascii="Arial" w:hAnsi="Arial" w:cs="Arial"/>
          <w:sz w:val="22"/>
          <w:lang w:val="en-US"/>
        </w:rPr>
        <w:t>makes an entry into</w:t>
      </w:r>
      <w:r w:rsidRPr="00DF01ED">
        <w:rPr>
          <w:rFonts w:ascii="Arial" w:hAnsi="Arial" w:cs="Arial"/>
          <w:sz w:val="22"/>
          <w:lang w:val="en-US"/>
        </w:rPr>
        <w:t xml:space="preserve"> the cells, the blood sugar levels start to return to the normal target range of 70 mg/dL to 140 mg/dL. </w:t>
      </w:r>
    </w:p>
    <w:p w:rsidRPr="00DF01ED" w:rsidR="0076357B" w:rsidP="0076357B" w:rsidRDefault="0076357B" w14:paraId="3C128A91" w14:textId="77777777">
      <w:pPr>
        <w:tabs>
          <w:tab w:val="left" w:pos="6540"/>
        </w:tabs>
        <w:spacing w:line="360" w:lineRule="auto"/>
        <w:jc w:val="center"/>
        <w:rPr>
          <w:rFonts w:ascii="Arial" w:hAnsi="Arial" w:cs="Arial"/>
          <w:b/>
          <w:bCs/>
          <w:sz w:val="22"/>
          <w:lang w:val="en-US"/>
        </w:rPr>
      </w:pPr>
      <w:r w:rsidRPr="00DF01ED">
        <w:rPr>
          <w:rFonts w:ascii="Arial" w:hAnsi="Arial" w:cs="Arial"/>
          <w:noProof/>
          <w:sz w:val="22"/>
          <w:lang w:val="en-US"/>
        </w:rPr>
        <w:drawing>
          <wp:inline distT="114300" distB="114300" distL="114300" distR="114300" wp14:anchorId="120CFC8C" wp14:editId="17413A43">
            <wp:extent cx="5731200" cy="37719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3771900"/>
                    </a:xfrm>
                    <a:prstGeom prst="rect">
                      <a:avLst/>
                    </a:prstGeom>
                    <a:ln/>
                  </pic:spPr>
                </pic:pic>
              </a:graphicData>
            </a:graphic>
          </wp:inline>
        </w:drawing>
      </w:r>
      <w:r w:rsidRPr="00DF01ED">
        <w:rPr>
          <w:rFonts w:ascii="Arial" w:hAnsi="Arial" w:cs="Arial"/>
          <w:b/>
          <w:bCs/>
          <w:sz w:val="22"/>
          <w:lang w:val="en-US"/>
        </w:rPr>
        <w:t>Figure 4: The Control of Blood Sugar</w:t>
      </w:r>
    </w:p>
    <w:p w:rsidRPr="00DF01ED" w:rsidR="0076357B" w:rsidP="0076357B" w:rsidRDefault="0076357B" w14:paraId="2E5AAE6D" w14:textId="77777777">
      <w:pPr>
        <w:tabs>
          <w:tab w:val="left" w:pos="6540"/>
        </w:tabs>
        <w:spacing w:line="360" w:lineRule="auto"/>
        <w:jc w:val="center"/>
        <w:rPr>
          <w:rFonts w:ascii="Arial" w:hAnsi="Arial" w:cs="Arial"/>
          <w:sz w:val="22"/>
          <w:lang w:val="en-US"/>
        </w:rPr>
      </w:pPr>
      <w:r w:rsidRPr="00DF01ED">
        <w:rPr>
          <w:rFonts w:ascii="Arial" w:hAnsi="Arial" w:cs="Arial"/>
          <w:sz w:val="22"/>
          <w:lang w:val="en-US"/>
        </w:rPr>
        <w:t>(Source: Muskopf, 2020)</w:t>
      </w:r>
    </w:p>
    <w:p w:rsidRPr="00DF01ED" w:rsidR="0076357B" w:rsidP="0076357B" w:rsidRDefault="0076357B" w14:paraId="67E24597"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During exercise or fasting, the blood glucose level falls, and the pancreas releases glucagon. Glucagon asks the liver to break down stored glycogen into glucose and release it to the bloodstream, which raises sugar level back to normal or a safe range (Lema-Pérez, 2021). This blood sugar normalisation prevents hypoglycemia, which is a dangerously low blood sugar level.</w:t>
      </w:r>
    </w:p>
    <w:p w:rsidRPr="00DF01ED" w:rsidR="00C03A91" w:rsidP="0076357B" w:rsidRDefault="00C03A91" w14:paraId="6E94A252" w14:textId="77777777">
      <w:pPr>
        <w:tabs>
          <w:tab w:val="left" w:pos="6540"/>
        </w:tabs>
        <w:spacing w:line="360" w:lineRule="auto"/>
        <w:jc w:val="both"/>
        <w:rPr>
          <w:rFonts w:ascii="Arial" w:hAnsi="Arial" w:cs="Arial"/>
          <w:sz w:val="22"/>
        </w:rPr>
      </w:pPr>
    </w:p>
    <w:p w:rsidRPr="00DF01ED" w:rsidR="000C4EDA" w:rsidP="0076357B" w:rsidRDefault="00076AC0" w14:paraId="57241647" w14:textId="77777777">
      <w:pPr>
        <w:pStyle w:val="Heading1"/>
        <w:spacing w:line="360" w:lineRule="auto"/>
        <w:jc w:val="both"/>
        <w:rPr>
          <w:rFonts w:cs="Arial"/>
        </w:rPr>
      </w:pPr>
      <w:r w:rsidRPr="00DF01ED">
        <w:rPr>
          <w:rFonts w:cs="Arial"/>
        </w:rPr>
        <w:t>3</w:t>
      </w:r>
      <w:r w:rsidRPr="00DF01ED" w:rsidR="000C4EDA">
        <w:rPr>
          <w:rFonts w:cs="Arial"/>
        </w:rPr>
        <w:t xml:space="preserve">. </w:t>
      </w:r>
      <w:r w:rsidRPr="00DF01ED" w:rsidR="007A7297">
        <w:rPr>
          <w:rFonts w:cs="Arial"/>
        </w:rPr>
        <w:t>Cellular Metabolism</w:t>
      </w:r>
    </w:p>
    <w:p w:rsidRPr="00DF01ED" w:rsidR="0076357B" w:rsidP="0076357B" w:rsidRDefault="0076357B" w14:paraId="1E77909D"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 xml:space="preserve">Cellular metabolism </w:t>
      </w:r>
      <w:r w:rsidR="00C24087">
        <w:rPr>
          <w:rFonts w:ascii="Arial" w:hAnsi="Arial" w:cs="Arial"/>
          <w:sz w:val="22"/>
          <w:lang w:val="en-US"/>
        </w:rPr>
        <w:t>encompasses the</w:t>
      </w:r>
      <w:r w:rsidRPr="00DF01ED">
        <w:rPr>
          <w:rFonts w:ascii="Arial" w:hAnsi="Arial" w:cs="Arial"/>
          <w:sz w:val="22"/>
          <w:lang w:val="en-US"/>
        </w:rPr>
        <w:t xml:space="preserve"> chemical reactions within cells, which provide building blocks and energy for life processes, including </w:t>
      </w:r>
      <w:r w:rsidR="00C24087">
        <w:rPr>
          <w:rFonts w:ascii="Arial" w:hAnsi="Arial" w:cs="Arial"/>
          <w:sz w:val="22"/>
          <w:lang w:val="en-US"/>
        </w:rPr>
        <w:t>molecular breakdown to release energy</w:t>
      </w:r>
      <w:r w:rsidRPr="00DF01ED">
        <w:rPr>
          <w:rFonts w:ascii="Arial" w:hAnsi="Arial" w:cs="Arial"/>
          <w:sz w:val="22"/>
          <w:lang w:val="en-US"/>
        </w:rPr>
        <w:t xml:space="preserve"> </w:t>
      </w:r>
      <w:r w:rsidR="00C24087">
        <w:rPr>
          <w:rFonts w:ascii="Arial" w:hAnsi="Arial" w:cs="Arial"/>
          <w:sz w:val="22"/>
          <w:lang w:val="en-US"/>
        </w:rPr>
        <w:t>(</w:t>
      </w:r>
      <w:r w:rsidRPr="00DF01ED">
        <w:rPr>
          <w:rFonts w:ascii="Arial" w:hAnsi="Arial" w:cs="Arial"/>
          <w:sz w:val="22"/>
          <w:lang w:val="en-US"/>
        </w:rPr>
        <w:t xml:space="preserve">catabolism) and building new molecules (anabolism) (Dorlon, 2021). It is necessary for reproduction, growth and maintaining overall cell function and structure. This process converts nutrients into energy that is needed to get the power for life-sustaining activities. As per Figure 5, the presence of oxygen or aerobic respiration makes glucose the primary fuel source for producing adenosine triphosphate (ATP), which acts as the main energy currency of the body (Popolizio, 2024). The overall cell metabolism reaction can be summarised as Glucose and Oxygen transform into carbon dioxide, water and energy (ATP). </w:t>
      </w:r>
    </w:p>
    <w:p w:rsidRPr="00DF01ED" w:rsidR="0076357B" w:rsidP="0076357B" w:rsidRDefault="0076357B" w14:paraId="6BF3A34F"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 xml:space="preserve">Carbohydrate Metabolism: </w:t>
      </w:r>
    </w:p>
    <w:p w:rsidRPr="00DF01ED" w:rsidR="0076357B" w:rsidP="0076357B" w:rsidRDefault="0076357B" w14:paraId="7CCD0A74"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Glucose (C6H12O6) + Oxygen (6O2) → Carbon Dioxide (6CO2) + Water (6H2O) + Energy (ATP)</w:t>
      </w:r>
    </w:p>
    <w:p w:rsidRPr="00DF01ED" w:rsidR="0076357B" w:rsidP="0076357B" w:rsidRDefault="0076357B" w14:paraId="6116EE9D" w14:textId="77777777">
      <w:pPr>
        <w:tabs>
          <w:tab w:val="left" w:pos="6540"/>
        </w:tabs>
        <w:spacing w:line="360" w:lineRule="auto"/>
        <w:jc w:val="both"/>
        <w:rPr>
          <w:rFonts w:ascii="Arial" w:hAnsi="Arial" w:cs="Arial"/>
          <w:sz w:val="22"/>
          <w:lang w:val="en-US"/>
        </w:rPr>
      </w:pPr>
    </w:p>
    <w:p w:rsidRPr="00DF01ED" w:rsidR="0076357B" w:rsidP="0076357B" w:rsidRDefault="0076357B" w14:paraId="47CCDB38" w14:textId="77777777">
      <w:pPr>
        <w:tabs>
          <w:tab w:val="left" w:pos="6540"/>
        </w:tabs>
        <w:spacing w:line="360" w:lineRule="auto"/>
        <w:jc w:val="center"/>
        <w:rPr>
          <w:rFonts w:ascii="Arial" w:hAnsi="Arial" w:cs="Arial"/>
          <w:sz w:val="22"/>
          <w:lang w:val="en-US"/>
        </w:rPr>
      </w:pPr>
      <w:r w:rsidRPr="00DF01ED">
        <w:rPr>
          <w:rFonts w:ascii="Arial" w:hAnsi="Arial" w:cs="Arial"/>
          <w:noProof/>
          <w:sz w:val="22"/>
          <w:lang w:val="en-US"/>
        </w:rPr>
        <w:drawing>
          <wp:inline distT="114300" distB="114300" distL="114300" distR="114300" wp14:anchorId="3C64E70B" wp14:editId="06006E83">
            <wp:extent cx="5214938" cy="401955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214938" cy="4019550"/>
                    </a:xfrm>
                    <a:prstGeom prst="rect">
                      <a:avLst/>
                    </a:prstGeom>
                    <a:ln/>
                  </pic:spPr>
                </pic:pic>
              </a:graphicData>
            </a:graphic>
          </wp:inline>
        </w:drawing>
      </w:r>
    </w:p>
    <w:p w:rsidRPr="00BA70DF" w:rsidR="0076357B" w:rsidP="0076357B" w:rsidRDefault="0076357B" w14:paraId="1902D98C" w14:textId="77777777">
      <w:pPr>
        <w:tabs>
          <w:tab w:val="left" w:pos="6540"/>
        </w:tabs>
        <w:spacing w:line="360" w:lineRule="auto"/>
        <w:jc w:val="center"/>
        <w:rPr>
          <w:rFonts w:ascii="Arial" w:hAnsi="Arial" w:cs="Arial"/>
          <w:b/>
          <w:bCs/>
          <w:sz w:val="22"/>
          <w:lang w:val="fr-FR"/>
        </w:rPr>
      </w:pPr>
      <w:r w:rsidRPr="00BA70DF">
        <w:rPr>
          <w:rFonts w:ascii="Arial" w:hAnsi="Arial" w:cs="Arial"/>
          <w:b/>
          <w:bCs/>
          <w:sz w:val="22"/>
          <w:lang w:val="fr-FR"/>
        </w:rPr>
        <w:t>Figure 5: Cellular Respiration</w:t>
      </w:r>
    </w:p>
    <w:p w:rsidRPr="00BA70DF" w:rsidR="0076357B" w:rsidP="00940A12" w:rsidRDefault="0076357B" w14:paraId="1D60A069" w14:textId="77777777">
      <w:pPr>
        <w:tabs>
          <w:tab w:val="left" w:pos="6540"/>
        </w:tabs>
        <w:spacing w:line="360" w:lineRule="auto"/>
        <w:jc w:val="center"/>
        <w:rPr>
          <w:rFonts w:ascii="Arial" w:hAnsi="Arial" w:cs="Arial"/>
          <w:sz w:val="22"/>
          <w:lang w:val="fr-FR"/>
        </w:rPr>
      </w:pPr>
      <w:r w:rsidRPr="00BA70DF">
        <w:rPr>
          <w:rFonts w:ascii="Arial" w:hAnsi="Arial" w:cs="Arial"/>
          <w:sz w:val="22"/>
          <w:lang w:val="fr-FR"/>
        </w:rPr>
        <w:t>(Source: Mahley, 2023)</w:t>
      </w:r>
    </w:p>
    <w:p w:rsidRPr="00DF01ED" w:rsidR="0076357B" w:rsidP="0076357B" w:rsidRDefault="0076357B" w14:paraId="1EF699BD"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 xml:space="preserve">This summarised process of cellular metabolism occurs in three key stages, which are glycolysis, the Krebs cycle or citric acid cycle and the electron transport chain or oxidative phosphorylation (Alabduladhem and Bordoni, 2022). The first stage of the process is Glycolysis, which occurs in the cell’s cytoplasm, where a 6-carbon molecule is broken down into a couple of 3-carbon molecules or pyruvate. This primary stage produces a small amount of ATP or 2 net ATP, and apart from that, generates electron-carrying molecules or NADH. After that, the Krebs or Citric Acid cycle </w:t>
      </w:r>
      <w:r w:rsidR="00B16BAE">
        <w:rPr>
          <w:rFonts w:ascii="Arial" w:hAnsi="Arial" w:cs="Arial"/>
          <w:sz w:val="22"/>
          <w:lang w:val="en-US"/>
        </w:rPr>
        <w:t xml:space="preserve">rejuvenates within the </w:t>
      </w:r>
      <w:r w:rsidRPr="00DF01ED">
        <w:rPr>
          <w:rFonts w:ascii="Arial" w:hAnsi="Arial" w:cs="Arial"/>
          <w:sz w:val="22"/>
          <w:lang w:val="en-US"/>
        </w:rPr>
        <w:t xml:space="preserve">cell’s mitochondria, where pyruvate is converted to acetyl-CoA, and it makes its entrance into the cycle. According to Figure 6, a series of reactions makes it generate more electron carriers (FADH2 and NADH), 2 ATP, and release carbon dioxide as waste. Furthermore, the Electron Transport Chain </w:t>
      </w:r>
      <w:r w:rsidR="00977476">
        <w:rPr>
          <w:rFonts w:ascii="Arial" w:hAnsi="Arial" w:cs="Arial"/>
          <w:sz w:val="22"/>
          <w:lang w:val="en-US"/>
        </w:rPr>
        <w:t>rises within</w:t>
      </w:r>
      <w:r w:rsidRPr="00DF01ED">
        <w:rPr>
          <w:rFonts w:ascii="Arial" w:hAnsi="Arial" w:cs="Arial"/>
          <w:sz w:val="22"/>
          <w:lang w:val="en-US"/>
        </w:rPr>
        <w:t xml:space="preserve"> the inner mitochondrial membrane, where the electron carriers like NADH and FADH2 lose their electrons and electrons pass along the chain. These electron carriers’ energies are then used to produce a large amount of ATP, which is around 30 to 34 ATP. However, Oxygen</w:t>
      </w:r>
      <w:r w:rsidR="00551094">
        <w:rPr>
          <w:rFonts w:ascii="Arial" w:hAnsi="Arial" w:cs="Arial"/>
          <w:sz w:val="22"/>
          <w:lang w:val="en-US"/>
        </w:rPr>
        <w:t xml:space="preserve">, the </w:t>
      </w:r>
      <w:r w:rsidRPr="00DF01ED">
        <w:rPr>
          <w:rFonts w:ascii="Arial" w:hAnsi="Arial" w:cs="Arial"/>
          <w:sz w:val="22"/>
          <w:lang w:val="en-US"/>
        </w:rPr>
        <w:t>electron acceptor</w:t>
      </w:r>
      <w:r w:rsidR="00551094">
        <w:rPr>
          <w:rFonts w:ascii="Arial" w:hAnsi="Arial" w:cs="Arial"/>
          <w:sz w:val="22"/>
          <w:lang w:val="en-US"/>
        </w:rPr>
        <w:t xml:space="preserve"> eventually</w:t>
      </w:r>
      <w:r w:rsidRPr="00DF01ED">
        <w:rPr>
          <w:rFonts w:ascii="Arial" w:hAnsi="Arial" w:cs="Arial"/>
          <w:sz w:val="22"/>
          <w:lang w:val="en-US"/>
        </w:rPr>
        <w:t xml:space="preserve">, </w:t>
      </w:r>
      <w:r w:rsidR="00977476">
        <w:rPr>
          <w:rFonts w:ascii="Arial" w:hAnsi="Arial" w:cs="Arial"/>
          <w:sz w:val="22"/>
          <w:lang w:val="en-US"/>
        </w:rPr>
        <w:t>that amalgamates with the hydrogen ion to produce water.</w:t>
      </w:r>
    </w:p>
    <w:p w:rsidRPr="00DF01ED" w:rsidR="0076357B" w:rsidP="0076357B" w:rsidRDefault="0076357B" w14:paraId="7574A6F9" w14:textId="77777777">
      <w:pPr>
        <w:tabs>
          <w:tab w:val="left" w:pos="6540"/>
        </w:tabs>
        <w:spacing w:line="360" w:lineRule="auto"/>
        <w:jc w:val="center"/>
        <w:rPr>
          <w:rFonts w:ascii="Arial" w:hAnsi="Arial" w:cs="Arial"/>
          <w:sz w:val="22"/>
          <w:lang w:val="en-US"/>
        </w:rPr>
      </w:pPr>
      <w:r w:rsidRPr="00DF01ED">
        <w:rPr>
          <w:rFonts w:ascii="Arial" w:hAnsi="Arial" w:cs="Arial"/>
          <w:noProof/>
          <w:sz w:val="22"/>
          <w:lang w:val="en-US"/>
        </w:rPr>
        <w:drawing>
          <wp:inline distT="114300" distB="114300" distL="114300" distR="114300" wp14:anchorId="599C3F13" wp14:editId="5A2CB18A">
            <wp:extent cx="5038725" cy="3019425"/>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038725" cy="3019425"/>
                    </a:xfrm>
                    <a:prstGeom prst="rect">
                      <a:avLst/>
                    </a:prstGeom>
                    <a:ln/>
                  </pic:spPr>
                </pic:pic>
              </a:graphicData>
            </a:graphic>
          </wp:inline>
        </w:drawing>
      </w:r>
    </w:p>
    <w:p w:rsidRPr="00DF01ED" w:rsidR="0076357B" w:rsidP="0076357B" w:rsidRDefault="0076357B" w14:paraId="17368AF5" w14:textId="77777777">
      <w:pPr>
        <w:tabs>
          <w:tab w:val="left" w:pos="6540"/>
        </w:tabs>
        <w:spacing w:line="360" w:lineRule="auto"/>
        <w:jc w:val="center"/>
        <w:rPr>
          <w:rFonts w:ascii="Arial" w:hAnsi="Arial" w:cs="Arial"/>
          <w:b/>
          <w:bCs/>
          <w:sz w:val="22"/>
          <w:lang w:val="en-US"/>
        </w:rPr>
      </w:pPr>
      <w:r w:rsidRPr="00DF01ED">
        <w:rPr>
          <w:rFonts w:ascii="Arial" w:hAnsi="Arial" w:cs="Arial"/>
          <w:b/>
          <w:bCs/>
          <w:sz w:val="22"/>
          <w:lang w:val="en-US"/>
        </w:rPr>
        <w:t>Figure 6: Cellular Metabolism</w:t>
      </w:r>
    </w:p>
    <w:p w:rsidRPr="00DF01ED" w:rsidR="0076357B" w:rsidP="0076357B" w:rsidRDefault="0076357B" w14:paraId="227D8D15" w14:textId="77777777">
      <w:pPr>
        <w:tabs>
          <w:tab w:val="left" w:pos="6540"/>
        </w:tabs>
        <w:spacing w:line="360" w:lineRule="auto"/>
        <w:jc w:val="center"/>
        <w:rPr>
          <w:rFonts w:ascii="Arial" w:hAnsi="Arial" w:cs="Arial"/>
          <w:sz w:val="22"/>
          <w:lang w:val="en-US"/>
        </w:rPr>
      </w:pPr>
      <w:r w:rsidRPr="00DF01ED">
        <w:rPr>
          <w:rFonts w:ascii="Arial" w:hAnsi="Arial" w:cs="Arial"/>
          <w:sz w:val="22"/>
          <w:lang w:val="en-US"/>
        </w:rPr>
        <w:t>(Source: Yang, 2016)</w:t>
      </w:r>
    </w:p>
    <w:p w:rsidRPr="005C56D1" w:rsidR="00F44C8F" w:rsidP="0076357B" w:rsidRDefault="0076357B" w14:paraId="459A1B52" w14:textId="77777777">
      <w:pPr>
        <w:tabs>
          <w:tab w:val="left" w:pos="6540"/>
        </w:tabs>
        <w:spacing w:line="360" w:lineRule="auto"/>
        <w:jc w:val="both"/>
        <w:rPr>
          <w:rFonts w:ascii="Arial" w:hAnsi="Arial" w:cs="Arial"/>
          <w:sz w:val="22"/>
          <w:lang w:val="en-US"/>
        </w:rPr>
      </w:pPr>
      <w:r w:rsidRPr="00DF01ED">
        <w:rPr>
          <w:rFonts w:ascii="Arial" w:hAnsi="Arial" w:cs="Arial"/>
          <w:sz w:val="22"/>
          <w:lang w:val="en-US"/>
        </w:rPr>
        <w:t xml:space="preserve">One glucose molecule yields almost 30 to 32 ATP in ideal conditions, but it depends on the body’s ability to perform this process efficiently, as this process heavily relies on a steady supply of oxygen and glucose. For diabetic people, the problem lies with getting glucose into cells, which disrupts the energy production pathway (Parker, 2020). Nevertheless, glucose breakdown </w:t>
      </w:r>
      <w:r w:rsidR="000477E4">
        <w:rPr>
          <w:rFonts w:ascii="Arial" w:hAnsi="Arial" w:cs="Arial"/>
          <w:sz w:val="22"/>
          <w:lang w:val="en-US"/>
        </w:rPr>
        <w:t>before oxygen’s presence</w:t>
      </w:r>
      <w:r w:rsidRPr="00DF01ED">
        <w:rPr>
          <w:rFonts w:ascii="Arial" w:hAnsi="Arial" w:cs="Arial"/>
          <w:sz w:val="22"/>
          <w:lang w:val="en-US"/>
        </w:rPr>
        <w:t xml:space="preserve"> is an efficient process for capturing energy in the readily usable form of ATP that powers cellular activities such as molecule transport and muscle contractions. </w:t>
      </w:r>
    </w:p>
    <w:p w:rsidRPr="00DF01ED" w:rsidR="000C4EDA" w:rsidP="0076357B" w:rsidRDefault="00076AC0" w14:paraId="4416F793" w14:textId="77777777">
      <w:pPr>
        <w:pStyle w:val="Heading1"/>
        <w:spacing w:line="360" w:lineRule="auto"/>
        <w:jc w:val="both"/>
        <w:rPr>
          <w:rFonts w:cs="Arial"/>
        </w:rPr>
      </w:pPr>
      <w:r w:rsidRPr="00DF01ED">
        <w:rPr>
          <w:rFonts w:cs="Arial"/>
        </w:rPr>
        <w:t>4</w:t>
      </w:r>
      <w:r w:rsidRPr="00DF01ED" w:rsidR="000C4EDA">
        <w:rPr>
          <w:rFonts w:cs="Arial"/>
        </w:rPr>
        <w:t xml:space="preserve">. </w:t>
      </w:r>
      <w:r w:rsidRPr="00DF01ED" w:rsidR="007A7297">
        <w:rPr>
          <w:rFonts w:cs="Arial"/>
        </w:rPr>
        <w:t>Recording and tracking blood sugar levels for type 2 diabetes</w:t>
      </w:r>
    </w:p>
    <w:p w:rsidRPr="00DF01ED" w:rsidR="0076357B" w:rsidP="1C87530C" w:rsidRDefault="0076357B" w14:paraId="402493A0" w14:textId="3D6CD345">
      <w:pPr>
        <w:spacing w:line="360" w:lineRule="auto"/>
        <w:jc w:val="both"/>
        <w:rPr>
          <w:rFonts w:ascii="Arial" w:hAnsi="Arial" w:cs="Arial"/>
          <w:sz w:val="22"/>
          <w:lang w:val="en-US"/>
        </w:rPr>
      </w:pPr>
      <w:r w:rsidRPr="1C87530C">
        <w:rPr>
          <w:rFonts w:ascii="Arial" w:hAnsi="Arial" w:cs="Arial"/>
          <w:sz w:val="22"/>
          <w:lang w:val="en-US"/>
        </w:rPr>
        <w:t xml:space="preserve">For individuals with type 2 diabetes, regular tracking and recording of blood sugar levels is important to manage their conditions. The tracking and recording usually includes </w:t>
      </w:r>
      <w:r w:rsidRPr="1C87530C" w:rsidR="53032755">
        <w:rPr>
          <w:rFonts w:ascii="Arial" w:hAnsi="Arial" w:cs="Arial"/>
          <w:sz w:val="22"/>
          <w:lang w:val="en-US"/>
        </w:rPr>
        <w:t>an immediate</w:t>
      </w:r>
      <w:r w:rsidRPr="1C87530C">
        <w:rPr>
          <w:rFonts w:ascii="Arial" w:hAnsi="Arial" w:cs="Arial"/>
          <w:sz w:val="22"/>
          <w:lang w:val="en-US"/>
        </w:rPr>
        <w:t xml:space="preserve"> collection of feedback regarding glucose levels that helps the health care system and </w:t>
      </w:r>
      <w:r w:rsidRPr="1C87530C" w:rsidR="68733AD0">
        <w:rPr>
          <w:rFonts w:ascii="Arial" w:hAnsi="Arial" w:cs="Arial"/>
          <w:sz w:val="22"/>
          <w:lang w:val="en-US"/>
        </w:rPr>
        <w:t>individuals</w:t>
      </w:r>
      <w:r w:rsidRPr="1C87530C">
        <w:rPr>
          <w:rFonts w:ascii="Arial" w:hAnsi="Arial" w:cs="Arial"/>
          <w:sz w:val="22"/>
          <w:lang w:val="en-US"/>
        </w:rPr>
        <w:t xml:space="preserve"> to make better medication, </w:t>
      </w:r>
      <w:r w:rsidRPr="1C87530C" w:rsidR="150DF312">
        <w:rPr>
          <w:rFonts w:ascii="Arial" w:hAnsi="Arial" w:cs="Arial"/>
          <w:sz w:val="22"/>
          <w:lang w:val="en-US"/>
        </w:rPr>
        <w:t>dietary,</w:t>
      </w:r>
      <w:r w:rsidRPr="1C87530C">
        <w:rPr>
          <w:rFonts w:ascii="Arial" w:hAnsi="Arial" w:cs="Arial"/>
          <w:sz w:val="22"/>
          <w:lang w:val="en-US"/>
        </w:rPr>
        <w:t xml:space="preserve"> and exercise decisions. However, diabetes affects people’s health differently, as people get personal insight regarding their body’s response to physical activities, stress, </w:t>
      </w:r>
      <w:r w:rsidRPr="1C87530C" w:rsidR="46B417B6">
        <w:rPr>
          <w:rFonts w:ascii="Arial" w:hAnsi="Arial" w:cs="Arial"/>
          <w:sz w:val="22"/>
          <w:lang w:val="en-US"/>
        </w:rPr>
        <w:t>foods,</w:t>
      </w:r>
      <w:r w:rsidRPr="1C87530C">
        <w:rPr>
          <w:rFonts w:ascii="Arial" w:hAnsi="Arial" w:cs="Arial"/>
          <w:sz w:val="22"/>
          <w:lang w:val="en-US"/>
        </w:rPr>
        <w:t xml:space="preserve"> and medications. On the other hand, Weinstock </w:t>
      </w:r>
      <w:r w:rsidRPr="1C87530C">
        <w:rPr>
          <w:rFonts w:ascii="Arial" w:hAnsi="Arial" w:cs="Arial"/>
          <w:i/>
          <w:iCs/>
          <w:sz w:val="22"/>
          <w:lang w:val="en-US"/>
        </w:rPr>
        <w:t xml:space="preserve">et al. </w:t>
      </w:r>
      <w:r w:rsidRPr="1C87530C">
        <w:rPr>
          <w:rFonts w:ascii="Arial" w:hAnsi="Arial" w:cs="Arial"/>
          <w:sz w:val="22"/>
          <w:lang w:val="en-US"/>
        </w:rPr>
        <w:t xml:space="preserve">(2020) stated that regular checking of blood sugar levels allows prompt detection of hyperglycemia or high blood sugar and hypoglycemia or low blood sugar. Early recognition of these Type 2 diabetes conditions' signs can prevent them from progressing to an earlier stage, which helps individuals to avoid medical emergencies. Apart from that, the data which are gathered from regular tracking can guide medical experts to assess the current treatment plan's effectiveness and make required adjustments to medication dosages (insulin) or lifestyle changes (American Diabetes Association, 2020). </w:t>
      </w:r>
      <w:r w:rsidRPr="1C87530C" w:rsidR="00EB6437">
        <w:rPr>
          <w:rFonts w:ascii="Arial" w:hAnsi="Arial" w:cs="Arial"/>
          <w:sz w:val="22"/>
          <w:lang w:val="en-US"/>
        </w:rPr>
        <w:t xml:space="preserve">Moreover, tracking blood sugar levels also ensures better health management and enhances the quality of life through the reduction of anxiety. Better health can be further reinforced if the targeted blood sugar levels are achieved by the individuals through consistent monitoring by healthcare experts, thereby preventing other long-term health complications. Besides, there are multifaceted methods to monitor glucose that </w:t>
      </w:r>
      <w:r w:rsidRPr="1C87530C" w:rsidR="21F70B16">
        <w:rPr>
          <w:rFonts w:ascii="Arial" w:hAnsi="Arial" w:cs="Arial"/>
          <w:sz w:val="22"/>
          <w:lang w:val="en-US"/>
        </w:rPr>
        <w:t>involve</w:t>
      </w:r>
      <w:r w:rsidRPr="1C87530C" w:rsidR="00EB6437">
        <w:rPr>
          <w:rFonts w:ascii="Arial" w:hAnsi="Arial" w:cs="Arial"/>
          <w:sz w:val="22"/>
          <w:lang w:val="en-US"/>
        </w:rPr>
        <w:t xml:space="preserve"> using a finger stick check </w:t>
      </w:r>
      <w:r w:rsidRPr="1C87530C">
        <w:rPr>
          <w:rFonts w:ascii="Arial" w:hAnsi="Arial" w:cs="Arial"/>
          <w:sz w:val="22"/>
          <w:lang w:val="en-US"/>
        </w:rPr>
        <w:t xml:space="preserve">(standard glucometer) or a continuous glucose monitor (CGM) that provides live data and a trend of blood sugar levels (Cleveland Clinic, 2025).  </w:t>
      </w:r>
    </w:p>
    <w:p w:rsidR="0076357B" w:rsidP="0076357B" w:rsidRDefault="0076357B" w14:paraId="56403711" w14:textId="77777777">
      <w:pPr>
        <w:spacing w:line="360" w:lineRule="auto"/>
        <w:jc w:val="center"/>
        <w:rPr>
          <w:rFonts w:ascii="Arial" w:hAnsi="Arial" w:cs="Arial"/>
          <w:sz w:val="22"/>
          <w:lang w:val="en-US"/>
        </w:rPr>
      </w:pPr>
      <w:r w:rsidRPr="00DF01ED">
        <w:rPr>
          <w:rFonts w:ascii="Arial" w:hAnsi="Arial" w:cs="Arial"/>
          <w:noProof/>
          <w:sz w:val="22"/>
          <w:lang w:val="en-US"/>
        </w:rPr>
        <w:drawing>
          <wp:inline distT="114300" distB="114300" distL="114300" distR="114300" wp14:anchorId="7FA3DBB6" wp14:editId="4C30DA7D">
            <wp:extent cx="4595813" cy="3228975"/>
            <wp:effectExtent l="0" t="0" r="0" b="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595813" cy="3228975"/>
                    </a:xfrm>
                    <a:prstGeom prst="rect">
                      <a:avLst/>
                    </a:prstGeom>
                    <a:ln/>
                  </pic:spPr>
                </pic:pic>
              </a:graphicData>
            </a:graphic>
          </wp:inline>
        </w:drawing>
      </w:r>
    </w:p>
    <w:p w:rsidRPr="004E4BE2" w:rsidR="004E4BE2" w:rsidP="0076357B" w:rsidRDefault="004E4BE2" w14:paraId="788D6E20" w14:textId="77777777">
      <w:pPr>
        <w:spacing w:line="360" w:lineRule="auto"/>
        <w:jc w:val="center"/>
        <w:rPr>
          <w:rFonts w:ascii="Arial" w:hAnsi="Arial" w:cs="Arial"/>
          <w:b/>
          <w:bCs/>
          <w:sz w:val="22"/>
          <w:lang w:val="en-US"/>
        </w:rPr>
      </w:pPr>
      <w:r w:rsidRPr="004E4BE2">
        <w:rPr>
          <w:rFonts w:ascii="Arial" w:hAnsi="Arial" w:cs="Arial"/>
          <w:b/>
          <w:bCs/>
          <w:sz w:val="22"/>
          <w:lang w:val="en-US"/>
        </w:rPr>
        <w:t xml:space="preserve">Figure 7: </w:t>
      </w:r>
      <w:r>
        <w:rPr>
          <w:rFonts w:ascii="Arial" w:hAnsi="Arial" w:cs="Arial"/>
          <w:b/>
          <w:bCs/>
          <w:sz w:val="22"/>
          <w:lang w:val="en-US"/>
        </w:rPr>
        <w:t>A way to check the blood sugar levels</w:t>
      </w:r>
    </w:p>
    <w:p w:rsidR="0076357B" w:rsidP="00FA4380" w:rsidRDefault="0076357B" w14:paraId="64C6B17E" w14:textId="77777777">
      <w:pPr>
        <w:spacing w:line="360" w:lineRule="auto"/>
        <w:jc w:val="center"/>
        <w:rPr>
          <w:rFonts w:ascii="Arial" w:hAnsi="Arial" w:cs="Arial"/>
          <w:sz w:val="22"/>
          <w:lang w:val="en-US"/>
        </w:rPr>
      </w:pPr>
      <w:r w:rsidRPr="00DF01ED">
        <w:rPr>
          <w:rFonts w:ascii="Arial" w:hAnsi="Arial" w:cs="Arial"/>
          <w:sz w:val="22"/>
          <w:lang w:val="en-US"/>
        </w:rPr>
        <w:t>(Source: Wollen, 2025)</w:t>
      </w:r>
    </w:p>
    <w:p w:rsidRPr="00DF01ED" w:rsidR="001B7A40" w:rsidP="1C87530C" w:rsidRDefault="004E4BE2" w14:paraId="35940FF5" w14:textId="62451AA6">
      <w:pPr>
        <w:spacing w:line="360" w:lineRule="auto"/>
        <w:jc w:val="both"/>
        <w:rPr>
          <w:rFonts w:ascii="Arial" w:hAnsi="Arial" w:cs="Arial"/>
          <w:sz w:val="22"/>
          <w:lang w:val="en-US"/>
        </w:rPr>
      </w:pPr>
      <w:r w:rsidRPr="1C87530C">
        <w:rPr>
          <w:rFonts w:ascii="Arial" w:hAnsi="Arial" w:cs="Arial"/>
          <w:sz w:val="22"/>
          <w:lang w:val="en-US"/>
        </w:rPr>
        <w:t xml:space="preserve">The blood sugar levels of Type 2 Diabetes </w:t>
      </w:r>
      <w:r w:rsidRPr="1C87530C" w:rsidR="66933B65">
        <w:rPr>
          <w:rFonts w:ascii="Arial" w:hAnsi="Arial" w:cs="Arial"/>
          <w:sz w:val="22"/>
          <w:lang w:val="en-US"/>
        </w:rPr>
        <w:t>patients,</w:t>
      </w:r>
      <w:r w:rsidRPr="1C87530C">
        <w:rPr>
          <w:rFonts w:ascii="Arial" w:hAnsi="Arial" w:cs="Arial"/>
          <w:sz w:val="22"/>
          <w:lang w:val="en-US"/>
        </w:rPr>
        <w:t xml:space="preserve"> if not </w:t>
      </w:r>
      <w:r w:rsidRPr="1C87530C" w:rsidR="002A8489">
        <w:rPr>
          <w:rFonts w:ascii="Arial" w:hAnsi="Arial" w:cs="Arial"/>
          <w:sz w:val="22"/>
          <w:lang w:val="en-US"/>
        </w:rPr>
        <w:t>tracked</w:t>
      </w:r>
      <w:r w:rsidRPr="1C87530C">
        <w:rPr>
          <w:rFonts w:ascii="Arial" w:hAnsi="Arial" w:cs="Arial"/>
          <w:sz w:val="22"/>
          <w:lang w:val="en-US"/>
        </w:rPr>
        <w:t xml:space="preserve"> regularly or recorded</w:t>
      </w:r>
      <w:r w:rsidRPr="1C87530C" w:rsidR="0D5594FA">
        <w:rPr>
          <w:rFonts w:ascii="Arial" w:hAnsi="Arial" w:cs="Arial"/>
          <w:sz w:val="22"/>
          <w:lang w:val="en-US"/>
        </w:rPr>
        <w:t>,</w:t>
      </w:r>
      <w:r w:rsidRPr="1C87530C">
        <w:rPr>
          <w:rFonts w:ascii="Arial" w:hAnsi="Arial" w:cs="Arial"/>
          <w:sz w:val="22"/>
          <w:lang w:val="en-US"/>
        </w:rPr>
        <w:t xml:space="preserve"> could imply some serious consequences for the patients. </w:t>
      </w:r>
      <w:r w:rsidRPr="1C87530C" w:rsidR="0076357B">
        <w:rPr>
          <w:rFonts w:ascii="Arial" w:hAnsi="Arial" w:cs="Arial"/>
          <w:sz w:val="22"/>
          <w:lang w:val="en-US"/>
        </w:rPr>
        <w:t xml:space="preserve">According to Mohajan and Mohajan (2023), untreated hyperglycemia in individuals can lead them to diabetic ketoacidosis (DKA) or hyperosmolar hyperglycemic state (HHS), which are life-threatening conditions. This acute compilation of hypoglycemia can cause unconsciousness in diabetic individuals due to their confusion and disorientation. Along with that, a persistent high glucose level can harm and damage the nerves and damage the individual's </w:t>
      </w:r>
      <w:r w:rsidRPr="1C87530C" w:rsidR="465D781E">
        <w:rPr>
          <w:rFonts w:ascii="Arial" w:hAnsi="Arial" w:cs="Arial"/>
          <w:sz w:val="22"/>
          <w:lang w:val="en-US"/>
        </w:rPr>
        <w:t>body</w:t>
      </w:r>
      <w:r w:rsidRPr="1C87530C" w:rsidR="0076357B">
        <w:rPr>
          <w:rFonts w:ascii="Arial" w:hAnsi="Arial" w:cs="Arial"/>
          <w:sz w:val="22"/>
          <w:lang w:val="en-US"/>
        </w:rPr>
        <w:t xml:space="preserve">, which </w:t>
      </w:r>
      <w:r w:rsidRPr="1C87530C" w:rsidR="6A4B15F9">
        <w:rPr>
          <w:rFonts w:ascii="Arial" w:hAnsi="Arial" w:cs="Arial"/>
          <w:sz w:val="22"/>
          <w:lang w:val="en-US"/>
        </w:rPr>
        <w:t>accelerates</w:t>
      </w:r>
      <w:r w:rsidRPr="1C87530C" w:rsidR="0076357B">
        <w:rPr>
          <w:rFonts w:ascii="Arial" w:hAnsi="Arial" w:cs="Arial"/>
          <w:sz w:val="22"/>
          <w:lang w:val="en-US"/>
        </w:rPr>
        <w:t xml:space="preserve"> the development of chronic complications. This persistence of high glucose can lead to heart attack, </w:t>
      </w:r>
      <w:r w:rsidRPr="1C87530C" w:rsidR="26E74120">
        <w:rPr>
          <w:rFonts w:ascii="Arial" w:hAnsi="Arial" w:cs="Arial"/>
          <w:sz w:val="22"/>
          <w:lang w:val="en-US"/>
        </w:rPr>
        <w:t>blindness,</w:t>
      </w:r>
      <w:r w:rsidRPr="1C87530C" w:rsidR="0076357B">
        <w:rPr>
          <w:rFonts w:ascii="Arial" w:hAnsi="Arial" w:cs="Arial"/>
          <w:sz w:val="22"/>
          <w:lang w:val="en-US"/>
        </w:rPr>
        <w:t xml:space="preserve"> and kidney failure that require dialysis, neuropathy that results in amputation and foot ulcers. </w:t>
      </w:r>
    </w:p>
    <w:p w:rsidRPr="00DF01ED" w:rsidR="001B7A40" w:rsidP="0076357B" w:rsidRDefault="001B7A40" w14:paraId="0C34F409" w14:textId="77777777">
      <w:pPr>
        <w:pStyle w:val="Heading1"/>
        <w:spacing w:line="360" w:lineRule="auto"/>
        <w:jc w:val="both"/>
        <w:rPr>
          <w:rFonts w:cs="Arial"/>
        </w:rPr>
      </w:pPr>
      <w:r w:rsidRPr="1C87530C">
        <w:rPr>
          <w:rFonts w:cs="Arial"/>
        </w:rPr>
        <w:t>5. Recommend</w:t>
      </w:r>
      <w:r w:rsidRPr="1C87530C" w:rsidR="007A7297">
        <w:rPr>
          <w:rFonts w:cs="Arial"/>
        </w:rPr>
        <w:t>ations</w:t>
      </w:r>
    </w:p>
    <w:p w:rsidR="023B652F" w:rsidP="1C87530C" w:rsidRDefault="023B652F" w14:paraId="3DBCE360" w14:textId="25160FAC">
      <w:pPr>
        <w:spacing w:line="360" w:lineRule="auto"/>
        <w:jc w:val="both"/>
        <w:rPr>
          <w:rFonts w:ascii="Arial" w:hAnsi="Arial" w:cs="Arial"/>
          <w:sz w:val="22"/>
          <w:lang w:val="en-US"/>
        </w:rPr>
      </w:pPr>
      <w:r w:rsidRPr="1C87530C">
        <w:rPr>
          <w:rFonts w:ascii="Arial" w:hAnsi="Arial" w:cs="Arial"/>
          <w:sz w:val="22"/>
          <w:lang w:val="en-US"/>
        </w:rPr>
        <w:t>Refer back to the scenario – As a GP Practice Nurse, these are the recommended guidelines...</w:t>
      </w:r>
    </w:p>
    <w:p w:rsidRPr="00DF01ED" w:rsidR="0076357B" w:rsidP="0076357B" w:rsidRDefault="0076357B" w14:paraId="6682C26D" w14:textId="77777777">
      <w:pPr>
        <w:spacing w:line="360" w:lineRule="auto"/>
        <w:jc w:val="both"/>
        <w:rPr>
          <w:rFonts w:ascii="Arial" w:hAnsi="Arial" w:cs="Arial"/>
          <w:sz w:val="22"/>
          <w:lang w:val="en-US"/>
        </w:rPr>
      </w:pPr>
      <w:r w:rsidRPr="00DF01ED">
        <w:rPr>
          <w:rFonts w:ascii="Arial" w:hAnsi="Arial" w:cs="Arial"/>
          <w:sz w:val="22"/>
          <w:lang w:val="en-US"/>
        </w:rPr>
        <w:t xml:space="preserve">Effective diabetes management is the approach which combines the health, social and lifestyle of individuals consistent with self-care behaviours like physical activity, healthy eating, taking prescribed medications, regular blood sugar monitoring and addressing physical and mental wellbeing (CDC, 2024). These components help individuals to maintain blood sugar levels within the American Diabetes Association’s target range. </w:t>
      </w:r>
    </w:p>
    <w:p w:rsidRPr="00DF01ED" w:rsidR="0076357B" w:rsidP="0076357B" w:rsidRDefault="0076357B" w14:paraId="4169C28A" w14:textId="77777777">
      <w:pPr>
        <w:spacing w:line="360" w:lineRule="auto"/>
        <w:jc w:val="both"/>
        <w:rPr>
          <w:rFonts w:ascii="Arial" w:hAnsi="Arial" w:cs="Arial"/>
          <w:sz w:val="22"/>
          <w:lang w:val="en-US"/>
        </w:rPr>
      </w:pPr>
      <w:r w:rsidRPr="00DF01ED">
        <w:rPr>
          <w:rFonts w:ascii="Arial" w:hAnsi="Arial" w:cs="Arial"/>
          <w:sz w:val="22"/>
          <w:lang w:val="en-US"/>
        </w:rPr>
        <w:t>Dietary management: Focusing on balanced and whole foods that include fruits, lean proteins, whole grains and non-starchy vegetables while using plate methods can help individuals to avoid overeating and unhealthy eating in people (Salvia and Quatromoni, 2023). Also, limiting intake of sugary drinks, refined carbohydrates, and saturated fats and prioritising fibre-rich foods and complex carbs will lead to steady glucose release, avoiding rapid spikes.</w:t>
      </w:r>
    </w:p>
    <w:p w:rsidR="0076357B" w:rsidP="1C87530C" w:rsidRDefault="0076357B" w14:paraId="1158F40A" w14:textId="4D6F0006">
      <w:pPr>
        <w:spacing w:line="360" w:lineRule="auto"/>
        <w:jc w:val="both"/>
        <w:rPr>
          <w:rFonts w:ascii="Arial" w:hAnsi="Arial" w:cs="Arial"/>
          <w:sz w:val="22"/>
          <w:lang w:val="en-US"/>
        </w:rPr>
      </w:pPr>
      <w:r w:rsidRPr="1C87530C">
        <w:rPr>
          <w:rFonts w:ascii="Arial" w:hAnsi="Arial" w:cs="Arial"/>
          <w:sz w:val="22"/>
          <w:lang w:val="en-US"/>
        </w:rPr>
        <w:t xml:space="preserve">Physical Activity: The American Diabetes Association suggests moderate-intensity aerobic activity for at least 150 minutes a week combined with muscle-strengthening activities for two days at least (Lal, 2025).  Swimming, cycling, brisk </w:t>
      </w:r>
      <w:r w:rsidRPr="1C87530C" w:rsidR="00D6BEFF">
        <w:rPr>
          <w:rFonts w:ascii="Arial" w:hAnsi="Arial" w:cs="Arial"/>
          <w:sz w:val="22"/>
          <w:lang w:val="en-US"/>
        </w:rPr>
        <w:t>walking,</w:t>
      </w:r>
      <w:r w:rsidRPr="1C87530C">
        <w:rPr>
          <w:rFonts w:ascii="Arial" w:hAnsi="Arial" w:cs="Arial"/>
          <w:sz w:val="22"/>
          <w:lang w:val="en-US"/>
        </w:rPr>
        <w:t xml:space="preserve"> and other activities which incorporate movements into daily life can help to minimise diabetes. Insulin sensitivity is improved by exercise and allows the body to effectively use glucose.</w:t>
      </w:r>
    </w:p>
    <w:p w:rsidRPr="00C5096C" w:rsidR="00C5096C" w:rsidP="00C5096C" w:rsidRDefault="00C5096C" w14:paraId="1C96D730" w14:textId="77777777">
      <w:pPr>
        <w:spacing w:line="360" w:lineRule="auto"/>
        <w:jc w:val="both"/>
        <w:rPr>
          <w:rFonts w:ascii="Arial" w:hAnsi="Arial" w:cs="Arial"/>
          <w:sz w:val="22"/>
          <w:lang w:val="en-IN"/>
        </w:rPr>
      </w:pPr>
      <w:r w:rsidRPr="00C5096C">
        <w:rPr>
          <w:rFonts w:ascii="Arial" w:hAnsi="Arial" w:cs="Arial"/>
          <w:sz w:val="22"/>
          <w:lang w:val="en-IN"/>
        </w:rPr>
        <w:t>Taking updated information related to diabetes from reliable diabetes sources like the CDC and NIDDK can be beneficial for patients (Purvis, 2021). Mental support systems are also crucial as they help to promote the diabetic individual’s well-being. Individuals need to adhere to a schedule, monitor and share the results of their health with physicians, dietitians and diabetes educators for better health.</w:t>
      </w:r>
    </w:p>
    <w:p w:rsidRPr="006B3435" w:rsidR="006B3435" w:rsidP="006B3435" w:rsidRDefault="006B3435" w14:paraId="61C9FEB6" w14:textId="77777777">
      <w:pPr>
        <w:pStyle w:val="Heading1"/>
        <w:rPr>
          <w:lang w:val="en-US"/>
        </w:rPr>
      </w:pPr>
      <w:r>
        <w:rPr>
          <w:lang w:val="en-US"/>
        </w:rPr>
        <w:t xml:space="preserve">6. </w:t>
      </w:r>
      <w:r w:rsidRPr="006B3435">
        <w:rPr>
          <w:lang w:val="en-US"/>
        </w:rPr>
        <w:t>Conclusion</w:t>
      </w:r>
    </w:p>
    <w:p w:rsidRPr="00DF01ED" w:rsidR="0076357B" w:rsidP="1C87530C" w:rsidRDefault="409C17E5" w14:paraId="1D3D87C0" w14:textId="1E8920F8">
      <w:pPr>
        <w:spacing w:line="360" w:lineRule="auto"/>
        <w:jc w:val="both"/>
        <w:rPr>
          <w:rFonts w:ascii="Arial" w:hAnsi="Arial" w:cs="Arial"/>
          <w:sz w:val="22"/>
          <w:lang w:val="en-US"/>
        </w:rPr>
      </w:pPr>
      <w:r w:rsidRPr="1C87530C">
        <w:rPr>
          <w:rFonts w:ascii="Arial" w:hAnsi="Arial" w:cs="Arial"/>
          <w:sz w:val="22"/>
        </w:rPr>
        <w:t>In summary,</w:t>
      </w:r>
      <w:r w:rsidRPr="1C87530C" w:rsidR="0042414E">
        <w:rPr>
          <w:rFonts w:ascii="Arial" w:hAnsi="Arial" w:cs="Arial"/>
          <w:sz w:val="22"/>
        </w:rPr>
        <w:t xml:space="preserve"> diabetes has taken the place of a global chronic disease of the endocrine system, which impacts an individual's blood sugar level. A potent management of diabetic health is required for maintaining the disease. This study postulates how anyone's individual sugar regulation system and cellular metabolism process contribute to diabetes management by converting glucose and oxygen into energy or ATP.</w:t>
      </w:r>
      <w:r w:rsidRPr="1C87530C" w:rsidR="0042414E">
        <w:rPr>
          <w:rFonts w:ascii="Arial" w:hAnsi="Arial" w:cs="Arial"/>
          <w:sz w:val="22"/>
          <w:lang w:val="en-US"/>
        </w:rPr>
        <w:t xml:space="preserve"> </w:t>
      </w:r>
      <w:r w:rsidRPr="1C87530C" w:rsidR="0076357B">
        <w:rPr>
          <w:rFonts w:ascii="Arial" w:hAnsi="Arial" w:cs="Arial"/>
          <w:sz w:val="22"/>
          <w:lang w:val="en-US"/>
        </w:rPr>
        <w:t xml:space="preserve">Furthermore, the </w:t>
      </w:r>
      <w:r w:rsidRPr="1C87530C" w:rsidR="2E6019E1">
        <w:rPr>
          <w:rFonts w:ascii="Arial" w:hAnsi="Arial" w:cs="Arial"/>
          <w:sz w:val="22"/>
          <w:lang w:val="en-US"/>
        </w:rPr>
        <w:t xml:space="preserve">case </w:t>
      </w:r>
      <w:r w:rsidRPr="1C87530C" w:rsidR="0076357B">
        <w:rPr>
          <w:rFonts w:ascii="Arial" w:hAnsi="Arial" w:cs="Arial"/>
          <w:sz w:val="22"/>
          <w:lang w:val="en-US"/>
        </w:rPr>
        <w:t xml:space="preserve">study </w:t>
      </w:r>
      <w:r w:rsidRPr="1C87530C" w:rsidR="70BF4D7C">
        <w:rPr>
          <w:rFonts w:ascii="Arial" w:hAnsi="Arial" w:cs="Arial"/>
          <w:sz w:val="22"/>
          <w:lang w:val="en-US"/>
        </w:rPr>
        <w:t>revealed</w:t>
      </w:r>
      <w:r w:rsidRPr="1C87530C" w:rsidR="0076357B">
        <w:rPr>
          <w:rFonts w:ascii="Arial" w:hAnsi="Arial" w:cs="Arial"/>
          <w:sz w:val="22"/>
          <w:lang w:val="en-US"/>
        </w:rPr>
        <w:t xml:space="preserve"> how regular monitoring and tracking blood sugar levels can help individuals with Type 2 diabetes to make informed decisions and coordinate with their healthcare team regarding their treatment. Moreover, adoption of </w:t>
      </w:r>
      <w:r w:rsidRPr="1C87530C" w:rsidR="40773828">
        <w:rPr>
          <w:rFonts w:ascii="Arial" w:hAnsi="Arial" w:cs="Arial"/>
          <w:sz w:val="22"/>
          <w:lang w:val="en-US"/>
        </w:rPr>
        <w:t>recommendations</w:t>
      </w:r>
      <w:r w:rsidRPr="1C87530C" w:rsidR="0076357B">
        <w:rPr>
          <w:rFonts w:ascii="Arial" w:hAnsi="Arial" w:cs="Arial"/>
          <w:sz w:val="22"/>
          <w:lang w:val="en-US"/>
        </w:rPr>
        <w:t xml:space="preserve"> and lifestyle changes like regular exercise, balanced </w:t>
      </w:r>
      <w:r w:rsidRPr="1C87530C" w:rsidR="6F5ADA56">
        <w:rPr>
          <w:rFonts w:ascii="Arial" w:hAnsi="Arial" w:cs="Arial"/>
          <w:sz w:val="22"/>
          <w:lang w:val="en-US"/>
        </w:rPr>
        <w:t>diet</w:t>
      </w:r>
      <w:r w:rsidRPr="1C87530C" w:rsidR="056FA887">
        <w:rPr>
          <w:rFonts w:ascii="Arial" w:hAnsi="Arial" w:cs="Arial"/>
          <w:sz w:val="22"/>
          <w:lang w:val="en-US"/>
        </w:rPr>
        <w:t>,</w:t>
      </w:r>
      <w:r w:rsidRPr="1C87530C" w:rsidR="0076357B">
        <w:rPr>
          <w:rFonts w:ascii="Arial" w:hAnsi="Arial" w:cs="Arial"/>
          <w:sz w:val="22"/>
          <w:lang w:val="en-US"/>
        </w:rPr>
        <w:t xml:space="preserve"> and regular monitoring can effectively help patients prevent chronic and acute complications of diabetes and offer them healthier lives</w:t>
      </w:r>
      <w:r w:rsidRPr="1C87530C" w:rsidR="1A92CD74">
        <w:rPr>
          <w:rFonts w:ascii="Arial" w:hAnsi="Arial" w:cs="Arial"/>
          <w:sz w:val="22"/>
          <w:lang w:val="en-US"/>
        </w:rPr>
        <w:t xml:space="preserve"> in the local GP surgery</w:t>
      </w:r>
      <w:r w:rsidRPr="1C87530C" w:rsidR="0076357B">
        <w:rPr>
          <w:rFonts w:ascii="Arial" w:hAnsi="Arial" w:cs="Arial"/>
          <w:sz w:val="22"/>
          <w:lang w:val="en-US"/>
        </w:rPr>
        <w:t xml:space="preserve">. </w:t>
      </w:r>
    </w:p>
    <w:p w:rsidRPr="00DF01ED" w:rsidR="001B7A40" w:rsidP="0076357B" w:rsidRDefault="001B7A40" w14:paraId="5C8D9F59" w14:textId="77777777">
      <w:pPr>
        <w:spacing w:line="360" w:lineRule="auto"/>
        <w:jc w:val="both"/>
        <w:rPr>
          <w:rFonts w:ascii="Arial" w:hAnsi="Arial" w:cs="Arial"/>
        </w:rPr>
      </w:pPr>
    </w:p>
    <w:p w:rsidRPr="00DF01ED" w:rsidR="001B7A40" w:rsidP="0076357B" w:rsidRDefault="001B7A40" w14:paraId="402707ED" w14:textId="77777777">
      <w:pPr>
        <w:spacing w:line="360" w:lineRule="auto"/>
        <w:jc w:val="both"/>
        <w:rPr>
          <w:rFonts w:ascii="Arial" w:hAnsi="Arial" w:cs="Arial"/>
        </w:rPr>
      </w:pPr>
      <w:r w:rsidRPr="00DF01ED">
        <w:rPr>
          <w:rFonts w:ascii="Arial" w:hAnsi="Arial" w:cs="Arial"/>
        </w:rPr>
        <w:br w:type="page"/>
      </w:r>
    </w:p>
    <w:p w:rsidRPr="00DF01ED" w:rsidR="00060BB7" w:rsidP="00060BB7" w:rsidRDefault="001B7A40" w14:paraId="3467ECD5" w14:textId="77777777">
      <w:pPr>
        <w:pStyle w:val="Heading1"/>
        <w:spacing w:line="360" w:lineRule="auto"/>
        <w:jc w:val="both"/>
        <w:rPr>
          <w:rFonts w:cs="Arial"/>
        </w:rPr>
      </w:pPr>
      <w:r w:rsidRPr="00DF01ED">
        <w:rPr>
          <w:rFonts w:cs="Arial"/>
        </w:rPr>
        <w:t>References</w:t>
      </w:r>
    </w:p>
    <w:p w:rsidRPr="003B59AB" w:rsidR="00060BB7" w:rsidP="00060BB7" w:rsidRDefault="00060BB7" w14:paraId="11F58A23" w14:textId="77777777">
      <w:pPr>
        <w:pStyle w:val="Normal1"/>
        <w:spacing w:before="240" w:after="240" w:line="360" w:lineRule="auto"/>
        <w:jc w:val="both"/>
        <w:rPr>
          <w:sz w:val="24"/>
          <w:szCs w:val="24"/>
        </w:rPr>
      </w:pPr>
      <w:r w:rsidRPr="003B59AB">
        <w:rPr>
          <w:sz w:val="24"/>
          <w:szCs w:val="24"/>
          <w:highlight w:val="white"/>
        </w:rPr>
        <w:t xml:space="preserve">Alabduladhem, T.O. and Bordoni, B., (2022) Physiology, krebs cycle. In </w:t>
      </w:r>
      <w:r w:rsidRPr="003B59AB">
        <w:rPr>
          <w:i/>
          <w:iCs/>
          <w:sz w:val="24"/>
          <w:szCs w:val="24"/>
          <w:highlight w:val="white"/>
        </w:rPr>
        <w:t>StatPearls [Internet]</w:t>
      </w:r>
      <w:r w:rsidRPr="003B59AB">
        <w:rPr>
          <w:sz w:val="24"/>
          <w:szCs w:val="24"/>
          <w:highlight w:val="white"/>
        </w:rPr>
        <w:t xml:space="preserve">. StatPearls Publishing. Available at:  </w:t>
      </w:r>
      <w:hyperlink r:id="rId19">
        <w:r w:rsidRPr="003B59AB">
          <w:rPr>
            <w:sz w:val="24"/>
            <w:szCs w:val="24"/>
            <w:highlight w:val="white"/>
            <w:u w:val="single"/>
          </w:rPr>
          <w:t>https://www.ncbi.nlm.nih.gov/books/NBK556032/</w:t>
        </w:r>
      </w:hyperlink>
      <w:r w:rsidRPr="003B59AB">
        <w:rPr>
          <w:sz w:val="24"/>
          <w:szCs w:val="24"/>
          <w:highlight w:val="white"/>
        </w:rPr>
        <w:t xml:space="preserve"> </w:t>
      </w:r>
    </w:p>
    <w:p w:rsidRPr="003B59AB" w:rsidR="00060BB7" w:rsidP="00060BB7" w:rsidRDefault="00060BB7" w14:paraId="13C123A1" w14:textId="77777777">
      <w:pPr>
        <w:pStyle w:val="Normal1"/>
        <w:spacing w:before="240" w:after="240" w:line="360" w:lineRule="auto"/>
        <w:jc w:val="both"/>
        <w:rPr>
          <w:sz w:val="24"/>
          <w:szCs w:val="24"/>
        </w:rPr>
      </w:pPr>
      <w:r w:rsidRPr="00BA70DF">
        <w:rPr>
          <w:sz w:val="24"/>
          <w:szCs w:val="24"/>
          <w:lang w:val="fr-FR"/>
        </w:rPr>
        <w:t xml:space="preserve">American Diabetes Association (2025) </w:t>
      </w:r>
      <w:r w:rsidRPr="00BA70DF">
        <w:rPr>
          <w:i/>
          <w:iCs/>
          <w:sz w:val="24"/>
          <w:szCs w:val="24"/>
          <w:lang w:val="fr-FR"/>
        </w:rPr>
        <w:t>Diabetes diagnosis</w:t>
      </w:r>
      <w:r w:rsidRPr="00BA70DF">
        <w:rPr>
          <w:sz w:val="24"/>
          <w:szCs w:val="24"/>
          <w:lang w:val="fr-FR"/>
        </w:rPr>
        <w:t xml:space="preserve">, </w:t>
      </w:r>
      <w:r w:rsidRPr="00BA70DF">
        <w:rPr>
          <w:i/>
          <w:iCs/>
          <w:sz w:val="24"/>
          <w:szCs w:val="24"/>
          <w:lang w:val="fr-FR"/>
        </w:rPr>
        <w:t>Diabetes Diagnosis &amp; Tests | ADA</w:t>
      </w:r>
      <w:r w:rsidRPr="00BA70DF">
        <w:rPr>
          <w:sz w:val="24"/>
          <w:szCs w:val="24"/>
          <w:lang w:val="fr-FR"/>
        </w:rPr>
        <w:t xml:space="preserve">. </w:t>
      </w:r>
      <w:r w:rsidRPr="003B59AB">
        <w:rPr>
          <w:sz w:val="24"/>
          <w:szCs w:val="24"/>
        </w:rPr>
        <w:t>Available at: https://diabetes.org/about-diabetes/diagnosis (Accessed: 18 November 2025)</w:t>
      </w:r>
    </w:p>
    <w:p w:rsidR="00060BB7" w:rsidP="00060BB7" w:rsidRDefault="00060BB7" w14:paraId="738092D4" w14:textId="77777777">
      <w:pPr>
        <w:pStyle w:val="Normal1"/>
        <w:spacing w:line="360" w:lineRule="auto"/>
        <w:jc w:val="both"/>
        <w:rPr>
          <w:sz w:val="24"/>
          <w:szCs w:val="24"/>
        </w:rPr>
      </w:pPr>
      <w:r w:rsidRPr="003B59AB">
        <w:rPr>
          <w:sz w:val="24"/>
          <w:szCs w:val="24"/>
          <w:highlight w:val="white"/>
        </w:rPr>
        <w:t xml:space="preserve">American Diabetes Association, (2020) 5. Facilitating behavior change and well-being to improve health outcomes: Standards of Medical Care in Diabetes—2020. </w:t>
      </w:r>
      <w:r w:rsidRPr="003B59AB">
        <w:rPr>
          <w:i/>
          <w:iCs/>
          <w:sz w:val="24"/>
          <w:szCs w:val="24"/>
          <w:highlight w:val="white"/>
        </w:rPr>
        <w:t>Diabetes care</w:t>
      </w:r>
      <w:r w:rsidRPr="003B59AB">
        <w:rPr>
          <w:sz w:val="24"/>
          <w:szCs w:val="24"/>
          <w:highlight w:val="white"/>
        </w:rPr>
        <w:t xml:space="preserve">, </w:t>
      </w:r>
      <w:r w:rsidRPr="003B59AB">
        <w:rPr>
          <w:i/>
          <w:iCs/>
          <w:sz w:val="24"/>
          <w:szCs w:val="24"/>
          <w:highlight w:val="white"/>
        </w:rPr>
        <w:t>43</w:t>
      </w:r>
      <w:r w:rsidRPr="003B59AB">
        <w:rPr>
          <w:sz w:val="24"/>
          <w:szCs w:val="24"/>
          <w:highlight w:val="white"/>
        </w:rPr>
        <w:t xml:space="preserve">(Supplement_1), pp. S48-S65. Available at: </w:t>
      </w:r>
      <w:hyperlink w:tgtFrame="_blank" w:history="1" r:id="rId20">
        <w:r w:rsidRPr="003847D7">
          <w:rPr>
            <w:rStyle w:val="Hyperlink"/>
            <w:sz w:val="24"/>
            <w:szCs w:val="24"/>
            <w:highlight w:val="white"/>
            <w:lang w:val="en-GB"/>
          </w:rPr>
          <w:t>https://doi.org/10.2337/dc20-S005</w:t>
        </w:r>
      </w:hyperlink>
      <w:r w:rsidRPr="003B59AB">
        <w:rPr>
          <w:sz w:val="24"/>
          <w:szCs w:val="24"/>
          <w:highlight w:val="white"/>
        </w:rPr>
        <w:t xml:space="preserve"> </w:t>
      </w:r>
    </w:p>
    <w:p w:rsidRPr="003B59AB" w:rsidR="00060BB7" w:rsidP="00060BB7" w:rsidRDefault="00060BB7" w14:paraId="268DC9D3" w14:textId="77777777">
      <w:pPr>
        <w:pStyle w:val="Normal1"/>
        <w:spacing w:line="360" w:lineRule="auto"/>
        <w:jc w:val="both"/>
        <w:rPr>
          <w:sz w:val="24"/>
          <w:szCs w:val="24"/>
        </w:rPr>
      </w:pPr>
      <w:bookmarkStart w:name="_Hlk214484800" w:id="0"/>
      <w:r>
        <w:rPr>
          <w:sz w:val="24"/>
          <w:szCs w:val="24"/>
          <w:highlight w:val="white"/>
        </w:rPr>
        <w:t>Anatomy and Physiology</w:t>
      </w:r>
      <w:r w:rsidRPr="003B59AB">
        <w:rPr>
          <w:sz w:val="24"/>
          <w:szCs w:val="24"/>
          <w:highlight w:val="white"/>
        </w:rPr>
        <w:t xml:space="preserve"> (2013) </w:t>
      </w:r>
      <w:bookmarkEnd w:id="0"/>
      <w:r w:rsidRPr="003B59AB">
        <w:rPr>
          <w:i/>
          <w:iCs/>
          <w:sz w:val="24"/>
          <w:szCs w:val="24"/>
          <w:highlight w:val="white"/>
        </w:rPr>
        <w:t>The endocrine pancreas</w:t>
      </w:r>
      <w:r w:rsidRPr="003B59AB">
        <w:rPr>
          <w:sz w:val="24"/>
          <w:szCs w:val="24"/>
          <w:highlight w:val="white"/>
        </w:rPr>
        <w:t xml:space="preserve">, </w:t>
      </w:r>
      <w:r w:rsidRPr="003B59AB">
        <w:rPr>
          <w:i/>
          <w:iCs/>
          <w:sz w:val="24"/>
          <w:szCs w:val="24"/>
          <w:highlight w:val="white"/>
        </w:rPr>
        <w:t>Anatomy &amp; Physiology</w:t>
      </w:r>
      <w:r w:rsidRPr="003B59AB">
        <w:rPr>
          <w:sz w:val="24"/>
          <w:szCs w:val="24"/>
          <w:highlight w:val="white"/>
        </w:rPr>
        <w:t xml:space="preserve">. Available at: </w:t>
      </w:r>
      <w:hyperlink r:id="rId21">
        <w:r w:rsidRPr="003B59AB">
          <w:rPr>
            <w:sz w:val="24"/>
            <w:szCs w:val="24"/>
            <w:highlight w:val="white"/>
            <w:u w:val="single"/>
          </w:rPr>
          <w:t>https://pressbooks-dev.oer.hawaii.edu/anatomyandphysiology/chapter/the-endocrine-pancreas/</w:t>
        </w:r>
      </w:hyperlink>
      <w:r w:rsidRPr="003B59AB">
        <w:rPr>
          <w:sz w:val="24"/>
          <w:szCs w:val="24"/>
          <w:highlight w:val="white"/>
        </w:rPr>
        <w:t xml:space="preserve"> </w:t>
      </w:r>
      <w:bookmarkStart w:name="_ykpuz1wr212z" w:colFirst="0" w:colLast="0" w:id="1"/>
      <w:bookmarkEnd w:id="1"/>
      <w:r w:rsidRPr="003B59AB">
        <w:rPr>
          <w:sz w:val="24"/>
          <w:szCs w:val="24"/>
        </w:rPr>
        <w:t xml:space="preserve">(Accessed: 18 November 2025). </w:t>
      </w:r>
    </w:p>
    <w:p w:rsidRPr="003B59AB" w:rsidR="00060BB7" w:rsidP="00060BB7" w:rsidRDefault="00060BB7" w14:paraId="28847267" w14:textId="77777777">
      <w:pPr>
        <w:pStyle w:val="Normal1"/>
        <w:spacing w:line="360" w:lineRule="auto"/>
        <w:jc w:val="both"/>
        <w:rPr>
          <w:sz w:val="24"/>
          <w:szCs w:val="24"/>
        </w:rPr>
      </w:pPr>
      <w:r w:rsidRPr="003B59AB">
        <w:rPr>
          <w:sz w:val="24"/>
          <w:szCs w:val="24"/>
        </w:rPr>
        <w:t xml:space="preserve">CDC (2024) </w:t>
      </w:r>
      <w:r w:rsidRPr="003B59AB">
        <w:rPr>
          <w:i/>
          <w:iCs/>
          <w:sz w:val="24"/>
          <w:szCs w:val="24"/>
        </w:rPr>
        <w:t>Living with diabetes</w:t>
      </w:r>
      <w:r w:rsidRPr="003B59AB">
        <w:rPr>
          <w:sz w:val="24"/>
          <w:szCs w:val="24"/>
        </w:rPr>
        <w:t xml:space="preserve">, </w:t>
      </w:r>
      <w:r w:rsidRPr="003B59AB">
        <w:rPr>
          <w:i/>
          <w:iCs/>
          <w:sz w:val="24"/>
          <w:szCs w:val="24"/>
        </w:rPr>
        <w:t>Centers for Disease Control and Prevention</w:t>
      </w:r>
      <w:r w:rsidRPr="003B59AB">
        <w:rPr>
          <w:sz w:val="24"/>
          <w:szCs w:val="24"/>
        </w:rPr>
        <w:t xml:space="preserve">. Available at: </w:t>
      </w:r>
      <w:hyperlink r:id="rId22">
        <w:r w:rsidRPr="003B59AB">
          <w:rPr>
            <w:sz w:val="24"/>
            <w:szCs w:val="24"/>
            <w:u w:val="single"/>
          </w:rPr>
          <w:t>https://www.cdc.gov/diabetes/living-with/index.html</w:t>
        </w:r>
      </w:hyperlink>
      <w:r w:rsidRPr="003B59AB">
        <w:rPr>
          <w:sz w:val="24"/>
          <w:szCs w:val="24"/>
        </w:rPr>
        <w:t xml:space="preserve"> (Accessed: 14 November 2025). </w:t>
      </w:r>
    </w:p>
    <w:p w:rsidRPr="003B59AB" w:rsidR="00060BB7" w:rsidP="00060BB7" w:rsidRDefault="00060BB7" w14:paraId="7C25AF95" w14:textId="77777777">
      <w:pPr>
        <w:pStyle w:val="Normal1"/>
        <w:spacing w:before="240" w:after="240" w:line="360" w:lineRule="auto"/>
        <w:jc w:val="both"/>
        <w:rPr>
          <w:sz w:val="24"/>
          <w:szCs w:val="24"/>
        </w:rPr>
      </w:pPr>
      <w:bookmarkStart w:name="_wqqznunlmqqo" w:colFirst="0" w:colLast="0" w:id="2"/>
      <w:bookmarkEnd w:id="2"/>
      <w:r w:rsidRPr="003B59AB">
        <w:rPr>
          <w:sz w:val="24"/>
          <w:szCs w:val="24"/>
          <w:highlight w:val="white"/>
        </w:rPr>
        <w:t xml:space="preserve">Cleveland Clinic (2025) Continuous Glucose Monitor (CGM), Cleveland Clinic. Available at: </w:t>
      </w:r>
      <w:hyperlink r:id="rId23">
        <w:r w:rsidRPr="003B59AB">
          <w:rPr>
            <w:sz w:val="24"/>
            <w:szCs w:val="24"/>
            <w:highlight w:val="white"/>
            <w:u w:val="single"/>
          </w:rPr>
          <w:t>https://my.clevelandclinic.org/health/articles/continuous-glucose-monitoring-cgm</w:t>
        </w:r>
      </w:hyperlink>
      <w:r w:rsidRPr="003B59AB">
        <w:rPr>
          <w:sz w:val="24"/>
          <w:szCs w:val="24"/>
          <w:highlight w:val="white"/>
        </w:rPr>
        <w:t xml:space="preserve"> </w:t>
      </w:r>
      <w:r w:rsidRPr="003B59AB">
        <w:rPr>
          <w:sz w:val="24"/>
          <w:szCs w:val="24"/>
        </w:rPr>
        <w:t>(Accessed: 15 November 2025)</w:t>
      </w:r>
    </w:p>
    <w:p w:rsidR="00060BB7" w:rsidP="00060BB7" w:rsidRDefault="00060BB7" w14:paraId="4CCDE2FC" w14:textId="77777777">
      <w:pPr>
        <w:pStyle w:val="Normal1"/>
        <w:spacing w:before="240" w:after="240" w:line="360" w:lineRule="auto"/>
        <w:jc w:val="both"/>
        <w:rPr>
          <w:sz w:val="24"/>
          <w:szCs w:val="24"/>
        </w:rPr>
      </w:pPr>
      <w:r w:rsidRPr="003B59AB">
        <w:rPr>
          <w:sz w:val="24"/>
          <w:szCs w:val="24"/>
        </w:rPr>
        <w:t xml:space="preserve">Dhatariya, K. and Umpierrez, G.E. (2024) </w:t>
      </w:r>
      <w:r w:rsidRPr="003B59AB">
        <w:rPr>
          <w:i/>
          <w:iCs/>
          <w:sz w:val="24"/>
          <w:szCs w:val="24"/>
        </w:rPr>
        <w:t>Management of diabetes and hyperglycemia in hospitalized patients</w:t>
      </w:r>
      <w:r w:rsidRPr="003B59AB">
        <w:rPr>
          <w:sz w:val="24"/>
          <w:szCs w:val="24"/>
        </w:rPr>
        <w:t xml:space="preserve">, </w:t>
      </w:r>
      <w:r w:rsidRPr="003B59AB">
        <w:rPr>
          <w:i/>
          <w:iCs/>
          <w:sz w:val="24"/>
          <w:szCs w:val="24"/>
        </w:rPr>
        <w:t>Endotext [Internet].</w:t>
      </w:r>
      <w:r w:rsidRPr="003B59AB">
        <w:rPr>
          <w:sz w:val="24"/>
          <w:szCs w:val="24"/>
        </w:rPr>
        <w:t xml:space="preserve"> Available at: </w:t>
      </w:r>
      <w:r w:rsidRPr="00473AC3">
        <w:rPr>
          <w:sz w:val="24"/>
          <w:szCs w:val="24"/>
        </w:rPr>
        <w:t>https://www.ncbi.nlm.nih.gov/books/NBK279093/</w:t>
      </w:r>
      <w:r w:rsidRPr="003B59AB">
        <w:rPr>
          <w:sz w:val="24"/>
          <w:szCs w:val="24"/>
        </w:rPr>
        <w:t xml:space="preserve"> (Accessed: 19 November 2025)</w:t>
      </w:r>
    </w:p>
    <w:p w:rsidRPr="003B59AB" w:rsidR="00060BB7" w:rsidP="00060BB7" w:rsidRDefault="00060BB7" w14:paraId="1189C121" w14:textId="77777777">
      <w:pPr>
        <w:pStyle w:val="Normal1"/>
        <w:spacing w:before="240" w:after="240" w:line="360" w:lineRule="auto"/>
        <w:jc w:val="both"/>
        <w:rPr>
          <w:sz w:val="24"/>
          <w:szCs w:val="24"/>
        </w:rPr>
      </w:pPr>
      <w:r w:rsidRPr="003B59AB">
        <w:rPr>
          <w:sz w:val="24"/>
          <w:szCs w:val="24"/>
          <w:highlight w:val="white"/>
        </w:rPr>
        <w:t xml:space="preserve">Dorlon, J. (2021) Metabolisms. </w:t>
      </w:r>
      <w:r w:rsidRPr="003B59AB">
        <w:rPr>
          <w:i/>
          <w:iCs/>
          <w:sz w:val="24"/>
          <w:szCs w:val="24"/>
          <w:highlight w:val="white"/>
        </w:rPr>
        <w:t>Microreviews in Cell and Molecular Biology</w:t>
      </w:r>
      <w:r w:rsidRPr="003B59AB">
        <w:rPr>
          <w:sz w:val="24"/>
          <w:szCs w:val="24"/>
          <w:highlight w:val="white"/>
        </w:rPr>
        <w:t xml:space="preserve">, </w:t>
      </w:r>
      <w:r w:rsidRPr="003B59AB">
        <w:rPr>
          <w:i/>
          <w:iCs/>
          <w:sz w:val="24"/>
          <w:szCs w:val="24"/>
          <w:highlight w:val="white"/>
        </w:rPr>
        <w:t>8</w:t>
      </w:r>
      <w:r w:rsidRPr="003B59AB">
        <w:rPr>
          <w:sz w:val="24"/>
          <w:szCs w:val="24"/>
          <w:highlight w:val="white"/>
        </w:rPr>
        <w:t xml:space="preserve">(2). Available at: </w:t>
      </w:r>
      <w:hyperlink r:id="rId24">
        <w:r w:rsidRPr="003B59AB">
          <w:rPr>
            <w:sz w:val="24"/>
            <w:szCs w:val="24"/>
            <w:highlight w:val="white"/>
            <w:u w:val="single"/>
          </w:rPr>
          <w:t>https://undergradsciencejournals.okstate.edu/index.php/MRCMB/article/view/13169/2281</w:t>
        </w:r>
      </w:hyperlink>
      <w:r w:rsidRPr="003B59AB">
        <w:rPr>
          <w:sz w:val="24"/>
          <w:szCs w:val="24"/>
          <w:highlight w:val="white"/>
        </w:rPr>
        <w:t xml:space="preserve"> </w:t>
      </w:r>
    </w:p>
    <w:p w:rsidRPr="003B59AB" w:rsidR="00060BB7" w:rsidP="00060BB7" w:rsidRDefault="00060BB7" w14:paraId="6CC2D1D2" w14:textId="77777777">
      <w:pPr>
        <w:pStyle w:val="Normal1"/>
        <w:spacing w:before="240" w:after="240" w:line="360" w:lineRule="auto"/>
        <w:jc w:val="both"/>
        <w:rPr>
          <w:sz w:val="24"/>
          <w:szCs w:val="24"/>
        </w:rPr>
      </w:pPr>
      <w:r w:rsidRPr="003B59AB">
        <w:rPr>
          <w:sz w:val="24"/>
          <w:szCs w:val="24"/>
        </w:rPr>
        <w:t xml:space="preserve">International Diabetes Federation (2025) </w:t>
      </w:r>
      <w:r w:rsidRPr="003B59AB">
        <w:rPr>
          <w:i/>
          <w:iCs/>
          <w:sz w:val="24"/>
          <w:szCs w:val="24"/>
        </w:rPr>
        <w:t>Facts &amp; figures</w:t>
      </w:r>
      <w:r w:rsidRPr="003B59AB">
        <w:rPr>
          <w:sz w:val="24"/>
          <w:szCs w:val="24"/>
        </w:rPr>
        <w:t xml:space="preserve">, </w:t>
      </w:r>
      <w:r w:rsidRPr="003B59AB">
        <w:rPr>
          <w:i/>
          <w:iCs/>
          <w:sz w:val="24"/>
          <w:szCs w:val="24"/>
        </w:rPr>
        <w:t>International Diabetes Federation</w:t>
      </w:r>
      <w:r w:rsidRPr="003B59AB">
        <w:rPr>
          <w:sz w:val="24"/>
          <w:szCs w:val="24"/>
        </w:rPr>
        <w:t xml:space="preserve">. Available at: </w:t>
      </w:r>
      <w:hyperlink r:id="rId25">
        <w:r w:rsidRPr="003B59AB">
          <w:rPr>
            <w:sz w:val="24"/>
            <w:szCs w:val="24"/>
            <w:u w:val="single"/>
          </w:rPr>
          <w:t>https://idf.org/about-diabetes/diabetes-facts-figures/</w:t>
        </w:r>
      </w:hyperlink>
      <w:r w:rsidRPr="003B59AB">
        <w:rPr>
          <w:sz w:val="24"/>
          <w:szCs w:val="24"/>
        </w:rPr>
        <w:t xml:space="preserve"> (Accessed: 14 November 2025). </w:t>
      </w:r>
    </w:p>
    <w:p w:rsidRPr="003B59AB" w:rsidR="00060BB7" w:rsidP="00060BB7" w:rsidRDefault="00060BB7" w14:paraId="08F86665" w14:textId="77777777">
      <w:pPr>
        <w:pStyle w:val="Normal1"/>
        <w:spacing w:line="360" w:lineRule="auto"/>
        <w:jc w:val="both"/>
        <w:rPr>
          <w:sz w:val="24"/>
          <w:szCs w:val="24"/>
        </w:rPr>
      </w:pPr>
      <w:r w:rsidRPr="003B59AB">
        <w:rPr>
          <w:sz w:val="24"/>
          <w:szCs w:val="24"/>
          <w:highlight w:val="white"/>
        </w:rPr>
        <w:t xml:space="preserve">Knight, J. (2021) Endocrine system 1: overview of the endocrine system and hormones. </w:t>
      </w:r>
      <w:r w:rsidRPr="003B59AB">
        <w:rPr>
          <w:i/>
          <w:iCs/>
          <w:sz w:val="24"/>
          <w:szCs w:val="24"/>
          <w:highlight w:val="white"/>
        </w:rPr>
        <w:t>Nursing Times</w:t>
      </w:r>
      <w:r w:rsidRPr="003B59AB">
        <w:rPr>
          <w:sz w:val="24"/>
          <w:szCs w:val="24"/>
          <w:highlight w:val="white"/>
        </w:rPr>
        <w:t xml:space="preserve">, </w:t>
      </w:r>
      <w:r w:rsidRPr="003B59AB">
        <w:rPr>
          <w:i/>
          <w:iCs/>
          <w:sz w:val="24"/>
          <w:szCs w:val="24"/>
          <w:highlight w:val="white"/>
        </w:rPr>
        <w:t>117</w:t>
      </w:r>
      <w:r w:rsidRPr="003B59AB">
        <w:rPr>
          <w:sz w:val="24"/>
          <w:szCs w:val="24"/>
          <w:highlight w:val="white"/>
        </w:rPr>
        <w:t xml:space="preserve">(5), pp.38-42. Available at: </w:t>
      </w:r>
      <w:hyperlink r:id="rId26">
        <w:r w:rsidRPr="003B59AB">
          <w:rPr>
            <w:sz w:val="24"/>
            <w:szCs w:val="24"/>
            <w:highlight w:val="white"/>
            <w:u w:val="single"/>
          </w:rPr>
          <w:t>https://www.biohealthcarenetworks.com/img/research/hormones-v1.pdf</w:t>
        </w:r>
      </w:hyperlink>
      <w:r w:rsidRPr="003B59AB">
        <w:rPr>
          <w:sz w:val="24"/>
          <w:szCs w:val="24"/>
          <w:highlight w:val="white"/>
        </w:rPr>
        <w:t xml:space="preserve"> </w:t>
      </w:r>
    </w:p>
    <w:p w:rsidRPr="003B59AB" w:rsidR="00060BB7" w:rsidP="00060BB7" w:rsidRDefault="00060BB7" w14:paraId="3C7CE2F8" w14:textId="77777777">
      <w:pPr>
        <w:pStyle w:val="Normal1"/>
        <w:spacing w:before="240" w:after="240" w:line="360" w:lineRule="auto"/>
        <w:jc w:val="both"/>
        <w:rPr>
          <w:sz w:val="24"/>
          <w:szCs w:val="24"/>
        </w:rPr>
      </w:pPr>
      <w:r w:rsidRPr="003B59AB">
        <w:rPr>
          <w:sz w:val="24"/>
          <w:szCs w:val="24"/>
          <w:highlight w:val="white"/>
        </w:rPr>
        <w:t xml:space="preserve">Lal, M. (2025) </w:t>
      </w:r>
      <w:r w:rsidRPr="003B59AB">
        <w:rPr>
          <w:i/>
          <w:iCs/>
          <w:sz w:val="24"/>
          <w:szCs w:val="24"/>
          <w:highlight w:val="white"/>
        </w:rPr>
        <w:t>The best 10 exercises if you have diabetes</w:t>
      </w:r>
      <w:r w:rsidRPr="003B59AB">
        <w:rPr>
          <w:sz w:val="24"/>
          <w:szCs w:val="24"/>
          <w:highlight w:val="white"/>
        </w:rPr>
        <w:t xml:space="preserve">, </w:t>
      </w:r>
      <w:r w:rsidRPr="003B59AB">
        <w:rPr>
          <w:i/>
          <w:iCs/>
          <w:sz w:val="24"/>
          <w:szCs w:val="24"/>
          <w:highlight w:val="white"/>
        </w:rPr>
        <w:t>Healthline</w:t>
      </w:r>
      <w:r w:rsidRPr="003B59AB">
        <w:rPr>
          <w:sz w:val="24"/>
          <w:szCs w:val="24"/>
          <w:highlight w:val="white"/>
        </w:rPr>
        <w:t xml:space="preserve">. Available at: </w:t>
      </w:r>
      <w:hyperlink w:anchor="cycling" r:id="rId27">
        <w:r w:rsidRPr="003B59AB">
          <w:rPr>
            <w:sz w:val="24"/>
            <w:szCs w:val="24"/>
            <w:highlight w:val="white"/>
            <w:u w:val="single"/>
          </w:rPr>
          <w:t>https://www.healthline.com/health/type-2-diabetes/top-exercises#cycling</w:t>
        </w:r>
      </w:hyperlink>
      <w:r w:rsidRPr="003B59AB">
        <w:rPr>
          <w:sz w:val="24"/>
          <w:szCs w:val="24"/>
          <w:highlight w:val="white"/>
        </w:rPr>
        <w:t xml:space="preserve"> </w:t>
      </w:r>
      <w:r w:rsidRPr="003B59AB">
        <w:rPr>
          <w:sz w:val="24"/>
          <w:szCs w:val="24"/>
        </w:rPr>
        <w:t>(Accessed: 15 November 2025)</w:t>
      </w:r>
    </w:p>
    <w:p w:rsidRPr="003B59AB" w:rsidR="00060BB7" w:rsidP="00060BB7" w:rsidRDefault="00060BB7" w14:paraId="1E1C195D" w14:textId="77777777">
      <w:pPr>
        <w:pStyle w:val="Normal1"/>
        <w:spacing w:before="240" w:after="240" w:line="360" w:lineRule="auto"/>
        <w:jc w:val="both"/>
        <w:rPr>
          <w:sz w:val="24"/>
          <w:szCs w:val="24"/>
        </w:rPr>
      </w:pPr>
      <w:r w:rsidRPr="003B59AB">
        <w:rPr>
          <w:sz w:val="24"/>
          <w:szCs w:val="24"/>
          <w:highlight w:val="white"/>
        </w:rPr>
        <w:t xml:space="preserve">Lema-Pérez, L. (2021) Main Organs Involved in Glucose. </w:t>
      </w:r>
      <w:r w:rsidRPr="003B59AB">
        <w:rPr>
          <w:i/>
          <w:iCs/>
          <w:sz w:val="24"/>
          <w:szCs w:val="24"/>
          <w:highlight w:val="white"/>
        </w:rPr>
        <w:t>Sugar Intake: Risks and Benefits and the Global Diabetes Epidemic</w:t>
      </w:r>
      <w:r w:rsidRPr="003B59AB">
        <w:rPr>
          <w:sz w:val="24"/>
          <w:szCs w:val="24"/>
          <w:highlight w:val="white"/>
        </w:rPr>
        <w:t xml:space="preserve">, p.121. Available at: </w:t>
      </w:r>
      <w:hyperlink r:id="rId28">
        <w:r w:rsidRPr="003B59AB">
          <w:rPr>
            <w:sz w:val="24"/>
            <w:szCs w:val="24"/>
            <w:highlight w:val="white"/>
            <w:u w:val="single"/>
          </w:rPr>
          <w:t>https://www.intechopen.com/chapters/74163</w:t>
        </w:r>
      </w:hyperlink>
      <w:r w:rsidRPr="003B59AB">
        <w:rPr>
          <w:sz w:val="24"/>
          <w:szCs w:val="24"/>
          <w:highlight w:val="white"/>
        </w:rPr>
        <w:t xml:space="preserve"> </w:t>
      </w:r>
    </w:p>
    <w:p w:rsidRPr="003B59AB" w:rsidR="00060BB7" w:rsidP="00060BB7" w:rsidRDefault="00060BB7" w14:paraId="3705D363" w14:textId="77777777">
      <w:pPr>
        <w:pStyle w:val="Normal1"/>
        <w:spacing w:line="360" w:lineRule="auto"/>
        <w:jc w:val="both"/>
        <w:rPr>
          <w:sz w:val="24"/>
          <w:szCs w:val="24"/>
        </w:rPr>
      </w:pPr>
      <w:r w:rsidRPr="003B59AB">
        <w:rPr>
          <w:sz w:val="24"/>
          <w:szCs w:val="24"/>
          <w:highlight w:val="white"/>
        </w:rPr>
        <w:t xml:space="preserve">Mahley, R.W. (2023) Apolipoprotein E4 targets mitochondria and the mitochondria-associated membrane complex in neuropathology, including Alzheimer's disease. </w:t>
      </w:r>
      <w:r w:rsidRPr="003B59AB">
        <w:rPr>
          <w:i/>
          <w:iCs/>
          <w:sz w:val="24"/>
          <w:szCs w:val="24"/>
          <w:highlight w:val="white"/>
        </w:rPr>
        <w:t>Current opinion in neurobiology</w:t>
      </w:r>
      <w:r w:rsidRPr="003B59AB">
        <w:rPr>
          <w:sz w:val="24"/>
          <w:szCs w:val="24"/>
          <w:highlight w:val="white"/>
        </w:rPr>
        <w:t xml:space="preserve">, </w:t>
      </w:r>
      <w:r w:rsidRPr="003B59AB">
        <w:rPr>
          <w:i/>
          <w:iCs/>
          <w:sz w:val="24"/>
          <w:szCs w:val="24"/>
          <w:highlight w:val="white"/>
        </w:rPr>
        <w:t>79</w:t>
      </w:r>
      <w:r w:rsidRPr="003B59AB">
        <w:rPr>
          <w:sz w:val="24"/>
          <w:szCs w:val="24"/>
          <w:highlight w:val="white"/>
        </w:rPr>
        <w:t xml:space="preserve">, p.102684.  Available at: </w:t>
      </w:r>
      <w:hyperlink r:id="rId29">
        <w:r w:rsidRPr="003B59AB">
          <w:rPr>
            <w:sz w:val="24"/>
            <w:szCs w:val="24"/>
            <w:highlight w:val="white"/>
            <w:u w:val="single"/>
          </w:rPr>
          <w:t>https://www.sciencedirect.com/science/article/pii/S0959438823000090</w:t>
        </w:r>
      </w:hyperlink>
      <w:r w:rsidRPr="003B59AB">
        <w:rPr>
          <w:sz w:val="24"/>
          <w:szCs w:val="24"/>
          <w:highlight w:val="white"/>
        </w:rPr>
        <w:t xml:space="preserve"> </w:t>
      </w:r>
    </w:p>
    <w:p w:rsidRPr="003B59AB" w:rsidR="00060BB7" w:rsidP="00060BB7" w:rsidRDefault="00060BB7" w14:paraId="758B4531" w14:textId="77777777">
      <w:pPr>
        <w:pStyle w:val="Heading4"/>
        <w:keepNext w:val="0"/>
        <w:keepLines w:val="0"/>
        <w:spacing w:before="0" w:line="360" w:lineRule="auto"/>
        <w:jc w:val="both"/>
        <w:rPr>
          <w:rFonts w:ascii="Arial" w:hAnsi="Arial" w:cs="Arial"/>
          <w:b w:val="0"/>
          <w:i w:val="0"/>
          <w:color w:val="auto"/>
          <w:szCs w:val="24"/>
        </w:rPr>
      </w:pPr>
      <w:r w:rsidRPr="003B59AB">
        <w:rPr>
          <w:rFonts w:ascii="Arial" w:hAnsi="Arial" w:cs="Arial"/>
          <w:b w:val="0"/>
          <w:i w:val="0"/>
          <w:color w:val="auto"/>
          <w:szCs w:val="24"/>
        </w:rPr>
        <w:t xml:space="preserve">MEDINDIA (2025) Blood Sugar Chart, Medindia. Available at: </w:t>
      </w:r>
      <w:hyperlink r:id="rId30">
        <w:r w:rsidRPr="003B59AB">
          <w:rPr>
            <w:rFonts w:ascii="Arial" w:hAnsi="Arial" w:cs="Arial"/>
            <w:b w:val="0"/>
            <w:i w:val="0"/>
            <w:color w:val="auto"/>
            <w:szCs w:val="24"/>
            <w:u w:val="single"/>
          </w:rPr>
          <w:t>https://www.medindia.net/patients/calculators/bloodsugar_chart.asp</w:t>
        </w:r>
      </w:hyperlink>
      <w:r w:rsidRPr="003B59AB">
        <w:rPr>
          <w:rFonts w:ascii="Arial" w:hAnsi="Arial" w:cs="Arial"/>
          <w:b w:val="0"/>
          <w:i w:val="0"/>
          <w:color w:val="auto"/>
          <w:szCs w:val="24"/>
        </w:rPr>
        <w:t xml:space="preserve"> (Accessed: 17 November 2025)</w:t>
      </w:r>
    </w:p>
    <w:p w:rsidRPr="003B59AB" w:rsidR="00060BB7" w:rsidP="00060BB7" w:rsidRDefault="00060BB7" w14:paraId="7AEA6CE5" w14:textId="77777777">
      <w:pPr>
        <w:pStyle w:val="Normal1"/>
        <w:spacing w:line="360" w:lineRule="auto"/>
        <w:jc w:val="both"/>
        <w:rPr>
          <w:sz w:val="24"/>
          <w:szCs w:val="24"/>
          <w:highlight w:val="white"/>
        </w:rPr>
      </w:pPr>
      <w:r w:rsidRPr="003B59AB">
        <w:rPr>
          <w:sz w:val="24"/>
          <w:szCs w:val="24"/>
          <w:highlight w:val="white"/>
        </w:rPr>
        <w:t xml:space="preserve">Mohajan, D. and Mohajan, H.K. (2023) Hyperglycaemia among diabetes patients: a preventive approach. </w:t>
      </w:r>
      <w:r w:rsidRPr="003B59AB">
        <w:rPr>
          <w:i/>
          <w:iCs/>
          <w:sz w:val="24"/>
          <w:szCs w:val="24"/>
          <w:highlight w:val="white"/>
        </w:rPr>
        <w:t>Innovation in Science and Technology</w:t>
      </w:r>
      <w:r w:rsidRPr="003B59AB">
        <w:rPr>
          <w:sz w:val="24"/>
          <w:szCs w:val="24"/>
          <w:highlight w:val="white"/>
        </w:rPr>
        <w:t xml:space="preserve">, </w:t>
      </w:r>
      <w:r w:rsidRPr="003B59AB">
        <w:rPr>
          <w:i/>
          <w:iCs/>
          <w:sz w:val="24"/>
          <w:szCs w:val="24"/>
          <w:highlight w:val="white"/>
        </w:rPr>
        <w:t>2</w:t>
      </w:r>
      <w:r w:rsidRPr="003B59AB">
        <w:rPr>
          <w:sz w:val="24"/>
          <w:szCs w:val="24"/>
          <w:highlight w:val="white"/>
        </w:rPr>
        <w:t xml:space="preserve">(6), pp.27-33. Available at: </w:t>
      </w:r>
      <w:hyperlink r:id="rId31">
        <w:r w:rsidRPr="003B59AB">
          <w:rPr>
            <w:sz w:val="24"/>
            <w:szCs w:val="24"/>
            <w:highlight w:val="white"/>
            <w:u w:val="single"/>
          </w:rPr>
          <w:t>https://www.paradigmpress.org/ist/article/download/886/761</w:t>
        </w:r>
      </w:hyperlink>
      <w:r w:rsidRPr="003B59AB">
        <w:rPr>
          <w:sz w:val="24"/>
          <w:szCs w:val="24"/>
          <w:highlight w:val="white"/>
        </w:rPr>
        <w:t xml:space="preserve"> </w:t>
      </w:r>
    </w:p>
    <w:p w:rsidRPr="003B59AB" w:rsidR="00060BB7" w:rsidP="00060BB7" w:rsidRDefault="00060BB7" w14:paraId="0E609663" w14:textId="77777777">
      <w:pPr>
        <w:pStyle w:val="Normal1"/>
        <w:spacing w:before="240" w:after="240" w:line="360" w:lineRule="auto"/>
        <w:jc w:val="both"/>
        <w:rPr>
          <w:sz w:val="24"/>
          <w:szCs w:val="24"/>
        </w:rPr>
      </w:pPr>
      <w:r w:rsidRPr="003B59AB">
        <w:rPr>
          <w:sz w:val="24"/>
          <w:szCs w:val="24"/>
        </w:rPr>
        <w:t xml:space="preserve">Muskopf, S. (2020) Feedback Loops: Glucose and Glucagon, Biology LibreTexts. Libretexts. Available at: </w:t>
      </w:r>
      <w:hyperlink r:id="rId32">
        <w:r w:rsidRPr="003B59AB">
          <w:rPr>
            <w:sz w:val="24"/>
            <w:szCs w:val="24"/>
            <w:u w:val="single"/>
          </w:rPr>
          <w:t>https://bio.libretexts.org/Learning_Objects/Worksheets/Book%3A_The_Biology_Corner_%28Worksheets%29/Anatomy_Worksheets/Feedback_Loops%3A_Glucose_and_Glucagon</w:t>
        </w:r>
      </w:hyperlink>
      <w:r w:rsidRPr="003B59AB">
        <w:rPr>
          <w:sz w:val="24"/>
          <w:szCs w:val="24"/>
        </w:rPr>
        <w:t xml:space="preserve"> (Accessed: 17 November 2025)</w:t>
      </w:r>
    </w:p>
    <w:p w:rsidRPr="003B59AB" w:rsidR="00060BB7" w:rsidP="00060BB7" w:rsidRDefault="00060BB7" w14:paraId="2A761DEC" w14:textId="77777777">
      <w:pPr>
        <w:pStyle w:val="Normal1"/>
        <w:spacing w:line="360" w:lineRule="auto"/>
        <w:jc w:val="both"/>
        <w:rPr>
          <w:sz w:val="24"/>
          <w:szCs w:val="24"/>
        </w:rPr>
      </w:pPr>
      <w:r w:rsidRPr="003B59AB">
        <w:rPr>
          <w:sz w:val="24"/>
          <w:szCs w:val="24"/>
          <w:highlight w:val="white"/>
        </w:rPr>
        <w:t xml:space="preserve">Parker, J. (2020) Glucose metabolism, energy production and regulation of cellular and whole-body metabolism. </w:t>
      </w:r>
      <w:r w:rsidRPr="003B59AB">
        <w:rPr>
          <w:i/>
          <w:iCs/>
          <w:sz w:val="24"/>
          <w:szCs w:val="24"/>
          <w:highlight w:val="white"/>
        </w:rPr>
        <w:t>Journal of the Australasian College of Nutritional and Environmental Medicine</w:t>
      </w:r>
      <w:r w:rsidRPr="003B59AB">
        <w:rPr>
          <w:sz w:val="24"/>
          <w:szCs w:val="24"/>
          <w:highlight w:val="white"/>
        </w:rPr>
        <w:t xml:space="preserve">, </w:t>
      </w:r>
      <w:r w:rsidRPr="003B59AB">
        <w:rPr>
          <w:i/>
          <w:iCs/>
          <w:sz w:val="24"/>
          <w:szCs w:val="24"/>
          <w:highlight w:val="white"/>
        </w:rPr>
        <w:t>39</w:t>
      </w:r>
      <w:r w:rsidRPr="003B59AB">
        <w:rPr>
          <w:sz w:val="24"/>
          <w:szCs w:val="24"/>
          <w:highlight w:val="white"/>
        </w:rPr>
        <w:t xml:space="preserve">(1), pp.29-33. Available at: </w:t>
      </w:r>
      <w:hyperlink r:id="rId33">
        <w:r w:rsidRPr="003B59AB">
          <w:rPr>
            <w:sz w:val="24"/>
            <w:szCs w:val="24"/>
            <w:highlight w:val="white"/>
            <w:u w:val="single"/>
          </w:rPr>
          <w:t>https://www.researchgate.net/profile/Jim-Parker-2/publication/341851460_Glucose_metabolism_energy_production_and_regulation_of_cellular_and_whole-body_metabolism_J_ACNEM_2020_391_29-33/links/63eadfd3eab072152f4365d3/Glucose-metabolism-energy-production-and-regulation-of-cellular-and-whole-body-metabolism-J-ACNEM-2020-391-29-33.pdf</w:t>
        </w:r>
      </w:hyperlink>
      <w:r w:rsidRPr="003B59AB">
        <w:rPr>
          <w:sz w:val="24"/>
          <w:szCs w:val="24"/>
          <w:highlight w:val="white"/>
        </w:rPr>
        <w:t xml:space="preserve"> </w:t>
      </w:r>
    </w:p>
    <w:p w:rsidR="00060BB7" w:rsidP="00060BB7" w:rsidRDefault="00060BB7" w14:paraId="1066A4EE" w14:textId="77777777">
      <w:pPr>
        <w:pStyle w:val="Normal1"/>
        <w:spacing w:before="240" w:after="240" w:line="360" w:lineRule="auto"/>
        <w:jc w:val="both"/>
        <w:rPr>
          <w:sz w:val="24"/>
          <w:szCs w:val="24"/>
          <w:highlight w:val="white"/>
          <w:lang w:val="en-GB"/>
        </w:rPr>
      </w:pPr>
      <w:r w:rsidRPr="005D70F1">
        <w:rPr>
          <w:sz w:val="24"/>
          <w:szCs w:val="24"/>
          <w:highlight w:val="white"/>
          <w:lang w:val="en-GB"/>
        </w:rPr>
        <w:t>Popolizio, T., 2024. Energy and Metabolism. </w:t>
      </w:r>
      <w:r w:rsidRPr="005D70F1">
        <w:rPr>
          <w:i/>
          <w:iCs/>
          <w:sz w:val="24"/>
          <w:szCs w:val="24"/>
          <w:highlight w:val="white"/>
          <w:lang w:val="en-GB"/>
        </w:rPr>
        <w:t>Understanding Organisms: An Evolutionary, Ecological and Comparative Approach</w:t>
      </w:r>
      <w:r w:rsidRPr="005D70F1">
        <w:rPr>
          <w:sz w:val="24"/>
          <w:szCs w:val="24"/>
          <w:highlight w:val="white"/>
          <w:lang w:val="en-GB"/>
        </w:rPr>
        <w:t>.</w:t>
      </w:r>
      <w:r>
        <w:rPr>
          <w:sz w:val="24"/>
          <w:szCs w:val="24"/>
          <w:highlight w:val="white"/>
          <w:lang w:val="en-GB"/>
        </w:rPr>
        <w:t xml:space="preserve"> PressBooks</w:t>
      </w:r>
    </w:p>
    <w:p w:rsidRPr="003B59AB" w:rsidR="00060BB7" w:rsidP="00060BB7" w:rsidRDefault="00060BB7" w14:paraId="4CD1E8CC" w14:textId="77777777">
      <w:pPr>
        <w:pStyle w:val="Normal1"/>
        <w:spacing w:before="240" w:after="240" w:line="360" w:lineRule="auto"/>
        <w:jc w:val="both"/>
        <w:rPr>
          <w:sz w:val="24"/>
          <w:szCs w:val="24"/>
          <w:highlight w:val="white"/>
        </w:rPr>
      </w:pPr>
      <w:r w:rsidRPr="003B59AB">
        <w:rPr>
          <w:sz w:val="24"/>
          <w:szCs w:val="24"/>
          <w:highlight w:val="white"/>
        </w:rPr>
        <w:t>Purvis, E. (2021) Improving Health Literacy for Diabetics in a Rural Community. Available a</w:t>
      </w:r>
      <w:r w:rsidRPr="003B59AB">
        <w:rPr>
          <w:sz w:val="24"/>
          <w:szCs w:val="24"/>
        </w:rPr>
        <w:t xml:space="preserve">t: </w:t>
      </w:r>
      <w:hyperlink r:id="rId34">
        <w:r w:rsidRPr="003B59AB">
          <w:rPr>
            <w:sz w:val="24"/>
            <w:szCs w:val="24"/>
            <w:highlight w:val="white"/>
            <w:u w:val="single"/>
          </w:rPr>
          <w:t>https://digitalcommons.jsu.edu/cgi/viewcontent.cgi?article=1025&amp;context=etds_nursing</w:t>
        </w:r>
      </w:hyperlink>
      <w:r w:rsidRPr="003B59AB">
        <w:rPr>
          <w:sz w:val="24"/>
          <w:szCs w:val="24"/>
          <w:highlight w:val="white"/>
        </w:rPr>
        <w:t xml:space="preserve"> </w:t>
      </w:r>
    </w:p>
    <w:p w:rsidRPr="005D70F1" w:rsidR="00060BB7" w:rsidP="00060BB7" w:rsidRDefault="00060BB7" w14:paraId="2BDCA5A3" w14:textId="77777777">
      <w:pPr>
        <w:pStyle w:val="Normal1"/>
        <w:spacing w:before="240" w:after="240" w:line="360" w:lineRule="auto"/>
        <w:jc w:val="both"/>
        <w:rPr>
          <w:lang w:val="en-IN"/>
        </w:rPr>
      </w:pPr>
      <w:r w:rsidRPr="003B59AB">
        <w:rPr>
          <w:sz w:val="24"/>
          <w:szCs w:val="24"/>
          <w:highlight w:val="white"/>
        </w:rPr>
        <w:t xml:space="preserve">Rahman, M.S., Hossain, K.S., Das, S., Kundu, S., Adegoke, E.O., Rahman, M.A., Hannan, M.A., Uddin, M.J. and Pang, M.G. (2021) Role of insulin in health and disease: an update. </w:t>
      </w:r>
      <w:r w:rsidRPr="003B59AB">
        <w:rPr>
          <w:i/>
          <w:iCs/>
          <w:sz w:val="24"/>
          <w:szCs w:val="24"/>
          <w:highlight w:val="white"/>
        </w:rPr>
        <w:t>International journal of molecular sciences</w:t>
      </w:r>
      <w:r w:rsidRPr="003B59AB">
        <w:rPr>
          <w:sz w:val="24"/>
          <w:szCs w:val="24"/>
          <w:highlight w:val="white"/>
        </w:rPr>
        <w:t xml:space="preserve">, </w:t>
      </w:r>
      <w:r w:rsidRPr="003B59AB">
        <w:rPr>
          <w:i/>
          <w:iCs/>
          <w:sz w:val="24"/>
          <w:szCs w:val="24"/>
          <w:highlight w:val="white"/>
        </w:rPr>
        <w:t>22</w:t>
      </w:r>
      <w:r w:rsidRPr="003B59AB">
        <w:rPr>
          <w:sz w:val="24"/>
          <w:szCs w:val="24"/>
          <w:highlight w:val="white"/>
        </w:rPr>
        <w:t xml:space="preserve">(12), p.6403. Available at: </w:t>
      </w:r>
      <w:r w:rsidRPr="005D70F1">
        <w:rPr>
          <w:lang w:val="en-IN"/>
        </w:rPr>
        <w:t>DOI: </w:t>
      </w:r>
      <w:hyperlink w:tgtFrame="_blank" w:history="1" r:id="rId35">
        <w:r w:rsidRPr="005D70F1">
          <w:rPr>
            <w:rStyle w:val="Hyperlink"/>
            <w:lang w:val="en-IN"/>
          </w:rPr>
          <w:t>10.3390/ijms22126403</w:t>
        </w:r>
      </w:hyperlink>
    </w:p>
    <w:p w:rsidRPr="005D70F1" w:rsidR="00060BB7" w:rsidP="00060BB7" w:rsidRDefault="00060BB7" w14:paraId="4ACB3BA6" w14:textId="77777777">
      <w:pPr>
        <w:pStyle w:val="Normal1"/>
        <w:spacing w:before="240" w:after="240" w:line="360" w:lineRule="auto"/>
        <w:jc w:val="both"/>
        <w:rPr>
          <w:szCs w:val="24"/>
          <w:lang w:val="en-GB"/>
        </w:rPr>
      </w:pPr>
      <w:r w:rsidRPr="005D70F1">
        <w:rPr>
          <w:szCs w:val="24"/>
          <w:highlight w:val="white"/>
        </w:rPr>
        <w:t xml:space="preserve">Salvia, M.G. and Quatromoni, P.A. (2023) Behavioral approaches to nutrition and eating patterns for managing type 2 diabetes: a review. </w:t>
      </w:r>
      <w:r w:rsidRPr="005D70F1">
        <w:rPr>
          <w:i/>
          <w:iCs/>
          <w:szCs w:val="24"/>
          <w:highlight w:val="white"/>
        </w:rPr>
        <w:t>American Journal of Medicine Open</w:t>
      </w:r>
      <w:r w:rsidRPr="005D70F1">
        <w:rPr>
          <w:szCs w:val="24"/>
          <w:highlight w:val="white"/>
        </w:rPr>
        <w:t xml:space="preserve">, </w:t>
      </w:r>
      <w:r w:rsidRPr="005D70F1">
        <w:rPr>
          <w:i/>
          <w:iCs/>
          <w:szCs w:val="24"/>
          <w:highlight w:val="white"/>
        </w:rPr>
        <w:t>9</w:t>
      </w:r>
      <w:r w:rsidRPr="005D70F1">
        <w:rPr>
          <w:szCs w:val="24"/>
          <w:highlight w:val="white"/>
        </w:rPr>
        <w:t>, p.100034. Available a</w:t>
      </w:r>
      <w:r w:rsidRPr="005D70F1">
        <w:rPr>
          <w:szCs w:val="24"/>
        </w:rPr>
        <w:t xml:space="preserve">t: </w:t>
      </w:r>
      <w:bookmarkStart w:name="_hvkcwflbygdp" w:colFirst="0" w:colLast="0" w:id="3"/>
      <w:bookmarkEnd w:id="3"/>
      <w:r w:rsidRPr="005D70F1">
        <w:rPr>
          <w:lang w:val="en-IN"/>
        </w:rPr>
        <w:t>DOI: </w:t>
      </w:r>
      <w:hyperlink w:tgtFrame="_blank" w:history="1" r:id="rId36">
        <w:r w:rsidRPr="005D70F1">
          <w:rPr>
            <w:rStyle w:val="Hyperlink"/>
            <w:lang w:val="en-IN"/>
          </w:rPr>
          <w:t>10.1016/j.ajmo.2023.100034</w:t>
        </w:r>
      </w:hyperlink>
    </w:p>
    <w:p w:rsidRPr="005D70F1" w:rsidR="00060BB7" w:rsidP="00060BB7" w:rsidRDefault="00060BB7" w14:paraId="71BC3C8C" w14:textId="77777777">
      <w:pPr>
        <w:pStyle w:val="Normal1"/>
        <w:spacing w:line="360" w:lineRule="auto"/>
        <w:jc w:val="both"/>
        <w:rPr>
          <w:szCs w:val="24"/>
          <w:highlight w:val="white"/>
          <w:lang w:val="en-IN"/>
        </w:rPr>
      </w:pPr>
      <w:r w:rsidRPr="003B59AB">
        <w:rPr>
          <w:sz w:val="24"/>
          <w:szCs w:val="24"/>
          <w:highlight w:val="white"/>
        </w:rPr>
        <w:t xml:space="preserve">Weinstock, R.S., Aleppo, G., Bailey, T.S., Bergenstal, R.M., Fisher, W.A., Greenwood, D.A. and Young, L.A. (2020) The role of blood glucose monitoring in diabetes management. Available at: </w:t>
      </w:r>
      <w:r w:rsidRPr="005D70F1">
        <w:rPr>
          <w:szCs w:val="24"/>
          <w:highlight w:val="white"/>
          <w:lang w:val="en-IN"/>
        </w:rPr>
        <w:t>DOI: </w:t>
      </w:r>
      <w:hyperlink w:tgtFrame="_blank" w:history="1" r:id="rId37">
        <w:r w:rsidRPr="005D70F1">
          <w:rPr>
            <w:rStyle w:val="Hyperlink"/>
            <w:szCs w:val="24"/>
            <w:highlight w:val="white"/>
            <w:lang w:val="en-IN"/>
          </w:rPr>
          <w:t>10.2337/db2020-31</w:t>
        </w:r>
      </w:hyperlink>
    </w:p>
    <w:p w:rsidRPr="003B59AB" w:rsidR="00060BB7" w:rsidP="00060BB7" w:rsidRDefault="00060BB7" w14:paraId="5D6BC09E" w14:textId="77777777">
      <w:pPr>
        <w:pStyle w:val="Normal1"/>
        <w:spacing w:before="240" w:after="240" w:line="360" w:lineRule="auto"/>
        <w:jc w:val="both"/>
        <w:rPr>
          <w:b/>
          <w:i/>
          <w:sz w:val="24"/>
          <w:szCs w:val="24"/>
        </w:rPr>
      </w:pPr>
      <w:r w:rsidRPr="003B59AB">
        <w:rPr>
          <w:sz w:val="24"/>
          <w:szCs w:val="24"/>
        </w:rPr>
        <w:t xml:space="preserve">Wollen, R. (2025) Should people without diabetes use a continuous glucose monitor (CGM)?, EverydayHealth.com. Available at: </w:t>
      </w:r>
      <w:hyperlink r:id="rId38">
        <w:r w:rsidRPr="003B59AB">
          <w:rPr>
            <w:sz w:val="24"/>
            <w:szCs w:val="24"/>
            <w:u w:val="single"/>
          </w:rPr>
          <w:t>https://www.everydayhealth.com/diabetes/do-people-without-diabetes-need-to-monitor-their-blood-sugar/</w:t>
        </w:r>
      </w:hyperlink>
      <w:r w:rsidRPr="003B59AB">
        <w:rPr>
          <w:sz w:val="24"/>
          <w:szCs w:val="24"/>
        </w:rPr>
        <w:t xml:space="preserve"> (Accessed: 19 November 2025). </w:t>
      </w:r>
    </w:p>
    <w:p w:rsidRPr="003B59AB" w:rsidR="00060BB7" w:rsidP="00060BB7" w:rsidRDefault="00060BB7" w14:paraId="09C94DAF" w14:textId="77777777">
      <w:pPr>
        <w:pStyle w:val="Normal1"/>
        <w:spacing w:line="360" w:lineRule="auto"/>
        <w:jc w:val="both"/>
        <w:rPr>
          <w:sz w:val="24"/>
          <w:szCs w:val="24"/>
        </w:rPr>
      </w:pPr>
      <w:r w:rsidRPr="003B59AB">
        <w:rPr>
          <w:sz w:val="24"/>
          <w:szCs w:val="24"/>
          <w:highlight w:val="white"/>
        </w:rPr>
        <w:t xml:space="preserve">World Health Organization (2024) </w:t>
      </w:r>
      <w:r w:rsidRPr="003B59AB">
        <w:rPr>
          <w:i/>
          <w:iCs/>
          <w:sz w:val="24"/>
          <w:szCs w:val="24"/>
          <w:highlight w:val="white"/>
        </w:rPr>
        <w:t>Diabetes</w:t>
      </w:r>
      <w:r w:rsidRPr="003B59AB">
        <w:rPr>
          <w:sz w:val="24"/>
          <w:szCs w:val="24"/>
          <w:highlight w:val="white"/>
        </w:rPr>
        <w:t xml:space="preserve">, </w:t>
      </w:r>
      <w:r w:rsidRPr="003B59AB">
        <w:rPr>
          <w:i/>
          <w:iCs/>
          <w:sz w:val="24"/>
          <w:szCs w:val="24"/>
          <w:highlight w:val="white"/>
        </w:rPr>
        <w:t>World Health Organization</w:t>
      </w:r>
      <w:r w:rsidRPr="003B59AB">
        <w:rPr>
          <w:sz w:val="24"/>
          <w:szCs w:val="24"/>
          <w:highlight w:val="white"/>
        </w:rPr>
        <w:t xml:space="preserve">. Available at: </w:t>
      </w:r>
      <w:hyperlink r:id="rId39">
        <w:r w:rsidRPr="003B59AB">
          <w:rPr>
            <w:sz w:val="24"/>
            <w:szCs w:val="24"/>
            <w:highlight w:val="white"/>
            <w:u w:val="single"/>
          </w:rPr>
          <w:t>https://www.who.int/news-room/fact-sheets/detail/diabetes</w:t>
        </w:r>
      </w:hyperlink>
      <w:r w:rsidRPr="003B59AB">
        <w:rPr>
          <w:sz w:val="24"/>
          <w:szCs w:val="24"/>
          <w:highlight w:val="white"/>
        </w:rPr>
        <w:t xml:space="preserve"> </w:t>
      </w:r>
      <w:r w:rsidRPr="003B59AB">
        <w:rPr>
          <w:sz w:val="24"/>
          <w:szCs w:val="24"/>
        </w:rPr>
        <w:t xml:space="preserve">(Accessed: 16 November 2025). </w:t>
      </w:r>
    </w:p>
    <w:p w:rsidRPr="006F29CE" w:rsidR="003E4D7A" w:rsidP="00060BB7" w:rsidRDefault="00060BB7" w14:paraId="0AB5F5B7" w14:textId="77777777">
      <w:pPr>
        <w:pStyle w:val="Normal1"/>
        <w:spacing w:line="360" w:lineRule="auto"/>
        <w:jc w:val="both"/>
        <w:rPr>
          <w:sz w:val="24"/>
          <w:szCs w:val="24"/>
        </w:rPr>
      </w:pPr>
      <w:r w:rsidRPr="003B59AB">
        <w:rPr>
          <w:sz w:val="24"/>
          <w:szCs w:val="24"/>
          <w:highlight w:val="white"/>
        </w:rPr>
        <w:t xml:space="preserve">Yang, P.L. (2016) Metabolomics and lipidomics: yet more ways your health is influenced by fat. In </w:t>
      </w:r>
      <w:r w:rsidRPr="003B59AB">
        <w:rPr>
          <w:i/>
          <w:iCs/>
          <w:sz w:val="24"/>
          <w:szCs w:val="24"/>
          <w:highlight w:val="white"/>
        </w:rPr>
        <w:t>Viral pathogenesis</w:t>
      </w:r>
      <w:r w:rsidRPr="003B59AB">
        <w:rPr>
          <w:sz w:val="24"/>
          <w:szCs w:val="24"/>
          <w:highlight w:val="white"/>
        </w:rPr>
        <w:t xml:space="preserve"> (pp. 181-198). Academic Press.</w:t>
      </w:r>
    </w:p>
    <w:sectPr w:rsidRPr="006F29CE" w:rsidR="003E4D7A" w:rsidSect="00370282">
      <w:footerReference w:type="default" r:id="rId4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45F84" w:rsidP="00C03A91" w:rsidRDefault="00045F84" w14:paraId="4D4AFEA1" w14:textId="77777777">
      <w:pPr>
        <w:spacing w:after="0" w:line="240" w:lineRule="auto"/>
      </w:pPr>
      <w:r>
        <w:separator/>
      </w:r>
    </w:p>
  </w:endnote>
  <w:endnote w:type="continuationSeparator" w:id="0">
    <w:p w:rsidR="00045F84" w:rsidP="00C03A91" w:rsidRDefault="00045F84" w14:paraId="04B8206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szCs w:val="22"/>
      </w:rPr>
    </w:sdtEndPr>
    <w:sdtContent>
      <w:p w:rsidRPr="00C03A91" w:rsidR="00C03A91" w:rsidRDefault="004C488E" w14:paraId="75AD393A" w14:textId="77777777">
        <w:pPr>
          <w:pStyle w:val="Footer"/>
          <w:jc w:val="center"/>
          <w:rPr>
            <w:rFonts w:ascii="Arial" w:hAnsi="Arial" w:cs="Arial"/>
            <w:sz w:val="22"/>
          </w:rPr>
        </w:pPr>
        <w:r w:rsidRPr="00C03A91">
          <w:rPr>
            <w:rFonts w:ascii="Arial" w:hAnsi="Arial" w:cs="Arial"/>
            <w:sz w:val="22"/>
          </w:rPr>
          <w:fldChar w:fldCharType="begin"/>
        </w:r>
        <w:r w:rsidRPr="00C03A91" w:rsidR="00C03A91">
          <w:rPr>
            <w:rFonts w:ascii="Arial" w:hAnsi="Arial" w:cs="Arial"/>
            <w:sz w:val="22"/>
          </w:rPr>
          <w:instrText xml:space="preserve"> PAGE   \* MERGEFORMAT </w:instrText>
        </w:r>
        <w:r w:rsidRPr="00C03A91">
          <w:rPr>
            <w:rFonts w:ascii="Arial" w:hAnsi="Arial" w:cs="Arial"/>
            <w:sz w:val="22"/>
          </w:rPr>
          <w:fldChar w:fldCharType="separate"/>
        </w:r>
        <w:r w:rsidR="008B4CA3">
          <w:rPr>
            <w:rFonts w:ascii="Arial" w:hAnsi="Arial" w:cs="Arial"/>
            <w:noProof/>
            <w:sz w:val="22"/>
          </w:rPr>
          <w:t>1</w:t>
        </w:r>
        <w:r w:rsidRPr="00C03A91">
          <w:rPr>
            <w:rFonts w:ascii="Arial" w:hAnsi="Arial" w:cs="Arial"/>
            <w:noProof/>
            <w:sz w:val="22"/>
          </w:rPr>
          <w:fldChar w:fldCharType="end"/>
        </w:r>
      </w:p>
    </w:sdtContent>
  </w:sdt>
  <w:p w:rsidR="00C03A91" w:rsidRDefault="00C03A91" w14:paraId="11795C3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45F84" w:rsidP="00C03A91" w:rsidRDefault="00045F84" w14:paraId="24A70D97" w14:textId="77777777">
      <w:pPr>
        <w:spacing w:after="0" w:line="240" w:lineRule="auto"/>
      </w:pPr>
      <w:r>
        <w:separator/>
      </w:r>
    </w:p>
  </w:footnote>
  <w:footnote w:type="continuationSeparator" w:id="0">
    <w:p w:rsidR="00045F84" w:rsidP="00C03A91" w:rsidRDefault="00045F84" w14:paraId="0748639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57B38"/>
    <w:multiLevelType w:val="multilevel"/>
    <w:tmpl w:val="D70695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7571E2A"/>
    <w:multiLevelType w:val="multilevel"/>
    <w:tmpl w:val="D32030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E2D4562"/>
    <w:multiLevelType w:val="hybridMultilevel"/>
    <w:tmpl w:val="FFFFFFFF"/>
    <w:lvl w:ilvl="0" w:tplc="7CE8326A">
      <w:start w:val="1"/>
      <w:numFmt w:val="bullet"/>
      <w:lvlText w:val="-"/>
      <w:lvlJc w:val="left"/>
      <w:pPr>
        <w:ind w:left="720" w:hanging="360"/>
      </w:pPr>
      <w:rPr>
        <w:rFonts w:hint="default" w:ascii="Aptos" w:hAnsi="Aptos"/>
      </w:rPr>
    </w:lvl>
    <w:lvl w:ilvl="1" w:tplc="9698BF82">
      <w:start w:val="1"/>
      <w:numFmt w:val="bullet"/>
      <w:lvlText w:val="o"/>
      <w:lvlJc w:val="left"/>
      <w:pPr>
        <w:ind w:left="1440" w:hanging="360"/>
      </w:pPr>
      <w:rPr>
        <w:rFonts w:hint="default" w:ascii="Courier New" w:hAnsi="Courier New"/>
      </w:rPr>
    </w:lvl>
    <w:lvl w:ilvl="2" w:tplc="91502836">
      <w:start w:val="1"/>
      <w:numFmt w:val="bullet"/>
      <w:lvlText w:val=""/>
      <w:lvlJc w:val="left"/>
      <w:pPr>
        <w:ind w:left="2160" w:hanging="360"/>
      </w:pPr>
      <w:rPr>
        <w:rFonts w:hint="default" w:ascii="Wingdings" w:hAnsi="Wingdings"/>
      </w:rPr>
    </w:lvl>
    <w:lvl w:ilvl="3" w:tplc="EA5A1FCE">
      <w:start w:val="1"/>
      <w:numFmt w:val="bullet"/>
      <w:lvlText w:val=""/>
      <w:lvlJc w:val="left"/>
      <w:pPr>
        <w:ind w:left="2880" w:hanging="360"/>
      </w:pPr>
      <w:rPr>
        <w:rFonts w:hint="default" w:ascii="Symbol" w:hAnsi="Symbol"/>
      </w:rPr>
    </w:lvl>
    <w:lvl w:ilvl="4" w:tplc="72F0F148">
      <w:start w:val="1"/>
      <w:numFmt w:val="bullet"/>
      <w:lvlText w:val="o"/>
      <w:lvlJc w:val="left"/>
      <w:pPr>
        <w:ind w:left="3600" w:hanging="360"/>
      </w:pPr>
      <w:rPr>
        <w:rFonts w:hint="default" w:ascii="Courier New" w:hAnsi="Courier New"/>
      </w:rPr>
    </w:lvl>
    <w:lvl w:ilvl="5" w:tplc="040E0282">
      <w:start w:val="1"/>
      <w:numFmt w:val="bullet"/>
      <w:lvlText w:val=""/>
      <w:lvlJc w:val="left"/>
      <w:pPr>
        <w:ind w:left="4320" w:hanging="360"/>
      </w:pPr>
      <w:rPr>
        <w:rFonts w:hint="default" w:ascii="Wingdings" w:hAnsi="Wingdings"/>
      </w:rPr>
    </w:lvl>
    <w:lvl w:ilvl="6" w:tplc="8E26C1FC">
      <w:start w:val="1"/>
      <w:numFmt w:val="bullet"/>
      <w:lvlText w:val=""/>
      <w:lvlJc w:val="left"/>
      <w:pPr>
        <w:ind w:left="5040" w:hanging="360"/>
      </w:pPr>
      <w:rPr>
        <w:rFonts w:hint="default" w:ascii="Symbol" w:hAnsi="Symbol"/>
      </w:rPr>
    </w:lvl>
    <w:lvl w:ilvl="7" w:tplc="793A4D22">
      <w:start w:val="1"/>
      <w:numFmt w:val="bullet"/>
      <w:lvlText w:val="o"/>
      <w:lvlJc w:val="left"/>
      <w:pPr>
        <w:ind w:left="5760" w:hanging="360"/>
      </w:pPr>
      <w:rPr>
        <w:rFonts w:hint="default" w:ascii="Courier New" w:hAnsi="Courier New"/>
      </w:rPr>
    </w:lvl>
    <w:lvl w:ilvl="8" w:tplc="9AE604E0">
      <w:start w:val="1"/>
      <w:numFmt w:val="bullet"/>
      <w:lvlText w:val=""/>
      <w:lvlJc w:val="left"/>
      <w:pPr>
        <w:ind w:left="6480" w:hanging="360"/>
      </w:pPr>
      <w:rPr>
        <w:rFonts w:hint="default" w:ascii="Wingdings" w:hAnsi="Wingdings"/>
      </w:rPr>
    </w:lvl>
  </w:abstractNum>
  <w:abstractNum w:abstractNumId="3" w15:restartNumberingAfterBreak="0">
    <w:nsid w:val="24A80444"/>
    <w:multiLevelType w:val="multilevel"/>
    <w:tmpl w:val="A10CD9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5D27F2"/>
    <w:multiLevelType w:val="multilevel"/>
    <w:tmpl w:val="3544BE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719186D"/>
    <w:multiLevelType w:val="multilevel"/>
    <w:tmpl w:val="8A2ADE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410823CB"/>
    <w:multiLevelType w:val="hybridMultilevel"/>
    <w:tmpl w:val="04D002F2"/>
    <w:lvl w:ilvl="0" w:tplc="4FCA66CC">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2934D0E"/>
    <w:multiLevelType w:val="multilevel"/>
    <w:tmpl w:val="AF10A1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E255F17"/>
    <w:multiLevelType w:val="multilevel"/>
    <w:tmpl w:val="881873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8593768"/>
    <w:multiLevelType w:val="multilevel"/>
    <w:tmpl w:val="8B7825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94644555">
    <w:abstractNumId w:val="2"/>
  </w:num>
  <w:num w:numId="2" w16cid:durableId="822891634">
    <w:abstractNumId w:val="8"/>
  </w:num>
  <w:num w:numId="3" w16cid:durableId="780611108">
    <w:abstractNumId w:val="6"/>
  </w:num>
  <w:num w:numId="4" w16cid:durableId="1997997772">
    <w:abstractNumId w:val="1"/>
  </w:num>
  <w:num w:numId="5" w16cid:durableId="730933181">
    <w:abstractNumId w:val="4"/>
  </w:num>
  <w:num w:numId="6" w16cid:durableId="280380913">
    <w:abstractNumId w:val="3"/>
  </w:num>
  <w:num w:numId="7" w16cid:durableId="2107919657">
    <w:abstractNumId w:val="9"/>
  </w:num>
  <w:num w:numId="8" w16cid:durableId="188685522">
    <w:abstractNumId w:val="10"/>
  </w:num>
  <w:num w:numId="9" w16cid:durableId="1622804432">
    <w:abstractNumId w:val="5"/>
  </w:num>
  <w:num w:numId="10" w16cid:durableId="82259984">
    <w:abstractNumId w:val="7"/>
  </w:num>
  <w:num w:numId="11" w16cid:durableId="963971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7745"/>
    <w:rsid w:val="000242DB"/>
    <w:rsid w:val="00045F84"/>
    <w:rsid w:val="000477E4"/>
    <w:rsid w:val="00060BB7"/>
    <w:rsid w:val="000612E6"/>
    <w:rsid w:val="00076AC0"/>
    <w:rsid w:val="000C4EDA"/>
    <w:rsid w:val="00113AF7"/>
    <w:rsid w:val="001B7A40"/>
    <w:rsid w:val="001F6DDB"/>
    <w:rsid w:val="00216C85"/>
    <w:rsid w:val="00273EDD"/>
    <w:rsid w:val="002A8489"/>
    <w:rsid w:val="002C3965"/>
    <w:rsid w:val="002D5EDB"/>
    <w:rsid w:val="00321C4C"/>
    <w:rsid w:val="00331F8C"/>
    <w:rsid w:val="00370282"/>
    <w:rsid w:val="003847D7"/>
    <w:rsid w:val="003B59AB"/>
    <w:rsid w:val="003E4D7A"/>
    <w:rsid w:val="00415862"/>
    <w:rsid w:val="0042414E"/>
    <w:rsid w:val="004259F0"/>
    <w:rsid w:val="00434E69"/>
    <w:rsid w:val="00445CD8"/>
    <w:rsid w:val="00452185"/>
    <w:rsid w:val="004577F7"/>
    <w:rsid w:val="004723B7"/>
    <w:rsid w:val="00473AC3"/>
    <w:rsid w:val="004B528A"/>
    <w:rsid w:val="004C488E"/>
    <w:rsid w:val="004E4BE2"/>
    <w:rsid w:val="00524198"/>
    <w:rsid w:val="005247B0"/>
    <w:rsid w:val="00534355"/>
    <w:rsid w:val="00551094"/>
    <w:rsid w:val="00555954"/>
    <w:rsid w:val="005851AD"/>
    <w:rsid w:val="005C56D1"/>
    <w:rsid w:val="005C6428"/>
    <w:rsid w:val="005D61B4"/>
    <w:rsid w:val="005D70F1"/>
    <w:rsid w:val="005E627C"/>
    <w:rsid w:val="006008A1"/>
    <w:rsid w:val="0065474D"/>
    <w:rsid w:val="006A1922"/>
    <w:rsid w:val="006B3435"/>
    <w:rsid w:val="006B7942"/>
    <w:rsid w:val="006F29CE"/>
    <w:rsid w:val="00714C95"/>
    <w:rsid w:val="00741494"/>
    <w:rsid w:val="0076357B"/>
    <w:rsid w:val="007811C4"/>
    <w:rsid w:val="007A7297"/>
    <w:rsid w:val="007B7E96"/>
    <w:rsid w:val="007E7745"/>
    <w:rsid w:val="008056AD"/>
    <w:rsid w:val="00812159"/>
    <w:rsid w:val="008353D4"/>
    <w:rsid w:val="008512AA"/>
    <w:rsid w:val="00856296"/>
    <w:rsid w:val="008B4CA3"/>
    <w:rsid w:val="0092591F"/>
    <w:rsid w:val="00940A12"/>
    <w:rsid w:val="00977476"/>
    <w:rsid w:val="009D1D1E"/>
    <w:rsid w:val="00A01688"/>
    <w:rsid w:val="00A035FD"/>
    <w:rsid w:val="00A47C9C"/>
    <w:rsid w:val="00A564D7"/>
    <w:rsid w:val="00A56893"/>
    <w:rsid w:val="00A73941"/>
    <w:rsid w:val="00A772AC"/>
    <w:rsid w:val="00AA4DD8"/>
    <w:rsid w:val="00B16BAE"/>
    <w:rsid w:val="00B26EE5"/>
    <w:rsid w:val="00B87DCF"/>
    <w:rsid w:val="00BA70DF"/>
    <w:rsid w:val="00BD14E7"/>
    <w:rsid w:val="00BD5353"/>
    <w:rsid w:val="00BF3FB9"/>
    <w:rsid w:val="00BF626C"/>
    <w:rsid w:val="00C03A91"/>
    <w:rsid w:val="00C24087"/>
    <w:rsid w:val="00C5096C"/>
    <w:rsid w:val="00C54460"/>
    <w:rsid w:val="00C764D0"/>
    <w:rsid w:val="00CD2863"/>
    <w:rsid w:val="00CE1F21"/>
    <w:rsid w:val="00CE7A90"/>
    <w:rsid w:val="00D3137D"/>
    <w:rsid w:val="00D65DCA"/>
    <w:rsid w:val="00D6BEFF"/>
    <w:rsid w:val="00D73FB0"/>
    <w:rsid w:val="00DA2A1E"/>
    <w:rsid w:val="00DB6D4B"/>
    <w:rsid w:val="00DF01ED"/>
    <w:rsid w:val="00E2038D"/>
    <w:rsid w:val="00E562D2"/>
    <w:rsid w:val="00E85EA2"/>
    <w:rsid w:val="00EB12BC"/>
    <w:rsid w:val="00EB6437"/>
    <w:rsid w:val="00F137E3"/>
    <w:rsid w:val="00F44C8F"/>
    <w:rsid w:val="00FA4380"/>
    <w:rsid w:val="00FC5509"/>
    <w:rsid w:val="00FD30A3"/>
    <w:rsid w:val="00FD7392"/>
    <w:rsid w:val="023B652F"/>
    <w:rsid w:val="056FA887"/>
    <w:rsid w:val="078572C3"/>
    <w:rsid w:val="08BC0695"/>
    <w:rsid w:val="0D5594FA"/>
    <w:rsid w:val="150DF312"/>
    <w:rsid w:val="1A92CD74"/>
    <w:rsid w:val="1C87530C"/>
    <w:rsid w:val="1F6CDA3B"/>
    <w:rsid w:val="21F70B16"/>
    <w:rsid w:val="26E74120"/>
    <w:rsid w:val="296DF662"/>
    <w:rsid w:val="2C34C901"/>
    <w:rsid w:val="2E6019E1"/>
    <w:rsid w:val="32CA595D"/>
    <w:rsid w:val="395A83D7"/>
    <w:rsid w:val="40773828"/>
    <w:rsid w:val="409C17E5"/>
    <w:rsid w:val="465D781E"/>
    <w:rsid w:val="46B417B6"/>
    <w:rsid w:val="4892D047"/>
    <w:rsid w:val="53032755"/>
    <w:rsid w:val="614F691D"/>
    <w:rsid w:val="658EE7A0"/>
    <w:rsid w:val="66933B65"/>
    <w:rsid w:val="68733AD0"/>
    <w:rsid w:val="6A4B15F9"/>
    <w:rsid w:val="6DC8181B"/>
    <w:rsid w:val="6F5ADA56"/>
    <w:rsid w:val="70BF4D7C"/>
    <w:rsid w:val="72996B1B"/>
    <w:rsid w:val="75632160"/>
    <w:rsid w:val="7950ED3B"/>
    <w:rsid w:val="79F43790"/>
    <w:rsid w:val="7B574DFC"/>
    <w:rsid w:val="7D3B6789"/>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A8ED3D"/>
  <w15:docId w15:val="{83D6372C-89B1-4D4B-8AC2-7D39EA416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C488E"/>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paragraph" w:styleId="Heading4">
    <w:name w:val="heading 4"/>
    <w:basedOn w:val="Normal"/>
    <w:next w:val="Normal"/>
    <w:link w:val="Heading4Char"/>
    <w:uiPriority w:val="9"/>
    <w:unhideWhenUsed/>
    <w:qFormat/>
    <w:rsid w:val="0076357B"/>
    <w:pPr>
      <w:keepNext/>
      <w:keepLines/>
      <w:spacing w:before="200" w:after="0"/>
      <w:outlineLvl w:val="3"/>
    </w:pPr>
    <w:rPr>
      <w:rFonts w:asciiTheme="majorHAnsi" w:hAnsiTheme="majorHAnsi" w:eastAsiaTheme="majorEastAsia" w:cstheme="majorBidi"/>
      <w:b/>
      <w:bCs/>
      <w:i/>
      <w:iCs/>
      <w:color w:val="4472C4"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965"/>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1" w:customStyle="1">
    <w:name w:val="Unresolved Mention1"/>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BalloonText">
    <w:name w:val="Balloon Text"/>
    <w:basedOn w:val="Normal"/>
    <w:link w:val="BalloonTextChar"/>
    <w:uiPriority w:val="99"/>
    <w:semiHidden/>
    <w:unhideWhenUsed/>
    <w:rsid w:val="0076357B"/>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6357B"/>
    <w:rPr>
      <w:rFonts w:ascii="Tahoma" w:hAnsi="Tahoma" w:cs="Tahoma"/>
      <w:sz w:val="16"/>
      <w:szCs w:val="16"/>
    </w:rPr>
  </w:style>
  <w:style w:type="character" w:styleId="Heading4Char" w:customStyle="1">
    <w:name w:val="Heading 4 Char"/>
    <w:basedOn w:val="DefaultParagraphFont"/>
    <w:link w:val="Heading4"/>
    <w:uiPriority w:val="9"/>
    <w:rsid w:val="0076357B"/>
    <w:rPr>
      <w:rFonts w:asciiTheme="majorHAnsi" w:hAnsiTheme="majorHAnsi" w:eastAsiaTheme="majorEastAsia" w:cstheme="majorBidi"/>
      <w:b/>
      <w:bCs/>
      <w:i/>
      <w:iCs/>
      <w:color w:val="4472C4" w:themeColor="accent1"/>
    </w:rPr>
  </w:style>
  <w:style w:type="paragraph" w:styleId="Normal1" w:customStyle="1">
    <w:name w:val="Normal1"/>
    <w:rsid w:val="0076357B"/>
    <w:pPr>
      <w:spacing w:after="0" w:line="276" w:lineRule="auto"/>
    </w:pPr>
    <w:rPr>
      <w:rFonts w:ascii="Arial" w:hAnsi="Arial" w:eastAsia="Arial" w:cs="Arial"/>
      <w:sz w:val="22"/>
      <w:lang w:val="en-US"/>
    </w:rPr>
  </w:style>
  <w:style w:type="character" w:styleId="UnresolvedMention">
    <w:name w:val="Unresolved Mention"/>
    <w:basedOn w:val="DefaultParagraphFont"/>
    <w:uiPriority w:val="99"/>
    <w:semiHidden/>
    <w:unhideWhenUsed/>
    <w:rsid w:val="003B59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hyperlink" Target="https://www.biohealthcarenetworks.com/img/research/hormones-v1.pdf" TargetMode="External" Id="rId26" /><Relationship Type="http://schemas.openxmlformats.org/officeDocument/2006/relationships/hyperlink" Target="https://www.who.int/news-room/fact-sheets/detail/diabetes" TargetMode="External" Id="rId39" /><Relationship Type="http://schemas.openxmlformats.org/officeDocument/2006/relationships/hyperlink" Target="https://pressbooks-dev.oer.hawaii.edu/anatomyandphysiology/chapter/the-endocrine-pancreas/" TargetMode="External" Id="rId21" /><Relationship Type="http://schemas.openxmlformats.org/officeDocument/2006/relationships/hyperlink" Target="https://digitalcommons.jsu.edu/cgi/viewcontent.cgi?article=1025&amp;context=etds_nursing" TargetMode="External" Id="rId34" /><Relationship Type="http://schemas.openxmlformats.org/officeDocument/2006/relationships/theme" Target="theme/theme1.xml" Id="rId42"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hyperlink" Target="https://doi.org/10.2337/dc20-S005" TargetMode="External" Id="rId20" /><Relationship Type="http://schemas.openxmlformats.org/officeDocument/2006/relationships/hyperlink" Target="https://www.sciencedirect.com/science/article/pii/S0959438823000090" TargetMode="External" Id="rId29" /><Relationship Type="http://schemas.openxmlformats.org/officeDocument/2006/relationships/fontTable" Target="fontTable.xm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hyperlink" Target="https://undergradsciencejournals.okstate.edu/index.php/MRCMB/article/view/13169/2281" TargetMode="External" Id="rId24" /><Relationship Type="http://schemas.openxmlformats.org/officeDocument/2006/relationships/hyperlink" Target="https://bio.libretexts.org/Learning_Objects/Worksheets/Book%3A_The_Biology_Corner_%28Worksheets%29/Anatomy_Worksheets/Feedback_Loops%3A_Glucose_and_Glucagon" TargetMode="External" Id="rId32" /><Relationship Type="http://schemas.openxmlformats.org/officeDocument/2006/relationships/hyperlink" Target="https://doi.org/10.2337/db2020-31" TargetMode="External" Id="rId37" /><Relationship Type="http://schemas.openxmlformats.org/officeDocument/2006/relationships/footer" Target="footer1.xml" Id="rId40" /><Relationship Type="http://schemas.openxmlformats.org/officeDocument/2006/relationships/styles" Target="styles.xml" Id="rId5" /><Relationship Type="http://schemas.openxmlformats.org/officeDocument/2006/relationships/image" Target="media/image5.png" Id="rId15" /><Relationship Type="http://schemas.openxmlformats.org/officeDocument/2006/relationships/hyperlink" Target="https://my.clevelandclinic.org/health/articles/continuous-glucose-monitoring-cgm" TargetMode="External" Id="rId23" /><Relationship Type="http://schemas.openxmlformats.org/officeDocument/2006/relationships/hyperlink" Target="https://www.intechopen.com/chapters/74163" TargetMode="External" Id="rId28" /><Relationship Type="http://schemas.openxmlformats.org/officeDocument/2006/relationships/hyperlink" Target="https://doi.org/10.1016/j.ajmo.2023.100034" TargetMode="External" Id="rId36" /><Relationship Type="http://schemas.openxmlformats.org/officeDocument/2006/relationships/image" Target="media/image1.png" Id="rId10" /><Relationship Type="http://schemas.openxmlformats.org/officeDocument/2006/relationships/hyperlink" Target="https://www.ncbi.nlm.nih.gov/books/NBK556032/" TargetMode="External" Id="rId19" /><Relationship Type="http://schemas.openxmlformats.org/officeDocument/2006/relationships/hyperlink" Target="https://www.paradigmpress.org/ist/article/download/886/761" TargetMode="Externa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4.png" Id="rId14" /><Relationship Type="http://schemas.openxmlformats.org/officeDocument/2006/relationships/hyperlink" Target="https://www.cdc.gov/diabetes/living-with/index.html" TargetMode="External" Id="rId22" /><Relationship Type="http://schemas.openxmlformats.org/officeDocument/2006/relationships/hyperlink" Target="https://www.healthline.com/health/type-2-diabetes/top-exercises" TargetMode="External" Id="rId27" /><Relationship Type="http://schemas.openxmlformats.org/officeDocument/2006/relationships/hyperlink" Target="https://www.medindia.net/patients/calculators/bloodsugar_chart.asp" TargetMode="External" Id="rId30" /><Relationship Type="http://schemas.openxmlformats.org/officeDocument/2006/relationships/hyperlink" Target="https://doi.org/10.3390/ijms22126403" TargetMode="External" Id="rId35"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hyperlink" Target="https://idf.org/about-diabetes/diabetes-facts-figures/" TargetMode="External" Id="rId25" /><Relationship Type="http://schemas.openxmlformats.org/officeDocument/2006/relationships/hyperlink" Target="https://www.researchgate.net/profile/Jim-Parker-2/publication/341851460_Glucose_metabolism_energy_production_and_regulation_of_cellular_and_whole-body_metabolism_J_ACNEM_2020_391_29-33/links/63eadfd3eab072152f4365d3/Glucose-metabolism-energy-production-and-regulation-of-cellular-and-whole-body-metabolism-J-ACNEM-2020-391-29-33.pdf" TargetMode="External" Id="rId33" /><Relationship Type="http://schemas.openxmlformats.org/officeDocument/2006/relationships/hyperlink" Target="https://www.everydayhealth.com/diabetes/do-people-without-diabetes-need-to-monitor-their-blood-sugar/" TargetMode="External" Id="rId3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33b6632096c4af7a1d411556e9a59604">
  <xsd:schema xmlns:xsd="http://www.w3.org/2001/XMLSchema" xmlns:xs="http://www.w3.org/2001/XMLSchema" xmlns:p="http://schemas.microsoft.com/office/2006/metadata/properties" xmlns:ns3="bf244c3e-e0b4-4871-bb4e-fd032a14544d" targetNamespace="http://schemas.microsoft.com/office/2006/metadata/properties" ma:root="true" ma:fieldsID="ab01827bef107ed577386a55c49cec86"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140D70-DE83-4423-A8C6-DD979D3C3E93}">
  <ds:schemaRefs>
    <ds:schemaRef ds:uri="http://schemas.microsoft.com/sharepoint/v3/contenttype/forms"/>
  </ds:schemaRefs>
</ds:datastoreItem>
</file>

<file path=customXml/itemProps2.xml><?xml version="1.0" encoding="utf-8"?>
<ds:datastoreItem xmlns:ds="http://schemas.openxmlformats.org/officeDocument/2006/customXml" ds:itemID="{831A3947-D044-47D3-A64D-05EB5A7A44A3}">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E887BBDD-05B9-4AB8-B595-3F379A3CA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Ashura San-Sellus (2412818)</lastModifiedBy>
  <revision>7</revision>
  <dcterms:created xsi:type="dcterms:W3CDTF">2025-11-28T07:41:00.0000000Z</dcterms:created>
  <dcterms:modified xsi:type="dcterms:W3CDTF">2025-11-28T16:26:51.2812355Z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