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80B1BD" w14:textId="77777777" w:rsidR="005551BA" w:rsidRDefault="005551BA" w:rsidP="005551BA">
      <w:pPr>
        <w:rPr>
          <w:b/>
          <w:bCs/>
        </w:rPr>
      </w:pPr>
    </w:p>
    <w:p w14:paraId="293BF1EA" w14:textId="77777777" w:rsidR="005551BA" w:rsidRDefault="005551BA" w:rsidP="005551BA">
      <w:pPr>
        <w:spacing w:line="480" w:lineRule="auto"/>
        <w:jc w:val="center"/>
        <w:rPr>
          <w:rFonts w:ascii="Arial" w:hAnsi="Arial" w:cs="Arial"/>
        </w:rPr>
      </w:pPr>
    </w:p>
    <w:p w14:paraId="0706E040" w14:textId="77777777" w:rsidR="005551BA" w:rsidRDefault="005551BA" w:rsidP="005551BA">
      <w:pPr>
        <w:spacing w:line="480" w:lineRule="auto"/>
        <w:jc w:val="center"/>
        <w:rPr>
          <w:rFonts w:ascii="Arial" w:hAnsi="Arial" w:cs="Arial"/>
        </w:rPr>
      </w:pPr>
    </w:p>
    <w:p w14:paraId="7A5C63B8" w14:textId="77777777" w:rsidR="005551BA" w:rsidRDefault="005551BA" w:rsidP="005551BA">
      <w:pPr>
        <w:spacing w:line="480" w:lineRule="auto"/>
        <w:jc w:val="center"/>
        <w:rPr>
          <w:rFonts w:ascii="Arial" w:hAnsi="Arial" w:cs="Arial"/>
        </w:rPr>
      </w:pPr>
    </w:p>
    <w:p w14:paraId="23CE79A4" w14:textId="77777777" w:rsidR="005551BA" w:rsidRDefault="005551BA" w:rsidP="005551BA">
      <w:pPr>
        <w:spacing w:line="480" w:lineRule="auto"/>
        <w:jc w:val="center"/>
        <w:rPr>
          <w:rFonts w:ascii="Arial" w:hAnsi="Arial" w:cs="Arial"/>
        </w:rPr>
      </w:pPr>
    </w:p>
    <w:p w14:paraId="582D61DD" w14:textId="77777777" w:rsidR="005551BA" w:rsidRDefault="005551BA" w:rsidP="005551BA">
      <w:pPr>
        <w:spacing w:line="480" w:lineRule="auto"/>
        <w:jc w:val="center"/>
        <w:rPr>
          <w:rFonts w:ascii="Arial" w:hAnsi="Arial" w:cs="Arial"/>
        </w:rPr>
      </w:pPr>
    </w:p>
    <w:p w14:paraId="69207ACE" w14:textId="77777777" w:rsidR="005551BA" w:rsidRDefault="005551BA" w:rsidP="005551BA">
      <w:pPr>
        <w:spacing w:line="480" w:lineRule="auto"/>
        <w:jc w:val="center"/>
        <w:rPr>
          <w:rFonts w:ascii="Arial" w:hAnsi="Arial" w:cs="Arial"/>
        </w:rPr>
      </w:pPr>
    </w:p>
    <w:p w14:paraId="42C5E3A8" w14:textId="60103725" w:rsidR="005551BA" w:rsidRPr="00462F59" w:rsidRDefault="005551BA" w:rsidP="00462F59">
      <w:pPr>
        <w:spacing w:line="480" w:lineRule="auto"/>
        <w:jc w:val="both"/>
        <w:rPr>
          <w:rFonts w:ascii="Arial" w:hAnsi="Arial" w:cs="Arial"/>
          <w:b/>
          <w:bCs/>
        </w:rPr>
      </w:pPr>
      <w:r w:rsidRPr="00462F59">
        <w:rPr>
          <w:rFonts w:ascii="Arial" w:hAnsi="Arial" w:cs="Arial"/>
          <w:b/>
          <w:bCs/>
        </w:rPr>
        <w:t>Student name: Olufemi Idowu Afolabi Odubitan</w:t>
      </w:r>
    </w:p>
    <w:p w14:paraId="3CBB6DD6" w14:textId="77777777" w:rsidR="005551BA" w:rsidRPr="00462F59" w:rsidRDefault="005551BA" w:rsidP="00462F59">
      <w:pPr>
        <w:spacing w:line="480" w:lineRule="auto"/>
        <w:jc w:val="both"/>
        <w:rPr>
          <w:rFonts w:ascii="Arial" w:hAnsi="Arial" w:cs="Arial"/>
          <w:b/>
          <w:bCs/>
        </w:rPr>
      </w:pPr>
      <w:r w:rsidRPr="00462F59">
        <w:rPr>
          <w:rFonts w:ascii="Arial" w:hAnsi="Arial" w:cs="Arial"/>
          <w:b/>
          <w:bCs/>
        </w:rPr>
        <w:t>Student number: 2321211</w:t>
      </w:r>
    </w:p>
    <w:p w14:paraId="7D71815B" w14:textId="33BA5A78" w:rsidR="005551BA" w:rsidRPr="00462F59" w:rsidRDefault="005551BA" w:rsidP="00462F59">
      <w:pPr>
        <w:spacing w:line="480" w:lineRule="auto"/>
        <w:jc w:val="both"/>
        <w:rPr>
          <w:rFonts w:ascii="Arial" w:hAnsi="Arial" w:cs="Arial"/>
          <w:b/>
          <w:bCs/>
        </w:rPr>
      </w:pPr>
      <w:r w:rsidRPr="00462F59">
        <w:rPr>
          <w:rFonts w:ascii="Arial" w:hAnsi="Arial" w:cs="Arial"/>
          <w:b/>
          <w:bCs/>
        </w:rPr>
        <w:t xml:space="preserve">Module code and Title: </w:t>
      </w:r>
      <w:r w:rsidR="00462F59" w:rsidRPr="00462F59">
        <w:rPr>
          <w:rFonts w:ascii="Arial" w:hAnsi="Arial" w:cs="Arial"/>
          <w:b/>
          <w:bCs/>
          <w:sz w:val="22"/>
          <w:szCs w:val="22"/>
        </w:rPr>
        <w:t>BMHP6026</w:t>
      </w:r>
      <w:r w:rsidRPr="00462F59">
        <w:rPr>
          <w:rFonts w:ascii="Arial" w:hAnsi="Arial" w:cs="Arial"/>
          <w:b/>
          <w:bCs/>
          <w:sz w:val="22"/>
          <w:szCs w:val="22"/>
        </w:rPr>
        <w:t xml:space="preserve"> / </w:t>
      </w:r>
      <w:r w:rsidR="00462F59" w:rsidRPr="00462F59">
        <w:rPr>
          <w:rFonts w:ascii="Arial" w:hAnsi="Arial" w:cs="Arial"/>
          <w:b/>
          <w:bCs/>
          <w:sz w:val="22"/>
          <w:szCs w:val="22"/>
        </w:rPr>
        <w:t>Digital Transformation in the Health and Care Professions</w:t>
      </w:r>
    </w:p>
    <w:p w14:paraId="5377D1CF" w14:textId="36B8CFEF" w:rsidR="00570E1A" w:rsidRDefault="005551BA" w:rsidP="00462F59">
      <w:pPr>
        <w:spacing w:line="480" w:lineRule="auto"/>
        <w:jc w:val="both"/>
        <w:rPr>
          <w:rFonts w:ascii="Arial" w:hAnsi="Arial" w:cs="Arial"/>
          <w:b/>
          <w:bCs/>
          <w:sz w:val="22"/>
          <w:szCs w:val="22"/>
        </w:rPr>
      </w:pPr>
      <w:r w:rsidRPr="00462F59">
        <w:rPr>
          <w:rFonts w:ascii="Arial" w:hAnsi="Arial" w:cs="Arial"/>
          <w:b/>
          <w:bCs/>
          <w:sz w:val="22"/>
          <w:szCs w:val="22"/>
        </w:rPr>
        <w:t xml:space="preserve">Assignment title: </w:t>
      </w:r>
      <w:r w:rsidR="00570E1A" w:rsidRPr="00570E1A">
        <w:rPr>
          <w:rFonts w:ascii="Arial" w:hAnsi="Arial" w:cs="Arial"/>
          <w:b/>
          <w:bCs/>
          <w:sz w:val="22"/>
          <w:szCs w:val="22"/>
        </w:rPr>
        <w:t>A Critical Evaluation of the GP at Hand Digital First Primary Care Service within NHS England</w:t>
      </w:r>
      <w:r w:rsidR="00570E1A">
        <w:rPr>
          <w:rFonts w:ascii="Arial" w:hAnsi="Arial" w:cs="Arial"/>
          <w:b/>
          <w:bCs/>
          <w:sz w:val="22"/>
          <w:szCs w:val="22"/>
        </w:rPr>
        <w:t>.</w:t>
      </w:r>
    </w:p>
    <w:p w14:paraId="026BBAB4" w14:textId="77777777" w:rsidR="005551BA" w:rsidRDefault="005551BA" w:rsidP="005551BA">
      <w:pPr>
        <w:rPr>
          <w:b/>
          <w:bCs/>
        </w:rPr>
      </w:pPr>
    </w:p>
    <w:p w14:paraId="11E9B21C" w14:textId="77777777" w:rsidR="005551BA" w:rsidRDefault="005551BA" w:rsidP="005551BA">
      <w:pPr>
        <w:rPr>
          <w:b/>
          <w:bCs/>
        </w:rPr>
      </w:pPr>
    </w:p>
    <w:p w14:paraId="59C31E40" w14:textId="77777777" w:rsidR="005551BA" w:rsidRDefault="005551BA" w:rsidP="005551BA">
      <w:pPr>
        <w:rPr>
          <w:b/>
          <w:bCs/>
        </w:rPr>
      </w:pPr>
    </w:p>
    <w:p w14:paraId="32A60463" w14:textId="77777777" w:rsidR="005551BA" w:rsidRDefault="005551BA" w:rsidP="005551BA">
      <w:pPr>
        <w:rPr>
          <w:b/>
          <w:bCs/>
        </w:rPr>
      </w:pPr>
    </w:p>
    <w:p w14:paraId="60B270D1" w14:textId="77777777" w:rsidR="005551BA" w:rsidRDefault="005551BA" w:rsidP="005551BA">
      <w:pPr>
        <w:rPr>
          <w:b/>
          <w:bCs/>
        </w:rPr>
      </w:pPr>
    </w:p>
    <w:p w14:paraId="45895006" w14:textId="77777777" w:rsidR="005551BA" w:rsidRDefault="005551BA" w:rsidP="005551BA">
      <w:pPr>
        <w:rPr>
          <w:b/>
          <w:bCs/>
        </w:rPr>
      </w:pPr>
    </w:p>
    <w:p w14:paraId="73B10ADF" w14:textId="77777777" w:rsidR="00D63A59" w:rsidRDefault="00D63A59" w:rsidP="005551BA">
      <w:pPr>
        <w:rPr>
          <w:b/>
          <w:bCs/>
        </w:rPr>
      </w:pPr>
    </w:p>
    <w:p w14:paraId="5E90103A" w14:textId="77777777" w:rsidR="00D63A59" w:rsidRDefault="00D63A59" w:rsidP="005551BA">
      <w:pPr>
        <w:rPr>
          <w:b/>
          <w:bCs/>
        </w:rPr>
      </w:pPr>
    </w:p>
    <w:p w14:paraId="2987EA12" w14:textId="77777777" w:rsidR="005551BA" w:rsidRDefault="005551BA" w:rsidP="005551BA">
      <w:pPr>
        <w:rPr>
          <w:b/>
          <w:bCs/>
        </w:rPr>
      </w:pPr>
    </w:p>
    <w:p w14:paraId="392ED536" w14:textId="6A935431" w:rsidR="00462F59" w:rsidRDefault="00462F59" w:rsidP="00462F59">
      <w:pPr>
        <w:spacing w:line="360" w:lineRule="auto"/>
        <w:jc w:val="center"/>
        <w:rPr>
          <w:rFonts w:ascii="Arial" w:hAnsi="Arial" w:cs="Arial"/>
          <w:b/>
          <w:bCs/>
          <w:sz w:val="22"/>
          <w:szCs w:val="22"/>
        </w:rPr>
      </w:pPr>
      <w:r>
        <w:rPr>
          <w:rFonts w:ascii="Arial" w:hAnsi="Arial" w:cs="Arial"/>
          <w:b/>
          <w:bCs/>
          <w:sz w:val="22"/>
          <w:szCs w:val="22"/>
        </w:rPr>
        <w:lastRenderedPageBreak/>
        <w:t>Table of Contents</w:t>
      </w:r>
    </w:p>
    <w:p w14:paraId="3D3756FA" w14:textId="48E94730" w:rsidR="00E124F7" w:rsidRPr="00E124F7" w:rsidRDefault="00E124F7" w:rsidP="00E124F7">
      <w:pPr>
        <w:rPr>
          <w:rFonts w:ascii="Arial" w:hAnsi="Arial" w:cs="Arial"/>
          <w:sz w:val="22"/>
          <w:szCs w:val="22"/>
        </w:rPr>
      </w:pPr>
      <w:r w:rsidRPr="00E124F7">
        <w:rPr>
          <w:rFonts w:ascii="Arial" w:hAnsi="Arial" w:cs="Arial"/>
          <w:sz w:val="22"/>
          <w:szCs w:val="22"/>
        </w:rPr>
        <w:t xml:space="preserve">Title page </w:t>
      </w:r>
      <w:r w:rsidR="00D923E0">
        <w:rPr>
          <w:rFonts w:ascii="Arial" w:hAnsi="Arial" w:cs="Arial"/>
          <w:sz w:val="22"/>
          <w:szCs w:val="22"/>
        </w:rPr>
        <w:t>………………………………………………………………………………………………….</w:t>
      </w:r>
      <w:r w:rsidRPr="00E124F7">
        <w:rPr>
          <w:rFonts w:ascii="Arial" w:hAnsi="Arial" w:cs="Arial"/>
          <w:sz w:val="22"/>
          <w:szCs w:val="22"/>
        </w:rPr>
        <w:t>1</w:t>
      </w:r>
    </w:p>
    <w:p w14:paraId="0F107723" w14:textId="3606E386" w:rsidR="00E124F7" w:rsidRPr="00E124F7" w:rsidRDefault="00E124F7" w:rsidP="00E124F7">
      <w:pPr>
        <w:pStyle w:val="ListParagraph"/>
        <w:numPr>
          <w:ilvl w:val="0"/>
          <w:numId w:val="1"/>
        </w:numPr>
        <w:spacing w:line="360" w:lineRule="auto"/>
        <w:jc w:val="both"/>
        <w:rPr>
          <w:rFonts w:ascii="Arial" w:hAnsi="Arial" w:cs="Arial"/>
          <w:sz w:val="22"/>
          <w:szCs w:val="22"/>
        </w:rPr>
      </w:pPr>
      <w:r w:rsidRPr="00E124F7">
        <w:rPr>
          <w:rFonts w:ascii="Arial" w:hAnsi="Arial" w:cs="Arial"/>
          <w:sz w:val="22"/>
          <w:szCs w:val="22"/>
        </w:rPr>
        <w:t xml:space="preserve">Introduction </w:t>
      </w:r>
      <w:r w:rsidR="00D923E0">
        <w:rPr>
          <w:rFonts w:ascii="Arial" w:hAnsi="Arial" w:cs="Arial"/>
          <w:sz w:val="22"/>
          <w:szCs w:val="22"/>
        </w:rPr>
        <w:t>…………………………………………………………………………………………</w:t>
      </w:r>
      <w:r w:rsidR="00D923E0">
        <w:rPr>
          <w:rFonts w:ascii="Arial" w:hAnsi="Arial" w:cs="Arial"/>
          <w:sz w:val="22"/>
          <w:szCs w:val="22"/>
        </w:rPr>
        <w:t>...</w:t>
      </w:r>
      <w:r w:rsidRPr="00E124F7">
        <w:rPr>
          <w:rFonts w:ascii="Arial" w:hAnsi="Arial" w:cs="Arial"/>
          <w:sz w:val="22"/>
          <w:szCs w:val="22"/>
        </w:rPr>
        <w:t>3</w:t>
      </w:r>
    </w:p>
    <w:p w14:paraId="05B723AE" w14:textId="5D17E4B2" w:rsidR="00E124F7" w:rsidRPr="00E124F7" w:rsidRDefault="00E124F7" w:rsidP="00E124F7">
      <w:pPr>
        <w:pStyle w:val="ListParagraph"/>
        <w:numPr>
          <w:ilvl w:val="0"/>
          <w:numId w:val="1"/>
        </w:numPr>
        <w:spacing w:line="360" w:lineRule="auto"/>
        <w:jc w:val="both"/>
        <w:rPr>
          <w:rFonts w:ascii="Arial" w:hAnsi="Arial" w:cs="Arial"/>
          <w:sz w:val="22"/>
          <w:szCs w:val="22"/>
        </w:rPr>
      </w:pPr>
      <w:r w:rsidRPr="00E124F7">
        <w:rPr>
          <w:rFonts w:ascii="Arial" w:hAnsi="Arial" w:cs="Arial"/>
          <w:sz w:val="22"/>
          <w:szCs w:val="22"/>
        </w:rPr>
        <w:t xml:space="preserve">Overview of eMed GP at Hand </w:t>
      </w:r>
      <w:r w:rsidR="00D923E0">
        <w:rPr>
          <w:rFonts w:ascii="Arial" w:hAnsi="Arial" w:cs="Arial"/>
          <w:sz w:val="22"/>
          <w:szCs w:val="22"/>
        </w:rPr>
        <w:t>…………………………………………………………………</w:t>
      </w:r>
      <w:r w:rsidRPr="00E124F7">
        <w:rPr>
          <w:rFonts w:ascii="Arial" w:hAnsi="Arial" w:cs="Arial"/>
          <w:sz w:val="22"/>
          <w:szCs w:val="22"/>
        </w:rPr>
        <w:t>3 – 4</w:t>
      </w:r>
    </w:p>
    <w:p w14:paraId="5DE072E5" w14:textId="583EA56E" w:rsidR="00E124F7" w:rsidRPr="00E124F7" w:rsidRDefault="00E124F7" w:rsidP="00E124F7">
      <w:pPr>
        <w:spacing w:line="360" w:lineRule="auto"/>
        <w:jc w:val="both"/>
        <w:rPr>
          <w:rFonts w:ascii="Arial" w:hAnsi="Arial" w:cs="Arial"/>
          <w:sz w:val="22"/>
          <w:szCs w:val="22"/>
        </w:rPr>
      </w:pPr>
      <w:r w:rsidRPr="00E124F7">
        <w:rPr>
          <w:rFonts w:ascii="Arial" w:hAnsi="Arial" w:cs="Arial"/>
          <w:sz w:val="22"/>
          <w:szCs w:val="22"/>
        </w:rPr>
        <w:t xml:space="preserve">3. Digital Innovation and the Reconfiguration of NHS Primary Care </w:t>
      </w:r>
      <w:r w:rsidR="00D923E0">
        <w:rPr>
          <w:rFonts w:ascii="Arial" w:hAnsi="Arial" w:cs="Arial"/>
          <w:sz w:val="22"/>
          <w:szCs w:val="22"/>
        </w:rPr>
        <w:t>………………………………</w:t>
      </w:r>
      <w:r w:rsidR="00D923E0">
        <w:rPr>
          <w:rFonts w:ascii="Arial" w:hAnsi="Arial" w:cs="Arial"/>
          <w:sz w:val="22"/>
          <w:szCs w:val="22"/>
        </w:rPr>
        <w:t>..</w:t>
      </w:r>
      <w:r w:rsidRPr="00E124F7">
        <w:rPr>
          <w:rFonts w:ascii="Arial" w:hAnsi="Arial" w:cs="Arial"/>
          <w:sz w:val="22"/>
          <w:szCs w:val="22"/>
        </w:rPr>
        <w:t>5</w:t>
      </w:r>
    </w:p>
    <w:p w14:paraId="06A4AD3C" w14:textId="119E63F6" w:rsidR="00E124F7" w:rsidRPr="00E124F7" w:rsidRDefault="00E124F7" w:rsidP="00E124F7">
      <w:pPr>
        <w:spacing w:line="360" w:lineRule="auto"/>
        <w:jc w:val="both"/>
        <w:rPr>
          <w:rFonts w:ascii="Arial" w:hAnsi="Arial" w:cs="Arial"/>
          <w:sz w:val="22"/>
          <w:szCs w:val="22"/>
        </w:rPr>
      </w:pPr>
      <w:r w:rsidRPr="00E124F7">
        <w:rPr>
          <w:rFonts w:ascii="Arial" w:hAnsi="Arial" w:cs="Arial"/>
          <w:sz w:val="22"/>
          <w:szCs w:val="22"/>
        </w:rPr>
        <w:t xml:space="preserve">3.1 Workforce Impact </w:t>
      </w:r>
      <w:r w:rsidR="00D923E0">
        <w:rPr>
          <w:rFonts w:ascii="Arial" w:hAnsi="Arial" w:cs="Arial"/>
          <w:sz w:val="22"/>
          <w:szCs w:val="22"/>
        </w:rPr>
        <w:t>………………………………………………………………………………</w:t>
      </w:r>
      <w:r w:rsidR="00D923E0">
        <w:rPr>
          <w:rFonts w:ascii="Arial" w:hAnsi="Arial" w:cs="Arial"/>
          <w:sz w:val="22"/>
          <w:szCs w:val="22"/>
        </w:rPr>
        <w:t>..</w:t>
      </w:r>
      <w:r w:rsidRPr="00E124F7">
        <w:rPr>
          <w:rFonts w:ascii="Arial" w:hAnsi="Arial" w:cs="Arial"/>
          <w:sz w:val="22"/>
          <w:szCs w:val="22"/>
        </w:rPr>
        <w:t>5 – 6</w:t>
      </w:r>
    </w:p>
    <w:p w14:paraId="76969BCE" w14:textId="2A525FF7" w:rsidR="00E124F7" w:rsidRPr="00E124F7" w:rsidRDefault="00E124F7" w:rsidP="00E124F7">
      <w:pPr>
        <w:spacing w:line="360" w:lineRule="auto"/>
        <w:jc w:val="both"/>
        <w:rPr>
          <w:rFonts w:ascii="Arial" w:hAnsi="Arial" w:cs="Arial"/>
          <w:sz w:val="22"/>
          <w:szCs w:val="22"/>
        </w:rPr>
      </w:pPr>
      <w:r w:rsidRPr="00570E1A">
        <w:rPr>
          <w:rFonts w:ascii="Arial" w:hAnsi="Arial" w:cs="Arial"/>
          <w:sz w:val="22"/>
          <w:szCs w:val="22"/>
        </w:rPr>
        <w:t xml:space="preserve">3.2 Service Delivery Impact </w:t>
      </w:r>
      <w:r w:rsidR="00D923E0">
        <w:rPr>
          <w:rFonts w:ascii="Arial" w:hAnsi="Arial" w:cs="Arial"/>
          <w:sz w:val="22"/>
          <w:szCs w:val="22"/>
        </w:rPr>
        <w:t>…………………………………………………………………………</w:t>
      </w:r>
      <w:r w:rsidRPr="00E124F7">
        <w:rPr>
          <w:rFonts w:ascii="Arial" w:hAnsi="Arial" w:cs="Arial"/>
          <w:sz w:val="22"/>
          <w:szCs w:val="22"/>
        </w:rPr>
        <w:t>6 – 7</w:t>
      </w:r>
    </w:p>
    <w:p w14:paraId="0AE412D8" w14:textId="6831DDE6" w:rsidR="00E124F7" w:rsidRPr="00E124F7" w:rsidRDefault="00E124F7" w:rsidP="00E124F7">
      <w:pPr>
        <w:spacing w:line="360" w:lineRule="auto"/>
        <w:jc w:val="both"/>
        <w:rPr>
          <w:rFonts w:ascii="Arial" w:hAnsi="Arial" w:cs="Arial"/>
          <w:sz w:val="22"/>
          <w:szCs w:val="22"/>
        </w:rPr>
      </w:pPr>
      <w:r w:rsidRPr="00570E1A">
        <w:rPr>
          <w:rFonts w:ascii="Arial" w:hAnsi="Arial" w:cs="Arial"/>
          <w:sz w:val="22"/>
          <w:szCs w:val="22"/>
        </w:rPr>
        <w:t>3.3 Patient / Service User Impact</w:t>
      </w:r>
      <w:r w:rsidRPr="00E124F7">
        <w:rPr>
          <w:rFonts w:ascii="Arial" w:hAnsi="Arial" w:cs="Arial"/>
          <w:sz w:val="22"/>
          <w:szCs w:val="22"/>
        </w:rPr>
        <w:t xml:space="preserve"> </w:t>
      </w:r>
      <w:r w:rsidR="00D923E0">
        <w:rPr>
          <w:rFonts w:ascii="Arial" w:hAnsi="Arial" w:cs="Arial"/>
          <w:sz w:val="22"/>
          <w:szCs w:val="22"/>
        </w:rPr>
        <w:t>…………………………………………………………………</w:t>
      </w:r>
      <w:r w:rsidR="00D923E0">
        <w:rPr>
          <w:rFonts w:ascii="Arial" w:hAnsi="Arial" w:cs="Arial"/>
          <w:sz w:val="22"/>
          <w:szCs w:val="22"/>
        </w:rPr>
        <w:t>.</w:t>
      </w:r>
      <w:r w:rsidRPr="00E124F7">
        <w:rPr>
          <w:rFonts w:ascii="Arial" w:hAnsi="Arial" w:cs="Arial"/>
          <w:sz w:val="22"/>
          <w:szCs w:val="22"/>
        </w:rPr>
        <w:t>7 – 8</w:t>
      </w:r>
    </w:p>
    <w:p w14:paraId="6AB3963F" w14:textId="01EB8B64" w:rsidR="00E124F7" w:rsidRPr="00E124F7" w:rsidRDefault="00E124F7" w:rsidP="00E124F7">
      <w:pPr>
        <w:spacing w:line="360" w:lineRule="auto"/>
        <w:jc w:val="both"/>
        <w:rPr>
          <w:rFonts w:ascii="Arial" w:hAnsi="Arial" w:cs="Arial"/>
          <w:sz w:val="22"/>
          <w:szCs w:val="22"/>
        </w:rPr>
      </w:pPr>
      <w:r w:rsidRPr="00570E1A">
        <w:rPr>
          <w:rFonts w:ascii="Arial" w:hAnsi="Arial" w:cs="Arial"/>
          <w:sz w:val="22"/>
          <w:szCs w:val="22"/>
        </w:rPr>
        <w:t xml:space="preserve">3.4 Community Impact </w:t>
      </w:r>
      <w:r w:rsidR="00D923E0">
        <w:rPr>
          <w:rFonts w:ascii="Arial" w:hAnsi="Arial" w:cs="Arial"/>
          <w:sz w:val="22"/>
          <w:szCs w:val="22"/>
        </w:rPr>
        <w:t>………………………………………………………………………………</w:t>
      </w:r>
      <w:r w:rsidRPr="00E124F7">
        <w:rPr>
          <w:rFonts w:ascii="Arial" w:hAnsi="Arial" w:cs="Arial"/>
          <w:sz w:val="22"/>
          <w:szCs w:val="22"/>
        </w:rPr>
        <w:t>8 – 9</w:t>
      </w:r>
    </w:p>
    <w:p w14:paraId="0697EE6B" w14:textId="2C6ED25F" w:rsidR="00E124F7" w:rsidRPr="00E124F7" w:rsidRDefault="00E124F7" w:rsidP="00E124F7">
      <w:pPr>
        <w:spacing w:line="360" w:lineRule="auto"/>
        <w:jc w:val="both"/>
        <w:rPr>
          <w:rFonts w:ascii="Arial" w:hAnsi="Arial" w:cs="Arial"/>
          <w:sz w:val="22"/>
          <w:szCs w:val="22"/>
        </w:rPr>
      </w:pPr>
      <w:r w:rsidRPr="00E82ED2">
        <w:rPr>
          <w:rFonts w:ascii="Arial" w:hAnsi="Arial" w:cs="Arial"/>
          <w:sz w:val="22"/>
          <w:szCs w:val="22"/>
        </w:rPr>
        <w:t xml:space="preserve">4. Conclusion </w:t>
      </w:r>
      <w:r w:rsidR="00D923E0">
        <w:rPr>
          <w:rFonts w:ascii="Arial" w:hAnsi="Arial" w:cs="Arial"/>
          <w:sz w:val="22"/>
          <w:szCs w:val="22"/>
        </w:rPr>
        <w:t>…………………………………………………………………………………………</w:t>
      </w:r>
      <w:r w:rsidR="00D923E0">
        <w:rPr>
          <w:rFonts w:ascii="Arial" w:hAnsi="Arial" w:cs="Arial"/>
          <w:sz w:val="22"/>
          <w:szCs w:val="22"/>
        </w:rPr>
        <w:t>…..</w:t>
      </w:r>
      <w:r w:rsidRPr="00E124F7">
        <w:rPr>
          <w:rFonts w:ascii="Arial" w:hAnsi="Arial" w:cs="Arial"/>
          <w:sz w:val="22"/>
          <w:szCs w:val="22"/>
        </w:rPr>
        <w:t>9</w:t>
      </w:r>
    </w:p>
    <w:p w14:paraId="0DA23832" w14:textId="328957D4" w:rsidR="00E124F7" w:rsidRPr="00E82ED2" w:rsidRDefault="00E124F7" w:rsidP="00E124F7">
      <w:pPr>
        <w:spacing w:line="360" w:lineRule="auto"/>
        <w:jc w:val="both"/>
        <w:rPr>
          <w:rFonts w:ascii="Arial" w:hAnsi="Arial" w:cs="Arial"/>
          <w:sz w:val="22"/>
          <w:szCs w:val="22"/>
        </w:rPr>
      </w:pPr>
      <w:r w:rsidRPr="00E124F7">
        <w:rPr>
          <w:rFonts w:ascii="Arial" w:hAnsi="Arial" w:cs="Arial"/>
          <w:sz w:val="22"/>
          <w:szCs w:val="22"/>
        </w:rPr>
        <w:t xml:space="preserve">References </w:t>
      </w:r>
      <w:r w:rsidR="00D923E0">
        <w:rPr>
          <w:rFonts w:ascii="Arial" w:hAnsi="Arial" w:cs="Arial"/>
          <w:sz w:val="22"/>
          <w:szCs w:val="22"/>
        </w:rPr>
        <w:t>…………………………………………………………………………………………</w:t>
      </w:r>
      <w:r w:rsidRPr="00E124F7">
        <w:rPr>
          <w:rFonts w:ascii="Arial" w:hAnsi="Arial" w:cs="Arial"/>
          <w:sz w:val="22"/>
          <w:szCs w:val="22"/>
        </w:rPr>
        <w:t>10 - 14</w:t>
      </w:r>
    </w:p>
    <w:p w14:paraId="726C19D4" w14:textId="77777777" w:rsidR="00462F59" w:rsidRDefault="00462F59" w:rsidP="00462F59">
      <w:pPr>
        <w:spacing w:line="360" w:lineRule="auto"/>
        <w:jc w:val="both"/>
        <w:rPr>
          <w:rFonts w:ascii="Arial" w:hAnsi="Arial" w:cs="Arial"/>
          <w:b/>
          <w:bCs/>
          <w:sz w:val="22"/>
          <w:szCs w:val="22"/>
        </w:rPr>
      </w:pPr>
    </w:p>
    <w:p w14:paraId="14770C72" w14:textId="77777777" w:rsidR="00462F59" w:rsidRDefault="00462F59" w:rsidP="00462F59">
      <w:pPr>
        <w:spacing w:line="360" w:lineRule="auto"/>
        <w:jc w:val="both"/>
        <w:rPr>
          <w:rFonts w:ascii="Arial" w:hAnsi="Arial" w:cs="Arial"/>
          <w:b/>
          <w:bCs/>
          <w:sz w:val="22"/>
          <w:szCs w:val="22"/>
        </w:rPr>
      </w:pPr>
    </w:p>
    <w:p w14:paraId="49D9F271" w14:textId="77777777" w:rsidR="00462F59" w:rsidRDefault="00462F59" w:rsidP="00462F59">
      <w:pPr>
        <w:spacing w:line="360" w:lineRule="auto"/>
        <w:jc w:val="both"/>
        <w:rPr>
          <w:rFonts w:ascii="Arial" w:hAnsi="Arial" w:cs="Arial"/>
          <w:b/>
          <w:bCs/>
          <w:sz w:val="22"/>
          <w:szCs w:val="22"/>
        </w:rPr>
      </w:pPr>
    </w:p>
    <w:p w14:paraId="502C6103" w14:textId="77777777" w:rsidR="00462F59" w:rsidRDefault="00462F59" w:rsidP="00462F59">
      <w:pPr>
        <w:spacing w:line="360" w:lineRule="auto"/>
        <w:jc w:val="both"/>
        <w:rPr>
          <w:rFonts w:ascii="Arial" w:hAnsi="Arial" w:cs="Arial"/>
          <w:b/>
          <w:bCs/>
          <w:sz w:val="22"/>
          <w:szCs w:val="22"/>
        </w:rPr>
      </w:pPr>
    </w:p>
    <w:p w14:paraId="7DD0A07C" w14:textId="77777777" w:rsidR="00462F59" w:rsidRDefault="00462F59" w:rsidP="00462F59">
      <w:pPr>
        <w:spacing w:line="360" w:lineRule="auto"/>
        <w:jc w:val="both"/>
        <w:rPr>
          <w:rFonts w:ascii="Arial" w:hAnsi="Arial" w:cs="Arial"/>
          <w:b/>
          <w:bCs/>
          <w:sz w:val="22"/>
          <w:szCs w:val="22"/>
        </w:rPr>
      </w:pPr>
    </w:p>
    <w:p w14:paraId="51736E69" w14:textId="77777777" w:rsidR="00462F59" w:rsidRDefault="00462F59" w:rsidP="00462F59">
      <w:pPr>
        <w:spacing w:line="360" w:lineRule="auto"/>
        <w:jc w:val="both"/>
        <w:rPr>
          <w:rFonts w:ascii="Arial" w:hAnsi="Arial" w:cs="Arial"/>
          <w:b/>
          <w:bCs/>
          <w:sz w:val="22"/>
          <w:szCs w:val="22"/>
        </w:rPr>
      </w:pPr>
    </w:p>
    <w:p w14:paraId="73A090A7" w14:textId="77777777" w:rsidR="00462F59" w:rsidRDefault="00462F59" w:rsidP="00462F59">
      <w:pPr>
        <w:spacing w:line="360" w:lineRule="auto"/>
        <w:jc w:val="both"/>
        <w:rPr>
          <w:rFonts w:ascii="Arial" w:hAnsi="Arial" w:cs="Arial"/>
          <w:b/>
          <w:bCs/>
          <w:sz w:val="22"/>
          <w:szCs w:val="22"/>
        </w:rPr>
      </w:pPr>
    </w:p>
    <w:p w14:paraId="5D15FF48" w14:textId="77777777" w:rsidR="00462F59" w:rsidRDefault="00462F59" w:rsidP="00462F59">
      <w:pPr>
        <w:spacing w:line="360" w:lineRule="auto"/>
        <w:jc w:val="both"/>
        <w:rPr>
          <w:rFonts w:ascii="Arial" w:hAnsi="Arial" w:cs="Arial"/>
          <w:b/>
          <w:bCs/>
          <w:sz w:val="22"/>
          <w:szCs w:val="22"/>
        </w:rPr>
      </w:pPr>
    </w:p>
    <w:p w14:paraId="0BC25C72" w14:textId="77777777" w:rsidR="00462F59" w:rsidRDefault="00462F59" w:rsidP="00462F59">
      <w:pPr>
        <w:spacing w:line="360" w:lineRule="auto"/>
        <w:jc w:val="both"/>
        <w:rPr>
          <w:rFonts w:ascii="Arial" w:hAnsi="Arial" w:cs="Arial"/>
          <w:b/>
          <w:bCs/>
          <w:sz w:val="22"/>
          <w:szCs w:val="22"/>
        </w:rPr>
      </w:pPr>
    </w:p>
    <w:p w14:paraId="411C7F22" w14:textId="77777777" w:rsidR="00462F59" w:rsidRDefault="00462F59" w:rsidP="00462F59">
      <w:pPr>
        <w:spacing w:line="360" w:lineRule="auto"/>
        <w:jc w:val="both"/>
        <w:rPr>
          <w:rFonts w:ascii="Arial" w:hAnsi="Arial" w:cs="Arial"/>
          <w:b/>
          <w:bCs/>
          <w:sz w:val="22"/>
          <w:szCs w:val="22"/>
        </w:rPr>
      </w:pPr>
    </w:p>
    <w:p w14:paraId="063A385F" w14:textId="77777777" w:rsidR="00462F59" w:rsidRDefault="00462F59" w:rsidP="00462F59">
      <w:pPr>
        <w:spacing w:line="360" w:lineRule="auto"/>
        <w:jc w:val="both"/>
        <w:rPr>
          <w:rFonts w:ascii="Arial" w:hAnsi="Arial" w:cs="Arial"/>
          <w:b/>
          <w:bCs/>
          <w:sz w:val="22"/>
          <w:szCs w:val="22"/>
        </w:rPr>
      </w:pPr>
    </w:p>
    <w:p w14:paraId="1A3E89B0" w14:textId="77777777" w:rsidR="00462F59" w:rsidRDefault="00462F59" w:rsidP="00462F59">
      <w:pPr>
        <w:spacing w:line="360" w:lineRule="auto"/>
        <w:jc w:val="both"/>
        <w:rPr>
          <w:rFonts w:ascii="Arial" w:hAnsi="Arial" w:cs="Arial"/>
          <w:b/>
          <w:bCs/>
          <w:sz w:val="22"/>
          <w:szCs w:val="22"/>
        </w:rPr>
      </w:pPr>
    </w:p>
    <w:p w14:paraId="45A0DDAE" w14:textId="77777777" w:rsidR="00462F59" w:rsidRDefault="00462F59" w:rsidP="00462F59">
      <w:pPr>
        <w:spacing w:line="360" w:lineRule="auto"/>
        <w:jc w:val="both"/>
        <w:rPr>
          <w:rFonts w:ascii="Arial" w:hAnsi="Arial" w:cs="Arial"/>
          <w:b/>
          <w:bCs/>
          <w:sz w:val="22"/>
          <w:szCs w:val="22"/>
        </w:rPr>
      </w:pPr>
    </w:p>
    <w:p w14:paraId="0E8CFCC8" w14:textId="77777777" w:rsidR="00462F59" w:rsidRDefault="00462F59" w:rsidP="00462F59">
      <w:pPr>
        <w:spacing w:line="360" w:lineRule="auto"/>
        <w:jc w:val="both"/>
        <w:rPr>
          <w:rFonts w:ascii="Arial" w:hAnsi="Arial" w:cs="Arial"/>
          <w:b/>
          <w:bCs/>
          <w:sz w:val="22"/>
          <w:szCs w:val="22"/>
        </w:rPr>
      </w:pPr>
    </w:p>
    <w:p w14:paraId="385A1DCF" w14:textId="5F20AE85" w:rsidR="00570E1A" w:rsidRPr="00D923E0" w:rsidRDefault="00570E1A" w:rsidP="00D923E0">
      <w:pPr>
        <w:pStyle w:val="ListParagraph"/>
        <w:numPr>
          <w:ilvl w:val="0"/>
          <w:numId w:val="2"/>
        </w:numPr>
        <w:spacing w:line="360" w:lineRule="auto"/>
        <w:jc w:val="both"/>
        <w:rPr>
          <w:rFonts w:ascii="Arial" w:hAnsi="Arial" w:cs="Arial"/>
          <w:b/>
          <w:bCs/>
          <w:sz w:val="22"/>
          <w:szCs w:val="22"/>
        </w:rPr>
      </w:pPr>
      <w:r w:rsidRPr="00D923E0">
        <w:rPr>
          <w:rFonts w:ascii="Arial" w:hAnsi="Arial" w:cs="Arial"/>
          <w:b/>
          <w:bCs/>
          <w:sz w:val="22"/>
          <w:szCs w:val="22"/>
        </w:rPr>
        <w:t>Introduction</w:t>
      </w:r>
    </w:p>
    <w:p w14:paraId="0D6652C5" w14:textId="6EAE5988" w:rsidR="00570E1A" w:rsidRPr="00570E1A" w:rsidRDefault="00570E1A" w:rsidP="00570E1A">
      <w:pPr>
        <w:spacing w:line="360" w:lineRule="auto"/>
        <w:jc w:val="both"/>
        <w:rPr>
          <w:rFonts w:ascii="Arial" w:hAnsi="Arial" w:cs="Arial"/>
          <w:sz w:val="22"/>
          <w:szCs w:val="22"/>
        </w:rPr>
      </w:pPr>
      <w:r w:rsidRPr="00570E1A">
        <w:rPr>
          <w:rFonts w:ascii="Arial" w:hAnsi="Arial" w:cs="Arial"/>
          <w:sz w:val="22"/>
          <w:szCs w:val="22"/>
        </w:rPr>
        <w:t>Digital transformation has become increasingly important in improving access, efficiency and quality of care within the United Kingdom’s health and social care system</w:t>
      </w:r>
      <w:r w:rsidR="005C6F03">
        <w:rPr>
          <w:rFonts w:ascii="Arial" w:hAnsi="Arial" w:cs="Arial"/>
          <w:sz w:val="22"/>
          <w:szCs w:val="22"/>
        </w:rPr>
        <w:t xml:space="preserve"> (</w:t>
      </w:r>
      <w:proofErr w:type="spellStart"/>
      <w:r w:rsidR="005C6F03" w:rsidRPr="00E64DB0">
        <w:rPr>
          <w:rFonts w:ascii="Arial" w:hAnsi="Arial" w:cs="Arial"/>
          <w:sz w:val="22"/>
          <w:szCs w:val="22"/>
        </w:rPr>
        <w:t>Rousaki</w:t>
      </w:r>
      <w:proofErr w:type="spellEnd"/>
      <w:r w:rsidR="005C6F03">
        <w:rPr>
          <w:rFonts w:ascii="Arial" w:hAnsi="Arial" w:cs="Arial"/>
          <w:sz w:val="22"/>
          <w:szCs w:val="22"/>
        </w:rPr>
        <w:t xml:space="preserve"> et al., 2024). </w:t>
      </w:r>
      <w:r w:rsidRPr="00570E1A">
        <w:rPr>
          <w:rFonts w:ascii="Arial" w:hAnsi="Arial" w:cs="Arial"/>
          <w:sz w:val="22"/>
          <w:szCs w:val="22"/>
        </w:rPr>
        <w:t>The National Health Service has adopted a range of digital technologies in response to growing service demand, workforce pressures and changing patient expectations</w:t>
      </w:r>
      <w:r w:rsidR="005C6F03">
        <w:rPr>
          <w:rFonts w:ascii="Arial" w:hAnsi="Arial" w:cs="Arial"/>
          <w:sz w:val="22"/>
          <w:szCs w:val="22"/>
        </w:rPr>
        <w:t xml:space="preserve"> (</w:t>
      </w:r>
      <w:r w:rsidR="005C6F03" w:rsidRPr="00E64DB0">
        <w:rPr>
          <w:rFonts w:ascii="Arial" w:hAnsi="Arial" w:cs="Arial"/>
          <w:sz w:val="22"/>
          <w:szCs w:val="22"/>
        </w:rPr>
        <w:t>Health and Social Care Committee</w:t>
      </w:r>
      <w:r w:rsidR="005C6F03">
        <w:rPr>
          <w:rFonts w:ascii="Arial" w:hAnsi="Arial" w:cs="Arial"/>
          <w:sz w:val="22"/>
          <w:szCs w:val="22"/>
        </w:rPr>
        <w:t>, 2023)</w:t>
      </w:r>
      <w:r w:rsidRPr="00570E1A">
        <w:rPr>
          <w:rFonts w:ascii="Arial" w:hAnsi="Arial" w:cs="Arial"/>
          <w:sz w:val="22"/>
          <w:szCs w:val="22"/>
        </w:rPr>
        <w:t xml:space="preserve">. One </w:t>
      </w:r>
      <w:r w:rsidR="005C6F03">
        <w:rPr>
          <w:rFonts w:ascii="Arial" w:hAnsi="Arial" w:cs="Arial"/>
          <w:sz w:val="22"/>
          <w:szCs w:val="22"/>
        </w:rPr>
        <w:t xml:space="preserve">key </w:t>
      </w:r>
      <w:r w:rsidRPr="00570E1A">
        <w:rPr>
          <w:rFonts w:ascii="Arial" w:hAnsi="Arial" w:cs="Arial"/>
          <w:sz w:val="22"/>
          <w:szCs w:val="22"/>
        </w:rPr>
        <w:t xml:space="preserve">innovation is </w:t>
      </w:r>
      <w:r w:rsidR="005C6F03" w:rsidRPr="005C6F03">
        <w:rPr>
          <w:rFonts w:ascii="Arial" w:hAnsi="Arial" w:cs="Arial"/>
          <w:b/>
          <w:bCs/>
          <w:sz w:val="22"/>
          <w:szCs w:val="22"/>
        </w:rPr>
        <w:t xml:space="preserve">eMed </w:t>
      </w:r>
      <w:r w:rsidRPr="00570E1A">
        <w:rPr>
          <w:rFonts w:ascii="Arial" w:hAnsi="Arial" w:cs="Arial"/>
          <w:b/>
          <w:bCs/>
          <w:sz w:val="22"/>
          <w:szCs w:val="22"/>
        </w:rPr>
        <w:t>GP at Hand</w:t>
      </w:r>
      <w:r w:rsidRPr="00570E1A">
        <w:rPr>
          <w:rFonts w:ascii="Arial" w:hAnsi="Arial" w:cs="Arial"/>
          <w:sz w:val="22"/>
          <w:szCs w:val="22"/>
        </w:rPr>
        <w:t>, a digital first primary care service developed by Babylon Health in partnership with NHS England</w:t>
      </w:r>
      <w:r w:rsidR="005C6F03">
        <w:rPr>
          <w:rFonts w:ascii="Arial" w:hAnsi="Arial" w:cs="Arial"/>
          <w:sz w:val="22"/>
          <w:szCs w:val="22"/>
        </w:rPr>
        <w:t xml:space="preserve"> (NHS England, 2018)</w:t>
      </w:r>
      <w:r w:rsidRPr="00570E1A">
        <w:rPr>
          <w:rFonts w:ascii="Arial" w:hAnsi="Arial" w:cs="Arial"/>
          <w:sz w:val="22"/>
          <w:szCs w:val="22"/>
        </w:rPr>
        <w:t xml:space="preserve">. Introduced in 2017, the service allows patients to register with a general practice and access consultations mainly through mobile </w:t>
      </w:r>
      <w:r w:rsidRPr="00570E1A">
        <w:rPr>
          <w:rFonts w:ascii="Arial" w:hAnsi="Arial" w:cs="Arial"/>
          <w:sz w:val="22"/>
          <w:szCs w:val="22"/>
        </w:rPr>
        <w:t>application-based</w:t>
      </w:r>
      <w:r w:rsidRPr="00570E1A">
        <w:rPr>
          <w:rFonts w:ascii="Arial" w:hAnsi="Arial" w:cs="Arial"/>
          <w:sz w:val="22"/>
          <w:szCs w:val="22"/>
        </w:rPr>
        <w:t xml:space="preserve"> triage, artificial intelligence symptom checking and video appointments.</w:t>
      </w:r>
    </w:p>
    <w:p w14:paraId="6702D5B2" w14:textId="40BCF466" w:rsidR="00570E1A" w:rsidRPr="00570E1A" w:rsidRDefault="00570E1A" w:rsidP="00570E1A">
      <w:pPr>
        <w:spacing w:line="360" w:lineRule="auto"/>
        <w:jc w:val="both"/>
        <w:rPr>
          <w:rFonts w:ascii="Arial" w:hAnsi="Arial" w:cs="Arial"/>
          <w:sz w:val="22"/>
          <w:szCs w:val="22"/>
        </w:rPr>
      </w:pPr>
      <w:r w:rsidRPr="00570E1A">
        <w:rPr>
          <w:rFonts w:ascii="Arial" w:hAnsi="Arial" w:cs="Arial"/>
          <w:sz w:val="22"/>
          <w:szCs w:val="22"/>
        </w:rPr>
        <w:t>This report critically evaluates the implementation of GP at Hand within NHS primary care. The discussion assesses its impact on the healthcare workforce, service delivery processes, patient experience and wider community outcomes. Both positive outcomes and emerging challenges are examined to determine whether digital first primary care represents a sustainable transformation for modern health services.</w:t>
      </w:r>
    </w:p>
    <w:p w14:paraId="06855D52" w14:textId="6320B9BD" w:rsidR="00570E1A" w:rsidRPr="00570E1A" w:rsidRDefault="00570E1A" w:rsidP="00570E1A">
      <w:pPr>
        <w:spacing w:line="360" w:lineRule="auto"/>
        <w:jc w:val="both"/>
        <w:rPr>
          <w:rFonts w:ascii="Arial" w:hAnsi="Arial" w:cs="Arial"/>
          <w:b/>
          <w:bCs/>
          <w:sz w:val="22"/>
          <w:szCs w:val="22"/>
        </w:rPr>
      </w:pPr>
      <w:r w:rsidRPr="00570E1A">
        <w:rPr>
          <w:rFonts w:ascii="Arial" w:hAnsi="Arial" w:cs="Arial"/>
          <w:b/>
          <w:bCs/>
          <w:sz w:val="22"/>
          <w:szCs w:val="22"/>
        </w:rPr>
        <w:t xml:space="preserve">2. Overview of </w:t>
      </w:r>
      <w:r w:rsidR="005C6F03" w:rsidRPr="005C6F03">
        <w:rPr>
          <w:rFonts w:ascii="Arial" w:hAnsi="Arial" w:cs="Arial"/>
          <w:b/>
          <w:bCs/>
          <w:sz w:val="22"/>
          <w:szCs w:val="22"/>
        </w:rPr>
        <w:t>eMed GP at Hand</w:t>
      </w:r>
    </w:p>
    <w:p w14:paraId="4AC8450C" w14:textId="4ED35108" w:rsidR="008C4B6C" w:rsidRDefault="008C4B6C" w:rsidP="008C4B6C">
      <w:pPr>
        <w:spacing w:line="360" w:lineRule="auto"/>
        <w:jc w:val="both"/>
        <w:rPr>
          <w:rFonts w:ascii="Arial" w:hAnsi="Arial" w:cs="Arial"/>
          <w:sz w:val="22"/>
          <w:szCs w:val="22"/>
        </w:rPr>
      </w:pPr>
      <w:r w:rsidRPr="008C4B6C">
        <w:rPr>
          <w:rFonts w:ascii="Arial" w:hAnsi="Arial" w:cs="Arial"/>
          <w:sz w:val="22"/>
          <w:szCs w:val="22"/>
        </w:rPr>
        <w:t xml:space="preserve">GP at Hand was introduced in 2017 as a digital first general practice service delivered through a partnership between Babylon Health and NHS England. </w:t>
      </w:r>
      <w:r w:rsidR="00180ECE" w:rsidRPr="00180ECE">
        <w:rPr>
          <w:rFonts w:ascii="Arial" w:hAnsi="Arial" w:cs="Arial"/>
          <w:sz w:val="22"/>
          <w:szCs w:val="22"/>
        </w:rPr>
        <w:t>GP at Hand reconfigured access to primary care by transferring initial patient contact from physical reception systems to digitally mediated consultation pathways</w:t>
      </w:r>
      <w:r>
        <w:rPr>
          <w:rFonts w:ascii="Arial" w:hAnsi="Arial" w:cs="Arial"/>
          <w:sz w:val="22"/>
          <w:szCs w:val="22"/>
        </w:rPr>
        <w:t xml:space="preserve"> (NHS England, 2018)</w:t>
      </w:r>
      <w:r w:rsidRPr="008C4B6C">
        <w:rPr>
          <w:rFonts w:ascii="Arial" w:hAnsi="Arial" w:cs="Arial"/>
          <w:sz w:val="22"/>
          <w:szCs w:val="22"/>
        </w:rPr>
        <w:t>. Patients can complete symptom questionnaires, receive triage guidance and consult clinicians through video or telephone appointments, while in-person consultations remain available when required (</w:t>
      </w:r>
      <w:r w:rsidRPr="00B1562B">
        <w:rPr>
          <w:rFonts w:ascii="Arial" w:hAnsi="Arial" w:cs="Arial"/>
          <w:sz w:val="22"/>
          <w:szCs w:val="22"/>
        </w:rPr>
        <w:t>Shahzad &amp; King</w:t>
      </w:r>
      <w:r>
        <w:rPr>
          <w:rFonts w:ascii="Arial" w:hAnsi="Arial" w:cs="Arial"/>
          <w:sz w:val="22"/>
          <w:szCs w:val="22"/>
        </w:rPr>
        <w:t xml:space="preserve">, 2026) </w:t>
      </w:r>
      <w:r w:rsidR="002C0CBD" w:rsidRPr="002C0CBD">
        <w:rPr>
          <w:rFonts w:ascii="Arial" w:hAnsi="Arial" w:cs="Arial"/>
          <w:sz w:val="22"/>
          <w:szCs w:val="22"/>
        </w:rPr>
        <w:t>The digital first model is delivered through an application interface enabling appointment booking, remote consultations and prescription management (see Figure 1)</w:t>
      </w:r>
      <w:r>
        <w:rPr>
          <w:rFonts w:ascii="Arial" w:hAnsi="Arial" w:cs="Arial"/>
          <w:sz w:val="22"/>
          <w:szCs w:val="22"/>
        </w:rPr>
        <w:t xml:space="preserve">. </w:t>
      </w:r>
      <w:r w:rsidRPr="008C4B6C">
        <w:rPr>
          <w:rFonts w:ascii="Arial" w:hAnsi="Arial" w:cs="Arial"/>
          <w:sz w:val="22"/>
          <w:szCs w:val="22"/>
        </w:rPr>
        <w:t>The development of GP at Hand followed growing concern about increasing pressure on general practice, including rising consultation demand, workforce shortages and limited appointment availability</w:t>
      </w:r>
      <w:r>
        <w:rPr>
          <w:rFonts w:ascii="Arial" w:hAnsi="Arial" w:cs="Arial"/>
          <w:sz w:val="22"/>
          <w:szCs w:val="22"/>
        </w:rPr>
        <w:t xml:space="preserve"> (NHS England, 2019</w:t>
      </w:r>
      <w:r w:rsidR="0026223D">
        <w:rPr>
          <w:rFonts w:ascii="Arial" w:hAnsi="Arial" w:cs="Arial"/>
          <w:sz w:val="22"/>
          <w:szCs w:val="22"/>
        </w:rPr>
        <w:t>a</w:t>
      </w:r>
      <w:r>
        <w:rPr>
          <w:rFonts w:ascii="Arial" w:hAnsi="Arial" w:cs="Arial"/>
          <w:sz w:val="22"/>
          <w:szCs w:val="22"/>
        </w:rPr>
        <w:t>)</w:t>
      </w:r>
      <w:r w:rsidRPr="008C4B6C">
        <w:rPr>
          <w:rFonts w:ascii="Arial" w:hAnsi="Arial" w:cs="Arial"/>
          <w:sz w:val="22"/>
          <w:szCs w:val="22"/>
        </w:rPr>
        <w:t xml:space="preserve">. NHS policy during this period promoted online consultation systems </w:t>
      </w:r>
      <w:r w:rsidRPr="008C4B6C">
        <w:rPr>
          <w:rFonts w:ascii="Arial" w:hAnsi="Arial" w:cs="Arial"/>
          <w:sz w:val="22"/>
          <w:szCs w:val="22"/>
        </w:rPr>
        <w:t>to</w:t>
      </w:r>
      <w:r w:rsidRPr="008C4B6C">
        <w:rPr>
          <w:rFonts w:ascii="Arial" w:hAnsi="Arial" w:cs="Arial"/>
          <w:sz w:val="22"/>
          <w:szCs w:val="22"/>
        </w:rPr>
        <w:t xml:space="preserve"> improve access and manage workload more effectively (NHS England, 2019</w:t>
      </w:r>
      <w:r w:rsidR="0026223D">
        <w:rPr>
          <w:rFonts w:ascii="Arial" w:hAnsi="Arial" w:cs="Arial"/>
          <w:sz w:val="22"/>
          <w:szCs w:val="22"/>
        </w:rPr>
        <w:t>a</w:t>
      </w:r>
      <w:r w:rsidRPr="008C4B6C">
        <w:rPr>
          <w:rFonts w:ascii="Arial" w:hAnsi="Arial" w:cs="Arial"/>
          <w:sz w:val="22"/>
          <w:szCs w:val="22"/>
        </w:rPr>
        <w:t>). Digital triage was intended to ensure that patients were directed to the most appropriate form of care before clinician contact, potentially reducing unnecessary face-to-face appointments (</w:t>
      </w:r>
      <w:r>
        <w:rPr>
          <w:rFonts w:ascii="Arial" w:hAnsi="Arial" w:cs="Arial"/>
          <w:sz w:val="22"/>
          <w:szCs w:val="22"/>
        </w:rPr>
        <w:t>Park et al., 2025).</w:t>
      </w:r>
    </w:p>
    <w:p w14:paraId="021A9DDD" w14:textId="77777777" w:rsidR="008C4B6C" w:rsidRDefault="008C4B6C" w:rsidP="008C4B6C">
      <w:pPr>
        <w:spacing w:line="360" w:lineRule="auto"/>
        <w:jc w:val="both"/>
        <w:rPr>
          <w:rFonts w:ascii="Arial" w:hAnsi="Arial" w:cs="Arial"/>
          <w:sz w:val="22"/>
          <w:szCs w:val="22"/>
        </w:rPr>
      </w:pPr>
    </w:p>
    <w:p w14:paraId="01D2C185" w14:textId="7880AC1A" w:rsidR="008C4B6C" w:rsidRDefault="008C4B6C" w:rsidP="008C4B6C">
      <w:pPr>
        <w:spacing w:line="360" w:lineRule="auto"/>
        <w:jc w:val="both"/>
        <w:rPr>
          <w:rFonts w:ascii="Arial" w:hAnsi="Arial" w:cs="Arial"/>
          <w:sz w:val="22"/>
          <w:szCs w:val="22"/>
        </w:rPr>
      </w:pPr>
      <w:r>
        <w:rPr>
          <w:rFonts w:ascii="Arial" w:hAnsi="Arial" w:cs="Arial"/>
          <w:sz w:val="22"/>
          <w:szCs w:val="22"/>
        </w:rPr>
        <w:t>Fig 1</w:t>
      </w:r>
      <w:r w:rsidR="002C0CBD">
        <w:rPr>
          <w:rFonts w:ascii="Arial" w:hAnsi="Arial" w:cs="Arial"/>
          <w:sz w:val="22"/>
          <w:szCs w:val="22"/>
        </w:rPr>
        <w:t xml:space="preserve">: </w:t>
      </w:r>
      <w:r w:rsidR="002C0CBD" w:rsidRPr="002C0CBD">
        <w:rPr>
          <w:rFonts w:ascii="Arial" w:hAnsi="Arial" w:cs="Arial"/>
          <w:sz w:val="22"/>
          <w:szCs w:val="22"/>
        </w:rPr>
        <w:t>GP at Hand digital first primary care service interface and key features.</w:t>
      </w:r>
    </w:p>
    <w:p w14:paraId="2D6838C1" w14:textId="63D11497" w:rsidR="002C0CBD" w:rsidRDefault="002C0CBD" w:rsidP="002C0CBD">
      <w:pPr>
        <w:spacing w:line="360" w:lineRule="auto"/>
        <w:jc w:val="center"/>
        <w:rPr>
          <w:rFonts w:ascii="Arial" w:hAnsi="Arial" w:cs="Arial"/>
          <w:sz w:val="22"/>
          <w:szCs w:val="22"/>
        </w:rPr>
      </w:pPr>
      <w:r w:rsidRPr="00BA50C6">
        <w:drawing>
          <wp:inline distT="0" distB="0" distL="0" distR="0" wp14:anchorId="670FCAE8" wp14:editId="4133BAB5">
            <wp:extent cx="4444779" cy="4377348"/>
            <wp:effectExtent l="0" t="0" r="0" b="4445"/>
            <wp:docPr id="2050758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758209" name=""/>
                    <pic:cNvPicPr/>
                  </pic:nvPicPr>
                  <pic:blipFill>
                    <a:blip r:embed="rId7"/>
                    <a:stretch>
                      <a:fillRect/>
                    </a:stretch>
                  </pic:blipFill>
                  <pic:spPr>
                    <a:xfrm>
                      <a:off x="0" y="0"/>
                      <a:ext cx="4458359" cy="4390722"/>
                    </a:xfrm>
                    <a:prstGeom prst="rect">
                      <a:avLst/>
                    </a:prstGeom>
                  </pic:spPr>
                </pic:pic>
              </a:graphicData>
            </a:graphic>
          </wp:inline>
        </w:drawing>
      </w:r>
    </w:p>
    <w:p w14:paraId="63A7C0E9" w14:textId="1552FA89" w:rsidR="002C0CBD" w:rsidRPr="002C0CBD" w:rsidRDefault="002C0CBD" w:rsidP="002C0CBD">
      <w:pPr>
        <w:spacing w:line="360" w:lineRule="auto"/>
        <w:jc w:val="center"/>
        <w:rPr>
          <w:rFonts w:ascii="Arial" w:hAnsi="Arial" w:cs="Arial"/>
          <w:sz w:val="22"/>
          <w:szCs w:val="22"/>
        </w:rPr>
      </w:pPr>
      <w:r w:rsidRPr="002C0CBD">
        <w:rPr>
          <w:rFonts w:ascii="Arial" w:hAnsi="Arial" w:cs="Arial"/>
          <w:sz w:val="22"/>
          <w:szCs w:val="22"/>
        </w:rPr>
        <w:t>Source: GP at Hand (2024).</w:t>
      </w:r>
    </w:p>
    <w:p w14:paraId="54FA9BBD" w14:textId="38EB29A4" w:rsidR="00FF73F5" w:rsidRDefault="008C4B6C" w:rsidP="008C4B6C">
      <w:pPr>
        <w:spacing w:line="360" w:lineRule="auto"/>
        <w:jc w:val="both"/>
        <w:rPr>
          <w:rFonts w:ascii="Arial" w:hAnsi="Arial" w:cs="Arial"/>
          <w:sz w:val="22"/>
          <w:szCs w:val="22"/>
        </w:rPr>
      </w:pPr>
      <w:r w:rsidRPr="008C4B6C">
        <w:rPr>
          <w:rFonts w:ascii="Arial" w:hAnsi="Arial" w:cs="Arial"/>
          <w:sz w:val="22"/>
          <w:szCs w:val="22"/>
        </w:rPr>
        <w:t>Patient registration increased rapidly after launch, and GP at Hand became the largest GP practice in England within a few years</w:t>
      </w:r>
      <w:r w:rsidR="002C0CBD">
        <w:rPr>
          <w:rFonts w:ascii="Arial" w:hAnsi="Arial" w:cs="Arial"/>
          <w:sz w:val="22"/>
          <w:szCs w:val="22"/>
        </w:rPr>
        <w:t xml:space="preserve"> (</w:t>
      </w:r>
      <w:r w:rsidR="002C0CBD" w:rsidRPr="003F55FB">
        <w:rPr>
          <w:rFonts w:ascii="Arial" w:hAnsi="Arial" w:cs="Arial"/>
          <w:sz w:val="22"/>
          <w:szCs w:val="22"/>
        </w:rPr>
        <w:t>Browne</w:t>
      </w:r>
      <w:r w:rsidR="002C0CBD">
        <w:rPr>
          <w:rFonts w:ascii="Arial" w:hAnsi="Arial" w:cs="Arial"/>
          <w:sz w:val="22"/>
          <w:szCs w:val="22"/>
        </w:rPr>
        <w:t xml:space="preserve">, 2019 &amp; </w:t>
      </w:r>
      <w:proofErr w:type="spellStart"/>
      <w:r w:rsidR="002C0CBD" w:rsidRPr="003F55FB">
        <w:rPr>
          <w:rFonts w:ascii="Arial" w:hAnsi="Arial" w:cs="Arial"/>
          <w:sz w:val="22"/>
          <w:szCs w:val="22"/>
        </w:rPr>
        <w:t>GPonline</w:t>
      </w:r>
      <w:proofErr w:type="spellEnd"/>
      <w:r w:rsidR="002C0CBD">
        <w:rPr>
          <w:rFonts w:ascii="Arial" w:hAnsi="Arial" w:cs="Arial"/>
          <w:sz w:val="22"/>
          <w:szCs w:val="22"/>
        </w:rPr>
        <w:t xml:space="preserve">, 2020). </w:t>
      </w:r>
      <w:r w:rsidRPr="008C4B6C">
        <w:rPr>
          <w:rFonts w:ascii="Arial" w:hAnsi="Arial" w:cs="Arial"/>
          <w:sz w:val="22"/>
          <w:szCs w:val="22"/>
        </w:rPr>
        <w:t>Uptake was particularly high among younger adults seeking faster and more flexible access to healthcare services (</w:t>
      </w:r>
      <w:r w:rsidR="00FF73F5" w:rsidRPr="00B1562B">
        <w:rPr>
          <w:rFonts w:ascii="Arial" w:hAnsi="Arial" w:cs="Arial"/>
          <w:sz w:val="22"/>
          <w:szCs w:val="22"/>
        </w:rPr>
        <w:t>Shahzad</w:t>
      </w:r>
      <w:r w:rsidR="00FF73F5">
        <w:rPr>
          <w:rFonts w:ascii="Arial" w:hAnsi="Arial" w:cs="Arial"/>
          <w:sz w:val="22"/>
          <w:szCs w:val="22"/>
        </w:rPr>
        <w:t xml:space="preserve"> </w:t>
      </w:r>
      <w:r w:rsidR="00FF73F5" w:rsidRPr="00B1562B">
        <w:rPr>
          <w:rFonts w:ascii="Arial" w:hAnsi="Arial" w:cs="Arial"/>
          <w:sz w:val="22"/>
          <w:szCs w:val="22"/>
        </w:rPr>
        <w:t>&amp; King</w:t>
      </w:r>
      <w:r w:rsidR="00FF73F5">
        <w:rPr>
          <w:rFonts w:ascii="Arial" w:hAnsi="Arial" w:cs="Arial"/>
          <w:sz w:val="22"/>
          <w:szCs w:val="22"/>
        </w:rPr>
        <w:t>, 2026</w:t>
      </w:r>
      <w:r w:rsidRPr="008C4B6C">
        <w:rPr>
          <w:rFonts w:ascii="Arial" w:hAnsi="Arial" w:cs="Arial"/>
          <w:sz w:val="22"/>
          <w:szCs w:val="22"/>
        </w:rPr>
        <w:t xml:space="preserve">). At the same time, the model attracted debate among policymakers and professional </w:t>
      </w:r>
      <w:proofErr w:type="spellStart"/>
      <w:r w:rsidRPr="008C4B6C">
        <w:rPr>
          <w:rFonts w:ascii="Arial" w:hAnsi="Arial" w:cs="Arial"/>
          <w:sz w:val="22"/>
          <w:szCs w:val="22"/>
        </w:rPr>
        <w:t>organisations</w:t>
      </w:r>
      <w:proofErr w:type="spellEnd"/>
      <w:r w:rsidRPr="008C4B6C">
        <w:rPr>
          <w:rFonts w:ascii="Arial" w:hAnsi="Arial" w:cs="Arial"/>
          <w:sz w:val="22"/>
          <w:szCs w:val="22"/>
        </w:rPr>
        <w:t xml:space="preserve"> regarding its impact on </w:t>
      </w:r>
      <w:proofErr w:type="spellStart"/>
      <w:r w:rsidRPr="008C4B6C">
        <w:rPr>
          <w:rFonts w:ascii="Arial" w:hAnsi="Arial" w:cs="Arial"/>
          <w:sz w:val="22"/>
          <w:szCs w:val="22"/>
        </w:rPr>
        <w:t>neighbouring</w:t>
      </w:r>
      <w:proofErr w:type="spellEnd"/>
      <w:r w:rsidRPr="008C4B6C">
        <w:rPr>
          <w:rFonts w:ascii="Arial" w:hAnsi="Arial" w:cs="Arial"/>
          <w:sz w:val="22"/>
          <w:szCs w:val="22"/>
        </w:rPr>
        <w:t xml:space="preserve"> practices and continuity of care</w:t>
      </w:r>
      <w:r w:rsidR="00FF73F5">
        <w:rPr>
          <w:rFonts w:ascii="Arial" w:hAnsi="Arial" w:cs="Arial"/>
          <w:sz w:val="22"/>
          <w:szCs w:val="22"/>
        </w:rPr>
        <w:t xml:space="preserve"> (</w:t>
      </w:r>
      <w:r w:rsidR="00FF73F5" w:rsidRPr="000E6E69">
        <w:rPr>
          <w:rFonts w:ascii="Arial" w:hAnsi="Arial" w:cs="Arial"/>
          <w:sz w:val="22"/>
          <w:szCs w:val="22"/>
        </w:rPr>
        <w:t xml:space="preserve">Castle </w:t>
      </w:r>
      <w:r w:rsidR="00FF73F5">
        <w:rPr>
          <w:rFonts w:ascii="Arial" w:hAnsi="Arial" w:cs="Arial"/>
          <w:sz w:val="22"/>
          <w:szCs w:val="22"/>
        </w:rPr>
        <w:t>&amp;</w:t>
      </w:r>
      <w:r w:rsidR="00FF73F5" w:rsidRPr="000E6E69">
        <w:rPr>
          <w:rFonts w:ascii="Arial" w:hAnsi="Arial" w:cs="Arial"/>
          <w:sz w:val="22"/>
          <w:szCs w:val="22"/>
        </w:rPr>
        <w:t xml:space="preserve"> Scobie</w:t>
      </w:r>
      <w:r w:rsidR="00FF73F5">
        <w:rPr>
          <w:rFonts w:ascii="Arial" w:hAnsi="Arial" w:cs="Arial"/>
          <w:sz w:val="22"/>
          <w:szCs w:val="22"/>
        </w:rPr>
        <w:t xml:space="preserve">, 2018; </w:t>
      </w:r>
      <w:r w:rsidR="00FF73F5" w:rsidRPr="000E6E69">
        <w:rPr>
          <w:rFonts w:ascii="Arial" w:hAnsi="Arial" w:cs="Arial"/>
          <w:sz w:val="22"/>
          <w:szCs w:val="22"/>
        </w:rPr>
        <w:t>Hammer</w:t>
      </w:r>
      <w:r w:rsidR="00FF73F5">
        <w:rPr>
          <w:rFonts w:ascii="Arial" w:hAnsi="Arial" w:cs="Arial"/>
          <w:sz w:val="22"/>
          <w:szCs w:val="22"/>
        </w:rPr>
        <w:t xml:space="preserve"> et al., 2019; &amp; </w:t>
      </w:r>
      <w:r w:rsidR="00FF73F5" w:rsidRPr="000E6E69">
        <w:rPr>
          <w:rFonts w:ascii="Arial" w:hAnsi="Arial" w:cs="Arial"/>
          <w:sz w:val="22"/>
          <w:szCs w:val="22"/>
        </w:rPr>
        <w:t>Salisbury</w:t>
      </w:r>
      <w:r w:rsidR="00FF73F5">
        <w:rPr>
          <w:rFonts w:ascii="Arial" w:hAnsi="Arial" w:cs="Arial"/>
          <w:sz w:val="22"/>
          <w:szCs w:val="22"/>
        </w:rPr>
        <w:t xml:space="preserve"> et al., 2020).</w:t>
      </w:r>
    </w:p>
    <w:p w14:paraId="290ED324" w14:textId="726D88A7" w:rsidR="008C4B6C" w:rsidRPr="008C4B6C" w:rsidRDefault="008C4B6C" w:rsidP="008C4B6C">
      <w:pPr>
        <w:spacing w:line="360" w:lineRule="auto"/>
        <w:jc w:val="both"/>
        <w:rPr>
          <w:rFonts w:ascii="Arial" w:hAnsi="Arial" w:cs="Arial"/>
          <w:sz w:val="22"/>
          <w:szCs w:val="22"/>
        </w:rPr>
      </w:pPr>
      <w:r w:rsidRPr="008C4B6C">
        <w:rPr>
          <w:rFonts w:ascii="Arial" w:hAnsi="Arial" w:cs="Arial"/>
          <w:sz w:val="22"/>
          <w:szCs w:val="22"/>
        </w:rPr>
        <w:t xml:space="preserve">In 2023, following financial difficulties affecting Babylon Health internationally, the NHS service continued under new ownership and was renamed </w:t>
      </w:r>
      <w:r w:rsidRPr="008C4B6C">
        <w:rPr>
          <w:rFonts w:ascii="Arial" w:hAnsi="Arial" w:cs="Arial"/>
          <w:b/>
          <w:bCs/>
          <w:sz w:val="22"/>
          <w:szCs w:val="22"/>
        </w:rPr>
        <w:t>eMed GP at Hand</w:t>
      </w:r>
      <w:r w:rsidRPr="008C4B6C">
        <w:rPr>
          <w:rFonts w:ascii="Arial" w:hAnsi="Arial" w:cs="Arial"/>
          <w:sz w:val="22"/>
          <w:szCs w:val="22"/>
        </w:rPr>
        <w:t>. The service remains operational within the NHS, although at a reduced scale compared with its period of rapid expansion (P</w:t>
      </w:r>
      <w:r w:rsidR="00FF73F5">
        <w:rPr>
          <w:rFonts w:ascii="Arial" w:hAnsi="Arial" w:cs="Arial"/>
          <w:sz w:val="22"/>
          <w:szCs w:val="22"/>
        </w:rPr>
        <w:t>arr,</w:t>
      </w:r>
      <w:r w:rsidRPr="008C4B6C">
        <w:rPr>
          <w:rFonts w:ascii="Arial" w:hAnsi="Arial" w:cs="Arial"/>
          <w:sz w:val="22"/>
          <w:szCs w:val="22"/>
        </w:rPr>
        <w:t xml:space="preserve"> 2023</w:t>
      </w:r>
      <w:r w:rsidR="005D3DE5">
        <w:rPr>
          <w:rFonts w:ascii="Arial" w:hAnsi="Arial" w:cs="Arial"/>
          <w:sz w:val="22"/>
          <w:szCs w:val="22"/>
        </w:rPr>
        <w:t xml:space="preserve"> &amp; </w:t>
      </w:r>
      <w:r w:rsidR="005D3DE5" w:rsidRPr="000E6E69">
        <w:rPr>
          <w:rFonts w:ascii="Arial" w:hAnsi="Arial" w:cs="Arial"/>
          <w:sz w:val="22"/>
          <w:szCs w:val="22"/>
        </w:rPr>
        <w:t>Muoio,</w:t>
      </w:r>
      <w:r w:rsidR="005D3DE5">
        <w:rPr>
          <w:rFonts w:ascii="Arial" w:hAnsi="Arial" w:cs="Arial"/>
          <w:sz w:val="22"/>
          <w:szCs w:val="22"/>
        </w:rPr>
        <w:t xml:space="preserve"> 2023). </w:t>
      </w:r>
      <w:r w:rsidRPr="008C4B6C">
        <w:rPr>
          <w:rFonts w:ascii="Arial" w:hAnsi="Arial" w:cs="Arial"/>
          <w:sz w:val="22"/>
          <w:szCs w:val="22"/>
        </w:rPr>
        <w:t xml:space="preserve">These developments provide important background for evaluating how digital innovations operate in practice once initial implementation pressures, </w:t>
      </w:r>
      <w:proofErr w:type="spellStart"/>
      <w:r w:rsidRPr="008C4B6C">
        <w:rPr>
          <w:rFonts w:ascii="Arial" w:hAnsi="Arial" w:cs="Arial"/>
          <w:sz w:val="22"/>
          <w:szCs w:val="22"/>
        </w:rPr>
        <w:t>organisational</w:t>
      </w:r>
      <w:proofErr w:type="spellEnd"/>
      <w:r w:rsidRPr="008C4B6C">
        <w:rPr>
          <w:rFonts w:ascii="Arial" w:hAnsi="Arial" w:cs="Arial"/>
          <w:sz w:val="22"/>
          <w:szCs w:val="22"/>
        </w:rPr>
        <w:t xml:space="preserve"> changes and system constraints emerge.</w:t>
      </w:r>
    </w:p>
    <w:p w14:paraId="062980C0" w14:textId="5D2834BF" w:rsidR="001C2E3A" w:rsidRDefault="001C2E3A" w:rsidP="00570E1A">
      <w:pPr>
        <w:spacing w:line="360" w:lineRule="auto"/>
        <w:jc w:val="both"/>
        <w:rPr>
          <w:rFonts w:ascii="Arial" w:hAnsi="Arial" w:cs="Arial"/>
          <w:b/>
          <w:bCs/>
          <w:sz w:val="22"/>
          <w:szCs w:val="22"/>
        </w:rPr>
      </w:pPr>
      <w:r>
        <w:rPr>
          <w:rFonts w:ascii="Arial" w:hAnsi="Arial" w:cs="Arial"/>
          <w:b/>
          <w:bCs/>
          <w:sz w:val="22"/>
          <w:szCs w:val="22"/>
        </w:rPr>
        <w:t xml:space="preserve">3. </w:t>
      </w:r>
      <w:r w:rsidRPr="001C2E3A">
        <w:rPr>
          <w:rFonts w:ascii="Arial" w:hAnsi="Arial" w:cs="Arial"/>
          <w:b/>
          <w:bCs/>
          <w:sz w:val="22"/>
          <w:szCs w:val="22"/>
        </w:rPr>
        <w:t>Digital Innovation and the Reconfiguration of NHS Primary Care</w:t>
      </w:r>
    </w:p>
    <w:p w14:paraId="18B8DC7D" w14:textId="33B6C828" w:rsidR="00570E1A" w:rsidRPr="00570E1A" w:rsidRDefault="00570E1A" w:rsidP="00570E1A">
      <w:pPr>
        <w:spacing w:line="360" w:lineRule="auto"/>
        <w:jc w:val="both"/>
        <w:rPr>
          <w:rFonts w:ascii="Arial" w:hAnsi="Arial" w:cs="Arial"/>
          <w:b/>
          <w:bCs/>
          <w:sz w:val="22"/>
          <w:szCs w:val="22"/>
        </w:rPr>
      </w:pPr>
      <w:r w:rsidRPr="00570E1A">
        <w:rPr>
          <w:rFonts w:ascii="Arial" w:hAnsi="Arial" w:cs="Arial"/>
          <w:b/>
          <w:bCs/>
          <w:sz w:val="22"/>
          <w:szCs w:val="22"/>
        </w:rPr>
        <w:t xml:space="preserve">3.1 Workforce Impact </w:t>
      </w:r>
    </w:p>
    <w:p w14:paraId="6EB64F3B" w14:textId="0CB82C8E" w:rsidR="00630DB4" w:rsidRDefault="00630DB4" w:rsidP="00570E1A">
      <w:pPr>
        <w:spacing w:line="360" w:lineRule="auto"/>
        <w:jc w:val="both"/>
        <w:rPr>
          <w:rFonts w:ascii="Arial" w:hAnsi="Arial" w:cs="Arial"/>
          <w:sz w:val="22"/>
          <w:szCs w:val="22"/>
        </w:rPr>
      </w:pPr>
      <w:r w:rsidRPr="00630DB4">
        <w:rPr>
          <w:rFonts w:ascii="Arial" w:hAnsi="Arial" w:cs="Arial"/>
          <w:sz w:val="22"/>
          <w:szCs w:val="22"/>
        </w:rPr>
        <w:t>The implementation of GP at Hand introduced measurable changes to workforce organisation, professional roles and required competencies within NHS primary care. Digital first consultation models altered traditional patterns of general practice by shifting a proportion of clinical interaction from physical surgeries to remote environments (NHS England, 2019</w:t>
      </w:r>
      <w:r>
        <w:rPr>
          <w:rFonts w:ascii="Arial" w:hAnsi="Arial" w:cs="Arial"/>
          <w:sz w:val="22"/>
          <w:szCs w:val="22"/>
        </w:rPr>
        <w:t>b</w:t>
      </w:r>
      <w:r w:rsidRPr="00630DB4">
        <w:rPr>
          <w:rFonts w:ascii="Arial" w:hAnsi="Arial" w:cs="Arial"/>
          <w:sz w:val="22"/>
          <w:szCs w:val="22"/>
        </w:rPr>
        <w:t>; Greenhalgh et al., 2018; Baird et al., 2018; Salisbury, 2020).</w:t>
      </w:r>
      <w:r>
        <w:rPr>
          <w:rFonts w:ascii="Arial" w:hAnsi="Arial" w:cs="Arial"/>
          <w:sz w:val="22"/>
          <w:szCs w:val="22"/>
        </w:rPr>
        <w:t xml:space="preserve"> </w:t>
      </w:r>
      <w:r w:rsidR="00570E1A" w:rsidRPr="00570E1A">
        <w:rPr>
          <w:rFonts w:ascii="Arial" w:hAnsi="Arial" w:cs="Arial"/>
          <w:sz w:val="22"/>
          <w:szCs w:val="22"/>
        </w:rPr>
        <w:t>Clinicians delivering care through the GP at Hand platform conduct consultations primarily via video or telephone</w:t>
      </w:r>
      <w:r w:rsidR="0026223D">
        <w:rPr>
          <w:rFonts w:ascii="Arial" w:hAnsi="Arial" w:cs="Arial"/>
          <w:sz w:val="22"/>
          <w:szCs w:val="22"/>
        </w:rPr>
        <w:t xml:space="preserve"> (as shown in fig 1)</w:t>
      </w:r>
      <w:r w:rsidR="00570E1A" w:rsidRPr="00570E1A">
        <w:rPr>
          <w:rFonts w:ascii="Arial" w:hAnsi="Arial" w:cs="Arial"/>
          <w:sz w:val="22"/>
          <w:szCs w:val="22"/>
        </w:rPr>
        <w:t>, requiring adaptation of clinical assessment techniques that previously relied on physical examination.</w:t>
      </w:r>
      <w:r>
        <w:rPr>
          <w:rFonts w:ascii="Arial" w:hAnsi="Arial" w:cs="Arial"/>
          <w:sz w:val="22"/>
          <w:szCs w:val="22"/>
        </w:rPr>
        <w:t xml:space="preserve"> </w:t>
      </w:r>
      <w:r w:rsidRPr="00630DB4">
        <w:rPr>
          <w:rFonts w:ascii="Arial" w:hAnsi="Arial" w:cs="Arial"/>
          <w:sz w:val="22"/>
          <w:szCs w:val="22"/>
        </w:rPr>
        <w:t>Evidence indicates that remote consultations demand enhanced communication skills, digital literacy and clinical decision making under conditions of reduced visual and physical diagnostic information (Greenhalgh et al., 2018; Greenhalgh et al., 2020; RCGP, 2020).</w:t>
      </w:r>
    </w:p>
    <w:p w14:paraId="46D75976" w14:textId="02F63735" w:rsidR="00630DB4" w:rsidRDefault="00570E1A" w:rsidP="00570E1A">
      <w:pPr>
        <w:spacing w:line="360" w:lineRule="auto"/>
        <w:jc w:val="both"/>
        <w:rPr>
          <w:rFonts w:ascii="Arial" w:hAnsi="Arial" w:cs="Arial"/>
          <w:sz w:val="22"/>
          <w:szCs w:val="22"/>
        </w:rPr>
      </w:pPr>
      <w:r w:rsidRPr="00570E1A">
        <w:rPr>
          <w:rFonts w:ascii="Arial" w:hAnsi="Arial" w:cs="Arial"/>
          <w:sz w:val="22"/>
          <w:szCs w:val="22"/>
        </w:rPr>
        <w:t>Policy developments within NHS England encouraged adoption of online consultation systems to support workforce sustainability and manage rising patient demand</w:t>
      </w:r>
      <w:r w:rsidR="00630DB4">
        <w:rPr>
          <w:rFonts w:ascii="Arial" w:hAnsi="Arial" w:cs="Arial"/>
          <w:sz w:val="22"/>
          <w:szCs w:val="22"/>
        </w:rPr>
        <w:t xml:space="preserve"> (NHS England, 2019a &amp; 2019b)</w:t>
      </w:r>
      <w:r w:rsidRPr="00570E1A">
        <w:rPr>
          <w:rFonts w:ascii="Arial" w:hAnsi="Arial" w:cs="Arial"/>
          <w:sz w:val="22"/>
          <w:szCs w:val="22"/>
        </w:rPr>
        <w:t xml:space="preserve">. Digital triage systems embedded within GP at Hand were intended to redistribute workload by directing administrative requests and minor conditions away from general practitioners toward </w:t>
      </w:r>
      <w:r w:rsidR="00630DB4" w:rsidRPr="00570E1A">
        <w:rPr>
          <w:rFonts w:ascii="Arial" w:hAnsi="Arial" w:cs="Arial"/>
          <w:sz w:val="22"/>
          <w:szCs w:val="22"/>
        </w:rPr>
        <w:t>self-care</w:t>
      </w:r>
      <w:r w:rsidRPr="00570E1A">
        <w:rPr>
          <w:rFonts w:ascii="Arial" w:hAnsi="Arial" w:cs="Arial"/>
          <w:sz w:val="22"/>
          <w:szCs w:val="22"/>
        </w:rPr>
        <w:t xml:space="preserve"> advice or alternative healthcare professionals (NHS England, 2019</w:t>
      </w:r>
      <w:r w:rsidR="00630DB4">
        <w:rPr>
          <w:rFonts w:ascii="Arial" w:hAnsi="Arial" w:cs="Arial"/>
          <w:sz w:val="22"/>
          <w:szCs w:val="22"/>
        </w:rPr>
        <w:t>b</w:t>
      </w:r>
      <w:r w:rsidRPr="00570E1A">
        <w:rPr>
          <w:rFonts w:ascii="Arial" w:hAnsi="Arial" w:cs="Arial"/>
          <w:sz w:val="22"/>
          <w:szCs w:val="22"/>
        </w:rPr>
        <w:t xml:space="preserve">). Studies evaluating digital first services suggest that such models can improve time efficiency by allowing clinicians to </w:t>
      </w:r>
      <w:proofErr w:type="spellStart"/>
      <w:r w:rsidRPr="00570E1A">
        <w:rPr>
          <w:rFonts w:ascii="Arial" w:hAnsi="Arial" w:cs="Arial"/>
          <w:sz w:val="22"/>
          <w:szCs w:val="22"/>
        </w:rPr>
        <w:t>prioritise</w:t>
      </w:r>
      <w:proofErr w:type="spellEnd"/>
      <w:r w:rsidRPr="00570E1A">
        <w:rPr>
          <w:rFonts w:ascii="Arial" w:hAnsi="Arial" w:cs="Arial"/>
          <w:sz w:val="22"/>
          <w:szCs w:val="22"/>
        </w:rPr>
        <w:t xml:space="preserve"> complex cases requiring medical expertise (</w:t>
      </w:r>
      <w:r w:rsidR="00630DB4" w:rsidRPr="000F374B">
        <w:rPr>
          <w:rFonts w:ascii="Arial" w:hAnsi="Arial" w:cs="Arial"/>
          <w:sz w:val="22"/>
          <w:szCs w:val="22"/>
        </w:rPr>
        <w:t>Newbould</w:t>
      </w:r>
      <w:r w:rsidR="00630DB4">
        <w:rPr>
          <w:rFonts w:ascii="Arial" w:hAnsi="Arial" w:cs="Arial"/>
          <w:sz w:val="22"/>
          <w:szCs w:val="22"/>
        </w:rPr>
        <w:t xml:space="preserve"> et al., 2024; </w:t>
      </w:r>
      <w:r w:rsidR="00531A6C" w:rsidRPr="009D565F">
        <w:rPr>
          <w:rFonts w:ascii="Arial" w:hAnsi="Arial" w:cs="Arial"/>
          <w:sz w:val="22"/>
          <w:szCs w:val="22"/>
        </w:rPr>
        <w:t>Leung</w:t>
      </w:r>
      <w:r w:rsidR="00531A6C">
        <w:rPr>
          <w:rFonts w:ascii="Arial" w:hAnsi="Arial" w:cs="Arial"/>
          <w:sz w:val="22"/>
          <w:szCs w:val="22"/>
        </w:rPr>
        <w:t xml:space="preserve">, 2025; and </w:t>
      </w:r>
      <w:r w:rsidR="00531A6C" w:rsidRPr="009D565F">
        <w:rPr>
          <w:rFonts w:ascii="Arial" w:hAnsi="Arial" w:cs="Arial"/>
          <w:sz w:val="22"/>
          <w:szCs w:val="22"/>
        </w:rPr>
        <w:t>Sussex</w:t>
      </w:r>
      <w:r w:rsidR="00531A6C">
        <w:rPr>
          <w:rFonts w:ascii="Arial" w:hAnsi="Arial" w:cs="Arial"/>
          <w:sz w:val="22"/>
          <w:szCs w:val="22"/>
        </w:rPr>
        <w:t xml:space="preserve"> et al., 2024).</w:t>
      </w:r>
    </w:p>
    <w:p w14:paraId="12B45060" w14:textId="4DD152C6" w:rsidR="00570E1A" w:rsidRPr="00570E1A" w:rsidRDefault="00570E1A" w:rsidP="00570E1A">
      <w:pPr>
        <w:spacing w:line="360" w:lineRule="auto"/>
        <w:jc w:val="both"/>
        <w:rPr>
          <w:rFonts w:ascii="Arial" w:hAnsi="Arial" w:cs="Arial"/>
          <w:sz w:val="22"/>
          <w:szCs w:val="22"/>
        </w:rPr>
      </w:pPr>
      <w:r w:rsidRPr="00570E1A">
        <w:rPr>
          <w:rFonts w:ascii="Arial" w:hAnsi="Arial" w:cs="Arial"/>
          <w:sz w:val="22"/>
          <w:szCs w:val="22"/>
        </w:rPr>
        <w:t xml:space="preserve">However, workforce outcomes have not been uniformly positive. Research </w:t>
      </w:r>
      <w:r w:rsidR="00531A6C">
        <w:rPr>
          <w:rFonts w:ascii="Arial" w:hAnsi="Arial" w:cs="Arial"/>
          <w:sz w:val="22"/>
          <w:szCs w:val="22"/>
        </w:rPr>
        <w:t>indicates</w:t>
      </w:r>
      <w:r w:rsidRPr="00570E1A">
        <w:rPr>
          <w:rFonts w:ascii="Arial" w:hAnsi="Arial" w:cs="Arial"/>
          <w:sz w:val="22"/>
          <w:szCs w:val="22"/>
        </w:rPr>
        <w:t xml:space="preserve"> that GP at Hand attracted a disproportionate number of younger and healthier patients, while </w:t>
      </w:r>
      <w:proofErr w:type="spellStart"/>
      <w:r w:rsidRPr="00570E1A">
        <w:rPr>
          <w:rFonts w:ascii="Arial" w:hAnsi="Arial" w:cs="Arial"/>
          <w:sz w:val="22"/>
          <w:szCs w:val="22"/>
        </w:rPr>
        <w:t>neighbouring</w:t>
      </w:r>
      <w:proofErr w:type="spellEnd"/>
      <w:r w:rsidRPr="00570E1A">
        <w:rPr>
          <w:rFonts w:ascii="Arial" w:hAnsi="Arial" w:cs="Arial"/>
          <w:sz w:val="22"/>
          <w:szCs w:val="22"/>
        </w:rPr>
        <w:t xml:space="preserve"> practices retained higher numbers of complex and elderly patients requiring intensive care management (Nuffield Trust, 2019</w:t>
      </w:r>
      <w:r w:rsidR="00531A6C">
        <w:rPr>
          <w:rFonts w:ascii="Arial" w:hAnsi="Arial" w:cs="Arial"/>
          <w:sz w:val="22"/>
          <w:szCs w:val="22"/>
        </w:rPr>
        <w:t xml:space="preserve"> and </w:t>
      </w:r>
      <w:r w:rsidR="00531A6C" w:rsidRPr="000E6E69">
        <w:rPr>
          <w:rFonts w:ascii="Arial" w:hAnsi="Arial" w:cs="Arial"/>
          <w:sz w:val="22"/>
          <w:szCs w:val="22"/>
        </w:rPr>
        <w:t>Shahzad</w:t>
      </w:r>
      <w:r w:rsidR="00531A6C">
        <w:rPr>
          <w:rFonts w:ascii="Arial" w:hAnsi="Arial" w:cs="Arial"/>
          <w:sz w:val="22"/>
          <w:szCs w:val="22"/>
        </w:rPr>
        <w:t xml:space="preserve"> </w:t>
      </w:r>
      <w:r w:rsidR="00531A6C" w:rsidRPr="000E6E69">
        <w:rPr>
          <w:rFonts w:ascii="Arial" w:hAnsi="Arial" w:cs="Arial"/>
          <w:sz w:val="22"/>
          <w:szCs w:val="22"/>
        </w:rPr>
        <w:t>&amp; King</w:t>
      </w:r>
      <w:r w:rsidR="00531A6C">
        <w:rPr>
          <w:rFonts w:ascii="Arial" w:hAnsi="Arial" w:cs="Arial"/>
          <w:sz w:val="22"/>
          <w:szCs w:val="22"/>
        </w:rPr>
        <w:t>, 2026</w:t>
      </w:r>
      <w:r w:rsidRPr="00570E1A">
        <w:rPr>
          <w:rFonts w:ascii="Arial" w:hAnsi="Arial" w:cs="Arial"/>
          <w:sz w:val="22"/>
          <w:szCs w:val="22"/>
        </w:rPr>
        <w:t>). This redistribution raised concerns about uneven workload pressures across local healthcare systems rather than overall workforce relief.</w:t>
      </w:r>
    </w:p>
    <w:p w14:paraId="3D566967" w14:textId="5BF55C6F" w:rsidR="00D3727E" w:rsidRDefault="00D3727E" w:rsidP="00570E1A">
      <w:pPr>
        <w:spacing w:line="360" w:lineRule="auto"/>
        <w:jc w:val="both"/>
        <w:rPr>
          <w:rFonts w:ascii="Arial" w:hAnsi="Arial" w:cs="Arial"/>
          <w:sz w:val="22"/>
          <w:szCs w:val="22"/>
        </w:rPr>
      </w:pPr>
      <w:r w:rsidRPr="00D3727E">
        <w:rPr>
          <w:rFonts w:ascii="Arial" w:hAnsi="Arial" w:cs="Arial"/>
          <w:sz w:val="22"/>
          <w:szCs w:val="22"/>
        </w:rPr>
        <w:t>Professional bodies such as the British Medical Association also raised issues relating to continuity of care and clinician wellbeing (NHS England, 2019c, Cooper, 2023 and Ladds et al., 2023). Remote consultation environments may lead to increased consultation volume and decreased opportunities for long term patient</w:t>
      </w:r>
      <w:r>
        <w:rPr>
          <w:rFonts w:ascii="Arial" w:hAnsi="Arial" w:cs="Arial"/>
          <w:sz w:val="22"/>
          <w:szCs w:val="22"/>
        </w:rPr>
        <w:t>-</w:t>
      </w:r>
      <w:r w:rsidRPr="00D3727E">
        <w:rPr>
          <w:rFonts w:ascii="Arial" w:hAnsi="Arial" w:cs="Arial"/>
          <w:sz w:val="22"/>
          <w:szCs w:val="22"/>
        </w:rPr>
        <w:t>doctor relationships, which are factors traditionally linked to professional satisfaction and safe clinical practice (Greenhalgh et al., 2020; Murphy et al., 2021; &amp; Ladds et al., 2023).</w:t>
      </w:r>
      <w:r>
        <w:rPr>
          <w:rFonts w:ascii="Arial" w:hAnsi="Arial" w:cs="Arial"/>
          <w:sz w:val="22"/>
          <w:szCs w:val="22"/>
        </w:rPr>
        <w:t xml:space="preserve"> </w:t>
      </w:r>
      <w:r w:rsidRPr="00D3727E">
        <w:rPr>
          <w:rFonts w:ascii="Arial" w:hAnsi="Arial" w:cs="Arial"/>
          <w:sz w:val="22"/>
          <w:szCs w:val="22"/>
        </w:rPr>
        <w:t>Furthermore, the speed of digital implementation necessitated continuous training, and organisation change, highlighting that technological change is not a sufficient solution for workforce shortages.</w:t>
      </w:r>
    </w:p>
    <w:p w14:paraId="505F69B1" w14:textId="4AA4B41A" w:rsidR="00570E1A" w:rsidRPr="00570E1A" w:rsidRDefault="00570E1A" w:rsidP="00570E1A">
      <w:pPr>
        <w:spacing w:line="360" w:lineRule="auto"/>
        <w:jc w:val="both"/>
        <w:rPr>
          <w:rFonts w:ascii="Arial" w:hAnsi="Arial" w:cs="Arial"/>
          <w:b/>
          <w:bCs/>
          <w:sz w:val="22"/>
          <w:szCs w:val="22"/>
        </w:rPr>
      </w:pPr>
      <w:r w:rsidRPr="00570E1A">
        <w:rPr>
          <w:rFonts w:ascii="Arial" w:hAnsi="Arial" w:cs="Arial"/>
          <w:b/>
          <w:bCs/>
          <w:sz w:val="22"/>
          <w:szCs w:val="22"/>
        </w:rPr>
        <w:t xml:space="preserve">3.2 Service Delivery Impact </w:t>
      </w:r>
    </w:p>
    <w:p w14:paraId="1383035A" w14:textId="1A13D08D" w:rsidR="009874BF" w:rsidRDefault="00D3727E" w:rsidP="00570E1A">
      <w:pPr>
        <w:spacing w:line="360" w:lineRule="auto"/>
        <w:jc w:val="both"/>
        <w:rPr>
          <w:rFonts w:ascii="Arial" w:hAnsi="Arial" w:cs="Arial"/>
          <w:sz w:val="22"/>
          <w:szCs w:val="22"/>
        </w:rPr>
      </w:pPr>
      <w:r w:rsidRPr="00D3727E">
        <w:rPr>
          <w:rFonts w:ascii="Arial" w:hAnsi="Arial" w:cs="Arial"/>
          <w:sz w:val="22"/>
          <w:szCs w:val="22"/>
        </w:rPr>
        <w:t>The model made</w:t>
      </w:r>
      <w:r>
        <w:rPr>
          <w:rFonts w:ascii="Arial" w:hAnsi="Arial" w:cs="Arial"/>
          <w:sz w:val="22"/>
          <w:szCs w:val="22"/>
        </w:rPr>
        <w:t xml:space="preserve"> </w:t>
      </w:r>
      <w:r w:rsidRPr="00D3727E">
        <w:rPr>
          <w:rFonts w:ascii="Arial" w:hAnsi="Arial" w:cs="Arial"/>
          <w:sz w:val="22"/>
          <w:szCs w:val="22"/>
        </w:rPr>
        <w:t>delivery of service change from location-based appointments to demand-responsive digital access, changing the way capacity of primary care is managed (NHS England, 2019b).</w:t>
      </w:r>
      <w:r>
        <w:rPr>
          <w:rFonts w:ascii="Arial" w:hAnsi="Arial" w:cs="Arial"/>
          <w:sz w:val="22"/>
          <w:szCs w:val="22"/>
        </w:rPr>
        <w:t xml:space="preserve"> </w:t>
      </w:r>
      <w:r w:rsidRPr="00D3727E">
        <w:rPr>
          <w:rFonts w:ascii="Arial" w:hAnsi="Arial" w:cs="Arial"/>
          <w:sz w:val="22"/>
          <w:szCs w:val="22"/>
        </w:rPr>
        <w:t xml:space="preserve">Through </w:t>
      </w:r>
      <w:r w:rsidRPr="00D3727E">
        <w:rPr>
          <w:rFonts w:ascii="Arial" w:hAnsi="Arial" w:cs="Arial"/>
          <w:sz w:val="22"/>
          <w:szCs w:val="22"/>
        </w:rPr>
        <w:t>mobile applications</w:t>
      </w:r>
      <w:r w:rsidRPr="00D3727E">
        <w:rPr>
          <w:rFonts w:ascii="Arial" w:hAnsi="Arial" w:cs="Arial"/>
          <w:sz w:val="22"/>
          <w:szCs w:val="22"/>
        </w:rPr>
        <w:t>, patients can submit symptoms, receive automated triage guidance as well as video consultations without having to attend a physical surgery (GP at Hand, 2024).</w:t>
      </w:r>
      <w:r>
        <w:rPr>
          <w:rFonts w:ascii="Arial" w:hAnsi="Arial" w:cs="Arial"/>
          <w:sz w:val="22"/>
          <w:szCs w:val="22"/>
        </w:rPr>
        <w:t xml:space="preserve"> </w:t>
      </w:r>
      <w:r w:rsidR="009874BF" w:rsidRPr="009874BF">
        <w:rPr>
          <w:rFonts w:ascii="Arial" w:hAnsi="Arial" w:cs="Arial"/>
          <w:sz w:val="22"/>
          <w:szCs w:val="22"/>
        </w:rPr>
        <w:t xml:space="preserve">This model was consistent with national goals to </w:t>
      </w:r>
      <w:proofErr w:type="spellStart"/>
      <w:r w:rsidR="009874BF" w:rsidRPr="009874BF">
        <w:rPr>
          <w:rFonts w:ascii="Arial" w:hAnsi="Arial" w:cs="Arial"/>
          <w:sz w:val="22"/>
          <w:szCs w:val="22"/>
        </w:rPr>
        <w:t>modernise</w:t>
      </w:r>
      <w:proofErr w:type="spellEnd"/>
      <w:r w:rsidR="009874BF" w:rsidRPr="009874BF">
        <w:rPr>
          <w:rFonts w:ascii="Arial" w:hAnsi="Arial" w:cs="Arial"/>
          <w:sz w:val="22"/>
          <w:szCs w:val="22"/>
        </w:rPr>
        <w:t xml:space="preserve"> general practice and offer greater online access to healthcare services (NHS England, 2019a).</w:t>
      </w:r>
    </w:p>
    <w:p w14:paraId="2CF86698" w14:textId="3698533F" w:rsidR="009874BF" w:rsidRDefault="009874BF" w:rsidP="00570E1A">
      <w:pPr>
        <w:spacing w:line="360" w:lineRule="auto"/>
        <w:jc w:val="both"/>
        <w:rPr>
          <w:rFonts w:ascii="Arial" w:hAnsi="Arial" w:cs="Arial"/>
          <w:sz w:val="22"/>
          <w:szCs w:val="22"/>
        </w:rPr>
      </w:pPr>
      <w:r w:rsidRPr="009874BF">
        <w:rPr>
          <w:rFonts w:ascii="Arial" w:hAnsi="Arial" w:cs="Arial"/>
          <w:sz w:val="22"/>
          <w:szCs w:val="22"/>
        </w:rPr>
        <w:t>Digital first access was supposed to enhance efficiency within primary care by managing the demand of patients more effectively (NHS England, 2019b; Newbould et al, 2024; &amp; Baird et al, 2018).</w:t>
      </w:r>
      <w:r>
        <w:rPr>
          <w:rFonts w:ascii="Arial" w:hAnsi="Arial" w:cs="Arial"/>
          <w:sz w:val="22"/>
          <w:szCs w:val="22"/>
        </w:rPr>
        <w:t xml:space="preserve"> </w:t>
      </w:r>
    </w:p>
    <w:p w14:paraId="54863533" w14:textId="77777777" w:rsidR="00513768" w:rsidRDefault="00513768" w:rsidP="00570E1A">
      <w:pPr>
        <w:spacing w:line="360" w:lineRule="auto"/>
        <w:jc w:val="both"/>
        <w:rPr>
          <w:rFonts w:ascii="Arial" w:hAnsi="Arial" w:cs="Arial"/>
          <w:sz w:val="22"/>
          <w:szCs w:val="22"/>
        </w:rPr>
      </w:pPr>
      <w:r w:rsidRPr="00513768">
        <w:rPr>
          <w:rFonts w:ascii="Arial" w:hAnsi="Arial" w:cs="Arial"/>
          <w:sz w:val="22"/>
          <w:szCs w:val="22"/>
        </w:rPr>
        <w:t xml:space="preserve">Online triage systems </w:t>
      </w:r>
      <w:proofErr w:type="spellStart"/>
      <w:r w:rsidRPr="00513768">
        <w:rPr>
          <w:rFonts w:ascii="Arial" w:hAnsi="Arial" w:cs="Arial"/>
          <w:sz w:val="22"/>
          <w:szCs w:val="22"/>
        </w:rPr>
        <w:t>utilised</w:t>
      </w:r>
      <w:proofErr w:type="spellEnd"/>
      <w:r w:rsidRPr="00513768">
        <w:rPr>
          <w:rFonts w:ascii="Arial" w:hAnsi="Arial" w:cs="Arial"/>
          <w:sz w:val="22"/>
          <w:szCs w:val="22"/>
        </w:rPr>
        <w:t xml:space="preserve"> within digital-first primary care enable patient requests to be evaluated prior to clinical consultation, enabling practices to </w:t>
      </w:r>
      <w:proofErr w:type="spellStart"/>
      <w:r w:rsidRPr="00513768">
        <w:rPr>
          <w:rFonts w:ascii="Arial" w:hAnsi="Arial" w:cs="Arial"/>
          <w:sz w:val="22"/>
          <w:szCs w:val="22"/>
        </w:rPr>
        <w:t>prioritise</w:t>
      </w:r>
      <w:proofErr w:type="spellEnd"/>
      <w:r w:rsidRPr="00513768">
        <w:rPr>
          <w:rFonts w:ascii="Arial" w:hAnsi="Arial" w:cs="Arial"/>
          <w:sz w:val="22"/>
          <w:szCs w:val="22"/>
        </w:rPr>
        <w:t xml:space="preserve"> urgent cases, redirect administrative queries and reduce avoidable face-to-face appointments within general practice services</w:t>
      </w:r>
      <w:r w:rsidRPr="00513768">
        <w:rPr>
          <w:rFonts w:ascii="Arial" w:hAnsi="Arial" w:cs="Arial"/>
          <w:sz w:val="22"/>
          <w:szCs w:val="22"/>
        </w:rPr>
        <w:t xml:space="preserve"> </w:t>
      </w:r>
      <w:r w:rsidR="00AC07D5">
        <w:rPr>
          <w:rFonts w:ascii="Arial" w:hAnsi="Arial" w:cs="Arial"/>
          <w:sz w:val="22"/>
          <w:szCs w:val="22"/>
        </w:rPr>
        <w:t>(</w:t>
      </w:r>
      <w:r w:rsidR="00AC07D5" w:rsidRPr="00695EFF">
        <w:rPr>
          <w:rFonts w:ascii="Arial" w:hAnsi="Arial" w:cs="Arial"/>
          <w:sz w:val="22"/>
          <w:szCs w:val="22"/>
        </w:rPr>
        <w:t>Atherton</w:t>
      </w:r>
      <w:r w:rsidR="00AC07D5">
        <w:rPr>
          <w:rFonts w:ascii="Arial" w:hAnsi="Arial" w:cs="Arial"/>
          <w:sz w:val="22"/>
          <w:szCs w:val="22"/>
        </w:rPr>
        <w:t xml:space="preserve"> et al., 2018; </w:t>
      </w:r>
      <w:r w:rsidR="00AC07D5" w:rsidRPr="00AC07D5">
        <w:rPr>
          <w:rFonts w:ascii="Arial" w:hAnsi="Arial" w:cs="Arial"/>
          <w:sz w:val="22"/>
          <w:szCs w:val="22"/>
        </w:rPr>
        <w:t>Murphy</w:t>
      </w:r>
      <w:r w:rsidR="00AC07D5">
        <w:rPr>
          <w:rFonts w:ascii="Arial" w:hAnsi="Arial" w:cs="Arial"/>
          <w:sz w:val="22"/>
          <w:szCs w:val="22"/>
        </w:rPr>
        <w:t xml:space="preserve"> et al., 2021; NHS England, 2019b; &amp; </w:t>
      </w:r>
      <w:r w:rsidR="00AC07D5" w:rsidRPr="00AC07D5">
        <w:rPr>
          <w:rFonts w:ascii="Arial" w:hAnsi="Arial" w:cs="Arial"/>
          <w:sz w:val="22"/>
          <w:szCs w:val="22"/>
        </w:rPr>
        <w:t>Newbould</w:t>
      </w:r>
      <w:r w:rsidR="00AC07D5">
        <w:rPr>
          <w:rFonts w:ascii="Arial" w:hAnsi="Arial" w:cs="Arial"/>
          <w:sz w:val="22"/>
          <w:szCs w:val="22"/>
        </w:rPr>
        <w:t xml:space="preserve"> et al., 2024). </w:t>
      </w:r>
      <w:r w:rsidRPr="00513768">
        <w:rPr>
          <w:rFonts w:ascii="Arial" w:hAnsi="Arial" w:cs="Arial"/>
          <w:sz w:val="22"/>
          <w:szCs w:val="22"/>
        </w:rPr>
        <w:t>Evaluations conducted by the Care Quality Commission noted that GP at Hand performed well in the areas of accessibility and responsiveness notably for patients looking for quick consultations outside of conventional working hours (CQC, 2019).</w:t>
      </w:r>
    </w:p>
    <w:p w14:paraId="4D1CED20" w14:textId="74A472CF" w:rsidR="00B9659E" w:rsidRDefault="00B9659E" w:rsidP="00570E1A">
      <w:pPr>
        <w:spacing w:line="360" w:lineRule="auto"/>
        <w:jc w:val="both"/>
        <w:rPr>
          <w:rFonts w:ascii="Arial" w:hAnsi="Arial" w:cs="Arial"/>
          <w:sz w:val="22"/>
          <w:szCs w:val="22"/>
        </w:rPr>
      </w:pPr>
      <w:r w:rsidRPr="00B9659E">
        <w:rPr>
          <w:rFonts w:ascii="Arial" w:hAnsi="Arial" w:cs="Arial"/>
          <w:sz w:val="22"/>
          <w:szCs w:val="22"/>
        </w:rPr>
        <w:t xml:space="preserve">The service delivery model also allowed for geographical flexibility as patients </w:t>
      </w:r>
      <w:r w:rsidRPr="00B9659E">
        <w:rPr>
          <w:rFonts w:ascii="Arial" w:hAnsi="Arial" w:cs="Arial"/>
          <w:sz w:val="22"/>
          <w:szCs w:val="22"/>
        </w:rPr>
        <w:t>can</w:t>
      </w:r>
      <w:r w:rsidRPr="00B9659E">
        <w:rPr>
          <w:rFonts w:ascii="Arial" w:hAnsi="Arial" w:cs="Arial"/>
          <w:sz w:val="22"/>
          <w:szCs w:val="22"/>
        </w:rPr>
        <w:t xml:space="preserve"> access care regardless of nearness to a physical GP practice. This was a departure from historically </w:t>
      </w:r>
      <w:proofErr w:type="spellStart"/>
      <w:r w:rsidRPr="00B9659E">
        <w:rPr>
          <w:rFonts w:ascii="Arial" w:hAnsi="Arial" w:cs="Arial"/>
          <w:sz w:val="22"/>
          <w:szCs w:val="22"/>
        </w:rPr>
        <w:t>localised</w:t>
      </w:r>
      <w:proofErr w:type="spellEnd"/>
      <w:r w:rsidRPr="00B9659E">
        <w:rPr>
          <w:rFonts w:ascii="Arial" w:hAnsi="Arial" w:cs="Arial"/>
          <w:sz w:val="22"/>
          <w:szCs w:val="22"/>
        </w:rPr>
        <w:t xml:space="preserve"> provision of services within the NHS</w:t>
      </w:r>
      <w:r w:rsidR="002F77D0" w:rsidRPr="002F77D0">
        <w:rPr>
          <w:rFonts w:ascii="Arial" w:hAnsi="Arial" w:cs="Arial"/>
          <w:sz w:val="22"/>
          <w:szCs w:val="22"/>
        </w:rPr>
        <w:t xml:space="preserve"> (NHS England, 2019</w:t>
      </w:r>
      <w:r w:rsidR="002F77D0">
        <w:rPr>
          <w:rFonts w:ascii="Arial" w:hAnsi="Arial" w:cs="Arial"/>
          <w:sz w:val="22"/>
          <w:szCs w:val="22"/>
        </w:rPr>
        <w:t>b</w:t>
      </w:r>
      <w:r w:rsidR="002F77D0" w:rsidRPr="002F77D0">
        <w:rPr>
          <w:rFonts w:ascii="Arial" w:hAnsi="Arial" w:cs="Arial"/>
          <w:sz w:val="22"/>
          <w:szCs w:val="22"/>
        </w:rPr>
        <w:t>; Nuffield Trust, 2019; Salisbury</w:t>
      </w:r>
      <w:r w:rsidR="002F77D0">
        <w:rPr>
          <w:rFonts w:ascii="Arial" w:hAnsi="Arial" w:cs="Arial"/>
          <w:sz w:val="22"/>
          <w:szCs w:val="22"/>
        </w:rPr>
        <w:t xml:space="preserve"> et al., </w:t>
      </w:r>
      <w:r w:rsidR="002F77D0" w:rsidRPr="002F77D0">
        <w:rPr>
          <w:rFonts w:ascii="Arial" w:hAnsi="Arial" w:cs="Arial"/>
          <w:sz w:val="22"/>
          <w:szCs w:val="22"/>
        </w:rPr>
        <w:t xml:space="preserve">2020; </w:t>
      </w:r>
      <w:r w:rsidR="002F77D0">
        <w:rPr>
          <w:rFonts w:ascii="Arial" w:hAnsi="Arial" w:cs="Arial"/>
          <w:sz w:val="22"/>
          <w:szCs w:val="22"/>
        </w:rPr>
        <w:t xml:space="preserve">&amp; </w:t>
      </w:r>
      <w:r w:rsidR="002F77D0" w:rsidRPr="000E6E69">
        <w:rPr>
          <w:rFonts w:ascii="Arial" w:hAnsi="Arial" w:cs="Arial"/>
          <w:sz w:val="22"/>
          <w:szCs w:val="22"/>
        </w:rPr>
        <w:t>Shahzad &amp; King</w:t>
      </w:r>
      <w:r w:rsidR="002F77D0">
        <w:rPr>
          <w:rFonts w:ascii="Arial" w:hAnsi="Arial" w:cs="Arial"/>
          <w:sz w:val="22"/>
          <w:szCs w:val="22"/>
        </w:rPr>
        <w:t xml:space="preserve">, 2026). </w:t>
      </w:r>
      <w:r w:rsidRPr="00B9659E">
        <w:rPr>
          <w:rFonts w:ascii="Arial" w:hAnsi="Arial" w:cs="Arial"/>
          <w:sz w:val="22"/>
          <w:szCs w:val="22"/>
        </w:rPr>
        <w:t>Digital consultations helped with continuity of access during periods of higher service pressure, especially during the Covid 19 pandemic as remote care was imperative for infection control and service continuity (Greenhalgh et al, 2020).</w:t>
      </w:r>
    </w:p>
    <w:p w14:paraId="48817536" w14:textId="5E9E9202" w:rsidR="00F20433" w:rsidRDefault="00B9659E" w:rsidP="00570E1A">
      <w:pPr>
        <w:spacing w:line="360" w:lineRule="auto"/>
        <w:jc w:val="both"/>
        <w:rPr>
          <w:rFonts w:ascii="Arial" w:hAnsi="Arial" w:cs="Arial"/>
          <w:sz w:val="22"/>
          <w:szCs w:val="22"/>
        </w:rPr>
      </w:pPr>
      <w:r w:rsidRPr="00B9659E">
        <w:rPr>
          <w:rFonts w:ascii="Arial" w:hAnsi="Arial" w:cs="Arial"/>
          <w:sz w:val="22"/>
          <w:szCs w:val="22"/>
        </w:rPr>
        <w:t xml:space="preserve">Despite improvements with access, </w:t>
      </w:r>
      <w:r w:rsidRPr="00BB6975">
        <w:rPr>
          <w:rFonts w:ascii="Arial" w:hAnsi="Arial" w:cs="Arial"/>
          <w:sz w:val="22"/>
          <w:szCs w:val="22"/>
        </w:rPr>
        <w:t>service delivery challenges emerged</w:t>
      </w:r>
      <w:r w:rsidRPr="00B9659E">
        <w:rPr>
          <w:rFonts w:ascii="Arial" w:hAnsi="Arial" w:cs="Arial"/>
          <w:sz w:val="22"/>
          <w:szCs w:val="22"/>
        </w:rPr>
        <w:t>. Research identified concerns about the sustainability of digital first models within existing NHS funding arrangements</w:t>
      </w:r>
      <w:r w:rsidR="00BB6975">
        <w:rPr>
          <w:rFonts w:ascii="Arial" w:hAnsi="Arial" w:cs="Arial"/>
          <w:sz w:val="22"/>
          <w:szCs w:val="22"/>
        </w:rPr>
        <w:t xml:space="preserve"> (</w:t>
      </w:r>
      <w:r w:rsidR="00BB6975" w:rsidRPr="00BB6975">
        <w:rPr>
          <w:rFonts w:ascii="Arial" w:hAnsi="Arial" w:cs="Arial"/>
          <w:sz w:val="22"/>
          <w:szCs w:val="22"/>
        </w:rPr>
        <w:t>Nuffield Trust, 2019; NHS England, 2019</w:t>
      </w:r>
      <w:r w:rsidR="00BB6975">
        <w:rPr>
          <w:rFonts w:ascii="Arial" w:hAnsi="Arial" w:cs="Arial"/>
          <w:sz w:val="22"/>
          <w:szCs w:val="22"/>
        </w:rPr>
        <w:t>b</w:t>
      </w:r>
      <w:r w:rsidR="00BB6975" w:rsidRPr="00BB6975">
        <w:rPr>
          <w:rFonts w:ascii="Arial" w:hAnsi="Arial" w:cs="Arial"/>
          <w:sz w:val="22"/>
          <w:szCs w:val="22"/>
        </w:rPr>
        <w:t>; Baird et al., 2018; Shahzad</w:t>
      </w:r>
      <w:r w:rsidR="00BB6975">
        <w:rPr>
          <w:rFonts w:ascii="Arial" w:hAnsi="Arial" w:cs="Arial"/>
          <w:sz w:val="22"/>
          <w:szCs w:val="22"/>
        </w:rPr>
        <w:t xml:space="preserve"> &amp; King, </w:t>
      </w:r>
      <w:r w:rsidR="00BB6975" w:rsidRPr="00BB6975">
        <w:rPr>
          <w:rFonts w:ascii="Arial" w:hAnsi="Arial" w:cs="Arial"/>
          <w:sz w:val="22"/>
          <w:szCs w:val="22"/>
        </w:rPr>
        <w:t>2026)</w:t>
      </w:r>
      <w:r w:rsidR="00BB6975">
        <w:rPr>
          <w:rFonts w:ascii="Arial" w:hAnsi="Arial" w:cs="Arial"/>
          <w:sz w:val="22"/>
          <w:szCs w:val="22"/>
        </w:rPr>
        <w:t xml:space="preserve">. </w:t>
      </w:r>
      <w:r w:rsidRPr="00B9659E">
        <w:rPr>
          <w:rFonts w:ascii="Arial" w:hAnsi="Arial" w:cs="Arial"/>
          <w:sz w:val="22"/>
          <w:szCs w:val="22"/>
        </w:rPr>
        <w:t xml:space="preserve">As GP funding is based on patient registration, GP at Hand's rapid growth affected the distribution of resources between </w:t>
      </w:r>
      <w:proofErr w:type="spellStart"/>
      <w:r w:rsidRPr="00B9659E">
        <w:rPr>
          <w:rFonts w:ascii="Arial" w:hAnsi="Arial" w:cs="Arial"/>
          <w:sz w:val="22"/>
          <w:szCs w:val="22"/>
        </w:rPr>
        <w:t>neighbouring</w:t>
      </w:r>
      <w:proofErr w:type="spellEnd"/>
      <w:r w:rsidRPr="00B9659E">
        <w:rPr>
          <w:rFonts w:ascii="Arial" w:hAnsi="Arial" w:cs="Arial"/>
          <w:sz w:val="22"/>
          <w:szCs w:val="22"/>
        </w:rPr>
        <w:t xml:space="preserve"> practices, which could </w:t>
      </w:r>
      <w:proofErr w:type="spellStart"/>
      <w:r w:rsidRPr="00B9659E">
        <w:rPr>
          <w:rFonts w:ascii="Arial" w:hAnsi="Arial" w:cs="Arial"/>
          <w:sz w:val="22"/>
          <w:szCs w:val="22"/>
        </w:rPr>
        <w:t>destabilise</w:t>
      </w:r>
      <w:proofErr w:type="spellEnd"/>
      <w:r w:rsidRPr="00B9659E">
        <w:rPr>
          <w:rFonts w:ascii="Arial" w:hAnsi="Arial" w:cs="Arial"/>
          <w:sz w:val="22"/>
          <w:szCs w:val="22"/>
        </w:rPr>
        <w:t xml:space="preserve"> local service planning </w:t>
      </w:r>
      <w:r w:rsidR="00570E1A" w:rsidRPr="00570E1A">
        <w:rPr>
          <w:rFonts w:ascii="Arial" w:hAnsi="Arial" w:cs="Arial"/>
          <w:sz w:val="22"/>
          <w:szCs w:val="22"/>
        </w:rPr>
        <w:t>(Nuffield Trust, 2019).</w:t>
      </w:r>
      <w:r w:rsidR="00F20433">
        <w:rPr>
          <w:rFonts w:ascii="Arial" w:hAnsi="Arial" w:cs="Arial"/>
          <w:sz w:val="22"/>
          <w:szCs w:val="22"/>
        </w:rPr>
        <w:t xml:space="preserve"> </w:t>
      </w:r>
      <w:r w:rsidRPr="00B9659E">
        <w:rPr>
          <w:rFonts w:ascii="Arial" w:hAnsi="Arial" w:cs="Arial"/>
          <w:sz w:val="22"/>
          <w:szCs w:val="22"/>
        </w:rPr>
        <w:t>Evidence from evaluations of UK primary care suggest that remote consultation pathways may lead to follow-up or repeat contacts in person when clinical uncertainty persists post an initial digital consultation and so moderates the efficiency gains that were initially anticipated from digital-first service models</w:t>
      </w:r>
      <w:r>
        <w:rPr>
          <w:rFonts w:ascii="Arial" w:hAnsi="Arial" w:cs="Arial"/>
          <w:sz w:val="22"/>
          <w:szCs w:val="22"/>
        </w:rPr>
        <w:t xml:space="preserve"> </w:t>
      </w:r>
      <w:r w:rsidR="00F20433" w:rsidRPr="00F20433">
        <w:rPr>
          <w:rFonts w:ascii="Arial" w:hAnsi="Arial" w:cs="Arial"/>
          <w:sz w:val="22"/>
          <w:szCs w:val="22"/>
        </w:rPr>
        <w:t>(Murphy et al., 2021; Greenhalgh et al., 2020; Ladds et al., 2023; Newbould et al., 2024).</w:t>
      </w:r>
    </w:p>
    <w:p w14:paraId="234F7F63" w14:textId="77777777" w:rsidR="00B9659E" w:rsidRDefault="00B9659E" w:rsidP="00570E1A">
      <w:pPr>
        <w:spacing w:line="360" w:lineRule="auto"/>
        <w:jc w:val="both"/>
        <w:rPr>
          <w:rFonts w:ascii="Arial" w:hAnsi="Arial" w:cs="Arial"/>
          <w:sz w:val="22"/>
          <w:szCs w:val="22"/>
        </w:rPr>
      </w:pPr>
      <w:r w:rsidRPr="00B9659E">
        <w:rPr>
          <w:rFonts w:ascii="Arial" w:hAnsi="Arial" w:cs="Arial"/>
          <w:sz w:val="22"/>
          <w:szCs w:val="22"/>
        </w:rPr>
        <w:t>These results show that although GP at Hand successfully delivered improved speed of access and new flexible service delivery mechanisms, digital transformation both restructured operational pressures within the broader primary care system.</w:t>
      </w:r>
    </w:p>
    <w:p w14:paraId="225125AD" w14:textId="685BC2DD" w:rsidR="00570E1A" w:rsidRPr="00570E1A" w:rsidRDefault="00570E1A" w:rsidP="00570E1A">
      <w:pPr>
        <w:spacing w:line="360" w:lineRule="auto"/>
        <w:jc w:val="both"/>
        <w:rPr>
          <w:rFonts w:ascii="Arial" w:hAnsi="Arial" w:cs="Arial"/>
          <w:b/>
          <w:bCs/>
          <w:sz w:val="22"/>
          <w:szCs w:val="22"/>
        </w:rPr>
      </w:pPr>
      <w:r w:rsidRPr="00570E1A">
        <w:rPr>
          <w:rFonts w:ascii="Arial" w:hAnsi="Arial" w:cs="Arial"/>
          <w:b/>
          <w:bCs/>
          <w:sz w:val="22"/>
          <w:szCs w:val="22"/>
        </w:rPr>
        <w:t>3.3 Patient / Service User Impact</w:t>
      </w:r>
    </w:p>
    <w:p w14:paraId="71C554A4" w14:textId="1712CC9F" w:rsidR="00DA367A" w:rsidRDefault="00AE40A7" w:rsidP="00570E1A">
      <w:pPr>
        <w:spacing w:line="360" w:lineRule="auto"/>
        <w:jc w:val="both"/>
        <w:rPr>
          <w:rFonts w:ascii="Arial" w:hAnsi="Arial" w:cs="Arial"/>
          <w:sz w:val="22"/>
          <w:szCs w:val="22"/>
        </w:rPr>
      </w:pPr>
      <w:r w:rsidRPr="00AE40A7">
        <w:rPr>
          <w:rFonts w:ascii="Arial" w:hAnsi="Arial" w:cs="Arial"/>
          <w:sz w:val="22"/>
          <w:szCs w:val="22"/>
        </w:rPr>
        <w:t xml:space="preserve">The implementation of GP at Hand has changed the experience and access to NHS primary care services. The digital-first model was intended to enhance access by </w:t>
      </w:r>
      <w:r>
        <w:rPr>
          <w:rFonts w:ascii="Arial" w:hAnsi="Arial" w:cs="Arial"/>
          <w:sz w:val="22"/>
          <w:szCs w:val="22"/>
        </w:rPr>
        <w:t>reducing</w:t>
      </w:r>
      <w:r w:rsidRPr="00AE40A7">
        <w:rPr>
          <w:rFonts w:ascii="Arial" w:hAnsi="Arial" w:cs="Arial"/>
          <w:sz w:val="22"/>
          <w:szCs w:val="22"/>
        </w:rPr>
        <w:t xml:space="preserve"> the need for traditional booking systems defined by queues on the telephone, restricted availability of appointments and </w:t>
      </w:r>
      <w:r w:rsidR="00DA367A" w:rsidRPr="00DA367A">
        <w:rPr>
          <w:rFonts w:ascii="Arial" w:hAnsi="Arial" w:cs="Arial"/>
          <w:sz w:val="22"/>
          <w:szCs w:val="22"/>
        </w:rPr>
        <w:t>geographically bound practice registration (NHS England, 2019</w:t>
      </w:r>
      <w:r w:rsidR="00C44069">
        <w:rPr>
          <w:rFonts w:ascii="Arial" w:hAnsi="Arial" w:cs="Arial"/>
          <w:sz w:val="22"/>
          <w:szCs w:val="22"/>
        </w:rPr>
        <w:t>b</w:t>
      </w:r>
      <w:r w:rsidR="00DA367A" w:rsidRPr="00DA367A">
        <w:rPr>
          <w:rFonts w:ascii="Arial" w:hAnsi="Arial" w:cs="Arial"/>
          <w:sz w:val="22"/>
          <w:szCs w:val="22"/>
        </w:rPr>
        <w:t xml:space="preserve">). </w:t>
      </w:r>
      <w:r w:rsidRPr="00AE40A7">
        <w:rPr>
          <w:rFonts w:ascii="Arial" w:hAnsi="Arial" w:cs="Arial"/>
          <w:sz w:val="22"/>
          <w:szCs w:val="22"/>
        </w:rPr>
        <w:t xml:space="preserve">Evaluations of GP at Hand reported increased accessibility </w:t>
      </w:r>
      <w:r>
        <w:rPr>
          <w:rFonts w:ascii="Arial" w:hAnsi="Arial" w:cs="Arial"/>
          <w:sz w:val="22"/>
          <w:szCs w:val="22"/>
        </w:rPr>
        <w:t>through</w:t>
      </w:r>
      <w:r w:rsidRPr="00AE40A7">
        <w:rPr>
          <w:rFonts w:ascii="Arial" w:hAnsi="Arial" w:cs="Arial"/>
          <w:sz w:val="22"/>
          <w:szCs w:val="22"/>
        </w:rPr>
        <w:t xml:space="preserve"> rapid digital triage and video consultations so many patients can get clinical advice faster than conventional appointment pathways</w:t>
      </w:r>
      <w:r w:rsidR="00DA367A" w:rsidRPr="00DA367A">
        <w:rPr>
          <w:rFonts w:ascii="Arial" w:hAnsi="Arial" w:cs="Arial"/>
          <w:sz w:val="22"/>
          <w:szCs w:val="22"/>
        </w:rPr>
        <w:t xml:space="preserve"> </w:t>
      </w:r>
      <w:r w:rsidR="00C44069">
        <w:rPr>
          <w:rFonts w:ascii="Arial" w:hAnsi="Arial" w:cs="Arial"/>
          <w:sz w:val="22"/>
          <w:szCs w:val="22"/>
        </w:rPr>
        <w:t xml:space="preserve">(Salisbury et al., 2020; NHS England, 2023; &amp; Nazir et at., 2023). </w:t>
      </w:r>
      <w:r w:rsidR="00722AD6" w:rsidRPr="00722AD6">
        <w:rPr>
          <w:rFonts w:ascii="Arial" w:hAnsi="Arial" w:cs="Arial"/>
          <w:sz w:val="22"/>
          <w:szCs w:val="22"/>
        </w:rPr>
        <w:t>Uptake of digital consultations was particularly evident among working-age adults and students, as app-based access enabled healthcare contact without requiring attendance during standard daytime surgery hours, aligning care delivery with employment, education and caring responsibilities</w:t>
      </w:r>
      <w:r w:rsidR="00DA367A" w:rsidRPr="00DA367A">
        <w:rPr>
          <w:rFonts w:ascii="Arial" w:hAnsi="Arial" w:cs="Arial"/>
          <w:sz w:val="22"/>
          <w:szCs w:val="22"/>
        </w:rPr>
        <w:t xml:space="preserve"> (</w:t>
      </w:r>
      <w:r w:rsidR="00722AD6" w:rsidRPr="00B92632">
        <w:rPr>
          <w:rFonts w:ascii="Arial" w:hAnsi="Arial" w:cs="Arial"/>
          <w:sz w:val="22"/>
          <w:szCs w:val="22"/>
        </w:rPr>
        <w:t>Paddison</w:t>
      </w:r>
      <w:r w:rsidR="00722AD6">
        <w:rPr>
          <w:rFonts w:ascii="Arial" w:hAnsi="Arial" w:cs="Arial"/>
          <w:sz w:val="22"/>
          <w:szCs w:val="22"/>
        </w:rPr>
        <w:t xml:space="preserve"> &amp; </w:t>
      </w:r>
      <w:r w:rsidR="00722AD6" w:rsidRPr="00B92632">
        <w:rPr>
          <w:rFonts w:ascii="Arial" w:hAnsi="Arial" w:cs="Arial"/>
          <w:sz w:val="22"/>
          <w:szCs w:val="22"/>
        </w:rPr>
        <w:t>McGill</w:t>
      </w:r>
      <w:r w:rsidR="00722AD6">
        <w:rPr>
          <w:rFonts w:ascii="Arial" w:hAnsi="Arial" w:cs="Arial"/>
          <w:sz w:val="22"/>
          <w:szCs w:val="22"/>
        </w:rPr>
        <w:t xml:space="preserve">, 2022; and </w:t>
      </w:r>
      <w:proofErr w:type="spellStart"/>
      <w:r w:rsidR="00722AD6" w:rsidRPr="00B92632">
        <w:rPr>
          <w:rFonts w:ascii="Arial" w:hAnsi="Arial" w:cs="Arial"/>
          <w:sz w:val="22"/>
          <w:szCs w:val="22"/>
        </w:rPr>
        <w:t>Vestesson</w:t>
      </w:r>
      <w:proofErr w:type="spellEnd"/>
      <w:r w:rsidR="00722AD6">
        <w:rPr>
          <w:rFonts w:ascii="Arial" w:hAnsi="Arial" w:cs="Arial"/>
          <w:sz w:val="22"/>
          <w:szCs w:val="22"/>
        </w:rPr>
        <w:t xml:space="preserve"> et al., 2023). </w:t>
      </w:r>
    </w:p>
    <w:p w14:paraId="7AC91428" w14:textId="654FF9EE" w:rsidR="004E3B5F" w:rsidRDefault="00864F9A" w:rsidP="00570E1A">
      <w:pPr>
        <w:spacing w:line="360" w:lineRule="auto"/>
        <w:jc w:val="both"/>
        <w:rPr>
          <w:rFonts w:ascii="Arial" w:hAnsi="Arial" w:cs="Arial"/>
          <w:sz w:val="22"/>
          <w:szCs w:val="22"/>
        </w:rPr>
      </w:pPr>
      <w:r w:rsidRPr="00864F9A">
        <w:rPr>
          <w:rFonts w:ascii="Arial" w:hAnsi="Arial" w:cs="Arial"/>
          <w:sz w:val="22"/>
          <w:szCs w:val="22"/>
        </w:rPr>
        <w:t xml:space="preserve">Digital-first primary care changed the way patients interact with general practice by moving </w:t>
      </w:r>
      <w:r>
        <w:rPr>
          <w:rFonts w:ascii="Arial" w:hAnsi="Arial" w:cs="Arial"/>
          <w:sz w:val="22"/>
          <w:szCs w:val="22"/>
        </w:rPr>
        <w:t xml:space="preserve">initial contact </w:t>
      </w:r>
      <w:r w:rsidRPr="00864F9A">
        <w:rPr>
          <w:rFonts w:ascii="Arial" w:hAnsi="Arial" w:cs="Arial"/>
          <w:sz w:val="22"/>
          <w:szCs w:val="22"/>
        </w:rPr>
        <w:t>from reception-mediated appointment systems to clinician access using online triage and remote consultation pathways</w:t>
      </w:r>
      <w:r>
        <w:rPr>
          <w:rFonts w:ascii="Arial" w:hAnsi="Arial" w:cs="Arial"/>
          <w:sz w:val="22"/>
          <w:szCs w:val="22"/>
        </w:rPr>
        <w:t xml:space="preserve"> (NHS England, 2019b).</w:t>
      </w:r>
      <w:r w:rsidR="00DA5D65">
        <w:rPr>
          <w:rFonts w:ascii="Arial" w:hAnsi="Arial" w:cs="Arial"/>
          <w:sz w:val="22"/>
          <w:szCs w:val="22"/>
        </w:rPr>
        <w:t xml:space="preserve"> </w:t>
      </w:r>
      <w:r w:rsidR="00DA5D65" w:rsidRPr="00DA5D65">
        <w:rPr>
          <w:rFonts w:ascii="Arial" w:hAnsi="Arial" w:cs="Arial"/>
          <w:sz w:val="22"/>
          <w:szCs w:val="22"/>
        </w:rPr>
        <w:t>Evidence suggests that digital consultations altered patient expectations of access by allowing timely clinical interaction without relying on conventional surgery hours, especially for those with conflicting job or education commitments</w:t>
      </w:r>
      <w:r w:rsidR="004E3B5F">
        <w:rPr>
          <w:rFonts w:ascii="Arial" w:hAnsi="Arial" w:cs="Arial"/>
          <w:sz w:val="22"/>
          <w:szCs w:val="22"/>
        </w:rPr>
        <w:t xml:space="preserve"> </w:t>
      </w:r>
      <w:r w:rsidR="004E3B5F" w:rsidRPr="00570E1A">
        <w:rPr>
          <w:rFonts w:ascii="Arial" w:hAnsi="Arial" w:cs="Arial"/>
          <w:sz w:val="22"/>
          <w:szCs w:val="22"/>
        </w:rPr>
        <w:t>(</w:t>
      </w:r>
      <w:proofErr w:type="spellStart"/>
      <w:r w:rsidR="004E3B5F">
        <w:rPr>
          <w:rFonts w:ascii="Arial" w:hAnsi="Arial" w:cs="Arial"/>
          <w:sz w:val="22"/>
          <w:szCs w:val="22"/>
        </w:rPr>
        <w:t>L</w:t>
      </w:r>
      <w:r w:rsidR="004E3B5F" w:rsidRPr="00A95722">
        <w:rPr>
          <w:rFonts w:ascii="Arial" w:hAnsi="Arial" w:cs="Arial"/>
          <w:sz w:val="22"/>
          <w:szCs w:val="22"/>
        </w:rPr>
        <w:t>acobucci</w:t>
      </w:r>
      <w:proofErr w:type="spellEnd"/>
      <w:r w:rsidR="004E3B5F" w:rsidRPr="00A95722">
        <w:rPr>
          <w:rFonts w:ascii="Arial" w:hAnsi="Arial" w:cs="Arial"/>
          <w:sz w:val="22"/>
          <w:szCs w:val="22"/>
        </w:rPr>
        <w:t>,</w:t>
      </w:r>
      <w:r w:rsidR="004E3B5F">
        <w:rPr>
          <w:rFonts w:ascii="Arial" w:hAnsi="Arial" w:cs="Arial"/>
          <w:sz w:val="22"/>
          <w:szCs w:val="22"/>
        </w:rPr>
        <w:t xml:space="preserve"> 2019).</w:t>
      </w:r>
    </w:p>
    <w:p w14:paraId="313184BC" w14:textId="03474FBE" w:rsidR="006D7BB8" w:rsidRDefault="00451505" w:rsidP="00570E1A">
      <w:pPr>
        <w:spacing w:line="360" w:lineRule="auto"/>
        <w:jc w:val="both"/>
        <w:rPr>
          <w:rFonts w:ascii="Arial" w:hAnsi="Arial" w:cs="Arial"/>
          <w:sz w:val="22"/>
          <w:szCs w:val="22"/>
        </w:rPr>
      </w:pPr>
      <w:r w:rsidRPr="00451505">
        <w:rPr>
          <w:rFonts w:ascii="Arial" w:hAnsi="Arial" w:cs="Arial"/>
          <w:sz w:val="22"/>
          <w:szCs w:val="22"/>
        </w:rPr>
        <w:t xml:space="preserve">Patient satisfaction evaluations carried out after early implementation reported positive experiences relating to convenience and quick access to clinicians (Salisbury et al., 2020). Digital consultation systems enabled patients to initiate healthcare contact at any time through structured symptom submission and video appointments in support of greater autonomy in managing health needs </w:t>
      </w:r>
      <w:r w:rsidR="00570E1A" w:rsidRPr="00570E1A">
        <w:rPr>
          <w:rFonts w:ascii="Arial" w:hAnsi="Arial" w:cs="Arial"/>
          <w:sz w:val="22"/>
          <w:szCs w:val="22"/>
        </w:rPr>
        <w:t>(NHS England, 2019</w:t>
      </w:r>
      <w:r w:rsidR="00313580">
        <w:rPr>
          <w:rFonts w:ascii="Arial" w:hAnsi="Arial" w:cs="Arial"/>
          <w:sz w:val="22"/>
          <w:szCs w:val="22"/>
        </w:rPr>
        <w:t>b</w:t>
      </w:r>
      <w:r w:rsidR="00570E1A" w:rsidRPr="00570E1A">
        <w:rPr>
          <w:rFonts w:ascii="Arial" w:hAnsi="Arial" w:cs="Arial"/>
          <w:sz w:val="22"/>
          <w:szCs w:val="22"/>
        </w:rPr>
        <w:t xml:space="preserve">). </w:t>
      </w:r>
      <w:r w:rsidRPr="00451505">
        <w:rPr>
          <w:rFonts w:ascii="Arial" w:hAnsi="Arial" w:cs="Arial"/>
          <w:sz w:val="22"/>
          <w:szCs w:val="22"/>
        </w:rPr>
        <w:t>Research on remote consulting in UK primary care suggests that patients often cited practical advantages such as not having to travel to GP surgeries and receiving clinical advice faster than if they had gone through the traditional appointment pathways, factors which contributed to positive perceptions of digital consultation services</w:t>
      </w:r>
      <w:r>
        <w:rPr>
          <w:rFonts w:ascii="Arial" w:hAnsi="Arial" w:cs="Arial"/>
          <w:sz w:val="22"/>
          <w:szCs w:val="22"/>
        </w:rPr>
        <w:t xml:space="preserve"> </w:t>
      </w:r>
      <w:r w:rsidR="006D7BB8" w:rsidRPr="006D7BB8">
        <w:rPr>
          <w:rFonts w:ascii="Arial" w:hAnsi="Arial" w:cs="Arial"/>
          <w:sz w:val="22"/>
          <w:szCs w:val="22"/>
        </w:rPr>
        <w:t>(Murphy et al., 2021; Ladds et al., 2023; Greenhalgh et al., 2020).</w:t>
      </w:r>
    </w:p>
    <w:p w14:paraId="388688C1" w14:textId="60C9F58C" w:rsidR="00570E1A" w:rsidRDefault="00451505" w:rsidP="00570E1A">
      <w:pPr>
        <w:spacing w:line="360" w:lineRule="auto"/>
        <w:jc w:val="both"/>
        <w:rPr>
          <w:rFonts w:ascii="Arial" w:hAnsi="Arial" w:cs="Arial"/>
          <w:sz w:val="22"/>
          <w:szCs w:val="22"/>
        </w:rPr>
      </w:pPr>
      <w:r w:rsidRPr="00451505">
        <w:rPr>
          <w:rFonts w:ascii="Arial" w:hAnsi="Arial" w:cs="Arial"/>
          <w:sz w:val="22"/>
          <w:szCs w:val="22"/>
        </w:rPr>
        <w:t>However, the benefits of GP at Hand have not been distributed equally among patient populations. Analysis by the Nuffield Trust showed that registration patterns were heavily concentrated amongst younger, healthier and digitally confident individuals, with older people and patients with complex health conditions being less likely to engage with app-based care models</w:t>
      </w:r>
      <w:r>
        <w:rPr>
          <w:rFonts w:ascii="Arial" w:hAnsi="Arial" w:cs="Arial"/>
          <w:sz w:val="22"/>
          <w:szCs w:val="22"/>
        </w:rPr>
        <w:t xml:space="preserve"> </w:t>
      </w:r>
      <w:r w:rsidR="00570E1A" w:rsidRPr="00570E1A">
        <w:rPr>
          <w:rFonts w:ascii="Arial" w:hAnsi="Arial" w:cs="Arial"/>
          <w:sz w:val="22"/>
          <w:szCs w:val="22"/>
        </w:rPr>
        <w:t xml:space="preserve">(Nuffield Trust, 2019). </w:t>
      </w:r>
      <w:r w:rsidRPr="00451505">
        <w:rPr>
          <w:rFonts w:ascii="Arial" w:hAnsi="Arial" w:cs="Arial"/>
          <w:sz w:val="22"/>
          <w:szCs w:val="22"/>
        </w:rPr>
        <w:t>This raised concerns about digital exclusion, especially for those who don't have access to smartphones, stable internet connection or enough digital literacy.</w:t>
      </w:r>
    </w:p>
    <w:p w14:paraId="1EDB876B" w14:textId="00A7B309" w:rsidR="0051292E" w:rsidRPr="00570E1A" w:rsidRDefault="00451505" w:rsidP="00570E1A">
      <w:pPr>
        <w:spacing w:line="360" w:lineRule="auto"/>
        <w:jc w:val="both"/>
        <w:rPr>
          <w:rFonts w:ascii="Arial" w:hAnsi="Arial" w:cs="Arial"/>
          <w:sz w:val="22"/>
          <w:szCs w:val="22"/>
        </w:rPr>
      </w:pPr>
      <w:r w:rsidRPr="00451505">
        <w:rPr>
          <w:rFonts w:ascii="Arial" w:hAnsi="Arial" w:cs="Arial"/>
          <w:sz w:val="22"/>
          <w:szCs w:val="22"/>
        </w:rPr>
        <w:t>Concerns have been raised about the impact of digital consultations on the continuity of care and therapeutic relationships</w:t>
      </w:r>
      <w:r w:rsidR="0051292E" w:rsidRPr="0051292E">
        <w:rPr>
          <w:rFonts w:ascii="Arial" w:hAnsi="Arial" w:cs="Arial"/>
          <w:sz w:val="22"/>
          <w:szCs w:val="22"/>
        </w:rPr>
        <w:t xml:space="preserve">. </w:t>
      </w:r>
      <w:r w:rsidRPr="00451505">
        <w:rPr>
          <w:rFonts w:ascii="Arial" w:hAnsi="Arial" w:cs="Arial"/>
          <w:sz w:val="22"/>
          <w:szCs w:val="22"/>
        </w:rPr>
        <w:t>Traditional general practice is based on continuous patient-doctor familiarity to assist with holistic management of chronic conditions</w:t>
      </w:r>
      <w:r w:rsidR="0051292E" w:rsidRPr="0051292E">
        <w:rPr>
          <w:rFonts w:ascii="Arial" w:hAnsi="Arial" w:cs="Arial"/>
          <w:sz w:val="22"/>
          <w:szCs w:val="22"/>
        </w:rPr>
        <w:t xml:space="preserve">. </w:t>
      </w:r>
      <w:r w:rsidRPr="00451505">
        <w:rPr>
          <w:rFonts w:ascii="Arial" w:hAnsi="Arial" w:cs="Arial"/>
          <w:sz w:val="22"/>
          <w:szCs w:val="22"/>
        </w:rPr>
        <w:t xml:space="preserve">There is evidence that episodic remote consultations may lead to fewer opportunities for sustained clinical relationships, which could impact patient trust and clinical decision making </w:t>
      </w:r>
      <w:r w:rsidR="0051292E" w:rsidRPr="0051292E">
        <w:rPr>
          <w:rFonts w:ascii="Arial" w:hAnsi="Arial" w:cs="Arial"/>
          <w:sz w:val="22"/>
          <w:szCs w:val="22"/>
        </w:rPr>
        <w:t>when prior knowledge of the patient is limited (Salisbury</w:t>
      </w:r>
      <w:r w:rsidR="0051292E">
        <w:rPr>
          <w:rFonts w:ascii="Arial" w:hAnsi="Arial" w:cs="Arial"/>
          <w:sz w:val="22"/>
          <w:szCs w:val="22"/>
        </w:rPr>
        <w:t xml:space="preserve"> et al.,</w:t>
      </w:r>
      <w:r w:rsidR="0051292E" w:rsidRPr="0051292E">
        <w:rPr>
          <w:rFonts w:ascii="Arial" w:hAnsi="Arial" w:cs="Arial"/>
          <w:sz w:val="22"/>
          <w:szCs w:val="22"/>
        </w:rPr>
        <w:t xml:space="preserve"> 2020; Murphy et al., 2021; Ladds et al., 2023).</w:t>
      </w:r>
    </w:p>
    <w:p w14:paraId="698A8F59" w14:textId="16292DC1" w:rsidR="00C81AEA" w:rsidRDefault="00C81AEA" w:rsidP="00570E1A">
      <w:pPr>
        <w:spacing w:line="360" w:lineRule="auto"/>
        <w:jc w:val="both"/>
        <w:rPr>
          <w:rFonts w:ascii="Arial" w:hAnsi="Arial" w:cs="Arial"/>
          <w:sz w:val="22"/>
          <w:szCs w:val="22"/>
        </w:rPr>
      </w:pPr>
      <w:r w:rsidRPr="00C81AEA">
        <w:rPr>
          <w:rFonts w:ascii="Arial" w:hAnsi="Arial" w:cs="Arial"/>
          <w:sz w:val="22"/>
          <w:szCs w:val="22"/>
        </w:rPr>
        <w:t>Questions about patient safety and confidence in artificial intelligence to triage have also arisen. While automated symptom checkers increase the speed of access, clinicians are responsible for final decision making, and there is still debate about appropriate integration of algorithm driven assessment into patient centred care models</w:t>
      </w:r>
      <w:r w:rsidR="00F226DF">
        <w:rPr>
          <w:rFonts w:ascii="Arial" w:hAnsi="Arial" w:cs="Arial"/>
          <w:sz w:val="22"/>
          <w:szCs w:val="22"/>
        </w:rPr>
        <w:t xml:space="preserve"> (Razai et al., 2024 &amp; Department of Health and Social care, 2022).</w:t>
      </w:r>
    </w:p>
    <w:p w14:paraId="60D62D05" w14:textId="2D8BDC2E" w:rsidR="00570E1A" w:rsidRPr="00570E1A" w:rsidRDefault="00570E1A" w:rsidP="00570E1A">
      <w:pPr>
        <w:spacing w:line="360" w:lineRule="auto"/>
        <w:jc w:val="both"/>
        <w:rPr>
          <w:rFonts w:ascii="Arial" w:hAnsi="Arial" w:cs="Arial"/>
          <w:b/>
          <w:bCs/>
          <w:sz w:val="22"/>
          <w:szCs w:val="22"/>
        </w:rPr>
      </w:pPr>
      <w:r w:rsidRPr="00570E1A">
        <w:rPr>
          <w:rFonts w:ascii="Arial" w:hAnsi="Arial" w:cs="Arial"/>
          <w:b/>
          <w:bCs/>
          <w:sz w:val="22"/>
          <w:szCs w:val="22"/>
        </w:rPr>
        <w:t xml:space="preserve">3.4 Community Impact </w:t>
      </w:r>
    </w:p>
    <w:p w14:paraId="350E4614" w14:textId="5E9950F8" w:rsidR="0026223D" w:rsidRPr="0026223D" w:rsidRDefault="00F226DF" w:rsidP="0026223D">
      <w:pPr>
        <w:spacing w:line="360" w:lineRule="auto"/>
        <w:jc w:val="both"/>
        <w:rPr>
          <w:rFonts w:ascii="Arial" w:hAnsi="Arial" w:cs="Arial"/>
          <w:sz w:val="22"/>
          <w:szCs w:val="22"/>
        </w:rPr>
      </w:pPr>
      <w:r w:rsidRPr="00F226DF">
        <w:rPr>
          <w:rFonts w:ascii="Arial" w:hAnsi="Arial" w:cs="Arial"/>
          <w:sz w:val="22"/>
          <w:szCs w:val="22"/>
        </w:rPr>
        <w:t xml:space="preserve">Traditional general practice in the United Kingdom has historically been </w:t>
      </w:r>
      <w:proofErr w:type="spellStart"/>
      <w:r w:rsidRPr="00F226DF">
        <w:rPr>
          <w:rFonts w:ascii="Arial" w:hAnsi="Arial" w:cs="Arial"/>
          <w:sz w:val="22"/>
          <w:szCs w:val="22"/>
        </w:rPr>
        <w:t>organised</w:t>
      </w:r>
      <w:proofErr w:type="spellEnd"/>
      <w:r w:rsidRPr="00F226DF">
        <w:rPr>
          <w:rFonts w:ascii="Arial" w:hAnsi="Arial" w:cs="Arial"/>
          <w:sz w:val="22"/>
          <w:szCs w:val="22"/>
        </w:rPr>
        <w:t xml:space="preserve"> around geographically defined populations and has enabled services to plan resources based on local health needs.</w:t>
      </w:r>
      <w:r w:rsidR="0026223D" w:rsidRPr="0026223D">
        <w:rPr>
          <w:rFonts w:ascii="Arial" w:hAnsi="Arial" w:cs="Arial"/>
          <w:sz w:val="22"/>
          <w:szCs w:val="22"/>
        </w:rPr>
        <w:t xml:space="preserve"> </w:t>
      </w:r>
      <w:r w:rsidRPr="00F226DF">
        <w:rPr>
          <w:rFonts w:ascii="Arial" w:hAnsi="Arial" w:cs="Arial"/>
          <w:sz w:val="22"/>
          <w:szCs w:val="22"/>
        </w:rPr>
        <w:t xml:space="preserve">Digital first registration models changed this arrangement by enabling patients to </w:t>
      </w:r>
      <w:r w:rsidRPr="00F226DF">
        <w:rPr>
          <w:rFonts w:ascii="Arial" w:hAnsi="Arial" w:cs="Arial"/>
          <w:sz w:val="22"/>
          <w:szCs w:val="22"/>
        </w:rPr>
        <w:t>enroll</w:t>
      </w:r>
      <w:r w:rsidRPr="00F226DF">
        <w:rPr>
          <w:rFonts w:ascii="Arial" w:hAnsi="Arial" w:cs="Arial"/>
          <w:sz w:val="22"/>
          <w:szCs w:val="22"/>
        </w:rPr>
        <w:t xml:space="preserve"> with a practice irrespective of physical proximity, changing established patterns of service </w:t>
      </w:r>
      <w:proofErr w:type="spellStart"/>
      <w:r w:rsidRPr="00F226DF">
        <w:rPr>
          <w:rFonts w:ascii="Arial" w:hAnsi="Arial" w:cs="Arial"/>
          <w:sz w:val="22"/>
          <w:szCs w:val="22"/>
        </w:rPr>
        <w:t>utilisation</w:t>
      </w:r>
      <w:proofErr w:type="spellEnd"/>
      <w:r w:rsidR="0026223D" w:rsidRPr="0026223D">
        <w:rPr>
          <w:rFonts w:ascii="Arial" w:hAnsi="Arial" w:cs="Arial"/>
          <w:sz w:val="22"/>
          <w:szCs w:val="22"/>
        </w:rPr>
        <w:t xml:space="preserve"> (NHS England, 2019</w:t>
      </w:r>
      <w:r w:rsidR="008D6317">
        <w:rPr>
          <w:rFonts w:ascii="Arial" w:hAnsi="Arial" w:cs="Arial"/>
          <w:sz w:val="22"/>
          <w:szCs w:val="22"/>
        </w:rPr>
        <w:t>b</w:t>
      </w:r>
      <w:r w:rsidR="0026223D" w:rsidRPr="0026223D">
        <w:rPr>
          <w:rFonts w:ascii="Arial" w:hAnsi="Arial" w:cs="Arial"/>
          <w:sz w:val="22"/>
          <w:szCs w:val="22"/>
        </w:rPr>
        <w:t>).</w:t>
      </w:r>
    </w:p>
    <w:p w14:paraId="713015D6" w14:textId="77777777" w:rsidR="00D37876" w:rsidRDefault="00F226DF" w:rsidP="00D974D2">
      <w:pPr>
        <w:spacing w:line="360" w:lineRule="auto"/>
        <w:jc w:val="both"/>
        <w:rPr>
          <w:rFonts w:ascii="Arial" w:hAnsi="Arial" w:cs="Arial"/>
          <w:sz w:val="22"/>
          <w:szCs w:val="22"/>
        </w:rPr>
      </w:pPr>
      <w:r w:rsidRPr="00F226DF">
        <w:rPr>
          <w:rFonts w:ascii="Arial" w:hAnsi="Arial" w:cs="Arial"/>
          <w:sz w:val="22"/>
          <w:szCs w:val="22"/>
        </w:rPr>
        <w:t>Evidence shows that GP at Hand attracted a large proportion of younger, healthier and digitally confident patients especially those living or working in urban areas (</w:t>
      </w:r>
      <w:proofErr w:type="spellStart"/>
      <w:r w:rsidRPr="00F226DF">
        <w:rPr>
          <w:rFonts w:ascii="Arial" w:hAnsi="Arial" w:cs="Arial"/>
          <w:sz w:val="22"/>
          <w:szCs w:val="22"/>
        </w:rPr>
        <w:t>Lakoma</w:t>
      </w:r>
      <w:proofErr w:type="spellEnd"/>
      <w:r w:rsidRPr="00F226DF">
        <w:rPr>
          <w:rFonts w:ascii="Arial" w:hAnsi="Arial" w:cs="Arial"/>
          <w:sz w:val="22"/>
          <w:szCs w:val="22"/>
        </w:rPr>
        <w:t xml:space="preserve"> et al., 2024). </w:t>
      </w:r>
      <w:r w:rsidR="00D37876" w:rsidRPr="00D37876">
        <w:rPr>
          <w:rFonts w:ascii="Arial" w:hAnsi="Arial" w:cs="Arial"/>
          <w:sz w:val="22"/>
          <w:szCs w:val="22"/>
        </w:rPr>
        <w:t xml:space="preserve">The Nuffield Trust </w:t>
      </w:r>
      <w:r w:rsidR="00D37876">
        <w:rPr>
          <w:rFonts w:ascii="Arial" w:hAnsi="Arial" w:cs="Arial"/>
          <w:sz w:val="22"/>
          <w:szCs w:val="22"/>
        </w:rPr>
        <w:t>reported that</w:t>
      </w:r>
      <w:r w:rsidR="00D37876" w:rsidRPr="00D37876">
        <w:rPr>
          <w:rFonts w:ascii="Arial" w:hAnsi="Arial" w:cs="Arial"/>
          <w:sz w:val="22"/>
          <w:szCs w:val="22"/>
        </w:rPr>
        <w:t xml:space="preserve"> </w:t>
      </w:r>
      <w:proofErr w:type="spellStart"/>
      <w:r w:rsidR="00D37876" w:rsidRPr="00D37876">
        <w:rPr>
          <w:rFonts w:ascii="Arial" w:hAnsi="Arial" w:cs="Arial"/>
          <w:sz w:val="22"/>
          <w:szCs w:val="22"/>
        </w:rPr>
        <w:t>n</w:t>
      </w:r>
      <w:r w:rsidR="00D37876" w:rsidRPr="00D37876">
        <w:rPr>
          <w:rFonts w:ascii="Arial" w:hAnsi="Arial" w:cs="Arial"/>
          <w:sz w:val="22"/>
          <w:szCs w:val="22"/>
        </w:rPr>
        <w:t>neighboring</w:t>
      </w:r>
      <w:proofErr w:type="spellEnd"/>
      <w:r w:rsidR="00D37876" w:rsidRPr="00D37876">
        <w:rPr>
          <w:rFonts w:ascii="Arial" w:hAnsi="Arial" w:cs="Arial"/>
          <w:sz w:val="22"/>
          <w:szCs w:val="22"/>
        </w:rPr>
        <w:t xml:space="preserve"> GP practices</w:t>
      </w:r>
      <w:r w:rsidR="00D37876">
        <w:rPr>
          <w:rFonts w:ascii="Arial" w:hAnsi="Arial" w:cs="Arial"/>
          <w:sz w:val="22"/>
          <w:szCs w:val="22"/>
        </w:rPr>
        <w:t xml:space="preserve"> retained </w:t>
      </w:r>
      <w:r w:rsidR="00D37876" w:rsidRPr="00D37876">
        <w:rPr>
          <w:rFonts w:ascii="Arial" w:hAnsi="Arial" w:cs="Arial"/>
          <w:sz w:val="22"/>
          <w:szCs w:val="22"/>
        </w:rPr>
        <w:t>disproportionately larger numbers of patients with complex medical and social needs, while lower-cost patients increasingly went to digitally enabled providers</w:t>
      </w:r>
      <w:r w:rsidR="00D37876">
        <w:rPr>
          <w:rFonts w:ascii="Arial" w:hAnsi="Arial" w:cs="Arial"/>
          <w:sz w:val="22"/>
          <w:szCs w:val="22"/>
        </w:rPr>
        <w:t xml:space="preserve"> </w:t>
      </w:r>
      <w:r w:rsidR="0026223D" w:rsidRPr="0026223D">
        <w:rPr>
          <w:rFonts w:ascii="Arial" w:hAnsi="Arial" w:cs="Arial"/>
          <w:sz w:val="22"/>
          <w:szCs w:val="22"/>
        </w:rPr>
        <w:t xml:space="preserve">(Nuffield Trust, 2018). </w:t>
      </w:r>
      <w:r w:rsidR="00D37876" w:rsidRPr="00D37876">
        <w:rPr>
          <w:rFonts w:ascii="Arial" w:hAnsi="Arial" w:cs="Arial"/>
          <w:sz w:val="22"/>
          <w:szCs w:val="22"/>
        </w:rPr>
        <w:t xml:space="preserve">Because NHS funding is based on patient registration, policymakers and local commissioners were </w:t>
      </w:r>
      <w:r w:rsidR="00D37876" w:rsidRPr="00D37876">
        <w:rPr>
          <w:rFonts w:ascii="Arial" w:hAnsi="Arial" w:cs="Arial"/>
          <w:sz w:val="22"/>
          <w:szCs w:val="22"/>
        </w:rPr>
        <w:t>concerned that</w:t>
      </w:r>
      <w:r w:rsidR="00D37876" w:rsidRPr="00D37876">
        <w:rPr>
          <w:rFonts w:ascii="Arial" w:hAnsi="Arial" w:cs="Arial"/>
          <w:sz w:val="22"/>
          <w:szCs w:val="22"/>
        </w:rPr>
        <w:t xml:space="preserve"> digital first models might cause imbalance in the distribution of resources across communities </w:t>
      </w:r>
      <w:r w:rsidR="00D974D2">
        <w:rPr>
          <w:rFonts w:ascii="Arial" w:hAnsi="Arial" w:cs="Arial"/>
          <w:sz w:val="22"/>
          <w:szCs w:val="22"/>
        </w:rPr>
        <w:t>(</w:t>
      </w:r>
      <w:r w:rsidR="00D974D2" w:rsidRPr="000E6E69">
        <w:rPr>
          <w:rFonts w:ascii="Arial" w:hAnsi="Arial" w:cs="Arial"/>
          <w:sz w:val="22"/>
          <w:szCs w:val="22"/>
        </w:rPr>
        <w:t xml:space="preserve">Castle </w:t>
      </w:r>
      <w:r w:rsidR="00D974D2">
        <w:rPr>
          <w:rFonts w:ascii="Arial" w:hAnsi="Arial" w:cs="Arial"/>
          <w:sz w:val="22"/>
          <w:szCs w:val="22"/>
        </w:rPr>
        <w:t>&amp;</w:t>
      </w:r>
      <w:r w:rsidR="00D974D2" w:rsidRPr="000E6E69">
        <w:rPr>
          <w:rFonts w:ascii="Arial" w:hAnsi="Arial" w:cs="Arial"/>
          <w:sz w:val="22"/>
          <w:szCs w:val="22"/>
        </w:rPr>
        <w:t xml:space="preserve"> Scobie</w:t>
      </w:r>
      <w:r w:rsidR="00D974D2">
        <w:rPr>
          <w:rFonts w:ascii="Arial" w:hAnsi="Arial" w:cs="Arial"/>
          <w:sz w:val="22"/>
          <w:szCs w:val="22"/>
        </w:rPr>
        <w:t xml:space="preserve">, 2018; </w:t>
      </w:r>
      <w:r w:rsidR="00D974D2" w:rsidRPr="000E6E69">
        <w:rPr>
          <w:rFonts w:ascii="Arial" w:hAnsi="Arial" w:cs="Arial"/>
          <w:sz w:val="22"/>
          <w:szCs w:val="22"/>
        </w:rPr>
        <w:t>Hammer</w:t>
      </w:r>
      <w:r w:rsidR="00D974D2">
        <w:rPr>
          <w:rFonts w:ascii="Arial" w:hAnsi="Arial" w:cs="Arial"/>
          <w:sz w:val="22"/>
          <w:szCs w:val="22"/>
        </w:rPr>
        <w:t xml:space="preserve"> et al., 2019; &amp; </w:t>
      </w:r>
      <w:r w:rsidR="00D974D2" w:rsidRPr="000E6E69">
        <w:rPr>
          <w:rFonts w:ascii="Arial" w:hAnsi="Arial" w:cs="Arial"/>
          <w:sz w:val="22"/>
          <w:szCs w:val="22"/>
        </w:rPr>
        <w:t>Salisbury</w:t>
      </w:r>
      <w:r w:rsidR="00D974D2">
        <w:rPr>
          <w:rFonts w:ascii="Arial" w:hAnsi="Arial" w:cs="Arial"/>
          <w:sz w:val="22"/>
          <w:szCs w:val="22"/>
        </w:rPr>
        <w:t xml:space="preserve"> et al., 2020).</w:t>
      </w:r>
      <w:r w:rsidR="00D37876">
        <w:rPr>
          <w:rFonts w:ascii="Arial" w:hAnsi="Arial" w:cs="Arial"/>
          <w:sz w:val="22"/>
          <w:szCs w:val="22"/>
        </w:rPr>
        <w:t xml:space="preserve"> </w:t>
      </w:r>
    </w:p>
    <w:p w14:paraId="70720BBC" w14:textId="50EEEA33" w:rsidR="00676753" w:rsidRDefault="00D05949" w:rsidP="00D974D2">
      <w:pPr>
        <w:spacing w:line="360" w:lineRule="auto"/>
        <w:jc w:val="both"/>
        <w:rPr>
          <w:rFonts w:ascii="Arial" w:hAnsi="Arial" w:cs="Arial"/>
          <w:sz w:val="22"/>
          <w:szCs w:val="22"/>
        </w:rPr>
      </w:pPr>
      <w:r w:rsidRPr="00D05949">
        <w:rPr>
          <w:rFonts w:ascii="Arial" w:hAnsi="Arial" w:cs="Arial"/>
          <w:sz w:val="22"/>
          <w:szCs w:val="22"/>
        </w:rPr>
        <w:t xml:space="preserve">Community-level evaluations highlight that while digital-first services are increasing access, dependence on online consultation systems may inadvertently perpetuate inequalities in health where digital literacy, socioeconomic status or access to technology are not equally distributed across populations </w:t>
      </w:r>
      <w:r w:rsidR="00676753" w:rsidRPr="00676753">
        <w:rPr>
          <w:rFonts w:ascii="Arial" w:hAnsi="Arial" w:cs="Arial"/>
          <w:sz w:val="22"/>
          <w:szCs w:val="22"/>
        </w:rPr>
        <w:t>(NHS England, 2023; Ladds et al., 2023; Badr et al., 2024; Aminu et al., 2025).</w:t>
      </w:r>
    </w:p>
    <w:p w14:paraId="3D61FA69" w14:textId="002E1BD6" w:rsidR="004E3B5F" w:rsidRDefault="00D05949" w:rsidP="00E82ED2">
      <w:pPr>
        <w:spacing w:line="360" w:lineRule="auto"/>
        <w:jc w:val="both"/>
        <w:rPr>
          <w:rFonts w:ascii="Arial" w:hAnsi="Arial" w:cs="Arial"/>
          <w:sz w:val="22"/>
          <w:szCs w:val="22"/>
        </w:rPr>
      </w:pPr>
      <w:r w:rsidRPr="00D05949">
        <w:rPr>
          <w:rFonts w:ascii="Arial" w:hAnsi="Arial" w:cs="Arial"/>
          <w:sz w:val="22"/>
          <w:szCs w:val="22"/>
        </w:rPr>
        <w:t>Recent developments also point to these community implications. After the financial collapse of Babylon health in 2023, GP at Hand continued to trade under new ownership as eMed GP at Hand, but at a smaller scale than its previous phase of expansion</w:t>
      </w:r>
      <w:r>
        <w:rPr>
          <w:rFonts w:ascii="Arial" w:hAnsi="Arial" w:cs="Arial"/>
          <w:sz w:val="22"/>
          <w:szCs w:val="22"/>
        </w:rPr>
        <w:t xml:space="preserve"> </w:t>
      </w:r>
      <w:r w:rsidR="0026223D" w:rsidRPr="0026223D">
        <w:rPr>
          <w:rFonts w:ascii="Arial" w:hAnsi="Arial" w:cs="Arial"/>
          <w:sz w:val="22"/>
          <w:szCs w:val="22"/>
        </w:rPr>
        <w:t>(P</w:t>
      </w:r>
      <w:r w:rsidR="00676753">
        <w:rPr>
          <w:rFonts w:ascii="Arial" w:hAnsi="Arial" w:cs="Arial"/>
          <w:sz w:val="22"/>
          <w:szCs w:val="22"/>
        </w:rPr>
        <w:t>arr</w:t>
      </w:r>
      <w:r w:rsidR="0026223D" w:rsidRPr="0026223D">
        <w:rPr>
          <w:rFonts w:ascii="Arial" w:hAnsi="Arial" w:cs="Arial"/>
          <w:sz w:val="22"/>
          <w:szCs w:val="22"/>
        </w:rPr>
        <w:t>, 2023</w:t>
      </w:r>
      <w:r w:rsidR="00676753">
        <w:rPr>
          <w:rFonts w:ascii="Arial" w:hAnsi="Arial" w:cs="Arial"/>
          <w:sz w:val="22"/>
          <w:szCs w:val="22"/>
        </w:rPr>
        <w:t>; and</w:t>
      </w:r>
      <w:r w:rsidR="0026223D" w:rsidRPr="0026223D">
        <w:rPr>
          <w:rFonts w:ascii="Arial" w:hAnsi="Arial" w:cs="Arial"/>
          <w:sz w:val="22"/>
          <w:szCs w:val="22"/>
        </w:rPr>
        <w:t xml:space="preserve"> Shahzad</w:t>
      </w:r>
      <w:r w:rsidR="00676753">
        <w:rPr>
          <w:rFonts w:ascii="Arial" w:hAnsi="Arial" w:cs="Arial"/>
          <w:sz w:val="22"/>
          <w:szCs w:val="22"/>
        </w:rPr>
        <w:t xml:space="preserve"> &amp; Kings, </w:t>
      </w:r>
      <w:r w:rsidR="0026223D" w:rsidRPr="0026223D">
        <w:rPr>
          <w:rFonts w:ascii="Arial" w:hAnsi="Arial" w:cs="Arial"/>
          <w:sz w:val="22"/>
          <w:szCs w:val="22"/>
        </w:rPr>
        <w:t xml:space="preserve">2026). </w:t>
      </w:r>
      <w:r w:rsidR="00923FEB" w:rsidRPr="00923FEB">
        <w:rPr>
          <w:rFonts w:ascii="Arial" w:hAnsi="Arial" w:cs="Arial"/>
          <w:sz w:val="22"/>
          <w:szCs w:val="22"/>
        </w:rPr>
        <w:t xml:space="preserve">The transition has shown that while digital innovation can scale access very quickly, longer-term integration into community health systems requires </w:t>
      </w:r>
      <w:r w:rsidR="00923FEB" w:rsidRPr="00923FEB">
        <w:rPr>
          <w:rFonts w:ascii="Arial" w:hAnsi="Arial" w:cs="Arial"/>
          <w:sz w:val="22"/>
          <w:szCs w:val="22"/>
        </w:rPr>
        <w:t>matching</w:t>
      </w:r>
      <w:r w:rsidR="00923FEB" w:rsidRPr="00923FEB">
        <w:rPr>
          <w:rFonts w:ascii="Arial" w:hAnsi="Arial" w:cs="Arial"/>
          <w:sz w:val="22"/>
          <w:szCs w:val="22"/>
        </w:rPr>
        <w:t xml:space="preserve"> existing funding systems, workforce capacity and local population needs.</w:t>
      </w:r>
      <w:r w:rsidR="00923FEB">
        <w:rPr>
          <w:rFonts w:ascii="Arial" w:hAnsi="Arial" w:cs="Arial"/>
          <w:sz w:val="22"/>
          <w:szCs w:val="22"/>
        </w:rPr>
        <w:t xml:space="preserve"> </w:t>
      </w:r>
      <w:r w:rsidR="004E3B5F" w:rsidRPr="004E3B5F">
        <w:rPr>
          <w:rFonts w:ascii="Arial" w:hAnsi="Arial" w:cs="Arial"/>
          <w:sz w:val="22"/>
          <w:szCs w:val="22"/>
        </w:rPr>
        <w:t>These findings suggest that digital innovation in primary care reshapes the distribution of health opportunities across communities and requires system-level planning alongside technological adoption.</w:t>
      </w:r>
    </w:p>
    <w:p w14:paraId="00E27843" w14:textId="17C360B7" w:rsidR="00E82ED2" w:rsidRPr="00E82ED2" w:rsidRDefault="00E82ED2" w:rsidP="00E82ED2">
      <w:pPr>
        <w:spacing w:line="360" w:lineRule="auto"/>
        <w:jc w:val="both"/>
        <w:rPr>
          <w:rFonts w:ascii="Arial" w:hAnsi="Arial" w:cs="Arial"/>
          <w:b/>
          <w:bCs/>
          <w:sz w:val="22"/>
          <w:szCs w:val="22"/>
        </w:rPr>
      </w:pPr>
      <w:r w:rsidRPr="00E82ED2">
        <w:rPr>
          <w:rFonts w:ascii="Arial" w:hAnsi="Arial" w:cs="Arial"/>
          <w:b/>
          <w:bCs/>
          <w:sz w:val="22"/>
          <w:szCs w:val="22"/>
        </w:rPr>
        <w:t xml:space="preserve">4. Conclusion </w:t>
      </w:r>
    </w:p>
    <w:p w14:paraId="0271FD08" w14:textId="25936C7D" w:rsidR="00676753" w:rsidRDefault="00923FEB" w:rsidP="00E82ED2">
      <w:pPr>
        <w:spacing w:line="360" w:lineRule="auto"/>
        <w:jc w:val="both"/>
        <w:rPr>
          <w:rFonts w:ascii="Arial" w:hAnsi="Arial" w:cs="Arial"/>
          <w:sz w:val="22"/>
          <w:szCs w:val="22"/>
        </w:rPr>
      </w:pPr>
      <w:r w:rsidRPr="00923FEB">
        <w:rPr>
          <w:rFonts w:ascii="Arial" w:hAnsi="Arial" w:cs="Arial"/>
          <w:sz w:val="22"/>
          <w:szCs w:val="22"/>
        </w:rPr>
        <w:t xml:space="preserve">GP at Hand shows how digital innovation can transform the NHS primary care by changing workforce practices, service delivery and patient access to healthcare. The </w:t>
      </w:r>
      <w:proofErr w:type="gramStart"/>
      <w:r w:rsidRPr="00923FEB">
        <w:rPr>
          <w:rFonts w:ascii="Arial" w:hAnsi="Arial" w:cs="Arial"/>
          <w:sz w:val="22"/>
          <w:szCs w:val="22"/>
        </w:rPr>
        <w:t>digital-first</w:t>
      </w:r>
      <w:proofErr w:type="gramEnd"/>
      <w:r w:rsidRPr="00923FEB">
        <w:rPr>
          <w:rFonts w:ascii="Arial" w:hAnsi="Arial" w:cs="Arial"/>
          <w:sz w:val="22"/>
          <w:szCs w:val="22"/>
        </w:rPr>
        <w:t xml:space="preserve"> model helped to enhance the availability of consultations and provide flexibility in pathways to meet the increasing demand for services.</w:t>
      </w:r>
      <w:r w:rsidR="00676753" w:rsidRPr="00676753">
        <w:rPr>
          <w:rFonts w:ascii="Arial" w:hAnsi="Arial" w:cs="Arial"/>
          <w:sz w:val="22"/>
          <w:szCs w:val="22"/>
        </w:rPr>
        <w:t xml:space="preserve"> </w:t>
      </w:r>
      <w:r w:rsidRPr="00923FEB">
        <w:rPr>
          <w:rFonts w:ascii="Arial" w:hAnsi="Arial" w:cs="Arial"/>
          <w:sz w:val="22"/>
          <w:szCs w:val="22"/>
        </w:rPr>
        <w:t xml:space="preserve">However, evaluation of its implementation also revealed challenges relating to workload distribution, </w:t>
      </w:r>
      <w:proofErr w:type="spellStart"/>
      <w:r w:rsidRPr="00923FEB">
        <w:rPr>
          <w:rFonts w:ascii="Arial" w:hAnsi="Arial" w:cs="Arial"/>
          <w:sz w:val="22"/>
          <w:szCs w:val="22"/>
        </w:rPr>
        <w:t>organisational</w:t>
      </w:r>
      <w:proofErr w:type="spellEnd"/>
      <w:r w:rsidRPr="00923FEB">
        <w:rPr>
          <w:rFonts w:ascii="Arial" w:hAnsi="Arial" w:cs="Arial"/>
          <w:sz w:val="22"/>
          <w:szCs w:val="22"/>
        </w:rPr>
        <w:t xml:space="preserve"> sustainability and unequal engagement across patient populations. These findings suggest that digital transformation has benefits and unintended consequences</w:t>
      </w:r>
      <w:r w:rsidR="00676753" w:rsidRPr="00676753">
        <w:rPr>
          <w:rFonts w:ascii="Arial" w:hAnsi="Arial" w:cs="Arial"/>
          <w:sz w:val="22"/>
          <w:szCs w:val="22"/>
        </w:rPr>
        <w:t xml:space="preserve">. </w:t>
      </w:r>
      <w:r w:rsidRPr="00923FEB">
        <w:rPr>
          <w:rFonts w:ascii="Arial" w:hAnsi="Arial" w:cs="Arial"/>
          <w:sz w:val="22"/>
          <w:szCs w:val="22"/>
        </w:rPr>
        <w:t xml:space="preserve">Effective integration of technology within health services therefore depends on balancing efficiency gains with equitable access, workforce adaptation and careful </w:t>
      </w:r>
      <w:r>
        <w:rPr>
          <w:rFonts w:ascii="Arial" w:hAnsi="Arial" w:cs="Arial"/>
          <w:sz w:val="22"/>
          <w:szCs w:val="22"/>
        </w:rPr>
        <w:t>agreements</w:t>
      </w:r>
      <w:r w:rsidRPr="00923FEB">
        <w:rPr>
          <w:rFonts w:ascii="Arial" w:hAnsi="Arial" w:cs="Arial"/>
          <w:sz w:val="22"/>
          <w:szCs w:val="22"/>
        </w:rPr>
        <w:t xml:space="preserve"> with the existing community healthcare structures.</w:t>
      </w:r>
    </w:p>
    <w:p w14:paraId="0BA2CB2D" w14:textId="77777777" w:rsidR="00EB21CE" w:rsidRDefault="00EB21CE" w:rsidP="00EB21CE">
      <w:pPr>
        <w:spacing w:line="360" w:lineRule="auto"/>
        <w:jc w:val="both"/>
        <w:rPr>
          <w:rFonts w:ascii="Arial" w:hAnsi="Arial" w:cs="Arial"/>
          <w:sz w:val="22"/>
          <w:szCs w:val="22"/>
        </w:rPr>
      </w:pPr>
    </w:p>
    <w:p w14:paraId="6D45C537" w14:textId="77777777" w:rsidR="00676753" w:rsidRDefault="00676753" w:rsidP="00EB21CE">
      <w:pPr>
        <w:spacing w:line="360" w:lineRule="auto"/>
        <w:jc w:val="both"/>
        <w:rPr>
          <w:rFonts w:ascii="Arial" w:hAnsi="Arial" w:cs="Arial"/>
          <w:sz w:val="22"/>
          <w:szCs w:val="22"/>
        </w:rPr>
      </w:pPr>
    </w:p>
    <w:p w14:paraId="389AE1C8" w14:textId="77777777" w:rsidR="00923FEB" w:rsidRDefault="00923FEB" w:rsidP="00EB21CE">
      <w:pPr>
        <w:spacing w:line="360" w:lineRule="auto"/>
        <w:jc w:val="both"/>
        <w:rPr>
          <w:rFonts w:ascii="Arial" w:hAnsi="Arial" w:cs="Arial"/>
          <w:sz w:val="22"/>
          <w:szCs w:val="22"/>
        </w:rPr>
      </w:pPr>
    </w:p>
    <w:p w14:paraId="7CA3378A" w14:textId="77777777" w:rsidR="00923FEB" w:rsidRDefault="00923FEB" w:rsidP="00EB21CE">
      <w:pPr>
        <w:spacing w:line="360" w:lineRule="auto"/>
        <w:jc w:val="both"/>
        <w:rPr>
          <w:rFonts w:ascii="Arial" w:hAnsi="Arial" w:cs="Arial"/>
          <w:sz w:val="22"/>
          <w:szCs w:val="22"/>
        </w:rPr>
      </w:pPr>
    </w:p>
    <w:p w14:paraId="613DFAFF" w14:textId="77777777" w:rsidR="00676753" w:rsidRDefault="00676753" w:rsidP="00EB21CE">
      <w:pPr>
        <w:spacing w:line="360" w:lineRule="auto"/>
        <w:jc w:val="both"/>
        <w:rPr>
          <w:rFonts w:ascii="Arial" w:hAnsi="Arial" w:cs="Arial"/>
          <w:sz w:val="22"/>
          <w:szCs w:val="22"/>
        </w:rPr>
      </w:pPr>
    </w:p>
    <w:p w14:paraId="5123E8F3" w14:textId="77777777" w:rsidR="00676753" w:rsidRDefault="00676753" w:rsidP="00EB21CE">
      <w:pPr>
        <w:spacing w:line="360" w:lineRule="auto"/>
        <w:jc w:val="both"/>
        <w:rPr>
          <w:rFonts w:ascii="Arial" w:hAnsi="Arial" w:cs="Arial"/>
          <w:sz w:val="22"/>
          <w:szCs w:val="22"/>
        </w:rPr>
      </w:pPr>
    </w:p>
    <w:p w14:paraId="1E98F7A7" w14:textId="48F37E8E" w:rsidR="00676753" w:rsidRDefault="00676753" w:rsidP="00EB21CE">
      <w:pPr>
        <w:spacing w:line="360" w:lineRule="auto"/>
        <w:jc w:val="both"/>
        <w:rPr>
          <w:rFonts w:ascii="Arial" w:hAnsi="Arial" w:cs="Arial"/>
          <w:b/>
          <w:bCs/>
          <w:sz w:val="22"/>
          <w:szCs w:val="22"/>
        </w:rPr>
      </w:pPr>
      <w:r w:rsidRPr="00676753">
        <w:rPr>
          <w:rFonts w:ascii="Arial" w:hAnsi="Arial" w:cs="Arial"/>
          <w:b/>
          <w:bCs/>
          <w:sz w:val="22"/>
          <w:szCs w:val="22"/>
        </w:rPr>
        <w:t>References</w:t>
      </w:r>
    </w:p>
    <w:p w14:paraId="79E68004"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Aminu, A.Q., Sinclair, D.R., Davies, K., Hall, A., Wiedemann, M., O'Neill, T.W., Clegg, A. and Todd, C. (2025) ‘Disparities in the use of remote general practice consultations: learning from the COVID-19 pandemic, an analysis of 19 million electronic health records using </w:t>
      </w:r>
      <w:proofErr w:type="spellStart"/>
      <w:r w:rsidRPr="00923FEB">
        <w:rPr>
          <w:rFonts w:ascii="Arial" w:hAnsi="Arial" w:cs="Arial"/>
          <w:sz w:val="22"/>
          <w:szCs w:val="22"/>
        </w:rPr>
        <w:t>OpenSAFELY</w:t>
      </w:r>
      <w:proofErr w:type="spellEnd"/>
      <w:r w:rsidRPr="00923FEB">
        <w:rPr>
          <w:rFonts w:ascii="Arial" w:hAnsi="Arial" w:cs="Arial"/>
          <w:sz w:val="22"/>
          <w:szCs w:val="22"/>
        </w:rPr>
        <w:t xml:space="preserve">’, </w:t>
      </w:r>
      <w:r w:rsidRPr="00923FEB">
        <w:rPr>
          <w:rFonts w:ascii="Arial" w:hAnsi="Arial" w:cs="Arial"/>
          <w:i/>
          <w:iCs/>
          <w:sz w:val="22"/>
          <w:szCs w:val="22"/>
        </w:rPr>
        <w:t>BMC Medicine</w:t>
      </w:r>
      <w:r w:rsidRPr="00923FEB">
        <w:rPr>
          <w:rFonts w:ascii="Arial" w:hAnsi="Arial" w:cs="Arial"/>
          <w:sz w:val="22"/>
          <w:szCs w:val="22"/>
        </w:rPr>
        <w:t xml:space="preserve">, 23(1), p.673. Available at: </w:t>
      </w:r>
      <w:hyperlink r:id="rId8" w:tgtFrame="_new" w:history="1">
        <w:r w:rsidRPr="00923FEB">
          <w:rPr>
            <w:rStyle w:val="Hyperlink"/>
            <w:rFonts w:ascii="Arial" w:hAnsi="Arial" w:cs="Arial"/>
            <w:sz w:val="22"/>
            <w:szCs w:val="22"/>
          </w:rPr>
          <w:t>https://doi.org/10.1186/s12916-025-04469-1</w:t>
        </w:r>
      </w:hyperlink>
      <w:r w:rsidRPr="00923FEB">
        <w:rPr>
          <w:rFonts w:ascii="Arial" w:hAnsi="Arial" w:cs="Arial"/>
          <w:sz w:val="22"/>
          <w:szCs w:val="22"/>
        </w:rPr>
        <w:t xml:space="preserve"> (Accessed: 15 February 2026).</w:t>
      </w:r>
    </w:p>
    <w:p w14:paraId="1ACA2473"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Atherton, H., Brant, H., </w:t>
      </w:r>
      <w:proofErr w:type="spellStart"/>
      <w:r w:rsidRPr="00923FEB">
        <w:rPr>
          <w:rFonts w:ascii="Arial" w:hAnsi="Arial" w:cs="Arial"/>
          <w:sz w:val="22"/>
          <w:szCs w:val="22"/>
        </w:rPr>
        <w:t>Ziebland</w:t>
      </w:r>
      <w:proofErr w:type="spellEnd"/>
      <w:r w:rsidRPr="00923FEB">
        <w:rPr>
          <w:rFonts w:ascii="Arial" w:hAnsi="Arial" w:cs="Arial"/>
          <w:sz w:val="22"/>
          <w:szCs w:val="22"/>
        </w:rPr>
        <w:t xml:space="preserve">, S., Bikker, A., Campbell, J., Gibson, A., McKinstry, B. and Salisbury, C. (2018) </w:t>
      </w:r>
      <w:r w:rsidRPr="00923FEB">
        <w:rPr>
          <w:rFonts w:ascii="Arial" w:hAnsi="Arial" w:cs="Arial"/>
          <w:i/>
          <w:iCs/>
          <w:sz w:val="22"/>
          <w:szCs w:val="22"/>
        </w:rPr>
        <w:t>The potential of alternatives to face-to-face consultation in general practice</w:t>
      </w:r>
      <w:r w:rsidRPr="00923FEB">
        <w:rPr>
          <w:rFonts w:ascii="Arial" w:hAnsi="Arial" w:cs="Arial"/>
          <w:sz w:val="22"/>
          <w:szCs w:val="22"/>
        </w:rPr>
        <w:t xml:space="preserve">. NIHR Health Services and Delivery Research. Available at: </w:t>
      </w:r>
      <w:hyperlink r:id="rId9" w:tgtFrame="_new" w:history="1">
        <w:r w:rsidRPr="00923FEB">
          <w:rPr>
            <w:rStyle w:val="Hyperlink"/>
            <w:rFonts w:ascii="Arial" w:hAnsi="Arial" w:cs="Arial"/>
            <w:sz w:val="22"/>
            <w:szCs w:val="22"/>
          </w:rPr>
          <w:t>https://www.journalslibrary.nihr.ac.uk/hsdr/hsdr06200/</w:t>
        </w:r>
      </w:hyperlink>
      <w:r w:rsidRPr="00923FEB">
        <w:rPr>
          <w:rFonts w:ascii="Arial" w:hAnsi="Arial" w:cs="Arial"/>
          <w:sz w:val="22"/>
          <w:szCs w:val="22"/>
        </w:rPr>
        <w:t xml:space="preserve"> (Accessed: 19 February 2026).</w:t>
      </w:r>
    </w:p>
    <w:p w14:paraId="57E50127"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Badr, J., </w:t>
      </w:r>
      <w:proofErr w:type="spellStart"/>
      <w:r w:rsidRPr="00923FEB">
        <w:rPr>
          <w:rFonts w:ascii="Arial" w:hAnsi="Arial" w:cs="Arial"/>
          <w:sz w:val="22"/>
          <w:szCs w:val="22"/>
        </w:rPr>
        <w:t>Motulsky</w:t>
      </w:r>
      <w:proofErr w:type="spellEnd"/>
      <w:r w:rsidRPr="00923FEB">
        <w:rPr>
          <w:rFonts w:ascii="Arial" w:hAnsi="Arial" w:cs="Arial"/>
          <w:sz w:val="22"/>
          <w:szCs w:val="22"/>
        </w:rPr>
        <w:t xml:space="preserve">, A. and Denis, J.L. (2024) ‘Digital health technologies and inequalities: a scoping review of potential impacts and policy recommendations’, </w:t>
      </w:r>
      <w:r w:rsidRPr="00923FEB">
        <w:rPr>
          <w:rFonts w:ascii="Arial" w:hAnsi="Arial" w:cs="Arial"/>
          <w:i/>
          <w:iCs/>
          <w:sz w:val="22"/>
          <w:szCs w:val="22"/>
        </w:rPr>
        <w:t>Health Policy</w:t>
      </w:r>
      <w:r w:rsidRPr="00923FEB">
        <w:rPr>
          <w:rFonts w:ascii="Arial" w:hAnsi="Arial" w:cs="Arial"/>
          <w:sz w:val="22"/>
          <w:szCs w:val="22"/>
        </w:rPr>
        <w:t xml:space="preserve">, 146, pp.1–10. Available at: </w:t>
      </w:r>
      <w:hyperlink r:id="rId10" w:tgtFrame="_new" w:history="1">
        <w:r w:rsidRPr="00923FEB">
          <w:rPr>
            <w:rStyle w:val="Hyperlink"/>
            <w:rFonts w:ascii="Arial" w:hAnsi="Arial" w:cs="Arial"/>
            <w:sz w:val="22"/>
            <w:szCs w:val="22"/>
          </w:rPr>
          <w:t>https://www.sciencedirect.com/science/article/pii/S0168851024001325</w:t>
        </w:r>
      </w:hyperlink>
      <w:r w:rsidRPr="00923FEB">
        <w:rPr>
          <w:rFonts w:ascii="Arial" w:hAnsi="Arial" w:cs="Arial"/>
          <w:sz w:val="22"/>
          <w:szCs w:val="22"/>
        </w:rPr>
        <w:t xml:space="preserve"> (Accessed: 26 February 2026).</w:t>
      </w:r>
    </w:p>
    <w:p w14:paraId="076A29E9"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Baird, B., Charles, A., Honeyman, M., Maguire, D. and Das, P. (2018) </w:t>
      </w:r>
      <w:r w:rsidRPr="00923FEB">
        <w:rPr>
          <w:rFonts w:ascii="Arial" w:hAnsi="Arial" w:cs="Arial"/>
          <w:i/>
          <w:iCs/>
          <w:sz w:val="22"/>
          <w:szCs w:val="22"/>
        </w:rPr>
        <w:t>Understanding pressures in general practice</w:t>
      </w:r>
      <w:r w:rsidRPr="00923FEB">
        <w:rPr>
          <w:rFonts w:ascii="Arial" w:hAnsi="Arial" w:cs="Arial"/>
          <w:sz w:val="22"/>
          <w:szCs w:val="22"/>
        </w:rPr>
        <w:t xml:space="preserve">. London: The King’s Fund. Available at: </w:t>
      </w:r>
      <w:hyperlink r:id="rId11" w:tgtFrame="_new" w:history="1">
        <w:r w:rsidRPr="00923FEB">
          <w:rPr>
            <w:rStyle w:val="Hyperlink"/>
            <w:rFonts w:ascii="Arial" w:hAnsi="Arial" w:cs="Arial"/>
            <w:sz w:val="22"/>
            <w:szCs w:val="22"/>
          </w:rPr>
          <w:t>https://www.kingsfund.org.uk/publications/pressures-in-general-practice</w:t>
        </w:r>
      </w:hyperlink>
      <w:r w:rsidRPr="00923FEB">
        <w:rPr>
          <w:rFonts w:ascii="Arial" w:hAnsi="Arial" w:cs="Arial"/>
          <w:sz w:val="22"/>
          <w:szCs w:val="22"/>
        </w:rPr>
        <w:t xml:space="preserve"> (Accessed: 19 February 2026).</w:t>
      </w:r>
    </w:p>
    <w:p w14:paraId="0ED682F9"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Browne, G. (2019) ‘The messy, cautionary tale of how Babylon disrupted the NHS’, </w:t>
      </w:r>
      <w:r w:rsidRPr="00923FEB">
        <w:rPr>
          <w:rFonts w:ascii="Arial" w:hAnsi="Arial" w:cs="Arial"/>
          <w:i/>
          <w:iCs/>
          <w:sz w:val="22"/>
          <w:szCs w:val="22"/>
        </w:rPr>
        <w:t>WIRED UK</w:t>
      </w:r>
      <w:r w:rsidRPr="00923FEB">
        <w:rPr>
          <w:rFonts w:ascii="Arial" w:hAnsi="Arial" w:cs="Arial"/>
          <w:sz w:val="22"/>
          <w:szCs w:val="22"/>
        </w:rPr>
        <w:t xml:space="preserve">, 18 March. Available at: </w:t>
      </w:r>
      <w:hyperlink r:id="rId12" w:tgtFrame="_new" w:history="1">
        <w:r w:rsidRPr="00923FEB">
          <w:rPr>
            <w:rStyle w:val="Hyperlink"/>
            <w:rFonts w:ascii="Arial" w:hAnsi="Arial" w:cs="Arial"/>
            <w:sz w:val="22"/>
            <w:szCs w:val="22"/>
          </w:rPr>
          <w:t>https://www.wired.com/story/babylon-health-nhs/</w:t>
        </w:r>
      </w:hyperlink>
      <w:r w:rsidRPr="00923FEB">
        <w:rPr>
          <w:rFonts w:ascii="Arial" w:hAnsi="Arial" w:cs="Arial"/>
          <w:sz w:val="22"/>
          <w:szCs w:val="22"/>
        </w:rPr>
        <w:t xml:space="preserve"> (Accessed: 26 February 2026).</w:t>
      </w:r>
    </w:p>
    <w:p w14:paraId="566B4E31"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Care Quality Commission (2019) </w:t>
      </w:r>
      <w:r w:rsidRPr="00923FEB">
        <w:rPr>
          <w:rFonts w:ascii="Arial" w:hAnsi="Arial" w:cs="Arial"/>
          <w:i/>
          <w:iCs/>
          <w:sz w:val="22"/>
          <w:szCs w:val="22"/>
        </w:rPr>
        <w:t>GP at Hand: inspection report</w:t>
      </w:r>
      <w:r w:rsidRPr="00923FEB">
        <w:rPr>
          <w:rFonts w:ascii="Arial" w:hAnsi="Arial" w:cs="Arial"/>
          <w:sz w:val="22"/>
          <w:szCs w:val="22"/>
        </w:rPr>
        <w:t xml:space="preserve">. Available at: </w:t>
      </w:r>
      <w:hyperlink r:id="rId13" w:tgtFrame="_new" w:history="1">
        <w:r w:rsidRPr="00923FEB">
          <w:rPr>
            <w:rStyle w:val="Hyperlink"/>
            <w:rFonts w:ascii="Arial" w:hAnsi="Arial" w:cs="Arial"/>
            <w:sz w:val="22"/>
            <w:szCs w:val="22"/>
          </w:rPr>
          <w:t>https://www.cqc.org.uk/location/1-6129587714</w:t>
        </w:r>
      </w:hyperlink>
      <w:r w:rsidRPr="00923FEB">
        <w:rPr>
          <w:rFonts w:ascii="Arial" w:hAnsi="Arial" w:cs="Arial"/>
          <w:sz w:val="22"/>
          <w:szCs w:val="22"/>
        </w:rPr>
        <w:t xml:space="preserve"> (Accessed: 15 February 2026).</w:t>
      </w:r>
    </w:p>
    <w:p w14:paraId="6DA38F6E"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Castle Clarke, S. and Scobie, S. (2018) </w:t>
      </w:r>
      <w:r w:rsidRPr="00923FEB">
        <w:rPr>
          <w:rFonts w:ascii="Arial" w:hAnsi="Arial" w:cs="Arial"/>
          <w:i/>
          <w:iCs/>
          <w:sz w:val="22"/>
          <w:szCs w:val="22"/>
        </w:rPr>
        <w:t xml:space="preserve">GP at Hand: </w:t>
      </w:r>
      <w:proofErr w:type="spellStart"/>
      <w:r w:rsidRPr="00923FEB">
        <w:rPr>
          <w:rFonts w:ascii="Arial" w:hAnsi="Arial" w:cs="Arial"/>
          <w:i/>
          <w:iCs/>
          <w:sz w:val="22"/>
          <w:szCs w:val="22"/>
        </w:rPr>
        <w:t>destabilising</w:t>
      </w:r>
      <w:proofErr w:type="spellEnd"/>
      <w:r w:rsidRPr="00923FEB">
        <w:rPr>
          <w:rFonts w:ascii="Arial" w:hAnsi="Arial" w:cs="Arial"/>
          <w:i/>
          <w:iCs/>
          <w:sz w:val="22"/>
          <w:szCs w:val="22"/>
        </w:rPr>
        <w:t xml:space="preserve"> or </w:t>
      </w:r>
      <w:proofErr w:type="spellStart"/>
      <w:r w:rsidRPr="00923FEB">
        <w:rPr>
          <w:rFonts w:ascii="Arial" w:hAnsi="Arial" w:cs="Arial"/>
          <w:i/>
          <w:iCs/>
          <w:sz w:val="22"/>
          <w:szCs w:val="22"/>
        </w:rPr>
        <w:t>modernising</w:t>
      </w:r>
      <w:proofErr w:type="spellEnd"/>
      <w:r w:rsidRPr="00923FEB">
        <w:rPr>
          <w:rFonts w:ascii="Arial" w:hAnsi="Arial" w:cs="Arial"/>
          <w:i/>
          <w:iCs/>
          <w:sz w:val="22"/>
          <w:szCs w:val="22"/>
        </w:rPr>
        <w:t xml:space="preserve"> general practice?</w:t>
      </w:r>
      <w:r w:rsidRPr="00923FEB">
        <w:rPr>
          <w:rFonts w:ascii="Arial" w:hAnsi="Arial" w:cs="Arial"/>
          <w:sz w:val="22"/>
          <w:szCs w:val="22"/>
        </w:rPr>
        <w:t xml:space="preserve"> London: Nuffield Trust. Available at: </w:t>
      </w:r>
      <w:hyperlink r:id="rId14" w:tgtFrame="_new" w:history="1">
        <w:r w:rsidRPr="00923FEB">
          <w:rPr>
            <w:rStyle w:val="Hyperlink"/>
            <w:rFonts w:ascii="Arial" w:hAnsi="Arial" w:cs="Arial"/>
            <w:sz w:val="22"/>
            <w:szCs w:val="22"/>
          </w:rPr>
          <w:t>https://www.nuffieldtrust.org.uk/news-item/gp-at-hand-destabilising-or-modernising-general-practice</w:t>
        </w:r>
      </w:hyperlink>
      <w:r w:rsidRPr="00923FEB">
        <w:rPr>
          <w:rFonts w:ascii="Arial" w:hAnsi="Arial" w:cs="Arial"/>
          <w:sz w:val="22"/>
          <w:szCs w:val="22"/>
        </w:rPr>
        <w:t xml:space="preserve"> (Accessed: 15 February 2026).</w:t>
      </w:r>
    </w:p>
    <w:p w14:paraId="36C262CD"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Cooper, J. (2023) ‘The pros and cons of working as a digital GP’, </w:t>
      </w:r>
      <w:r w:rsidRPr="00923FEB">
        <w:rPr>
          <w:rFonts w:ascii="Arial" w:hAnsi="Arial" w:cs="Arial"/>
          <w:i/>
          <w:iCs/>
          <w:sz w:val="22"/>
          <w:szCs w:val="22"/>
        </w:rPr>
        <w:t>BMJ Careers</w:t>
      </w:r>
      <w:r w:rsidRPr="00923FEB">
        <w:rPr>
          <w:rFonts w:ascii="Arial" w:hAnsi="Arial" w:cs="Arial"/>
          <w:sz w:val="22"/>
          <w:szCs w:val="22"/>
        </w:rPr>
        <w:t xml:space="preserve">, 7 December. Available at: </w:t>
      </w:r>
      <w:hyperlink r:id="rId15" w:tgtFrame="_new" w:history="1">
        <w:r w:rsidRPr="00923FEB">
          <w:rPr>
            <w:rStyle w:val="Hyperlink"/>
            <w:rFonts w:ascii="Arial" w:hAnsi="Arial" w:cs="Arial"/>
            <w:sz w:val="22"/>
            <w:szCs w:val="22"/>
          </w:rPr>
          <w:t>https://www.bmj.com/careers/article/the-pros-and-cons-of-working-as-a-digital-gp</w:t>
        </w:r>
      </w:hyperlink>
      <w:r w:rsidRPr="00923FEB">
        <w:rPr>
          <w:rFonts w:ascii="Arial" w:hAnsi="Arial" w:cs="Arial"/>
          <w:sz w:val="22"/>
          <w:szCs w:val="22"/>
        </w:rPr>
        <w:t xml:space="preserve"> (Accessed: 15 February 2026).</w:t>
      </w:r>
    </w:p>
    <w:p w14:paraId="5A55256B"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Department of Health and Social Care (2022) </w:t>
      </w:r>
      <w:r w:rsidRPr="00923FEB">
        <w:rPr>
          <w:rFonts w:ascii="Arial" w:hAnsi="Arial" w:cs="Arial"/>
          <w:i/>
          <w:iCs/>
          <w:sz w:val="22"/>
          <w:szCs w:val="22"/>
        </w:rPr>
        <w:t>UK to pilot world-leading approach to improve ethical adoption of AI in healthcare</w:t>
      </w:r>
      <w:r w:rsidRPr="00923FEB">
        <w:rPr>
          <w:rFonts w:ascii="Arial" w:hAnsi="Arial" w:cs="Arial"/>
          <w:sz w:val="22"/>
          <w:szCs w:val="22"/>
        </w:rPr>
        <w:t xml:space="preserve">. Available at: </w:t>
      </w:r>
      <w:hyperlink r:id="rId16" w:tgtFrame="_new" w:history="1">
        <w:r w:rsidRPr="00923FEB">
          <w:rPr>
            <w:rStyle w:val="Hyperlink"/>
            <w:rFonts w:ascii="Arial" w:hAnsi="Arial" w:cs="Arial"/>
            <w:sz w:val="22"/>
            <w:szCs w:val="22"/>
          </w:rPr>
          <w:t>https://www.gov.uk/government/news/uk-to-pilot-world-leading-approach-to-improve-ethical-adoption-of-ai-in-healthcare</w:t>
        </w:r>
      </w:hyperlink>
      <w:r w:rsidRPr="00923FEB">
        <w:rPr>
          <w:rFonts w:ascii="Arial" w:hAnsi="Arial" w:cs="Arial"/>
          <w:sz w:val="22"/>
          <w:szCs w:val="22"/>
        </w:rPr>
        <w:t xml:space="preserve"> (Accessed: 15 February 2026).</w:t>
      </w:r>
    </w:p>
    <w:p w14:paraId="0F8956A3"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GP at Hand (2024) </w:t>
      </w:r>
      <w:r w:rsidRPr="00923FEB">
        <w:rPr>
          <w:rFonts w:ascii="Arial" w:hAnsi="Arial" w:cs="Arial"/>
          <w:i/>
          <w:iCs/>
          <w:sz w:val="22"/>
          <w:szCs w:val="22"/>
        </w:rPr>
        <w:t>GP at Hand patient service information</w:t>
      </w:r>
      <w:r w:rsidRPr="00923FEB">
        <w:rPr>
          <w:rFonts w:ascii="Arial" w:hAnsi="Arial" w:cs="Arial"/>
          <w:sz w:val="22"/>
          <w:szCs w:val="22"/>
        </w:rPr>
        <w:t xml:space="preserve">. Available at: </w:t>
      </w:r>
      <w:hyperlink r:id="rId17" w:tgtFrame="_new" w:history="1">
        <w:r w:rsidRPr="00923FEB">
          <w:rPr>
            <w:rStyle w:val="Hyperlink"/>
            <w:rFonts w:ascii="Arial" w:hAnsi="Arial" w:cs="Arial"/>
            <w:sz w:val="22"/>
            <w:szCs w:val="22"/>
          </w:rPr>
          <w:t>https://www.gpathand.nhs.uk/</w:t>
        </w:r>
      </w:hyperlink>
      <w:r w:rsidRPr="00923FEB">
        <w:rPr>
          <w:rFonts w:ascii="Arial" w:hAnsi="Arial" w:cs="Arial"/>
          <w:sz w:val="22"/>
          <w:szCs w:val="22"/>
        </w:rPr>
        <w:t xml:space="preserve"> (Accessed: 26 February 2026).</w:t>
      </w:r>
    </w:p>
    <w:p w14:paraId="22CD59BF" w14:textId="77777777" w:rsidR="00923FEB" w:rsidRPr="00923FEB" w:rsidRDefault="00923FEB" w:rsidP="00D923E0">
      <w:pPr>
        <w:spacing w:line="276" w:lineRule="auto"/>
        <w:ind w:left="720" w:hanging="720"/>
        <w:jc w:val="both"/>
        <w:rPr>
          <w:rFonts w:ascii="Arial" w:hAnsi="Arial" w:cs="Arial"/>
          <w:sz w:val="22"/>
          <w:szCs w:val="22"/>
        </w:rPr>
      </w:pPr>
      <w:proofErr w:type="spellStart"/>
      <w:r w:rsidRPr="00923FEB">
        <w:rPr>
          <w:rFonts w:ascii="Arial" w:hAnsi="Arial" w:cs="Arial"/>
          <w:sz w:val="22"/>
          <w:szCs w:val="22"/>
        </w:rPr>
        <w:t>GPonline</w:t>
      </w:r>
      <w:proofErr w:type="spellEnd"/>
      <w:r w:rsidRPr="00923FEB">
        <w:rPr>
          <w:rFonts w:ascii="Arial" w:hAnsi="Arial" w:cs="Arial"/>
          <w:sz w:val="22"/>
          <w:szCs w:val="22"/>
        </w:rPr>
        <w:t xml:space="preserve"> (2020) ‘86,000-patient GP at Hand now holds largest practice list in England’. Available at: </w:t>
      </w:r>
      <w:hyperlink r:id="rId18" w:tgtFrame="_new" w:history="1">
        <w:r w:rsidRPr="00923FEB">
          <w:rPr>
            <w:rStyle w:val="Hyperlink"/>
            <w:rFonts w:ascii="Arial" w:hAnsi="Arial" w:cs="Arial"/>
            <w:sz w:val="22"/>
            <w:szCs w:val="22"/>
          </w:rPr>
          <w:t>https://www.gponline.com/86000-patient-gp-hand-holds-largest-practice-list-england/article/1697362</w:t>
        </w:r>
      </w:hyperlink>
      <w:r w:rsidRPr="00923FEB">
        <w:rPr>
          <w:rFonts w:ascii="Arial" w:hAnsi="Arial" w:cs="Arial"/>
          <w:sz w:val="22"/>
          <w:szCs w:val="22"/>
        </w:rPr>
        <w:t xml:space="preserve"> (Accessed: 26 February 2026).</w:t>
      </w:r>
    </w:p>
    <w:p w14:paraId="3AF8C682"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Greenhalgh, T., Shaw, S., </w:t>
      </w:r>
      <w:proofErr w:type="spellStart"/>
      <w:r w:rsidRPr="00923FEB">
        <w:rPr>
          <w:rFonts w:ascii="Arial" w:hAnsi="Arial" w:cs="Arial"/>
          <w:sz w:val="22"/>
          <w:szCs w:val="22"/>
        </w:rPr>
        <w:t>Wherton</w:t>
      </w:r>
      <w:proofErr w:type="spellEnd"/>
      <w:r w:rsidRPr="00923FEB">
        <w:rPr>
          <w:rFonts w:ascii="Arial" w:hAnsi="Arial" w:cs="Arial"/>
          <w:sz w:val="22"/>
          <w:szCs w:val="22"/>
        </w:rPr>
        <w:t xml:space="preserve">, J., Hughes, G., Lynch, J., A’Court, C., Hinder, S., Fahy, N., Byrne, E. and Finlay, T. (2018) ‘Real-world implementation of video outpatient consultations’, </w:t>
      </w:r>
      <w:r w:rsidRPr="00923FEB">
        <w:rPr>
          <w:rFonts w:ascii="Arial" w:hAnsi="Arial" w:cs="Arial"/>
          <w:i/>
          <w:iCs/>
          <w:sz w:val="22"/>
          <w:szCs w:val="22"/>
        </w:rPr>
        <w:t>Journal of Medical Internet Research</w:t>
      </w:r>
      <w:r w:rsidRPr="00923FEB">
        <w:rPr>
          <w:rFonts w:ascii="Arial" w:hAnsi="Arial" w:cs="Arial"/>
          <w:sz w:val="22"/>
          <w:szCs w:val="22"/>
        </w:rPr>
        <w:t xml:space="preserve">, 20(4), e150. Available at: </w:t>
      </w:r>
      <w:hyperlink r:id="rId19" w:tgtFrame="_new" w:history="1">
        <w:r w:rsidRPr="00923FEB">
          <w:rPr>
            <w:rStyle w:val="Hyperlink"/>
            <w:rFonts w:ascii="Arial" w:hAnsi="Arial" w:cs="Arial"/>
            <w:sz w:val="22"/>
            <w:szCs w:val="22"/>
          </w:rPr>
          <w:t>https://www.jmir.org/2018/4/e150/</w:t>
        </w:r>
      </w:hyperlink>
      <w:r w:rsidRPr="00923FEB">
        <w:rPr>
          <w:rFonts w:ascii="Arial" w:hAnsi="Arial" w:cs="Arial"/>
          <w:sz w:val="22"/>
          <w:szCs w:val="22"/>
        </w:rPr>
        <w:t xml:space="preserve"> (Accessed: 26 February 2026).</w:t>
      </w:r>
    </w:p>
    <w:p w14:paraId="74E4460F"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Greenhalgh, T., </w:t>
      </w:r>
      <w:proofErr w:type="spellStart"/>
      <w:r w:rsidRPr="00923FEB">
        <w:rPr>
          <w:rFonts w:ascii="Arial" w:hAnsi="Arial" w:cs="Arial"/>
          <w:sz w:val="22"/>
          <w:szCs w:val="22"/>
        </w:rPr>
        <w:t>Wherton</w:t>
      </w:r>
      <w:proofErr w:type="spellEnd"/>
      <w:r w:rsidRPr="00923FEB">
        <w:rPr>
          <w:rFonts w:ascii="Arial" w:hAnsi="Arial" w:cs="Arial"/>
          <w:sz w:val="22"/>
          <w:szCs w:val="22"/>
        </w:rPr>
        <w:t xml:space="preserve">, J., Shaw, S. and Morrison, C. (2020) ‘Video consultations for COVID-19’, </w:t>
      </w:r>
      <w:r w:rsidRPr="00923FEB">
        <w:rPr>
          <w:rFonts w:ascii="Arial" w:hAnsi="Arial" w:cs="Arial"/>
          <w:i/>
          <w:iCs/>
          <w:sz w:val="22"/>
          <w:szCs w:val="22"/>
        </w:rPr>
        <w:t>BMJ</w:t>
      </w:r>
      <w:r w:rsidRPr="00923FEB">
        <w:rPr>
          <w:rFonts w:ascii="Arial" w:hAnsi="Arial" w:cs="Arial"/>
          <w:sz w:val="22"/>
          <w:szCs w:val="22"/>
        </w:rPr>
        <w:t xml:space="preserve">, 368, p.m998. Available at: </w:t>
      </w:r>
      <w:hyperlink r:id="rId20" w:tgtFrame="_new" w:history="1">
        <w:r w:rsidRPr="00923FEB">
          <w:rPr>
            <w:rStyle w:val="Hyperlink"/>
            <w:rFonts w:ascii="Arial" w:hAnsi="Arial" w:cs="Arial"/>
            <w:sz w:val="22"/>
            <w:szCs w:val="22"/>
          </w:rPr>
          <w:t>https://doi.org/10.1136/bmj.m998</w:t>
        </w:r>
      </w:hyperlink>
      <w:r w:rsidRPr="00923FEB">
        <w:rPr>
          <w:rFonts w:ascii="Arial" w:hAnsi="Arial" w:cs="Arial"/>
          <w:sz w:val="22"/>
          <w:szCs w:val="22"/>
        </w:rPr>
        <w:t xml:space="preserve"> (Accessed: 26 February 2026).</w:t>
      </w:r>
    </w:p>
    <w:p w14:paraId="7460AFAC"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Hammer, M., Lukey, V., Slaughter, A., Cowan, S., Fennimore, S., Coleman, B., Richardson, L., Kwon, B., Drinkell, A. and Grealy, J. (2019) ‘Concerns over GP at Hand’s effect on local primary care in the NHS’, </w:t>
      </w:r>
      <w:r w:rsidRPr="00923FEB">
        <w:rPr>
          <w:rFonts w:ascii="Arial" w:hAnsi="Arial" w:cs="Arial"/>
          <w:i/>
          <w:iCs/>
          <w:sz w:val="22"/>
          <w:szCs w:val="22"/>
        </w:rPr>
        <w:t>The Guardian</w:t>
      </w:r>
      <w:r w:rsidRPr="00923FEB">
        <w:rPr>
          <w:rFonts w:ascii="Arial" w:hAnsi="Arial" w:cs="Arial"/>
          <w:sz w:val="22"/>
          <w:szCs w:val="22"/>
        </w:rPr>
        <w:t xml:space="preserve">, 30 May. Available at: </w:t>
      </w:r>
      <w:hyperlink r:id="rId21" w:tgtFrame="_new" w:history="1">
        <w:r w:rsidRPr="00923FEB">
          <w:rPr>
            <w:rStyle w:val="Hyperlink"/>
            <w:rFonts w:ascii="Arial" w:hAnsi="Arial" w:cs="Arial"/>
            <w:sz w:val="22"/>
            <w:szCs w:val="22"/>
          </w:rPr>
          <w:t>https://www.theguardian.com/society/2019/may/30/concerns-over-gp-at-hands-effect-on-local-primary-care-in-the-nhs</w:t>
        </w:r>
      </w:hyperlink>
      <w:r w:rsidRPr="00923FEB">
        <w:rPr>
          <w:rFonts w:ascii="Arial" w:hAnsi="Arial" w:cs="Arial"/>
          <w:sz w:val="22"/>
          <w:szCs w:val="22"/>
        </w:rPr>
        <w:t xml:space="preserve"> (Accessed: 15 February 2026).</w:t>
      </w:r>
    </w:p>
    <w:p w14:paraId="3C404E00"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Health and Social Care Committee (2023) </w:t>
      </w:r>
      <w:r w:rsidRPr="00923FEB">
        <w:rPr>
          <w:rFonts w:ascii="Arial" w:hAnsi="Arial" w:cs="Arial"/>
          <w:i/>
          <w:iCs/>
          <w:sz w:val="22"/>
          <w:szCs w:val="22"/>
        </w:rPr>
        <w:t>Digital transformation in the NHS: Eighth report of session 2022–23</w:t>
      </w:r>
      <w:r w:rsidRPr="00923FEB">
        <w:rPr>
          <w:rFonts w:ascii="Arial" w:hAnsi="Arial" w:cs="Arial"/>
          <w:sz w:val="22"/>
          <w:szCs w:val="22"/>
        </w:rPr>
        <w:t>. London: House of Commons. Available at: Digital transformation in the NHS report (Accessed: 15 February 2026).</w:t>
      </w:r>
    </w:p>
    <w:p w14:paraId="09FD1ADD"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Lacobucci, G. (2019) ‘GP at Hand: patients are less sick than others but use services more’, </w:t>
      </w:r>
      <w:r w:rsidRPr="00923FEB">
        <w:rPr>
          <w:rFonts w:ascii="Arial" w:hAnsi="Arial" w:cs="Arial"/>
          <w:i/>
          <w:iCs/>
          <w:sz w:val="22"/>
          <w:szCs w:val="22"/>
        </w:rPr>
        <w:t>BMJ</w:t>
      </w:r>
      <w:r w:rsidRPr="00923FEB">
        <w:rPr>
          <w:rFonts w:ascii="Arial" w:hAnsi="Arial" w:cs="Arial"/>
          <w:sz w:val="22"/>
          <w:szCs w:val="22"/>
        </w:rPr>
        <w:t xml:space="preserve">, 365, l2333. Available at: </w:t>
      </w:r>
      <w:hyperlink r:id="rId22" w:tgtFrame="_new" w:history="1">
        <w:r w:rsidRPr="00923FEB">
          <w:rPr>
            <w:rStyle w:val="Hyperlink"/>
            <w:rFonts w:ascii="Arial" w:hAnsi="Arial" w:cs="Arial"/>
            <w:sz w:val="22"/>
            <w:szCs w:val="22"/>
          </w:rPr>
          <w:t>https://www.bmj.com/content/365/bmj.l2333</w:t>
        </w:r>
      </w:hyperlink>
      <w:r w:rsidRPr="00923FEB">
        <w:rPr>
          <w:rFonts w:ascii="Arial" w:hAnsi="Arial" w:cs="Arial"/>
          <w:sz w:val="22"/>
          <w:szCs w:val="22"/>
        </w:rPr>
        <w:t xml:space="preserve"> (Accessed: 15 February 2026).</w:t>
      </w:r>
    </w:p>
    <w:p w14:paraId="4DFC40FD"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Ladds, E., Khan, M., Moore, L., Kalin, A. and Greenhalgh, T. (2023) ‘The impact of remote care approaches on continuity in primary care: a mixed-studies systematic review’, </w:t>
      </w:r>
      <w:r w:rsidRPr="00923FEB">
        <w:rPr>
          <w:rFonts w:ascii="Arial" w:hAnsi="Arial" w:cs="Arial"/>
          <w:i/>
          <w:iCs/>
          <w:sz w:val="22"/>
          <w:szCs w:val="22"/>
        </w:rPr>
        <w:t>British Journal of General Practice</w:t>
      </w:r>
      <w:r w:rsidRPr="00923FEB">
        <w:rPr>
          <w:rFonts w:ascii="Arial" w:hAnsi="Arial" w:cs="Arial"/>
          <w:sz w:val="22"/>
          <w:szCs w:val="22"/>
        </w:rPr>
        <w:t xml:space="preserve">, 73(730), </w:t>
      </w:r>
      <w:proofErr w:type="gramStart"/>
      <w:r w:rsidRPr="00923FEB">
        <w:rPr>
          <w:rFonts w:ascii="Arial" w:hAnsi="Arial" w:cs="Arial"/>
          <w:sz w:val="22"/>
          <w:szCs w:val="22"/>
        </w:rPr>
        <w:t>pp.e</w:t>
      </w:r>
      <w:proofErr w:type="gramEnd"/>
      <w:r w:rsidRPr="00923FEB">
        <w:rPr>
          <w:rFonts w:ascii="Arial" w:hAnsi="Arial" w:cs="Arial"/>
          <w:sz w:val="22"/>
          <w:szCs w:val="22"/>
        </w:rPr>
        <w:t xml:space="preserve">374–e383. Available at: </w:t>
      </w:r>
      <w:hyperlink r:id="rId23" w:tgtFrame="_new" w:history="1">
        <w:r w:rsidRPr="00923FEB">
          <w:rPr>
            <w:rStyle w:val="Hyperlink"/>
            <w:rFonts w:ascii="Arial" w:hAnsi="Arial" w:cs="Arial"/>
            <w:sz w:val="22"/>
            <w:szCs w:val="22"/>
          </w:rPr>
          <w:t>https://doi.org/10.3399/BJGP.2022.0398</w:t>
        </w:r>
      </w:hyperlink>
      <w:r w:rsidRPr="00923FEB">
        <w:rPr>
          <w:rFonts w:ascii="Arial" w:hAnsi="Arial" w:cs="Arial"/>
          <w:sz w:val="22"/>
          <w:szCs w:val="22"/>
        </w:rPr>
        <w:t xml:space="preserve"> (Accessed: 15 February 2026).</w:t>
      </w:r>
    </w:p>
    <w:p w14:paraId="6156064C" w14:textId="77777777" w:rsidR="00923FEB" w:rsidRPr="00923FEB" w:rsidRDefault="00923FEB" w:rsidP="00D923E0">
      <w:pPr>
        <w:spacing w:line="276" w:lineRule="auto"/>
        <w:ind w:left="720" w:hanging="720"/>
        <w:jc w:val="both"/>
        <w:rPr>
          <w:rFonts w:ascii="Arial" w:hAnsi="Arial" w:cs="Arial"/>
          <w:sz w:val="22"/>
          <w:szCs w:val="22"/>
        </w:rPr>
      </w:pPr>
      <w:proofErr w:type="spellStart"/>
      <w:r w:rsidRPr="00923FEB">
        <w:rPr>
          <w:rFonts w:ascii="Arial" w:hAnsi="Arial" w:cs="Arial"/>
          <w:sz w:val="22"/>
          <w:szCs w:val="22"/>
        </w:rPr>
        <w:t>Lakoma</w:t>
      </w:r>
      <w:proofErr w:type="spellEnd"/>
      <w:r w:rsidRPr="00923FEB">
        <w:rPr>
          <w:rFonts w:ascii="Arial" w:hAnsi="Arial" w:cs="Arial"/>
          <w:sz w:val="22"/>
          <w:szCs w:val="22"/>
        </w:rPr>
        <w:t xml:space="preserve">, S., Pasanen, H., </w:t>
      </w:r>
      <w:proofErr w:type="spellStart"/>
      <w:r w:rsidRPr="00923FEB">
        <w:rPr>
          <w:rFonts w:ascii="Arial" w:hAnsi="Arial" w:cs="Arial"/>
          <w:sz w:val="22"/>
          <w:szCs w:val="22"/>
        </w:rPr>
        <w:t>Lahdensuo</w:t>
      </w:r>
      <w:proofErr w:type="spellEnd"/>
      <w:r w:rsidRPr="00923FEB">
        <w:rPr>
          <w:rFonts w:ascii="Arial" w:hAnsi="Arial" w:cs="Arial"/>
          <w:sz w:val="22"/>
          <w:szCs w:val="22"/>
        </w:rPr>
        <w:t xml:space="preserve">, K., Pehkonen, J., Viinikainen, J. and </w:t>
      </w:r>
      <w:proofErr w:type="spellStart"/>
      <w:r w:rsidRPr="00923FEB">
        <w:rPr>
          <w:rFonts w:ascii="Arial" w:hAnsi="Arial" w:cs="Arial"/>
          <w:sz w:val="22"/>
          <w:szCs w:val="22"/>
        </w:rPr>
        <w:t>Torkki</w:t>
      </w:r>
      <w:proofErr w:type="spellEnd"/>
      <w:r w:rsidRPr="00923FEB">
        <w:rPr>
          <w:rFonts w:ascii="Arial" w:hAnsi="Arial" w:cs="Arial"/>
          <w:sz w:val="22"/>
          <w:szCs w:val="22"/>
        </w:rPr>
        <w:t xml:space="preserve">, P. (2024) ‘Quality of digital GP visits and characteristics of users: retrospective observational study’, </w:t>
      </w:r>
      <w:r w:rsidRPr="00923FEB">
        <w:rPr>
          <w:rFonts w:ascii="Arial" w:hAnsi="Arial" w:cs="Arial"/>
          <w:i/>
          <w:iCs/>
          <w:sz w:val="22"/>
          <w:szCs w:val="22"/>
        </w:rPr>
        <w:t>Scandinavian Journal of Primary Health Care</w:t>
      </w:r>
      <w:r w:rsidRPr="00923FEB">
        <w:rPr>
          <w:rFonts w:ascii="Arial" w:hAnsi="Arial" w:cs="Arial"/>
          <w:sz w:val="22"/>
          <w:szCs w:val="22"/>
        </w:rPr>
        <w:t xml:space="preserve">, 42(4), pp.686–694. Available at: </w:t>
      </w:r>
      <w:hyperlink r:id="rId24" w:tgtFrame="_new" w:history="1">
        <w:r w:rsidRPr="00923FEB">
          <w:rPr>
            <w:rStyle w:val="Hyperlink"/>
            <w:rFonts w:ascii="Arial" w:hAnsi="Arial" w:cs="Arial"/>
            <w:sz w:val="22"/>
            <w:szCs w:val="22"/>
          </w:rPr>
          <w:t>https://doi.org/10.1080/02813432.2024.2380921</w:t>
        </w:r>
      </w:hyperlink>
      <w:r w:rsidRPr="00923FEB">
        <w:rPr>
          <w:rFonts w:ascii="Arial" w:hAnsi="Arial" w:cs="Arial"/>
          <w:sz w:val="22"/>
          <w:szCs w:val="22"/>
        </w:rPr>
        <w:t xml:space="preserve"> (Accessed: 15 February 2026).</w:t>
      </w:r>
    </w:p>
    <w:p w14:paraId="3C3C6A06"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Leung, K. (2025) ‘Use of an electronic consultation system in an </w:t>
      </w:r>
      <w:proofErr w:type="gramStart"/>
      <w:r w:rsidRPr="00923FEB">
        <w:rPr>
          <w:rFonts w:ascii="Arial" w:hAnsi="Arial" w:cs="Arial"/>
          <w:sz w:val="22"/>
          <w:szCs w:val="22"/>
        </w:rPr>
        <w:t>inner city</w:t>
      </w:r>
      <w:proofErr w:type="gramEnd"/>
      <w:r w:rsidRPr="00923FEB">
        <w:rPr>
          <w:rFonts w:ascii="Arial" w:hAnsi="Arial" w:cs="Arial"/>
          <w:sz w:val="22"/>
          <w:szCs w:val="22"/>
        </w:rPr>
        <w:t xml:space="preserve"> general practice: a mixed methods service evaluation’, </w:t>
      </w:r>
      <w:r w:rsidRPr="00923FEB">
        <w:rPr>
          <w:rFonts w:ascii="Arial" w:hAnsi="Arial" w:cs="Arial"/>
          <w:i/>
          <w:iCs/>
          <w:sz w:val="22"/>
          <w:szCs w:val="22"/>
        </w:rPr>
        <w:t>BMJ Open Quality</w:t>
      </w:r>
      <w:r w:rsidRPr="00923FEB">
        <w:rPr>
          <w:rFonts w:ascii="Arial" w:hAnsi="Arial" w:cs="Arial"/>
          <w:sz w:val="22"/>
          <w:szCs w:val="22"/>
        </w:rPr>
        <w:t xml:space="preserve">, 14(3), e002741. Available at: </w:t>
      </w:r>
      <w:hyperlink r:id="rId25" w:tgtFrame="_new" w:history="1">
        <w:r w:rsidRPr="00923FEB">
          <w:rPr>
            <w:rStyle w:val="Hyperlink"/>
            <w:rFonts w:ascii="Arial" w:hAnsi="Arial" w:cs="Arial"/>
            <w:sz w:val="22"/>
            <w:szCs w:val="22"/>
          </w:rPr>
          <w:t>https://doi.org/10.1136/bmjoq-2024-002741</w:t>
        </w:r>
      </w:hyperlink>
      <w:r w:rsidRPr="00923FEB">
        <w:rPr>
          <w:rFonts w:ascii="Arial" w:hAnsi="Arial" w:cs="Arial"/>
          <w:sz w:val="22"/>
          <w:szCs w:val="22"/>
        </w:rPr>
        <w:t xml:space="preserve"> (Accessed: 15 February 2026).</w:t>
      </w:r>
    </w:p>
    <w:p w14:paraId="74BC4EE7"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Murphy, M., Scott, L., Salisbury, C., Turner, A., Scott, A., Denholm, R., Lewis, R., Iyer, G., Macleod, J. and Horwood, J. (2021) ‘Implementation of remote consulting in UK primary care following the COVID-19 pandemic’, </w:t>
      </w:r>
      <w:r w:rsidRPr="00923FEB">
        <w:rPr>
          <w:rFonts w:ascii="Arial" w:hAnsi="Arial" w:cs="Arial"/>
          <w:i/>
          <w:iCs/>
          <w:sz w:val="22"/>
          <w:szCs w:val="22"/>
        </w:rPr>
        <w:t>British Journal of General Practice</w:t>
      </w:r>
      <w:r w:rsidRPr="00923FEB">
        <w:rPr>
          <w:rFonts w:ascii="Arial" w:hAnsi="Arial" w:cs="Arial"/>
          <w:sz w:val="22"/>
          <w:szCs w:val="22"/>
        </w:rPr>
        <w:t xml:space="preserve">, 71(704), pp.e166–e177. Available at: </w:t>
      </w:r>
      <w:hyperlink r:id="rId26" w:tgtFrame="_new" w:history="1">
        <w:r w:rsidRPr="00923FEB">
          <w:rPr>
            <w:rStyle w:val="Hyperlink"/>
            <w:rFonts w:ascii="Arial" w:hAnsi="Arial" w:cs="Arial"/>
            <w:sz w:val="22"/>
            <w:szCs w:val="22"/>
          </w:rPr>
          <w:t>https://bjgp.org/content/71/704/e166</w:t>
        </w:r>
      </w:hyperlink>
      <w:r w:rsidRPr="00923FEB">
        <w:rPr>
          <w:rFonts w:ascii="Arial" w:hAnsi="Arial" w:cs="Arial"/>
          <w:sz w:val="22"/>
          <w:szCs w:val="22"/>
        </w:rPr>
        <w:t xml:space="preserve"> (Accessed: 15 February 2026).</w:t>
      </w:r>
    </w:p>
    <w:p w14:paraId="772BF53E"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Muoio, D. (2023) ‘Babylon closes US business, lays employees off after </w:t>
      </w:r>
      <w:proofErr w:type="spellStart"/>
      <w:r w:rsidRPr="00923FEB">
        <w:rPr>
          <w:rFonts w:ascii="Arial" w:hAnsi="Arial" w:cs="Arial"/>
          <w:sz w:val="22"/>
          <w:szCs w:val="22"/>
        </w:rPr>
        <w:t>MindMaze</w:t>
      </w:r>
      <w:proofErr w:type="spellEnd"/>
      <w:r w:rsidRPr="00923FEB">
        <w:rPr>
          <w:rFonts w:ascii="Arial" w:hAnsi="Arial" w:cs="Arial"/>
          <w:sz w:val="22"/>
          <w:szCs w:val="22"/>
        </w:rPr>
        <w:t xml:space="preserve"> take-private deal collapses’, </w:t>
      </w:r>
      <w:r w:rsidRPr="00923FEB">
        <w:rPr>
          <w:rFonts w:ascii="Arial" w:hAnsi="Arial" w:cs="Arial"/>
          <w:i/>
          <w:iCs/>
          <w:sz w:val="22"/>
          <w:szCs w:val="22"/>
        </w:rPr>
        <w:t>Fierce Healthcare</w:t>
      </w:r>
      <w:r w:rsidRPr="00923FEB">
        <w:rPr>
          <w:rFonts w:ascii="Arial" w:hAnsi="Arial" w:cs="Arial"/>
          <w:sz w:val="22"/>
          <w:szCs w:val="22"/>
        </w:rPr>
        <w:t xml:space="preserve">, 10 August. Available at: </w:t>
      </w:r>
      <w:hyperlink r:id="rId27" w:tgtFrame="_new" w:history="1">
        <w:r w:rsidRPr="00923FEB">
          <w:rPr>
            <w:rStyle w:val="Hyperlink"/>
            <w:rFonts w:ascii="Arial" w:hAnsi="Arial" w:cs="Arial"/>
            <w:sz w:val="22"/>
            <w:szCs w:val="22"/>
          </w:rPr>
          <w:t>https://www.fiercehealthcare.com/digital-health/babylon-closes-us-business-lays-employees-after-mindmaze-take-private-deal-collapses</w:t>
        </w:r>
      </w:hyperlink>
      <w:r w:rsidRPr="00923FEB">
        <w:rPr>
          <w:rFonts w:ascii="Arial" w:hAnsi="Arial" w:cs="Arial"/>
          <w:sz w:val="22"/>
          <w:szCs w:val="22"/>
        </w:rPr>
        <w:t xml:space="preserve"> (Accessed: 26 February 2026).</w:t>
      </w:r>
    </w:p>
    <w:p w14:paraId="6C6C3924"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Nazir, M., Syed, J. and McDermott, A. (2023) ‘Digital transformation at Hall Green Health: a model for modern general practice’, </w:t>
      </w:r>
      <w:r w:rsidRPr="00923FEB">
        <w:rPr>
          <w:rFonts w:ascii="Arial" w:hAnsi="Arial" w:cs="Arial"/>
          <w:i/>
          <w:iCs/>
          <w:sz w:val="22"/>
          <w:szCs w:val="22"/>
        </w:rPr>
        <w:t>Future Healthcare Journal</w:t>
      </w:r>
      <w:r w:rsidRPr="00923FEB">
        <w:rPr>
          <w:rFonts w:ascii="Arial" w:hAnsi="Arial" w:cs="Arial"/>
          <w:sz w:val="22"/>
          <w:szCs w:val="22"/>
        </w:rPr>
        <w:t xml:space="preserve">, 10(3), pp.244–252. Available at: </w:t>
      </w:r>
      <w:hyperlink r:id="rId28" w:tgtFrame="_new" w:history="1">
        <w:r w:rsidRPr="00923FEB">
          <w:rPr>
            <w:rStyle w:val="Hyperlink"/>
            <w:rFonts w:ascii="Arial" w:hAnsi="Arial" w:cs="Arial"/>
            <w:sz w:val="22"/>
            <w:szCs w:val="22"/>
          </w:rPr>
          <w:t>https://doi.org/10.7861/fhj.2023-0091</w:t>
        </w:r>
      </w:hyperlink>
      <w:r w:rsidRPr="00923FEB">
        <w:rPr>
          <w:rFonts w:ascii="Arial" w:hAnsi="Arial" w:cs="Arial"/>
          <w:sz w:val="22"/>
          <w:szCs w:val="22"/>
        </w:rPr>
        <w:t xml:space="preserve"> (Accessed: 15 February 2026).</w:t>
      </w:r>
    </w:p>
    <w:p w14:paraId="0ED91065"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Newbould, J., Hocking, L., Sidhu, M. and Daniel, K. (2024) </w:t>
      </w:r>
      <w:r w:rsidRPr="00923FEB">
        <w:rPr>
          <w:rFonts w:ascii="Arial" w:hAnsi="Arial" w:cs="Arial"/>
          <w:i/>
          <w:iCs/>
          <w:sz w:val="22"/>
          <w:szCs w:val="22"/>
        </w:rPr>
        <w:t>Digital first primary care for those with multiple long-term conditions: a rapid review of stakeholder views</w:t>
      </w:r>
      <w:r w:rsidRPr="00923FEB">
        <w:rPr>
          <w:rFonts w:ascii="Arial" w:hAnsi="Arial" w:cs="Arial"/>
          <w:sz w:val="22"/>
          <w:szCs w:val="22"/>
        </w:rPr>
        <w:t xml:space="preserve">, </w:t>
      </w:r>
      <w:r w:rsidRPr="00923FEB">
        <w:rPr>
          <w:rFonts w:ascii="Arial" w:hAnsi="Arial" w:cs="Arial"/>
          <w:i/>
          <w:iCs/>
          <w:sz w:val="22"/>
          <w:szCs w:val="22"/>
        </w:rPr>
        <w:t>Health and Social Care Delivery Research</w:t>
      </w:r>
      <w:r w:rsidRPr="00923FEB">
        <w:rPr>
          <w:rFonts w:ascii="Arial" w:hAnsi="Arial" w:cs="Arial"/>
          <w:sz w:val="22"/>
          <w:szCs w:val="22"/>
        </w:rPr>
        <w:t xml:space="preserve">, 12(21), pp.1–68. Available at: </w:t>
      </w:r>
      <w:hyperlink r:id="rId29" w:tgtFrame="_new" w:history="1">
        <w:r w:rsidRPr="00923FEB">
          <w:rPr>
            <w:rStyle w:val="Hyperlink"/>
            <w:rFonts w:ascii="Arial" w:hAnsi="Arial" w:cs="Arial"/>
            <w:sz w:val="22"/>
            <w:szCs w:val="22"/>
          </w:rPr>
          <w:t>https://doi.org/10.3310/AWBT4827</w:t>
        </w:r>
      </w:hyperlink>
      <w:r w:rsidRPr="00923FEB">
        <w:rPr>
          <w:rFonts w:ascii="Arial" w:hAnsi="Arial" w:cs="Arial"/>
          <w:sz w:val="22"/>
          <w:szCs w:val="22"/>
        </w:rPr>
        <w:t xml:space="preserve"> (Accessed: 15 February 2026).</w:t>
      </w:r>
    </w:p>
    <w:p w14:paraId="38569EFA"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NHS England (2018) </w:t>
      </w:r>
      <w:r w:rsidRPr="00923FEB">
        <w:rPr>
          <w:rFonts w:ascii="Arial" w:hAnsi="Arial" w:cs="Arial"/>
          <w:i/>
          <w:iCs/>
          <w:sz w:val="22"/>
          <w:szCs w:val="22"/>
        </w:rPr>
        <w:t>Digital first access to general practice care: public engagement findings</w:t>
      </w:r>
      <w:r w:rsidRPr="00923FEB">
        <w:rPr>
          <w:rFonts w:ascii="Arial" w:hAnsi="Arial" w:cs="Arial"/>
          <w:sz w:val="22"/>
          <w:szCs w:val="22"/>
        </w:rPr>
        <w:t xml:space="preserve">. Available at: </w:t>
      </w:r>
      <w:hyperlink r:id="rId30" w:tgtFrame="_new" w:history="1">
        <w:r w:rsidRPr="00923FEB">
          <w:rPr>
            <w:rStyle w:val="Hyperlink"/>
            <w:rFonts w:ascii="Arial" w:hAnsi="Arial" w:cs="Arial"/>
            <w:sz w:val="22"/>
            <w:szCs w:val="22"/>
          </w:rPr>
          <w:t>https://www.engage.england.nhs.uk</w:t>
        </w:r>
      </w:hyperlink>
      <w:r w:rsidRPr="00923FEB">
        <w:rPr>
          <w:rFonts w:ascii="Arial" w:hAnsi="Arial" w:cs="Arial"/>
          <w:sz w:val="22"/>
          <w:szCs w:val="22"/>
        </w:rPr>
        <w:t xml:space="preserve"> (Accessed: 15 February 2026).</w:t>
      </w:r>
    </w:p>
    <w:p w14:paraId="6E1D9DB5"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NHS England (2019a) </w:t>
      </w:r>
      <w:r w:rsidRPr="00923FEB">
        <w:rPr>
          <w:rFonts w:ascii="Arial" w:hAnsi="Arial" w:cs="Arial"/>
          <w:i/>
          <w:iCs/>
          <w:sz w:val="22"/>
          <w:szCs w:val="22"/>
        </w:rPr>
        <w:t>The NHS Long Term Plan</w:t>
      </w:r>
      <w:r w:rsidRPr="00923FEB">
        <w:rPr>
          <w:rFonts w:ascii="Arial" w:hAnsi="Arial" w:cs="Arial"/>
          <w:sz w:val="22"/>
          <w:szCs w:val="22"/>
        </w:rPr>
        <w:t xml:space="preserve">. Available at: </w:t>
      </w:r>
      <w:hyperlink r:id="rId31" w:tgtFrame="_new" w:history="1">
        <w:r w:rsidRPr="00923FEB">
          <w:rPr>
            <w:rStyle w:val="Hyperlink"/>
            <w:rFonts w:ascii="Arial" w:hAnsi="Arial" w:cs="Arial"/>
            <w:sz w:val="22"/>
            <w:szCs w:val="22"/>
          </w:rPr>
          <w:t>https://www.longtermplan.nhs.uk/</w:t>
        </w:r>
      </w:hyperlink>
      <w:r w:rsidRPr="00923FEB">
        <w:rPr>
          <w:rFonts w:ascii="Arial" w:hAnsi="Arial" w:cs="Arial"/>
          <w:sz w:val="22"/>
          <w:szCs w:val="22"/>
        </w:rPr>
        <w:t xml:space="preserve"> (Accessed: 13 February 2026).</w:t>
      </w:r>
    </w:p>
    <w:p w14:paraId="01380E23"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NHS England (2019b) </w:t>
      </w:r>
      <w:r w:rsidRPr="00923FEB">
        <w:rPr>
          <w:rFonts w:ascii="Arial" w:hAnsi="Arial" w:cs="Arial"/>
          <w:i/>
          <w:iCs/>
          <w:sz w:val="22"/>
          <w:szCs w:val="22"/>
        </w:rPr>
        <w:t>Digital first primary care</w:t>
      </w:r>
      <w:r w:rsidRPr="00923FEB">
        <w:rPr>
          <w:rFonts w:ascii="Arial" w:hAnsi="Arial" w:cs="Arial"/>
          <w:sz w:val="22"/>
          <w:szCs w:val="22"/>
        </w:rPr>
        <w:t xml:space="preserve">. Available at: </w:t>
      </w:r>
      <w:hyperlink r:id="rId32" w:tgtFrame="_new" w:history="1">
        <w:r w:rsidRPr="00923FEB">
          <w:rPr>
            <w:rStyle w:val="Hyperlink"/>
            <w:rFonts w:ascii="Arial" w:hAnsi="Arial" w:cs="Arial"/>
            <w:sz w:val="22"/>
            <w:szCs w:val="22"/>
          </w:rPr>
          <w:t>https://www.england.nhs.uk/gp/digital-first-primary-care/</w:t>
        </w:r>
      </w:hyperlink>
      <w:r w:rsidRPr="00923FEB">
        <w:rPr>
          <w:rFonts w:ascii="Arial" w:hAnsi="Arial" w:cs="Arial"/>
          <w:sz w:val="22"/>
          <w:szCs w:val="22"/>
        </w:rPr>
        <w:t xml:space="preserve"> (Accessed: 17 February 2026).</w:t>
      </w:r>
    </w:p>
    <w:p w14:paraId="5E82FF0C"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NHS England (2019c) </w:t>
      </w:r>
      <w:r w:rsidRPr="00923FEB">
        <w:rPr>
          <w:rFonts w:ascii="Arial" w:hAnsi="Arial" w:cs="Arial"/>
          <w:i/>
          <w:iCs/>
          <w:sz w:val="22"/>
          <w:szCs w:val="22"/>
        </w:rPr>
        <w:t>Digital first primary care: consultation response</w:t>
      </w:r>
      <w:r w:rsidRPr="00923FEB">
        <w:rPr>
          <w:rFonts w:ascii="Arial" w:hAnsi="Arial" w:cs="Arial"/>
          <w:sz w:val="22"/>
          <w:szCs w:val="22"/>
        </w:rPr>
        <w:t xml:space="preserve">. Available at: </w:t>
      </w:r>
      <w:hyperlink r:id="rId33" w:tgtFrame="_new" w:history="1">
        <w:r w:rsidRPr="00923FEB">
          <w:rPr>
            <w:rStyle w:val="Hyperlink"/>
            <w:rFonts w:ascii="Arial" w:hAnsi="Arial" w:cs="Arial"/>
            <w:sz w:val="22"/>
            <w:szCs w:val="22"/>
          </w:rPr>
          <w:t>https://www.england.nhs.uk/wp-content/uploads/2019/09/digital-first-primary-care-response.pdf</w:t>
        </w:r>
      </w:hyperlink>
      <w:r w:rsidRPr="00923FEB">
        <w:rPr>
          <w:rFonts w:ascii="Arial" w:hAnsi="Arial" w:cs="Arial"/>
          <w:sz w:val="22"/>
          <w:szCs w:val="22"/>
        </w:rPr>
        <w:t xml:space="preserve"> (Accessed: 17 February 2026).</w:t>
      </w:r>
    </w:p>
    <w:p w14:paraId="627F6140"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NHS England (2023a) </w:t>
      </w:r>
      <w:r w:rsidRPr="00923FEB">
        <w:rPr>
          <w:rFonts w:ascii="Arial" w:hAnsi="Arial" w:cs="Arial"/>
          <w:i/>
          <w:iCs/>
          <w:sz w:val="22"/>
          <w:szCs w:val="22"/>
        </w:rPr>
        <w:t>Delivery plan for recovering access to primary care</w:t>
      </w:r>
      <w:r w:rsidRPr="00923FEB">
        <w:rPr>
          <w:rFonts w:ascii="Arial" w:hAnsi="Arial" w:cs="Arial"/>
          <w:sz w:val="22"/>
          <w:szCs w:val="22"/>
        </w:rPr>
        <w:t xml:space="preserve">. Available at: </w:t>
      </w:r>
      <w:hyperlink r:id="rId34" w:tgtFrame="_new" w:history="1">
        <w:r w:rsidRPr="00923FEB">
          <w:rPr>
            <w:rStyle w:val="Hyperlink"/>
            <w:rFonts w:ascii="Arial" w:hAnsi="Arial" w:cs="Arial"/>
            <w:sz w:val="22"/>
            <w:szCs w:val="22"/>
          </w:rPr>
          <w:t>https://www.england.nhs.uk/long-read/delivery-plan-for-recovering-access-to-primary-care-2/</w:t>
        </w:r>
      </w:hyperlink>
      <w:r w:rsidRPr="00923FEB">
        <w:rPr>
          <w:rFonts w:ascii="Arial" w:hAnsi="Arial" w:cs="Arial"/>
          <w:sz w:val="22"/>
          <w:szCs w:val="22"/>
        </w:rPr>
        <w:t xml:space="preserve"> (Accessed: 15 February 2026).</w:t>
      </w:r>
    </w:p>
    <w:p w14:paraId="4BC2BD26"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NHS England (2023b) </w:t>
      </w:r>
      <w:r w:rsidRPr="00923FEB">
        <w:rPr>
          <w:rFonts w:ascii="Arial" w:hAnsi="Arial" w:cs="Arial"/>
          <w:i/>
          <w:iCs/>
          <w:sz w:val="22"/>
          <w:szCs w:val="22"/>
        </w:rPr>
        <w:t>Inclusive digital healthcare: a framework for NHS action on digital inclusion</w:t>
      </w:r>
      <w:r w:rsidRPr="00923FEB">
        <w:rPr>
          <w:rFonts w:ascii="Arial" w:hAnsi="Arial" w:cs="Arial"/>
          <w:sz w:val="22"/>
          <w:szCs w:val="22"/>
        </w:rPr>
        <w:t xml:space="preserve">. Available at: </w:t>
      </w:r>
      <w:hyperlink r:id="rId35" w:tgtFrame="_new" w:history="1">
        <w:r w:rsidRPr="00923FEB">
          <w:rPr>
            <w:rStyle w:val="Hyperlink"/>
            <w:rFonts w:ascii="Arial" w:hAnsi="Arial" w:cs="Arial"/>
            <w:sz w:val="22"/>
            <w:szCs w:val="22"/>
          </w:rPr>
          <w:t>https://www.england.nhs.uk/long-read/inclusive-digital-healthcare-a-framework-for-nhs-action-on-digital-inclusion/</w:t>
        </w:r>
      </w:hyperlink>
      <w:r w:rsidRPr="00923FEB">
        <w:rPr>
          <w:rFonts w:ascii="Arial" w:hAnsi="Arial" w:cs="Arial"/>
          <w:sz w:val="22"/>
          <w:szCs w:val="22"/>
        </w:rPr>
        <w:t xml:space="preserve"> (Accessed: 15 February 2026).</w:t>
      </w:r>
    </w:p>
    <w:p w14:paraId="08DF4009"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Nuffield Trust (2019) </w:t>
      </w:r>
      <w:r w:rsidRPr="00923FEB">
        <w:rPr>
          <w:rFonts w:ascii="Arial" w:hAnsi="Arial" w:cs="Arial"/>
          <w:i/>
          <w:iCs/>
          <w:sz w:val="22"/>
          <w:szCs w:val="22"/>
        </w:rPr>
        <w:t>Digital-first primary care: what is GP at Hand and what does it mean for the NHS?</w:t>
      </w:r>
      <w:r w:rsidRPr="00923FEB">
        <w:rPr>
          <w:rFonts w:ascii="Arial" w:hAnsi="Arial" w:cs="Arial"/>
          <w:sz w:val="22"/>
          <w:szCs w:val="22"/>
        </w:rPr>
        <w:t xml:space="preserve"> Available at: </w:t>
      </w:r>
      <w:hyperlink r:id="rId36" w:tgtFrame="_new" w:history="1">
        <w:r w:rsidRPr="00923FEB">
          <w:rPr>
            <w:rStyle w:val="Hyperlink"/>
            <w:rFonts w:ascii="Arial" w:hAnsi="Arial" w:cs="Arial"/>
            <w:sz w:val="22"/>
            <w:szCs w:val="22"/>
          </w:rPr>
          <w:t>https://www.nuffieldtrust.org.uk/research/digital-first-primary-care</w:t>
        </w:r>
      </w:hyperlink>
      <w:r w:rsidRPr="00923FEB">
        <w:rPr>
          <w:rFonts w:ascii="Arial" w:hAnsi="Arial" w:cs="Arial"/>
          <w:sz w:val="22"/>
          <w:szCs w:val="22"/>
        </w:rPr>
        <w:t xml:space="preserve"> (Accessed: 15 February 2026).</w:t>
      </w:r>
    </w:p>
    <w:p w14:paraId="77A85BF4"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Paddison, C.A.M. and McGill, I. (2022) </w:t>
      </w:r>
      <w:r w:rsidRPr="00923FEB">
        <w:rPr>
          <w:rFonts w:ascii="Arial" w:hAnsi="Arial" w:cs="Arial"/>
          <w:i/>
          <w:iCs/>
          <w:sz w:val="22"/>
          <w:szCs w:val="22"/>
        </w:rPr>
        <w:t>Digital primary care: improving access for all?</w:t>
      </w:r>
      <w:r w:rsidRPr="00923FEB">
        <w:rPr>
          <w:rFonts w:ascii="Arial" w:hAnsi="Arial" w:cs="Arial"/>
          <w:sz w:val="22"/>
          <w:szCs w:val="22"/>
        </w:rPr>
        <w:t xml:space="preserve"> London: Nuffield Trust. Available at: </w:t>
      </w:r>
      <w:hyperlink r:id="rId37" w:tgtFrame="_new" w:history="1">
        <w:r w:rsidRPr="00923FEB">
          <w:rPr>
            <w:rStyle w:val="Hyperlink"/>
            <w:rFonts w:ascii="Arial" w:hAnsi="Arial" w:cs="Arial"/>
            <w:sz w:val="22"/>
            <w:szCs w:val="22"/>
          </w:rPr>
          <w:t>https://www.nuffieldtrust.org.uk</w:t>
        </w:r>
      </w:hyperlink>
      <w:r w:rsidRPr="00923FEB">
        <w:rPr>
          <w:rFonts w:ascii="Arial" w:hAnsi="Arial" w:cs="Arial"/>
          <w:sz w:val="22"/>
          <w:szCs w:val="22"/>
        </w:rPr>
        <w:t xml:space="preserve"> (Accessed: 15 February 2026).</w:t>
      </w:r>
    </w:p>
    <w:p w14:paraId="10DC92CF"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Park, H.N., Lee, K. and Wallace, C. (2025) ‘The use of triage in primary care in the UK: an integrative review and narrative synthesis’, </w:t>
      </w:r>
      <w:r w:rsidRPr="00923FEB">
        <w:rPr>
          <w:rFonts w:ascii="Arial" w:hAnsi="Arial" w:cs="Arial"/>
          <w:i/>
          <w:iCs/>
          <w:sz w:val="22"/>
          <w:szCs w:val="22"/>
        </w:rPr>
        <w:t>Journal of Advanced Nursing</w:t>
      </w:r>
      <w:r w:rsidRPr="00923FEB">
        <w:rPr>
          <w:rFonts w:ascii="Arial" w:hAnsi="Arial" w:cs="Arial"/>
          <w:sz w:val="22"/>
          <w:szCs w:val="22"/>
        </w:rPr>
        <w:t xml:space="preserve">, Article 70037. Available at: </w:t>
      </w:r>
      <w:hyperlink r:id="rId38" w:tgtFrame="_new" w:history="1">
        <w:r w:rsidRPr="00923FEB">
          <w:rPr>
            <w:rStyle w:val="Hyperlink"/>
            <w:rFonts w:ascii="Arial" w:hAnsi="Arial" w:cs="Arial"/>
            <w:sz w:val="22"/>
            <w:szCs w:val="22"/>
          </w:rPr>
          <w:t>https://doi.org/10.1111/jan.70037</w:t>
        </w:r>
      </w:hyperlink>
      <w:r w:rsidRPr="00923FEB">
        <w:rPr>
          <w:rFonts w:ascii="Arial" w:hAnsi="Arial" w:cs="Arial"/>
          <w:sz w:val="22"/>
          <w:szCs w:val="22"/>
        </w:rPr>
        <w:t xml:space="preserve"> (Accessed: 15 February 2026).</w:t>
      </w:r>
    </w:p>
    <w:p w14:paraId="78F8C9B7"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Parr, E. (2023) ‘Former Babylon NHS arm changes its name to eMed GP at Hand’, </w:t>
      </w:r>
      <w:r w:rsidRPr="00923FEB">
        <w:rPr>
          <w:rFonts w:ascii="Arial" w:hAnsi="Arial" w:cs="Arial"/>
          <w:i/>
          <w:iCs/>
          <w:sz w:val="22"/>
          <w:szCs w:val="22"/>
        </w:rPr>
        <w:t>Pulse Today</w:t>
      </w:r>
      <w:r w:rsidRPr="00923FEB">
        <w:rPr>
          <w:rFonts w:ascii="Arial" w:hAnsi="Arial" w:cs="Arial"/>
          <w:sz w:val="22"/>
          <w:szCs w:val="22"/>
        </w:rPr>
        <w:t xml:space="preserve">, 2 October. Available at: </w:t>
      </w:r>
      <w:hyperlink r:id="rId39" w:tgtFrame="_new" w:history="1">
        <w:r w:rsidRPr="00923FEB">
          <w:rPr>
            <w:rStyle w:val="Hyperlink"/>
            <w:rFonts w:ascii="Arial" w:hAnsi="Arial" w:cs="Arial"/>
            <w:sz w:val="22"/>
            <w:szCs w:val="22"/>
          </w:rPr>
          <w:t>https://www.pulsetoday.co.uk/news/technology/former-babylon-nhs-arm-changes-its-name-to-emed-gp-at-hand/</w:t>
        </w:r>
      </w:hyperlink>
      <w:r w:rsidRPr="00923FEB">
        <w:rPr>
          <w:rFonts w:ascii="Arial" w:hAnsi="Arial" w:cs="Arial"/>
          <w:sz w:val="22"/>
          <w:szCs w:val="22"/>
        </w:rPr>
        <w:t xml:space="preserve"> (Accessed: 16 February 2026).</w:t>
      </w:r>
    </w:p>
    <w:p w14:paraId="7B5F6C5C"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Razai, M.S., Al-</w:t>
      </w:r>
      <w:proofErr w:type="spellStart"/>
      <w:r w:rsidRPr="00923FEB">
        <w:rPr>
          <w:rFonts w:ascii="Arial" w:hAnsi="Arial" w:cs="Arial"/>
          <w:sz w:val="22"/>
          <w:szCs w:val="22"/>
        </w:rPr>
        <w:t>bedaery</w:t>
      </w:r>
      <w:proofErr w:type="spellEnd"/>
      <w:r w:rsidRPr="00923FEB">
        <w:rPr>
          <w:rFonts w:ascii="Arial" w:hAnsi="Arial" w:cs="Arial"/>
          <w:sz w:val="22"/>
          <w:szCs w:val="22"/>
        </w:rPr>
        <w:t xml:space="preserve">, R., Bowen, L., Yahia, R., Chandrasekaran, L. and Oakeshott, P. (2024) ‘Implementation challenges of artificial intelligence in primary care: perspectives of general practitioners in London, UK’, </w:t>
      </w:r>
      <w:r w:rsidRPr="00923FEB">
        <w:rPr>
          <w:rFonts w:ascii="Arial" w:hAnsi="Arial" w:cs="Arial"/>
          <w:i/>
          <w:iCs/>
          <w:sz w:val="22"/>
          <w:szCs w:val="22"/>
        </w:rPr>
        <w:t>PLOS ONE</w:t>
      </w:r>
      <w:r w:rsidRPr="00923FEB">
        <w:rPr>
          <w:rFonts w:ascii="Arial" w:hAnsi="Arial" w:cs="Arial"/>
          <w:sz w:val="22"/>
          <w:szCs w:val="22"/>
        </w:rPr>
        <w:t xml:space="preserve">, 19(11), e0314196. Available at: </w:t>
      </w:r>
      <w:hyperlink r:id="rId40" w:tgtFrame="_new" w:history="1">
        <w:r w:rsidRPr="00923FEB">
          <w:rPr>
            <w:rStyle w:val="Hyperlink"/>
            <w:rFonts w:ascii="Arial" w:hAnsi="Arial" w:cs="Arial"/>
            <w:sz w:val="22"/>
            <w:szCs w:val="22"/>
          </w:rPr>
          <w:t>https://doi.org/10.1371/journal.pone.0314196</w:t>
        </w:r>
      </w:hyperlink>
      <w:r w:rsidRPr="00923FEB">
        <w:rPr>
          <w:rFonts w:ascii="Arial" w:hAnsi="Arial" w:cs="Arial"/>
          <w:sz w:val="22"/>
          <w:szCs w:val="22"/>
        </w:rPr>
        <w:t xml:space="preserve"> (Accessed: 15 February 2026).</w:t>
      </w:r>
    </w:p>
    <w:p w14:paraId="16CD016E"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Royal College of General Practitioners (2020) </w:t>
      </w:r>
      <w:r w:rsidRPr="00923FEB">
        <w:rPr>
          <w:rFonts w:ascii="Arial" w:hAnsi="Arial" w:cs="Arial"/>
          <w:i/>
          <w:iCs/>
          <w:sz w:val="22"/>
          <w:szCs w:val="22"/>
        </w:rPr>
        <w:t>Remote consultations guidance for GPs</w:t>
      </w:r>
      <w:r w:rsidRPr="00923FEB">
        <w:rPr>
          <w:rFonts w:ascii="Arial" w:hAnsi="Arial" w:cs="Arial"/>
          <w:sz w:val="22"/>
          <w:szCs w:val="22"/>
        </w:rPr>
        <w:t xml:space="preserve">. Available at: </w:t>
      </w:r>
      <w:hyperlink r:id="rId41" w:tgtFrame="_new" w:history="1">
        <w:r w:rsidRPr="00923FEB">
          <w:rPr>
            <w:rStyle w:val="Hyperlink"/>
            <w:rFonts w:ascii="Arial" w:hAnsi="Arial" w:cs="Arial"/>
            <w:sz w:val="22"/>
            <w:szCs w:val="22"/>
          </w:rPr>
          <w:t>https://www.rcgp.org.uk</w:t>
        </w:r>
      </w:hyperlink>
      <w:r w:rsidRPr="00923FEB">
        <w:rPr>
          <w:rFonts w:ascii="Arial" w:hAnsi="Arial" w:cs="Arial"/>
          <w:sz w:val="22"/>
          <w:szCs w:val="22"/>
        </w:rPr>
        <w:t xml:space="preserve"> (Accessed: 19 February 2026).</w:t>
      </w:r>
    </w:p>
    <w:p w14:paraId="51BCA41D" w14:textId="77777777" w:rsidR="00923FEB" w:rsidRPr="00923FEB" w:rsidRDefault="00923FEB" w:rsidP="00D923E0">
      <w:pPr>
        <w:spacing w:line="276" w:lineRule="auto"/>
        <w:ind w:left="720" w:hanging="720"/>
        <w:jc w:val="both"/>
        <w:rPr>
          <w:rFonts w:ascii="Arial" w:hAnsi="Arial" w:cs="Arial"/>
          <w:sz w:val="22"/>
          <w:szCs w:val="22"/>
        </w:rPr>
      </w:pPr>
      <w:proofErr w:type="spellStart"/>
      <w:r w:rsidRPr="00923FEB">
        <w:rPr>
          <w:rFonts w:ascii="Arial" w:hAnsi="Arial" w:cs="Arial"/>
          <w:sz w:val="22"/>
          <w:szCs w:val="22"/>
        </w:rPr>
        <w:t>Rousaki</w:t>
      </w:r>
      <w:proofErr w:type="spellEnd"/>
      <w:r w:rsidRPr="00923FEB">
        <w:rPr>
          <w:rFonts w:ascii="Arial" w:hAnsi="Arial" w:cs="Arial"/>
          <w:sz w:val="22"/>
          <w:szCs w:val="22"/>
        </w:rPr>
        <w:t xml:space="preserve">, A., Zamani, E.D., </w:t>
      </w:r>
      <w:proofErr w:type="spellStart"/>
      <w:r w:rsidRPr="00923FEB">
        <w:rPr>
          <w:rFonts w:ascii="Arial" w:hAnsi="Arial" w:cs="Arial"/>
          <w:sz w:val="22"/>
          <w:szCs w:val="22"/>
        </w:rPr>
        <w:t>Sbaffi</w:t>
      </w:r>
      <w:proofErr w:type="spellEnd"/>
      <w:r w:rsidRPr="00923FEB">
        <w:rPr>
          <w:rFonts w:ascii="Arial" w:hAnsi="Arial" w:cs="Arial"/>
          <w:sz w:val="22"/>
          <w:szCs w:val="22"/>
        </w:rPr>
        <w:t xml:space="preserve">, L., Hamblin, K. and Black, R. (2024) ‘The digitalization of social care in England and implications for older unpaid carers: constructionist thematic analysis’, </w:t>
      </w:r>
      <w:r w:rsidRPr="00923FEB">
        <w:rPr>
          <w:rFonts w:ascii="Arial" w:hAnsi="Arial" w:cs="Arial"/>
          <w:i/>
          <w:iCs/>
          <w:sz w:val="22"/>
          <w:szCs w:val="22"/>
        </w:rPr>
        <w:t>Journal of Medical Internet Research</w:t>
      </w:r>
      <w:r w:rsidRPr="00923FEB">
        <w:rPr>
          <w:rFonts w:ascii="Arial" w:hAnsi="Arial" w:cs="Arial"/>
          <w:sz w:val="22"/>
          <w:szCs w:val="22"/>
        </w:rPr>
        <w:t xml:space="preserve">, 26, e60056. Available at: </w:t>
      </w:r>
      <w:hyperlink r:id="rId42" w:tgtFrame="_new" w:history="1">
        <w:r w:rsidRPr="00923FEB">
          <w:rPr>
            <w:rStyle w:val="Hyperlink"/>
            <w:rFonts w:ascii="Arial" w:hAnsi="Arial" w:cs="Arial"/>
            <w:sz w:val="22"/>
            <w:szCs w:val="22"/>
          </w:rPr>
          <w:t>https://doi.org/10.2196/60056</w:t>
        </w:r>
      </w:hyperlink>
      <w:r w:rsidRPr="00923FEB">
        <w:rPr>
          <w:rFonts w:ascii="Arial" w:hAnsi="Arial" w:cs="Arial"/>
          <w:sz w:val="22"/>
          <w:szCs w:val="22"/>
        </w:rPr>
        <w:t xml:space="preserve"> (Accessed: 15 February 2026).</w:t>
      </w:r>
    </w:p>
    <w:p w14:paraId="4CF0CD7E"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Salisbury, C., Quigley, A., Hex, N. and Aznar, C. (2020) ‘Private video consultation services and the future of primary care’, </w:t>
      </w:r>
      <w:r w:rsidRPr="00923FEB">
        <w:rPr>
          <w:rFonts w:ascii="Arial" w:hAnsi="Arial" w:cs="Arial"/>
          <w:i/>
          <w:iCs/>
          <w:sz w:val="22"/>
          <w:szCs w:val="22"/>
        </w:rPr>
        <w:t>Journal of Medical Internet Research</w:t>
      </w:r>
      <w:r w:rsidRPr="00923FEB">
        <w:rPr>
          <w:rFonts w:ascii="Arial" w:hAnsi="Arial" w:cs="Arial"/>
          <w:sz w:val="22"/>
          <w:szCs w:val="22"/>
        </w:rPr>
        <w:t xml:space="preserve">, 22(10), e19415. Available at: </w:t>
      </w:r>
      <w:hyperlink r:id="rId43" w:tgtFrame="_new" w:history="1">
        <w:r w:rsidRPr="00923FEB">
          <w:rPr>
            <w:rStyle w:val="Hyperlink"/>
            <w:rFonts w:ascii="Arial" w:hAnsi="Arial" w:cs="Arial"/>
            <w:sz w:val="22"/>
            <w:szCs w:val="22"/>
          </w:rPr>
          <w:t>https://doi.org/10.2196/19415</w:t>
        </w:r>
      </w:hyperlink>
      <w:r w:rsidRPr="00923FEB">
        <w:rPr>
          <w:rFonts w:ascii="Arial" w:hAnsi="Arial" w:cs="Arial"/>
          <w:sz w:val="22"/>
          <w:szCs w:val="22"/>
        </w:rPr>
        <w:t xml:space="preserve"> (Accessed: 15 February 2026).</w:t>
      </w:r>
    </w:p>
    <w:p w14:paraId="4D083643"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Shahzad, I. and King, M. (2026) ‘A systemic longitudinal case study of the eMed GP at Hand digital first primary care model’, </w:t>
      </w:r>
      <w:r w:rsidRPr="00923FEB">
        <w:rPr>
          <w:rFonts w:ascii="Arial" w:hAnsi="Arial" w:cs="Arial"/>
          <w:i/>
          <w:iCs/>
          <w:sz w:val="22"/>
          <w:szCs w:val="22"/>
        </w:rPr>
        <w:t>Discover Health Systems</w:t>
      </w:r>
      <w:r w:rsidRPr="00923FEB">
        <w:rPr>
          <w:rFonts w:ascii="Arial" w:hAnsi="Arial" w:cs="Arial"/>
          <w:sz w:val="22"/>
          <w:szCs w:val="22"/>
        </w:rPr>
        <w:t xml:space="preserve">, 5(1), p.10. Available at: </w:t>
      </w:r>
      <w:hyperlink r:id="rId44" w:tgtFrame="_new" w:history="1">
        <w:r w:rsidRPr="00923FEB">
          <w:rPr>
            <w:rStyle w:val="Hyperlink"/>
            <w:rFonts w:ascii="Arial" w:hAnsi="Arial" w:cs="Arial"/>
            <w:sz w:val="22"/>
            <w:szCs w:val="22"/>
          </w:rPr>
          <w:t>https://doi.org/10.1007/s44250-026-00344-9</w:t>
        </w:r>
      </w:hyperlink>
      <w:r w:rsidRPr="00923FEB">
        <w:rPr>
          <w:rFonts w:ascii="Arial" w:hAnsi="Arial" w:cs="Arial"/>
          <w:sz w:val="22"/>
          <w:szCs w:val="22"/>
        </w:rPr>
        <w:t xml:space="preserve"> (Accessed: 15 February 2026).</w:t>
      </w:r>
    </w:p>
    <w:p w14:paraId="4F1679DC"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Sussex, J., Atherton, H., Abel, G., Clark, C., Cockcroft, E., Leach, B., Marriott, C. and Newbould, J. (2024) ‘Supporting patients’ use of digital services in primary health care in England’, </w:t>
      </w:r>
      <w:r w:rsidRPr="00923FEB">
        <w:rPr>
          <w:rFonts w:ascii="Arial" w:hAnsi="Arial" w:cs="Arial"/>
          <w:i/>
          <w:iCs/>
          <w:sz w:val="22"/>
          <w:szCs w:val="22"/>
        </w:rPr>
        <w:t>JMIR Human Factors</w:t>
      </w:r>
      <w:r w:rsidRPr="00923FEB">
        <w:rPr>
          <w:rFonts w:ascii="Arial" w:hAnsi="Arial" w:cs="Arial"/>
          <w:sz w:val="22"/>
          <w:szCs w:val="22"/>
        </w:rPr>
        <w:t xml:space="preserve">, 11, e52516. Available at: </w:t>
      </w:r>
      <w:hyperlink r:id="rId45" w:tgtFrame="_new" w:history="1">
        <w:r w:rsidRPr="00923FEB">
          <w:rPr>
            <w:rStyle w:val="Hyperlink"/>
            <w:rFonts w:ascii="Arial" w:hAnsi="Arial" w:cs="Arial"/>
            <w:sz w:val="22"/>
            <w:szCs w:val="22"/>
          </w:rPr>
          <w:t>https://doi.org/10.2196/52516</w:t>
        </w:r>
      </w:hyperlink>
      <w:r w:rsidRPr="00923FEB">
        <w:rPr>
          <w:rFonts w:ascii="Arial" w:hAnsi="Arial" w:cs="Arial"/>
          <w:sz w:val="22"/>
          <w:szCs w:val="22"/>
        </w:rPr>
        <w:t xml:space="preserve"> (Accessed: 15 February 2026).</w:t>
      </w:r>
    </w:p>
    <w:p w14:paraId="2C4DDEBD" w14:textId="77777777" w:rsidR="00923FEB" w:rsidRPr="00923FEB" w:rsidRDefault="00923FEB" w:rsidP="00D923E0">
      <w:pPr>
        <w:spacing w:line="276" w:lineRule="auto"/>
        <w:ind w:left="720" w:hanging="720"/>
        <w:jc w:val="both"/>
        <w:rPr>
          <w:rFonts w:ascii="Arial" w:hAnsi="Arial" w:cs="Arial"/>
          <w:sz w:val="22"/>
          <w:szCs w:val="22"/>
        </w:rPr>
      </w:pPr>
      <w:r w:rsidRPr="00923FEB">
        <w:rPr>
          <w:rFonts w:ascii="Arial" w:hAnsi="Arial" w:cs="Arial"/>
          <w:sz w:val="22"/>
          <w:szCs w:val="22"/>
        </w:rPr>
        <w:t xml:space="preserve">Vestesson, E.M., De Corte, K.L.A., Crellin, E., Ledger, J., </w:t>
      </w:r>
      <w:proofErr w:type="spellStart"/>
      <w:r w:rsidRPr="00923FEB">
        <w:rPr>
          <w:rFonts w:ascii="Arial" w:hAnsi="Arial" w:cs="Arial"/>
          <w:sz w:val="22"/>
          <w:szCs w:val="22"/>
        </w:rPr>
        <w:t>Bakhai</w:t>
      </w:r>
      <w:proofErr w:type="spellEnd"/>
      <w:r w:rsidRPr="00923FEB">
        <w:rPr>
          <w:rFonts w:ascii="Arial" w:hAnsi="Arial" w:cs="Arial"/>
          <w:sz w:val="22"/>
          <w:szCs w:val="22"/>
        </w:rPr>
        <w:t xml:space="preserve">, M. and Clarke, G.M. (2023) ‘Consultation rate and mode by deprivation in English general practice from 2018 to 2022’, </w:t>
      </w:r>
      <w:r w:rsidRPr="00923FEB">
        <w:rPr>
          <w:rFonts w:ascii="Arial" w:hAnsi="Arial" w:cs="Arial"/>
          <w:i/>
          <w:iCs/>
          <w:sz w:val="22"/>
          <w:szCs w:val="22"/>
        </w:rPr>
        <w:t>JMIR Public Health and Surveillance</w:t>
      </w:r>
      <w:r w:rsidRPr="00923FEB">
        <w:rPr>
          <w:rFonts w:ascii="Arial" w:hAnsi="Arial" w:cs="Arial"/>
          <w:sz w:val="22"/>
          <w:szCs w:val="22"/>
        </w:rPr>
        <w:t xml:space="preserve">, 9, e44944. Available at: </w:t>
      </w:r>
      <w:hyperlink r:id="rId46" w:tgtFrame="_new" w:history="1">
        <w:r w:rsidRPr="00923FEB">
          <w:rPr>
            <w:rStyle w:val="Hyperlink"/>
            <w:rFonts w:ascii="Arial" w:hAnsi="Arial" w:cs="Arial"/>
            <w:sz w:val="22"/>
            <w:szCs w:val="22"/>
          </w:rPr>
          <w:t>https://doi.org/10.2196/44944</w:t>
        </w:r>
      </w:hyperlink>
      <w:r w:rsidRPr="00923FEB">
        <w:rPr>
          <w:rFonts w:ascii="Arial" w:hAnsi="Arial" w:cs="Arial"/>
          <w:sz w:val="22"/>
          <w:szCs w:val="22"/>
        </w:rPr>
        <w:t xml:space="preserve"> (Accessed: 15 February 2026).</w:t>
      </w:r>
    </w:p>
    <w:p w14:paraId="0F438BC8" w14:textId="77777777" w:rsidR="00923FEB" w:rsidRPr="00676753" w:rsidRDefault="00923FEB" w:rsidP="00676753">
      <w:pPr>
        <w:spacing w:line="360" w:lineRule="auto"/>
        <w:ind w:left="720" w:hanging="720"/>
        <w:jc w:val="both"/>
        <w:rPr>
          <w:rFonts w:ascii="Arial" w:hAnsi="Arial" w:cs="Arial"/>
          <w:sz w:val="22"/>
          <w:szCs w:val="22"/>
        </w:rPr>
      </w:pPr>
    </w:p>
    <w:p w14:paraId="7813594C" w14:textId="77777777" w:rsidR="00676753" w:rsidRPr="00676753" w:rsidRDefault="00676753" w:rsidP="00EB21CE">
      <w:pPr>
        <w:spacing w:line="360" w:lineRule="auto"/>
        <w:jc w:val="both"/>
        <w:rPr>
          <w:rFonts w:ascii="Arial" w:hAnsi="Arial" w:cs="Arial"/>
          <w:sz w:val="22"/>
          <w:szCs w:val="22"/>
        </w:rPr>
      </w:pPr>
    </w:p>
    <w:p w14:paraId="12DF8651" w14:textId="77777777" w:rsidR="00676753" w:rsidRPr="00EB21CE" w:rsidRDefault="00676753" w:rsidP="00EB21CE">
      <w:pPr>
        <w:spacing w:line="360" w:lineRule="auto"/>
        <w:jc w:val="both"/>
        <w:rPr>
          <w:rFonts w:ascii="Arial" w:hAnsi="Arial" w:cs="Arial"/>
          <w:sz w:val="22"/>
          <w:szCs w:val="22"/>
        </w:rPr>
      </w:pPr>
    </w:p>
    <w:sectPr w:rsidR="00676753" w:rsidRPr="00EB21CE">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3D1F23" w14:textId="77777777" w:rsidR="00127EAA" w:rsidRDefault="00127EAA" w:rsidP="00462F59">
      <w:pPr>
        <w:spacing w:after="0" w:line="240" w:lineRule="auto"/>
      </w:pPr>
      <w:r>
        <w:separator/>
      </w:r>
    </w:p>
  </w:endnote>
  <w:endnote w:type="continuationSeparator" w:id="0">
    <w:p w14:paraId="55703BEA" w14:textId="77777777" w:rsidR="00127EAA" w:rsidRDefault="00127EAA" w:rsidP="00462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3849253"/>
      <w:docPartObj>
        <w:docPartGallery w:val="Page Numbers (Bottom of Page)"/>
        <w:docPartUnique/>
      </w:docPartObj>
    </w:sdtPr>
    <w:sdtEndPr>
      <w:rPr>
        <w:noProof/>
      </w:rPr>
    </w:sdtEndPr>
    <w:sdtContent>
      <w:p w14:paraId="6509C0A8" w14:textId="649AA70F" w:rsidR="00462F59" w:rsidRDefault="00462F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4B3746" w14:textId="77777777" w:rsidR="00462F59" w:rsidRDefault="00462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BEDEF" w14:textId="77777777" w:rsidR="00127EAA" w:rsidRDefault="00127EAA" w:rsidP="00462F59">
      <w:pPr>
        <w:spacing w:after="0" w:line="240" w:lineRule="auto"/>
      </w:pPr>
      <w:r>
        <w:separator/>
      </w:r>
    </w:p>
  </w:footnote>
  <w:footnote w:type="continuationSeparator" w:id="0">
    <w:p w14:paraId="60747321" w14:textId="77777777" w:rsidR="00127EAA" w:rsidRDefault="00127EAA" w:rsidP="00462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7269EF"/>
    <w:multiLevelType w:val="hybridMultilevel"/>
    <w:tmpl w:val="A3406366"/>
    <w:lvl w:ilvl="0" w:tplc="B5F28556">
      <w:start w:val="1"/>
      <w:numFmt w:val="decimal"/>
      <w:lvlText w:val="%1."/>
      <w:lvlJc w:val="left"/>
      <w:pPr>
        <w:ind w:left="360" w:hanging="360"/>
      </w:pPr>
      <w:rPr>
        <w:rFonts w:hint="default"/>
        <w:b w:val="0"/>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6DD7FBA"/>
    <w:multiLevelType w:val="hybridMultilevel"/>
    <w:tmpl w:val="21168E6C"/>
    <w:lvl w:ilvl="0" w:tplc="9940A24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940333819">
    <w:abstractNumId w:val="0"/>
  </w:num>
  <w:num w:numId="2" w16cid:durableId="291909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1BA"/>
    <w:rsid w:val="00015ED1"/>
    <w:rsid w:val="000643E2"/>
    <w:rsid w:val="000922E8"/>
    <w:rsid w:val="000D501E"/>
    <w:rsid w:val="000E7228"/>
    <w:rsid w:val="000F0608"/>
    <w:rsid w:val="00127EAA"/>
    <w:rsid w:val="00180ECE"/>
    <w:rsid w:val="001C2E3A"/>
    <w:rsid w:val="001C6612"/>
    <w:rsid w:val="001E009B"/>
    <w:rsid w:val="0020096F"/>
    <w:rsid w:val="00204F09"/>
    <w:rsid w:val="00211235"/>
    <w:rsid w:val="002423AE"/>
    <w:rsid w:val="0026223D"/>
    <w:rsid w:val="00265C31"/>
    <w:rsid w:val="00267C79"/>
    <w:rsid w:val="0029274C"/>
    <w:rsid w:val="002C0CBD"/>
    <w:rsid w:val="002F77D0"/>
    <w:rsid w:val="003060DA"/>
    <w:rsid w:val="00313580"/>
    <w:rsid w:val="003240C3"/>
    <w:rsid w:val="00325018"/>
    <w:rsid w:val="003D7E20"/>
    <w:rsid w:val="003F526B"/>
    <w:rsid w:val="003F6C49"/>
    <w:rsid w:val="00451505"/>
    <w:rsid w:val="00462F59"/>
    <w:rsid w:val="004D0C2E"/>
    <w:rsid w:val="004D7DF6"/>
    <w:rsid w:val="004E3B5F"/>
    <w:rsid w:val="0051292E"/>
    <w:rsid w:val="00513768"/>
    <w:rsid w:val="00531A6C"/>
    <w:rsid w:val="00544425"/>
    <w:rsid w:val="005551BA"/>
    <w:rsid w:val="00570E1A"/>
    <w:rsid w:val="00574BCD"/>
    <w:rsid w:val="00597E0E"/>
    <w:rsid w:val="005C6F03"/>
    <w:rsid w:val="005D3DE5"/>
    <w:rsid w:val="005F7174"/>
    <w:rsid w:val="00630DB4"/>
    <w:rsid w:val="006422C9"/>
    <w:rsid w:val="00666FD5"/>
    <w:rsid w:val="00676753"/>
    <w:rsid w:val="006961A7"/>
    <w:rsid w:val="006D7BB8"/>
    <w:rsid w:val="006F4462"/>
    <w:rsid w:val="00722179"/>
    <w:rsid w:val="00722AD6"/>
    <w:rsid w:val="0076549D"/>
    <w:rsid w:val="00787327"/>
    <w:rsid w:val="007B0166"/>
    <w:rsid w:val="00805ECE"/>
    <w:rsid w:val="00864F9A"/>
    <w:rsid w:val="008B080F"/>
    <w:rsid w:val="008B6330"/>
    <w:rsid w:val="008C4B6C"/>
    <w:rsid w:val="008D6317"/>
    <w:rsid w:val="008D6424"/>
    <w:rsid w:val="00923FEB"/>
    <w:rsid w:val="009505F0"/>
    <w:rsid w:val="0098559B"/>
    <w:rsid w:val="009874BF"/>
    <w:rsid w:val="00997079"/>
    <w:rsid w:val="009A2AF0"/>
    <w:rsid w:val="00A309F4"/>
    <w:rsid w:val="00A5040A"/>
    <w:rsid w:val="00A943F9"/>
    <w:rsid w:val="00AC07D5"/>
    <w:rsid w:val="00AE40A7"/>
    <w:rsid w:val="00B40655"/>
    <w:rsid w:val="00B63EFB"/>
    <w:rsid w:val="00B64B20"/>
    <w:rsid w:val="00B81833"/>
    <w:rsid w:val="00B9659E"/>
    <w:rsid w:val="00B9764C"/>
    <w:rsid w:val="00BB6975"/>
    <w:rsid w:val="00BC541E"/>
    <w:rsid w:val="00BC5B6C"/>
    <w:rsid w:val="00C31B75"/>
    <w:rsid w:val="00C40198"/>
    <w:rsid w:val="00C4047C"/>
    <w:rsid w:val="00C44069"/>
    <w:rsid w:val="00C81AEA"/>
    <w:rsid w:val="00C9292A"/>
    <w:rsid w:val="00CA48DD"/>
    <w:rsid w:val="00CB7336"/>
    <w:rsid w:val="00D05949"/>
    <w:rsid w:val="00D3727E"/>
    <w:rsid w:val="00D37876"/>
    <w:rsid w:val="00D40E70"/>
    <w:rsid w:val="00D53585"/>
    <w:rsid w:val="00D5599D"/>
    <w:rsid w:val="00D63A59"/>
    <w:rsid w:val="00D923E0"/>
    <w:rsid w:val="00D974D2"/>
    <w:rsid w:val="00DA367A"/>
    <w:rsid w:val="00DA5D65"/>
    <w:rsid w:val="00DD7819"/>
    <w:rsid w:val="00E10736"/>
    <w:rsid w:val="00E124F7"/>
    <w:rsid w:val="00E14730"/>
    <w:rsid w:val="00E20FC7"/>
    <w:rsid w:val="00E40904"/>
    <w:rsid w:val="00E66B6A"/>
    <w:rsid w:val="00E71B46"/>
    <w:rsid w:val="00E730A1"/>
    <w:rsid w:val="00E82ED2"/>
    <w:rsid w:val="00EB21CE"/>
    <w:rsid w:val="00EF4CF5"/>
    <w:rsid w:val="00F20433"/>
    <w:rsid w:val="00F226DF"/>
    <w:rsid w:val="00F52B41"/>
    <w:rsid w:val="00F60B3B"/>
    <w:rsid w:val="00FA4FF1"/>
    <w:rsid w:val="00FB5E98"/>
    <w:rsid w:val="00FF73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AF2A8"/>
  <w15:chartTrackingRefBased/>
  <w15:docId w15:val="{3DAC1C12-1BF0-407B-865A-3C58C0230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5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5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5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5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5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5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5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5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5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5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5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5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5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5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5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5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51BA"/>
    <w:rPr>
      <w:rFonts w:eastAsiaTheme="majorEastAsia" w:cstheme="majorBidi"/>
      <w:color w:val="272727" w:themeColor="text1" w:themeTint="D8"/>
    </w:rPr>
  </w:style>
  <w:style w:type="paragraph" w:styleId="Title">
    <w:name w:val="Title"/>
    <w:basedOn w:val="Normal"/>
    <w:next w:val="Normal"/>
    <w:link w:val="TitleChar"/>
    <w:uiPriority w:val="10"/>
    <w:qFormat/>
    <w:rsid w:val="00555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5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5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51BA"/>
    <w:pPr>
      <w:spacing w:before="160"/>
      <w:jc w:val="center"/>
    </w:pPr>
    <w:rPr>
      <w:i/>
      <w:iCs/>
      <w:color w:val="404040" w:themeColor="text1" w:themeTint="BF"/>
    </w:rPr>
  </w:style>
  <w:style w:type="character" w:customStyle="1" w:styleId="QuoteChar">
    <w:name w:val="Quote Char"/>
    <w:basedOn w:val="DefaultParagraphFont"/>
    <w:link w:val="Quote"/>
    <w:uiPriority w:val="29"/>
    <w:rsid w:val="005551BA"/>
    <w:rPr>
      <w:i/>
      <w:iCs/>
      <w:color w:val="404040" w:themeColor="text1" w:themeTint="BF"/>
    </w:rPr>
  </w:style>
  <w:style w:type="paragraph" w:styleId="ListParagraph">
    <w:name w:val="List Paragraph"/>
    <w:basedOn w:val="Normal"/>
    <w:uiPriority w:val="34"/>
    <w:qFormat/>
    <w:rsid w:val="005551BA"/>
    <w:pPr>
      <w:ind w:left="720"/>
      <w:contextualSpacing/>
    </w:pPr>
  </w:style>
  <w:style w:type="character" w:styleId="IntenseEmphasis">
    <w:name w:val="Intense Emphasis"/>
    <w:basedOn w:val="DefaultParagraphFont"/>
    <w:uiPriority w:val="21"/>
    <w:qFormat/>
    <w:rsid w:val="005551BA"/>
    <w:rPr>
      <w:i/>
      <w:iCs/>
      <w:color w:val="0F4761" w:themeColor="accent1" w:themeShade="BF"/>
    </w:rPr>
  </w:style>
  <w:style w:type="paragraph" w:styleId="IntenseQuote">
    <w:name w:val="Intense Quote"/>
    <w:basedOn w:val="Normal"/>
    <w:next w:val="Normal"/>
    <w:link w:val="IntenseQuoteChar"/>
    <w:uiPriority w:val="30"/>
    <w:qFormat/>
    <w:rsid w:val="00555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51BA"/>
    <w:rPr>
      <w:i/>
      <w:iCs/>
      <w:color w:val="0F4761" w:themeColor="accent1" w:themeShade="BF"/>
    </w:rPr>
  </w:style>
  <w:style w:type="character" w:styleId="IntenseReference">
    <w:name w:val="Intense Reference"/>
    <w:basedOn w:val="DefaultParagraphFont"/>
    <w:uiPriority w:val="32"/>
    <w:qFormat/>
    <w:rsid w:val="005551BA"/>
    <w:rPr>
      <w:b/>
      <w:bCs/>
      <w:smallCaps/>
      <w:color w:val="0F4761" w:themeColor="accent1" w:themeShade="BF"/>
      <w:spacing w:val="5"/>
    </w:rPr>
  </w:style>
  <w:style w:type="paragraph" w:styleId="Header">
    <w:name w:val="header"/>
    <w:basedOn w:val="Normal"/>
    <w:link w:val="HeaderChar"/>
    <w:uiPriority w:val="99"/>
    <w:unhideWhenUsed/>
    <w:rsid w:val="00462F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2F59"/>
  </w:style>
  <w:style w:type="paragraph" w:styleId="Footer">
    <w:name w:val="footer"/>
    <w:basedOn w:val="Normal"/>
    <w:link w:val="FooterChar"/>
    <w:uiPriority w:val="99"/>
    <w:unhideWhenUsed/>
    <w:rsid w:val="00462F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2F59"/>
  </w:style>
  <w:style w:type="paragraph" w:styleId="NormalWeb">
    <w:name w:val="Normal (Web)"/>
    <w:basedOn w:val="Normal"/>
    <w:uiPriority w:val="99"/>
    <w:semiHidden/>
    <w:unhideWhenUsed/>
    <w:rsid w:val="002C0CBD"/>
    <w:rPr>
      <w:rFonts w:ascii="Times New Roman" w:hAnsi="Times New Roman" w:cs="Times New Roman"/>
    </w:rPr>
  </w:style>
  <w:style w:type="character" w:styleId="Hyperlink">
    <w:name w:val="Hyperlink"/>
    <w:basedOn w:val="DefaultParagraphFont"/>
    <w:uiPriority w:val="99"/>
    <w:unhideWhenUsed/>
    <w:rsid w:val="00676753"/>
    <w:rPr>
      <w:color w:val="467886" w:themeColor="hyperlink"/>
      <w:u w:val="single"/>
    </w:rPr>
  </w:style>
  <w:style w:type="character" w:styleId="UnresolvedMention">
    <w:name w:val="Unresolved Mention"/>
    <w:basedOn w:val="DefaultParagraphFont"/>
    <w:uiPriority w:val="99"/>
    <w:semiHidden/>
    <w:unhideWhenUsed/>
    <w:rsid w:val="006767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qc.org.uk/location/1-6129587714" TargetMode="External"/><Relationship Id="rId18" Type="http://schemas.openxmlformats.org/officeDocument/2006/relationships/hyperlink" Target="https://www.gponline.com/86000-patient-gp-hand-holds-largest-practice-list-england/article/1697362" TargetMode="External"/><Relationship Id="rId26" Type="http://schemas.openxmlformats.org/officeDocument/2006/relationships/hyperlink" Target="https://bjgp.org/content/71/704/e166" TargetMode="External"/><Relationship Id="rId39" Type="http://schemas.openxmlformats.org/officeDocument/2006/relationships/hyperlink" Target="https://www.pulsetoday.co.uk/news/technology/former-babylon-nhs-arm-changes-its-name-to-emed-gp-at-hand/" TargetMode="External"/><Relationship Id="rId21" Type="http://schemas.openxmlformats.org/officeDocument/2006/relationships/hyperlink" Target="https://www.theguardian.com/society/2019/may/30/concerns-over-gp-at-hands-effect-on-local-primary-care-in-the-nhs" TargetMode="External"/><Relationship Id="rId34" Type="http://schemas.openxmlformats.org/officeDocument/2006/relationships/hyperlink" Target="https://www.england.nhs.uk/long-read/delivery-plan-for-recovering-access-to-primary-care-2/" TargetMode="External"/><Relationship Id="rId42" Type="http://schemas.openxmlformats.org/officeDocument/2006/relationships/hyperlink" Target="https://doi.org/10.2196/60056" TargetMode="External"/><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news/uk-to-pilot-world-leading-approach-to-improve-ethical-adoption-of-ai-in-healthcare" TargetMode="External"/><Relationship Id="rId29" Type="http://schemas.openxmlformats.org/officeDocument/2006/relationships/hyperlink" Target="https://doi.org/10.3310/AWBT4827" TargetMode="External"/><Relationship Id="rId11" Type="http://schemas.openxmlformats.org/officeDocument/2006/relationships/hyperlink" Target="https://www.kingsfund.org.uk/publications/pressures-in-general-practice" TargetMode="External"/><Relationship Id="rId24" Type="http://schemas.openxmlformats.org/officeDocument/2006/relationships/hyperlink" Target="https://doi.org/10.1080/02813432.2024.2380921" TargetMode="External"/><Relationship Id="rId32" Type="http://schemas.openxmlformats.org/officeDocument/2006/relationships/hyperlink" Target="https://www.england.nhs.uk/gp/digital-first-primary-care/" TargetMode="External"/><Relationship Id="rId37" Type="http://schemas.openxmlformats.org/officeDocument/2006/relationships/hyperlink" Target="https://www.nuffieldtrust.org.uk" TargetMode="External"/><Relationship Id="rId40" Type="http://schemas.openxmlformats.org/officeDocument/2006/relationships/hyperlink" Target="https://doi.org/10.1371/journal.pone.0314196" TargetMode="External"/><Relationship Id="rId45" Type="http://schemas.openxmlformats.org/officeDocument/2006/relationships/hyperlink" Target="https://doi.org/10.2196/52516" TargetMode="External"/><Relationship Id="rId5" Type="http://schemas.openxmlformats.org/officeDocument/2006/relationships/footnotes" Target="footnotes.xml"/><Relationship Id="rId15" Type="http://schemas.openxmlformats.org/officeDocument/2006/relationships/hyperlink" Target="https://www.bmj.com/careers/article/the-pros-and-cons-of-working-as-a-digital-gp" TargetMode="External"/><Relationship Id="rId23" Type="http://schemas.openxmlformats.org/officeDocument/2006/relationships/hyperlink" Target="https://doi.org/10.3399/BJGP.2022.0398" TargetMode="External"/><Relationship Id="rId28" Type="http://schemas.openxmlformats.org/officeDocument/2006/relationships/hyperlink" Target="https://doi.org/10.7861/fhj.2023-0091" TargetMode="External"/><Relationship Id="rId36" Type="http://schemas.openxmlformats.org/officeDocument/2006/relationships/hyperlink" Target="https://www.nuffieldtrust.org.uk/research/digital-first-primary-care" TargetMode="External"/><Relationship Id="rId49" Type="http://schemas.openxmlformats.org/officeDocument/2006/relationships/theme" Target="theme/theme1.xml"/><Relationship Id="rId10" Type="http://schemas.openxmlformats.org/officeDocument/2006/relationships/hyperlink" Target="https://www.sciencedirect.com/science/article/pii/S0168851024001325" TargetMode="External"/><Relationship Id="rId19" Type="http://schemas.openxmlformats.org/officeDocument/2006/relationships/hyperlink" Target="https://www.jmir.org/2018/4/e150/" TargetMode="External"/><Relationship Id="rId31" Type="http://schemas.openxmlformats.org/officeDocument/2006/relationships/hyperlink" Target="https://www.longtermplan.nhs.uk/" TargetMode="External"/><Relationship Id="rId44" Type="http://schemas.openxmlformats.org/officeDocument/2006/relationships/hyperlink" Target="https://doi.org/10.1007/s44250-026-00344-9" TargetMode="External"/><Relationship Id="rId4" Type="http://schemas.openxmlformats.org/officeDocument/2006/relationships/webSettings" Target="webSettings.xml"/><Relationship Id="rId9" Type="http://schemas.openxmlformats.org/officeDocument/2006/relationships/hyperlink" Target="https://www.journalslibrary.nihr.ac.uk/hsdr/hsdr06200/" TargetMode="External"/><Relationship Id="rId14" Type="http://schemas.openxmlformats.org/officeDocument/2006/relationships/hyperlink" Target="https://www.nuffieldtrust.org.uk/news-item/gp-at-hand-destabilising-or-modernising-general-practice" TargetMode="External"/><Relationship Id="rId22" Type="http://schemas.openxmlformats.org/officeDocument/2006/relationships/hyperlink" Target="https://www.bmj.com/content/365/bmj.l2333" TargetMode="External"/><Relationship Id="rId27" Type="http://schemas.openxmlformats.org/officeDocument/2006/relationships/hyperlink" Target="https://www.fiercehealthcare.com/digital-health/babylon-closes-us-business-lays-employees-after-mindmaze-take-private-deal-collapses" TargetMode="External"/><Relationship Id="rId30" Type="http://schemas.openxmlformats.org/officeDocument/2006/relationships/hyperlink" Target="https://www.engage.england.nhs.uk" TargetMode="External"/><Relationship Id="rId35" Type="http://schemas.openxmlformats.org/officeDocument/2006/relationships/hyperlink" Target="https://www.england.nhs.uk/long-read/inclusive-digital-healthcare-a-framework-for-nhs-action-on-digital-inclusion/" TargetMode="External"/><Relationship Id="rId43" Type="http://schemas.openxmlformats.org/officeDocument/2006/relationships/hyperlink" Target="https://doi.org/10.2196/19415" TargetMode="External"/><Relationship Id="rId48" Type="http://schemas.openxmlformats.org/officeDocument/2006/relationships/fontTable" Target="fontTable.xml"/><Relationship Id="rId8" Type="http://schemas.openxmlformats.org/officeDocument/2006/relationships/hyperlink" Target="https://doi.org/10.1186/s12916-025-04469-1" TargetMode="External"/><Relationship Id="rId3" Type="http://schemas.openxmlformats.org/officeDocument/2006/relationships/settings" Target="settings.xml"/><Relationship Id="rId12" Type="http://schemas.openxmlformats.org/officeDocument/2006/relationships/hyperlink" Target="https://www.wired.com/story/babylon-health-nhs/" TargetMode="External"/><Relationship Id="rId17" Type="http://schemas.openxmlformats.org/officeDocument/2006/relationships/hyperlink" Target="https://www.gpathand.nhs.uk/" TargetMode="External"/><Relationship Id="rId25" Type="http://schemas.openxmlformats.org/officeDocument/2006/relationships/hyperlink" Target="https://doi.org/10.1136/bmjoq-2024-002741" TargetMode="External"/><Relationship Id="rId33" Type="http://schemas.openxmlformats.org/officeDocument/2006/relationships/hyperlink" Target="https://www.england.nhs.uk/wp-content/uploads/2019/09/digital-first-primary-care-response.pdf" TargetMode="External"/><Relationship Id="rId38" Type="http://schemas.openxmlformats.org/officeDocument/2006/relationships/hyperlink" Target="https://doi.org/10.1111/jan.70037" TargetMode="External"/><Relationship Id="rId46" Type="http://schemas.openxmlformats.org/officeDocument/2006/relationships/hyperlink" Target="https://doi.org/10.2196/44944" TargetMode="External"/><Relationship Id="rId20" Type="http://schemas.openxmlformats.org/officeDocument/2006/relationships/hyperlink" Target="https://doi.org/10.1136/bmj.m998" TargetMode="External"/><Relationship Id="rId41" Type="http://schemas.openxmlformats.org/officeDocument/2006/relationships/hyperlink" Target="https://www.rcgp.org.uk"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1130</TotalTime>
  <Pages>13</Pages>
  <Words>4012</Words>
  <Characters>26922</Characters>
  <Application>Microsoft Office Word</Application>
  <DocSecurity>0</DocSecurity>
  <Lines>395</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1040 G7</dc:creator>
  <cp:keywords/>
  <dc:description/>
  <cp:lastModifiedBy>AbdulLateef Badmus</cp:lastModifiedBy>
  <cp:revision>1972</cp:revision>
  <dcterms:created xsi:type="dcterms:W3CDTF">2026-02-20T12:45:00Z</dcterms:created>
  <dcterms:modified xsi:type="dcterms:W3CDTF">2026-02-26T13:44:00Z</dcterms:modified>
</cp:coreProperties>
</file>