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720" w:lineRule="auto"/>
        <w:jc w:val="center"/>
        <w:rPr>
          <w:rFonts w:hint="default" w:ascii="Arial" w:hAnsi="Arial" w:cs="Arial"/>
          <w:sz w:val="22"/>
          <w:szCs w:val="22"/>
          <w:lang w:val="en-GB"/>
        </w:rPr>
      </w:pPr>
      <w:r>
        <w:rPr>
          <w:rFonts w:hint="default" w:ascii="Arial" w:hAnsi="Arial" w:cs="Arial"/>
          <w:b/>
          <w:bCs/>
          <w:sz w:val="56"/>
          <w:szCs w:val="56"/>
          <w:lang w:val="en-GB"/>
        </w:rPr>
        <w:t>PSYCHO-SEXUAL THEORY IN SOCIAL CARE SETTINGS</w:t>
      </w:r>
    </w:p>
    <w:p>
      <w:pPr>
        <w:rPr>
          <w:rFonts w:hint="default" w:ascii="Arial" w:hAnsi="Arial" w:cs="Arial"/>
          <w:sz w:val="22"/>
          <w:szCs w:val="22"/>
        </w:rPr>
      </w:pPr>
      <w:r>
        <w:rPr>
          <w:rFonts w:hint="default" w:ascii="Arial" w:hAnsi="Arial" w:cs="Arial"/>
          <w:sz w:val="22"/>
          <w:szCs w:val="22"/>
        </w:rPr>
        <w:br w:type="page"/>
      </w:r>
    </w:p>
    <w:sdt>
      <w:sdtPr>
        <w:rPr>
          <w:rFonts w:ascii="SimSun" w:hAnsi="SimSun" w:eastAsia="SimSun" w:cstheme="minorBidi"/>
          <w:b/>
          <w:bCs/>
          <w:sz w:val="21"/>
          <w:szCs w:val="24"/>
          <w:lang w:val="en-US" w:eastAsia="zh-CN" w:bidi="ar-SA"/>
        </w:rPr>
        <w:id w:val="147456253"/>
        <w15:color w:val="DBDBDB"/>
        <w:docPartObj>
          <w:docPartGallery w:val="Table of Contents"/>
          <w:docPartUnique/>
        </w:docPartObj>
      </w:sdtPr>
      <w:sdtContent>
        <w:p>
          <w:pPr>
            <w:pStyle w:val="3"/>
            <w:bidi w:val="0"/>
            <w:rPr>
              <w:rFonts w:hint="default" w:ascii="Arial" w:hAnsi="Arial" w:cs="Arial"/>
              <w:b/>
              <w:bCs/>
              <w:sz w:val="22"/>
              <w:szCs w:val="22"/>
              <w:lang w:val="en-GB"/>
            </w:rPr>
          </w:pPr>
          <w:bookmarkStart w:id="6" w:name="_GoBack"/>
          <w:bookmarkEnd w:id="6"/>
          <w:r>
            <w:rPr>
              <w:rFonts w:hint="default" w:ascii="Arial" w:hAnsi="Arial" w:eastAsia="SimSun" w:cs="Arial"/>
              <w:b/>
              <w:bCs/>
              <w:sz w:val="22"/>
              <w:szCs w:val="22"/>
              <w:lang w:val="en-GB" w:eastAsia="zh-CN" w:bidi="ar-SA"/>
            </w:rPr>
            <w:t>Table of Contents</w:t>
          </w:r>
        </w:p>
        <w:p>
          <w:pPr>
            <w:pStyle w:val="249"/>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TOC \o "1-2" \h \u </w:instrText>
          </w:r>
          <w:r>
            <w:rPr>
              <w:rFonts w:hint="default" w:ascii="Arial" w:hAnsi="Arial" w:cs="Arial"/>
              <w:sz w:val="22"/>
              <w:szCs w:val="22"/>
            </w:rPr>
            <w:fldChar w:fldCharType="separate"/>
          </w:r>
          <w:r>
            <w:rPr>
              <w:rFonts w:hint="default" w:ascii="Arial" w:hAnsi="Arial" w:cs="Arial"/>
              <w:sz w:val="22"/>
              <w:szCs w:val="22"/>
            </w:rPr>
            <w:fldChar w:fldCharType="begin"/>
          </w:r>
          <w:r>
            <w:rPr>
              <w:rFonts w:hint="default" w:ascii="Arial" w:hAnsi="Arial" w:cs="Arial"/>
              <w:sz w:val="22"/>
              <w:szCs w:val="22"/>
            </w:rPr>
            <w:instrText xml:space="preserve"> HYPERLINK \l _Toc18163 </w:instrText>
          </w:r>
          <w:r>
            <w:rPr>
              <w:rFonts w:hint="default" w:ascii="Arial" w:hAnsi="Arial" w:cs="Arial"/>
              <w:sz w:val="22"/>
              <w:szCs w:val="22"/>
            </w:rPr>
            <w:fldChar w:fldCharType="separate"/>
          </w:r>
          <w:r>
            <w:rPr>
              <w:rFonts w:hint="default" w:ascii="Arial" w:hAnsi="Arial" w:cs="Arial"/>
              <w:sz w:val="22"/>
              <w:szCs w:val="22"/>
              <w:lang w:val="en-GB"/>
            </w:rPr>
            <w:t>Introduction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_Toc18163 \h </w:instrText>
          </w:r>
          <w:r>
            <w:rPr>
              <w:rFonts w:hint="default" w:ascii="Arial" w:hAnsi="Arial" w:cs="Arial"/>
              <w:sz w:val="22"/>
              <w:szCs w:val="22"/>
            </w:rPr>
            <w:fldChar w:fldCharType="separate"/>
          </w:r>
          <w:r>
            <w:rPr>
              <w:rFonts w:hint="default" w:ascii="Arial" w:hAnsi="Arial" w:cs="Arial"/>
              <w:sz w:val="22"/>
              <w:szCs w:val="22"/>
            </w:rPr>
            <w:t>1</w:t>
          </w:r>
          <w:r>
            <w:rPr>
              <w:rFonts w:hint="default" w:ascii="Arial" w:hAnsi="Arial" w:cs="Arial"/>
              <w:sz w:val="22"/>
              <w:szCs w:val="22"/>
            </w:rPr>
            <w:fldChar w:fldCharType="end"/>
          </w:r>
          <w:r>
            <w:rPr>
              <w:rFonts w:hint="default" w:ascii="Arial" w:hAnsi="Arial" w:cs="Arial"/>
              <w:sz w:val="22"/>
              <w:szCs w:val="22"/>
            </w:rPr>
            <w:fldChar w:fldCharType="end"/>
          </w:r>
        </w:p>
        <w:p>
          <w:pPr>
            <w:pStyle w:val="249"/>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_Toc18154 </w:instrText>
          </w:r>
          <w:r>
            <w:rPr>
              <w:rFonts w:hint="default" w:ascii="Arial" w:hAnsi="Arial" w:cs="Arial"/>
              <w:sz w:val="22"/>
              <w:szCs w:val="22"/>
            </w:rPr>
            <w:fldChar w:fldCharType="separate"/>
          </w:r>
          <w:r>
            <w:rPr>
              <w:rFonts w:hint="default" w:ascii="Arial" w:hAnsi="Arial" w:cs="Arial"/>
              <w:sz w:val="22"/>
              <w:szCs w:val="22"/>
              <w:lang w:val="en-GB"/>
            </w:rPr>
            <w:t>The Psycho-Sexual Theory</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_Toc18154 \h </w:instrText>
          </w:r>
          <w:r>
            <w:rPr>
              <w:rFonts w:hint="default" w:ascii="Arial" w:hAnsi="Arial" w:cs="Arial"/>
              <w:sz w:val="22"/>
              <w:szCs w:val="22"/>
            </w:rPr>
            <w:fldChar w:fldCharType="separate"/>
          </w:r>
          <w:r>
            <w:rPr>
              <w:rFonts w:hint="default" w:ascii="Arial" w:hAnsi="Arial" w:cs="Arial"/>
              <w:sz w:val="22"/>
              <w:szCs w:val="22"/>
            </w:rPr>
            <w:t>1</w:t>
          </w:r>
          <w:r>
            <w:rPr>
              <w:rFonts w:hint="default" w:ascii="Arial" w:hAnsi="Arial" w:cs="Arial"/>
              <w:sz w:val="22"/>
              <w:szCs w:val="22"/>
            </w:rPr>
            <w:fldChar w:fldCharType="end"/>
          </w:r>
          <w:r>
            <w:rPr>
              <w:rFonts w:hint="default" w:ascii="Arial" w:hAnsi="Arial" w:cs="Arial"/>
              <w:sz w:val="22"/>
              <w:szCs w:val="22"/>
            </w:rPr>
            <w:fldChar w:fldCharType="end"/>
          </w:r>
        </w:p>
        <w:p>
          <w:pPr>
            <w:pStyle w:val="249"/>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_Toc4995 </w:instrText>
          </w:r>
          <w:r>
            <w:rPr>
              <w:rFonts w:hint="default" w:ascii="Arial" w:hAnsi="Arial" w:cs="Arial"/>
              <w:sz w:val="22"/>
              <w:szCs w:val="22"/>
            </w:rPr>
            <w:fldChar w:fldCharType="separate"/>
          </w:r>
          <w:r>
            <w:rPr>
              <w:rFonts w:hint="default" w:ascii="Arial" w:hAnsi="Arial" w:cs="Arial"/>
              <w:sz w:val="22"/>
              <w:szCs w:val="22"/>
              <w:lang w:val="en-GB"/>
            </w:rPr>
            <w:t>Role of Healthcare Practitioners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_Toc4995 \h </w:instrText>
          </w:r>
          <w:r>
            <w:rPr>
              <w:rFonts w:hint="default" w:ascii="Arial" w:hAnsi="Arial" w:cs="Arial"/>
              <w:sz w:val="22"/>
              <w:szCs w:val="22"/>
            </w:rPr>
            <w:fldChar w:fldCharType="separate"/>
          </w:r>
          <w:r>
            <w:rPr>
              <w:rFonts w:hint="default" w:ascii="Arial" w:hAnsi="Arial" w:cs="Arial"/>
              <w:sz w:val="22"/>
              <w:szCs w:val="22"/>
            </w:rPr>
            <w:t>2</w:t>
          </w:r>
          <w:r>
            <w:rPr>
              <w:rFonts w:hint="default" w:ascii="Arial" w:hAnsi="Arial" w:cs="Arial"/>
              <w:sz w:val="22"/>
              <w:szCs w:val="22"/>
            </w:rPr>
            <w:fldChar w:fldCharType="end"/>
          </w:r>
          <w:r>
            <w:rPr>
              <w:rFonts w:hint="default" w:ascii="Arial" w:hAnsi="Arial" w:cs="Arial"/>
              <w:sz w:val="22"/>
              <w:szCs w:val="22"/>
            </w:rPr>
            <w:fldChar w:fldCharType="end"/>
          </w:r>
        </w:p>
        <w:p>
          <w:pPr>
            <w:pStyle w:val="249"/>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_Toc16487 </w:instrText>
          </w:r>
          <w:r>
            <w:rPr>
              <w:rFonts w:hint="default" w:ascii="Arial" w:hAnsi="Arial" w:cs="Arial"/>
              <w:sz w:val="22"/>
              <w:szCs w:val="22"/>
            </w:rPr>
            <w:fldChar w:fldCharType="separate"/>
          </w:r>
          <w:r>
            <w:rPr>
              <w:rFonts w:hint="default" w:ascii="Arial" w:hAnsi="Arial" w:cs="Arial"/>
              <w:sz w:val="22"/>
              <w:szCs w:val="22"/>
              <w:lang w:val="en-GB"/>
            </w:rPr>
            <w:t>Reflection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_Toc16487 \h </w:instrText>
          </w:r>
          <w:r>
            <w:rPr>
              <w:rFonts w:hint="default" w:ascii="Arial" w:hAnsi="Arial" w:cs="Arial"/>
              <w:sz w:val="22"/>
              <w:szCs w:val="22"/>
            </w:rPr>
            <w:fldChar w:fldCharType="separate"/>
          </w:r>
          <w:r>
            <w:rPr>
              <w:rFonts w:hint="default" w:ascii="Arial" w:hAnsi="Arial" w:cs="Arial"/>
              <w:sz w:val="22"/>
              <w:szCs w:val="22"/>
            </w:rPr>
            <w:t>3</w:t>
          </w:r>
          <w:r>
            <w:rPr>
              <w:rFonts w:hint="default" w:ascii="Arial" w:hAnsi="Arial" w:cs="Arial"/>
              <w:sz w:val="22"/>
              <w:szCs w:val="22"/>
            </w:rPr>
            <w:fldChar w:fldCharType="end"/>
          </w:r>
          <w:r>
            <w:rPr>
              <w:rFonts w:hint="default" w:ascii="Arial" w:hAnsi="Arial" w:cs="Arial"/>
              <w:sz w:val="22"/>
              <w:szCs w:val="22"/>
            </w:rPr>
            <w:fldChar w:fldCharType="end"/>
          </w:r>
        </w:p>
        <w:p>
          <w:pPr>
            <w:pStyle w:val="249"/>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_Toc22816 </w:instrText>
          </w:r>
          <w:r>
            <w:rPr>
              <w:rFonts w:hint="default" w:ascii="Arial" w:hAnsi="Arial" w:cs="Arial"/>
              <w:sz w:val="22"/>
              <w:szCs w:val="22"/>
            </w:rPr>
            <w:fldChar w:fldCharType="separate"/>
          </w:r>
          <w:r>
            <w:rPr>
              <w:rFonts w:hint="default" w:ascii="Arial" w:hAnsi="Arial" w:cs="Arial"/>
              <w:sz w:val="22"/>
              <w:szCs w:val="22"/>
              <w:lang w:val="en-GB"/>
            </w:rPr>
            <w:t>Conclusion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_Toc22816 \h </w:instrText>
          </w:r>
          <w:r>
            <w:rPr>
              <w:rFonts w:hint="default" w:ascii="Arial" w:hAnsi="Arial" w:cs="Arial"/>
              <w:sz w:val="22"/>
              <w:szCs w:val="22"/>
            </w:rPr>
            <w:fldChar w:fldCharType="separate"/>
          </w:r>
          <w:r>
            <w:rPr>
              <w:rFonts w:hint="default" w:ascii="Arial" w:hAnsi="Arial" w:cs="Arial"/>
              <w:sz w:val="22"/>
              <w:szCs w:val="22"/>
            </w:rPr>
            <w:t>4</w:t>
          </w:r>
          <w:r>
            <w:rPr>
              <w:rFonts w:hint="default" w:ascii="Arial" w:hAnsi="Arial" w:cs="Arial"/>
              <w:sz w:val="22"/>
              <w:szCs w:val="22"/>
            </w:rPr>
            <w:fldChar w:fldCharType="end"/>
          </w:r>
          <w:r>
            <w:rPr>
              <w:rFonts w:hint="default" w:ascii="Arial" w:hAnsi="Arial" w:cs="Arial"/>
              <w:sz w:val="22"/>
              <w:szCs w:val="22"/>
            </w:rPr>
            <w:fldChar w:fldCharType="end"/>
          </w:r>
        </w:p>
        <w:p>
          <w:pPr>
            <w:pStyle w:val="249"/>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_Toc27261 </w:instrText>
          </w:r>
          <w:r>
            <w:rPr>
              <w:rFonts w:hint="default" w:ascii="Arial" w:hAnsi="Arial" w:cs="Arial"/>
              <w:sz w:val="22"/>
              <w:szCs w:val="22"/>
            </w:rPr>
            <w:fldChar w:fldCharType="separate"/>
          </w:r>
          <w:r>
            <w:rPr>
              <w:rFonts w:hint="default" w:ascii="Arial" w:hAnsi="Arial" w:cs="Arial"/>
              <w:sz w:val="22"/>
              <w:szCs w:val="22"/>
              <w:lang w:val="en-GB"/>
            </w:rPr>
            <w:t>References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_Toc27261 \h </w:instrText>
          </w:r>
          <w:r>
            <w:rPr>
              <w:rFonts w:hint="default" w:ascii="Arial" w:hAnsi="Arial" w:cs="Arial"/>
              <w:sz w:val="22"/>
              <w:szCs w:val="22"/>
            </w:rPr>
            <w:fldChar w:fldCharType="separate"/>
          </w:r>
          <w:r>
            <w:rPr>
              <w:rFonts w:hint="default" w:ascii="Arial" w:hAnsi="Arial" w:cs="Arial"/>
              <w:sz w:val="22"/>
              <w:szCs w:val="22"/>
            </w:rPr>
            <w:t>5</w:t>
          </w:r>
          <w:r>
            <w:rPr>
              <w:rFonts w:hint="default" w:ascii="Arial" w:hAnsi="Arial" w:cs="Arial"/>
              <w:sz w:val="22"/>
              <w:szCs w:val="22"/>
            </w:rPr>
            <w:fldChar w:fldCharType="end"/>
          </w:r>
          <w:r>
            <w:rPr>
              <w:rFonts w:hint="default" w:ascii="Arial" w:hAnsi="Arial" w:cs="Arial"/>
              <w:sz w:val="22"/>
              <w:szCs w:val="22"/>
            </w:rPr>
            <w:fldChar w:fldCharType="end"/>
          </w:r>
        </w:p>
        <w:p>
          <w:pPr>
            <w:spacing w:line="360" w:lineRule="auto"/>
          </w:pPr>
          <w:r>
            <w:rPr>
              <w:rFonts w:hint="default" w:ascii="Arial" w:hAnsi="Arial" w:cs="Arial"/>
              <w:sz w:val="22"/>
              <w:szCs w:val="22"/>
            </w:rPr>
            <w:fldChar w:fldCharType="end"/>
          </w:r>
        </w:p>
      </w:sdtContent>
    </w:sdt>
    <w:p>
      <w:pPr>
        <w:rPr>
          <w:rFonts w:hint="default" w:ascii="Arial" w:hAnsi="Arial" w:cs="Arial"/>
          <w:sz w:val="22"/>
          <w:szCs w:val="22"/>
          <w:lang w:val="en-GB"/>
        </w:rPr>
      </w:pPr>
      <w:r>
        <w:rPr>
          <w:rFonts w:hint="default" w:ascii="Arial" w:hAnsi="Arial" w:cs="Arial"/>
          <w:sz w:val="22"/>
          <w:szCs w:val="22"/>
          <w:lang w:val="en-GB"/>
        </w:rPr>
        <w:br w:type="page"/>
      </w:r>
    </w:p>
    <w:p>
      <w:pPr>
        <w:rPr>
          <w:rFonts w:hint="default"/>
          <w:lang w:val="en-GB"/>
        </w:rPr>
        <w:sectPr>
          <w:footerReference r:id="rId3" w:type="default"/>
          <w:pgSz w:w="11906" w:h="16838"/>
          <w:pgMar w:top="1440" w:right="1800" w:bottom="1440" w:left="1800" w:header="720" w:footer="720" w:gutter="0"/>
          <w:pgNumType w:fmt="upperRoman" w:start="1"/>
          <w:cols w:space="720" w:num="1"/>
          <w:docGrid w:linePitch="360" w:charSpace="0"/>
        </w:sectPr>
      </w:pPr>
    </w:p>
    <w:p>
      <w:pPr>
        <w:pStyle w:val="3"/>
        <w:bidi w:val="0"/>
        <w:rPr>
          <w:rFonts w:hint="default" w:ascii="Arial" w:hAnsi="Arial" w:cs="Arial"/>
          <w:sz w:val="22"/>
          <w:szCs w:val="22"/>
          <w:lang w:val="en-GB"/>
        </w:rPr>
      </w:pPr>
      <w:bookmarkStart w:id="0" w:name="_Toc18163"/>
      <w:r>
        <w:rPr>
          <w:rFonts w:hint="default" w:ascii="Arial" w:hAnsi="Arial" w:cs="Arial"/>
          <w:sz w:val="22"/>
          <w:szCs w:val="22"/>
          <w:lang w:val="en-GB"/>
        </w:rPr>
        <w:t>Introduction</w:t>
      </w:r>
      <w:bookmarkEnd w:id="0"/>
      <w:r>
        <w:rPr>
          <w:rFonts w:hint="default" w:ascii="Arial" w:hAnsi="Arial" w:cs="Arial"/>
          <w:sz w:val="22"/>
          <w:szCs w:val="22"/>
          <w:lang w:val="en-GB"/>
        </w:rPr>
        <w:t xml:space="preserve"> </w:t>
      </w:r>
    </w:p>
    <w:p>
      <w:pPr>
        <w:spacing w:line="360" w:lineRule="auto"/>
        <w:jc w:val="both"/>
        <w:rPr>
          <w:rFonts w:hint="default" w:ascii="Arial" w:hAnsi="Arial" w:cs="Arial"/>
          <w:sz w:val="22"/>
          <w:szCs w:val="22"/>
          <w:lang w:val="en-GB"/>
        </w:rPr>
      </w:pPr>
      <w:r>
        <w:rPr>
          <w:rFonts w:hint="default" w:ascii="Arial" w:hAnsi="Arial" w:cs="Arial"/>
          <w:sz w:val="22"/>
          <w:szCs w:val="22"/>
          <w:lang w:val="en-GB"/>
        </w:rPr>
        <w:t>Scholars, including Sigmund Freud have been instrumental in the development and understanding of psychological lifespan theories foe individuals right from infancy to adulthood. While the contributions of Freud and other psychological luminaries are not casting stones as far as people’s development is concerned, their contributions remain relevant not only to the understanding of lifespan progression but to different individual needs that are appropriate in the care settings. This essay expands and discusses in detail the psycho-sexual theory, particularly looking into how Freud contributed to its meaning to individuals, the implications of the theory on the health and well being of individuals in care settings as well as the relevance of the theory in future. To do justice to the discussion, the essay will first provide a firm understanding of the theory in greater detail before delving in the most critical parts.</w:t>
      </w:r>
    </w:p>
    <w:p>
      <w:pPr>
        <w:pStyle w:val="3"/>
        <w:bidi w:val="0"/>
        <w:rPr>
          <w:rFonts w:hint="default" w:ascii="Arial" w:hAnsi="Arial" w:cs="Arial"/>
          <w:sz w:val="22"/>
          <w:szCs w:val="22"/>
          <w:lang w:val="en-GB"/>
        </w:rPr>
      </w:pPr>
      <w:bookmarkStart w:id="1" w:name="_Toc18154"/>
      <w:r>
        <w:rPr>
          <w:rFonts w:hint="default" w:ascii="Arial" w:hAnsi="Arial" w:cs="Arial"/>
          <w:sz w:val="22"/>
          <w:szCs w:val="22"/>
          <w:lang w:val="en-GB"/>
        </w:rPr>
        <w:t>The Psycho-Sexual Theory</w:t>
      </w:r>
      <w:bookmarkEnd w:id="1"/>
    </w:p>
    <w:p>
      <w:pPr>
        <w:spacing w:line="360" w:lineRule="auto"/>
        <w:jc w:val="both"/>
        <w:rPr>
          <w:rFonts w:hint="default" w:ascii="Arial" w:hAnsi="Arial" w:cs="Arial"/>
          <w:sz w:val="22"/>
          <w:szCs w:val="22"/>
          <w:lang w:val="en-GB"/>
        </w:rPr>
      </w:pPr>
      <w:r>
        <w:rPr>
          <w:rFonts w:hint="default" w:ascii="Arial" w:hAnsi="Arial" w:cs="Arial"/>
          <w:sz w:val="22"/>
          <w:szCs w:val="22"/>
          <w:lang w:val="en-GB"/>
        </w:rPr>
        <w:t>The psycho-sexual theory as developed by Freud was an attempt to link psychology to scientific structures of medicine (Lantz and Ray 2021). The first stages therefore ‘symbolise the concentration of libido or instincts on a different area of the body’ to make up the maturation stages of development (Sauerteig 2012; Lantz and Ray 2021). Honig (2000) added that the five stages that had been propounded by Freud develop through age ranges, which means that human sexual development processes involve the evolution of human beings, particularly as they age. It is thus fundamental to look at these stages to understand how they link to sexual feelings and psychological development.</w:t>
      </w:r>
    </w:p>
    <w:p>
      <w:pPr>
        <w:spacing w:line="360" w:lineRule="auto"/>
        <w:jc w:val="both"/>
        <w:rPr>
          <w:rFonts w:hint="default" w:ascii="Arial" w:hAnsi="Arial" w:cs="Arial"/>
          <w:sz w:val="22"/>
          <w:szCs w:val="22"/>
          <w:lang w:val="en-GB"/>
        </w:rPr>
      </w:pPr>
      <w:r>
        <w:rPr>
          <w:rFonts w:hint="default" w:ascii="Arial" w:hAnsi="Arial" w:cs="Arial"/>
          <w:sz w:val="22"/>
          <w:szCs w:val="22"/>
          <w:lang w:val="en-GB"/>
        </w:rPr>
        <w:t>According to Freud (1905) the first stage of sexual development is Oral. McLeod (2019) added that the oral stage is infant stage where babies satisfy their sexual energy through sucking, biting and breastfeeding using their mouths. Honig (2000) argued that the theory of Freud helps to explain that the erogenous zone is the absorbing organ of pleasure. In the absence of breastfeeding, thumb-sucking and insertion of playing objects like toys, dolls or blankets become expressive objects of sexual energy (Honig 2000). Providing things like the aforementioned therefore serves as to satisfy the needs of infants. This could be critical as they grow to the next stage of their development.</w:t>
      </w:r>
    </w:p>
    <w:p>
      <w:pPr>
        <w:spacing w:line="360" w:lineRule="auto"/>
        <w:jc w:val="both"/>
        <w:rPr>
          <w:rFonts w:hint="default" w:ascii="Arial" w:hAnsi="Arial" w:cs="Arial"/>
          <w:sz w:val="22"/>
          <w:szCs w:val="22"/>
          <w:lang w:val="en-GB"/>
        </w:rPr>
      </w:pPr>
      <w:r>
        <w:rPr>
          <w:rFonts w:hint="default" w:ascii="Arial" w:hAnsi="Arial" w:cs="Arial"/>
          <w:sz w:val="22"/>
          <w:szCs w:val="22"/>
          <w:lang w:val="en-GB"/>
        </w:rPr>
        <w:t>Another critical stage of psycho-sexual development as provided for by Freud is the anal stage that largely manifests when children are aged between one and three years (Honig 2000). McLeod (2019) provided that libido is concentrated on the anus where children get satisfaction through defecating. According to Maciejewski (2008) children develop their ego at this stage and are likely to get into conflict with their seniors who may want to impose on children when and where to defecate. From this stage, Freud suggested that the phallic stage (three to six years) is associated with libido moving to the genitalia (McLeod 2019). At this stage children become aware of their anatomical differences, thus causing a conflict between erotic attraction, resentment, rivalry, jealousy and fear which was dubbed Oedipus complex for boys and Electra complex for girls (Ibid). To resolve this conflict, sexual identification takes place (Honig 2000). It is clear that this stage is critical as far as sexual orientation is concerned.</w:t>
      </w:r>
    </w:p>
    <w:p>
      <w:pPr>
        <w:spacing w:line="360" w:lineRule="auto"/>
        <w:jc w:val="both"/>
        <w:rPr>
          <w:rFonts w:hint="default" w:ascii="Arial" w:hAnsi="Arial" w:cs="Arial"/>
          <w:sz w:val="22"/>
          <w:szCs w:val="22"/>
          <w:lang w:val="en-GB"/>
        </w:rPr>
      </w:pPr>
      <w:r>
        <w:rPr>
          <w:rFonts w:hint="default" w:ascii="Arial" w:hAnsi="Arial" w:cs="Arial"/>
          <w:sz w:val="22"/>
          <w:szCs w:val="22"/>
          <w:lang w:val="en-GB"/>
        </w:rPr>
        <w:t>The other two stages of the psychosexual theory latency (six years to puberty) and genital (puberty to adult) (McLeod 2019). The latency stage is associated with repression of libido where children act on their impulses as they focus on school, sports, building relationships while the genital stage sees the entrenchment of egos, sexual independence and development of sexual relationships into consensual and healthy (Lantz and Ray 2021). According to Boag (2014) when children transition into adults they seek their orientation, ditching how they have been socialised from the previous stages. It is thus important to look at how care workers will deal with growth and development needs of individuals in care settings under the influence of the psychosexual theory.</w:t>
      </w:r>
    </w:p>
    <w:p>
      <w:pPr>
        <w:pStyle w:val="3"/>
        <w:bidi w:val="0"/>
        <w:rPr>
          <w:rFonts w:hint="default" w:ascii="Arial" w:hAnsi="Arial" w:cs="Arial"/>
          <w:sz w:val="22"/>
          <w:szCs w:val="22"/>
          <w:lang w:val="en-GB"/>
        </w:rPr>
      </w:pPr>
      <w:bookmarkStart w:id="2" w:name="_Toc4995"/>
      <w:r>
        <w:rPr>
          <w:rFonts w:hint="default" w:ascii="Arial" w:hAnsi="Arial" w:cs="Arial"/>
          <w:sz w:val="22"/>
          <w:szCs w:val="22"/>
          <w:lang w:val="en-GB"/>
        </w:rPr>
        <w:t>Role of Healthcare Practitioners</w:t>
      </w:r>
      <w:bookmarkEnd w:id="2"/>
    </w:p>
    <w:p>
      <w:pPr>
        <w:spacing w:line="360" w:lineRule="auto"/>
        <w:jc w:val="both"/>
        <w:rPr>
          <w:rFonts w:hint="default" w:ascii="Arial" w:hAnsi="Arial" w:cs="Arial"/>
          <w:sz w:val="22"/>
          <w:szCs w:val="22"/>
          <w:lang w:val="en-GB"/>
        </w:rPr>
      </w:pPr>
      <w:r>
        <w:rPr>
          <w:rFonts w:hint="default" w:ascii="Arial" w:hAnsi="Arial" w:cs="Arial"/>
          <w:sz w:val="22"/>
          <w:szCs w:val="22"/>
          <w:lang w:val="en-GB"/>
        </w:rPr>
        <w:t>Having discussed the provisions of the theory according to Freud, this section simplifies such provisions to health and care settings. What this means is that the psychosexual theory can help practitioners take enhanced care of adults based on the psychological behaviours of adults they exude on account of sexual feelings.</w:t>
      </w:r>
    </w:p>
    <w:p>
      <w:pPr>
        <w:spacing w:line="360" w:lineRule="auto"/>
        <w:jc w:val="both"/>
        <w:rPr>
          <w:rFonts w:hint="default" w:ascii="Arial" w:hAnsi="Arial" w:cs="Arial"/>
          <w:sz w:val="22"/>
          <w:szCs w:val="22"/>
          <w:lang w:val="en-GB"/>
        </w:rPr>
      </w:pPr>
      <w:r>
        <w:rPr>
          <w:rFonts w:hint="default" w:ascii="Arial" w:hAnsi="Arial" w:cs="Arial"/>
          <w:sz w:val="22"/>
          <w:szCs w:val="22"/>
          <w:lang w:val="en-GB"/>
        </w:rPr>
        <w:t>It is imperative for health and care workers who are protecting the children, young adults and adults to be provided with safe and healthy playing tools especially at latency stage (McLeod 2019). The assumption here is that at this age, children are focusing on their education whilst suppressing their sexual feelings at the same time (Muscarella 2015). It is thus easier for children at this stage to get exposed to dangerous sites under the guise of education. For health and care workers therefore, the imperative is to monitor what children are exposed to and minimise the risk of education that might affect not only their mental health but the one that might actually introduce them to orientations they are not interested in or sexual activities that are not appropriate for their age. In this vein, the psychosexual theory helps health and care workers to prioritise the needs of their clients at a certain age, which in this case is appropriate education and gadgets for children who are transitioning to puberty stage.</w:t>
      </w:r>
    </w:p>
    <w:p>
      <w:pPr>
        <w:spacing w:line="360" w:lineRule="auto"/>
        <w:jc w:val="both"/>
        <w:rPr>
          <w:rFonts w:hint="default" w:ascii="Arial" w:hAnsi="Arial" w:cs="Arial"/>
          <w:sz w:val="22"/>
          <w:szCs w:val="22"/>
          <w:lang w:val="en-GB"/>
        </w:rPr>
      </w:pPr>
      <w:r>
        <w:rPr>
          <w:rFonts w:hint="default" w:ascii="Arial" w:hAnsi="Arial" w:cs="Arial"/>
          <w:sz w:val="22"/>
          <w:szCs w:val="22"/>
          <w:lang w:val="en-GB"/>
        </w:rPr>
        <w:t>Health and care practitioners can also help clients at adult stage to ‘protect their ego’ using the psychosexual theory (McLeod 2019). Suri (2016) added that the genital stage, which is associated with entrenchment of ego, development of consensual sexual relationships and healthy sexual lifestyles, if not guarded my see adults and and children who are finishing puberty getting sexually abused and abuse on account of sexual orientation. This is why McLeod (2019) suggested that health and care workers must be prepared to protect the egos of their clients through strengthening their defense mechanisms. This can be done through providing appropriate information to clients pertaining to their preferred sexual orientation and providing a safe environment for clients to openly speak about their sexual choices and preference. This way, clients feel respected and can then openly seek safe sexual and reproductive health practices (Narang and Garima 2016). From these perspectives, it can be deduced that health and care practitioners have a bigger role to play in understanding the sexual needs of their clients and providing the right information that can help the clients to make informed decisions if the psychosexual</w:t>
      </w:r>
    </w:p>
    <w:p>
      <w:pPr>
        <w:spacing w:line="360" w:lineRule="auto"/>
        <w:jc w:val="both"/>
        <w:rPr>
          <w:rFonts w:hint="default" w:ascii="Arial" w:hAnsi="Arial" w:cs="Arial"/>
          <w:sz w:val="22"/>
          <w:szCs w:val="22"/>
          <w:lang w:val="en-GB"/>
        </w:rPr>
      </w:pPr>
      <w:r>
        <w:rPr>
          <w:rFonts w:hint="default" w:ascii="Arial" w:hAnsi="Arial" w:cs="Arial"/>
          <w:sz w:val="22"/>
          <w:szCs w:val="22"/>
          <w:lang w:val="en-GB"/>
        </w:rPr>
        <w:t xml:space="preserve"> theory has anything to go by.</w:t>
      </w:r>
    </w:p>
    <w:p>
      <w:pPr>
        <w:spacing w:line="360" w:lineRule="auto"/>
        <w:jc w:val="both"/>
        <w:rPr>
          <w:rFonts w:hint="default" w:ascii="Arial" w:hAnsi="Arial" w:cs="Arial"/>
          <w:sz w:val="22"/>
          <w:szCs w:val="22"/>
          <w:lang w:val="en-GB"/>
        </w:rPr>
      </w:pPr>
      <w:r>
        <w:rPr>
          <w:rFonts w:hint="default" w:ascii="Arial" w:hAnsi="Arial" w:cs="Arial"/>
          <w:sz w:val="22"/>
          <w:szCs w:val="22"/>
          <w:lang w:val="en-GB"/>
        </w:rPr>
        <w:t>Furthermore, the psychosexual theory looks at satisfaction, sexual esteem, internal control, consciousness, assertiveness, external control and motivation which require practitioners not only to take note of but to protect and promote positive outcomes (Gesinde et al 2013). The aforementioned motivate people to seek satisfaction and association based on different needs which will then make sense if there is a safer environment for people to practice them. It therefore the role of health and care practitioners to identify the needs of their clients to boost their sexual esteem, enhance their psychological behaviours and associate with preferred partners. Suri (2016) added that lower self-confidence has a likelihood of increasing ‘psychologically based difficulties and reduced sexual satisfaction and ultimately lead to sexually transmitted infections. Health and care practitioners must therefore prioritise the confidence of their clients so as to enhance their satisfaction and safer sexual practices. This makes it imperative to apply the psychosexual theories in the context of the well-being of clients who may be in health and care settings.</w:t>
      </w:r>
    </w:p>
    <w:p>
      <w:pPr>
        <w:pStyle w:val="3"/>
        <w:bidi w:val="0"/>
        <w:rPr>
          <w:rFonts w:hint="default" w:ascii="Arial" w:hAnsi="Arial" w:cs="Arial"/>
          <w:sz w:val="22"/>
          <w:szCs w:val="22"/>
          <w:lang w:val="en-GB"/>
        </w:rPr>
      </w:pPr>
      <w:bookmarkStart w:id="3" w:name="_Toc16487"/>
      <w:r>
        <w:rPr>
          <w:rFonts w:hint="default" w:ascii="Arial" w:hAnsi="Arial" w:cs="Arial"/>
          <w:sz w:val="22"/>
          <w:szCs w:val="22"/>
          <w:lang w:val="en-GB"/>
        </w:rPr>
        <w:t>Reflection</w:t>
      </w:r>
      <w:bookmarkEnd w:id="3"/>
      <w:r>
        <w:rPr>
          <w:rFonts w:hint="default" w:ascii="Arial" w:hAnsi="Arial" w:cs="Arial"/>
          <w:sz w:val="22"/>
          <w:szCs w:val="22"/>
          <w:lang w:val="en-GB"/>
        </w:rPr>
        <w:t xml:space="preserve"> </w:t>
      </w:r>
    </w:p>
    <w:p>
      <w:pPr>
        <w:spacing w:line="360" w:lineRule="auto"/>
        <w:jc w:val="both"/>
        <w:rPr>
          <w:rFonts w:hint="default" w:ascii="Arial" w:hAnsi="Arial" w:cs="Arial"/>
          <w:sz w:val="22"/>
          <w:szCs w:val="22"/>
          <w:lang w:val="en-GB"/>
        </w:rPr>
      </w:pPr>
      <w:r>
        <w:rPr>
          <w:rFonts w:hint="default" w:ascii="Arial" w:hAnsi="Arial" w:cs="Arial"/>
          <w:sz w:val="22"/>
          <w:szCs w:val="22"/>
          <w:lang w:val="en-GB"/>
        </w:rPr>
        <w:t>While it has been clarified how the psychosexual theory enhances the health and well-being of clients in care settings, it is also imperative to look at how the theory can work for future engagements. For scholars like Suri (2016 p.4) the psychosexual theory can be a useful tool in future especially on Persons With Disabilities (PWDs) in issues of ‘potential decreased lifespan, fertility, anxiety about dependency on partners and potential for genetic transmission of disability to off-springs.’ These potential challenges are a source of heightened mental problems to PWDs which must not be ignored by practitioners who may be working in the health and care settings. This explains why Muscarella (2015) posited that it is imperative for care workers to understand the different needs of their clients, including those with disabilities so that they can enhance the quality of care they offer. In England for instance, the introduction of the Care Certificate, can be vital in making sure that there is quality of care especially when considering the provisions of standard nine on mental health, dementia and learning disabilities (Hayes, Johnson and Tarrant 2019). The imperative to infuse duty of care to disabilities and specific sexual needs of clients thus form critical basis for future care using the psychosexual theory.</w:t>
      </w:r>
    </w:p>
    <w:p>
      <w:pPr>
        <w:pStyle w:val="3"/>
        <w:bidi w:val="0"/>
        <w:rPr>
          <w:rFonts w:hint="default" w:ascii="Arial" w:hAnsi="Arial" w:cs="Arial"/>
          <w:sz w:val="22"/>
          <w:szCs w:val="22"/>
          <w:lang w:val="en-GB"/>
        </w:rPr>
      </w:pPr>
      <w:bookmarkStart w:id="4" w:name="_Toc22816"/>
      <w:r>
        <w:rPr>
          <w:rFonts w:hint="default" w:ascii="Arial" w:hAnsi="Arial" w:cs="Arial"/>
          <w:sz w:val="22"/>
          <w:szCs w:val="22"/>
          <w:lang w:val="en-GB"/>
        </w:rPr>
        <w:t>Conclusion</w:t>
      </w:r>
      <w:bookmarkEnd w:id="4"/>
      <w:r>
        <w:rPr>
          <w:rFonts w:hint="default" w:ascii="Arial" w:hAnsi="Arial" w:cs="Arial"/>
          <w:sz w:val="22"/>
          <w:szCs w:val="22"/>
          <w:lang w:val="en-GB"/>
        </w:rPr>
        <w:t xml:space="preserve"> </w:t>
      </w:r>
    </w:p>
    <w:p>
      <w:pPr>
        <w:spacing w:line="360" w:lineRule="auto"/>
        <w:jc w:val="both"/>
        <w:rPr>
          <w:rFonts w:hint="default" w:ascii="Arial" w:hAnsi="Arial" w:cs="Arial"/>
          <w:sz w:val="22"/>
          <w:szCs w:val="22"/>
          <w:lang w:val="en-GB"/>
        </w:rPr>
      </w:pPr>
      <w:r>
        <w:rPr>
          <w:rFonts w:hint="default" w:ascii="Arial" w:hAnsi="Arial" w:cs="Arial"/>
          <w:sz w:val="22"/>
          <w:szCs w:val="22"/>
          <w:lang w:val="en-GB"/>
        </w:rPr>
        <w:t>This brief has discussed in detail the psychosexual theory and the stages of development that are involved as put forward by Freud. The essay has also analysed how the theory can be applied in health and care settings and discovered that it is critical in strengthening the defense mechanism of clients, can be a useful tool in enhancing the ego as well as making sure that the needs of clients are met. Going forward, the theory can also help to infuse the needs of people who need special care to the general quality of care guidelines.</w:t>
      </w:r>
    </w:p>
    <w:p>
      <w:pPr>
        <w:rPr>
          <w:rFonts w:hint="default" w:ascii="Arial" w:hAnsi="Arial" w:cs="Arial"/>
          <w:sz w:val="22"/>
          <w:szCs w:val="22"/>
          <w:lang w:val="en-GB"/>
        </w:rPr>
      </w:pPr>
      <w:r>
        <w:rPr>
          <w:rFonts w:hint="default" w:ascii="Arial" w:hAnsi="Arial" w:cs="Arial"/>
          <w:sz w:val="22"/>
          <w:szCs w:val="22"/>
          <w:lang w:val="en-GB"/>
        </w:rPr>
        <w:br w:type="page"/>
      </w:r>
    </w:p>
    <w:p>
      <w:pPr>
        <w:pStyle w:val="3"/>
        <w:bidi w:val="0"/>
        <w:rPr>
          <w:rFonts w:hint="default" w:ascii="Arial" w:hAnsi="Arial" w:cs="Arial"/>
          <w:sz w:val="22"/>
          <w:szCs w:val="22"/>
          <w:lang w:val="en-GB"/>
        </w:rPr>
      </w:pPr>
      <w:bookmarkStart w:id="5" w:name="_Toc27261"/>
      <w:r>
        <w:rPr>
          <w:rFonts w:hint="default" w:ascii="Arial" w:hAnsi="Arial" w:cs="Arial"/>
          <w:sz w:val="22"/>
          <w:szCs w:val="22"/>
          <w:lang w:val="en-GB"/>
        </w:rPr>
        <w:t>References</w:t>
      </w:r>
      <w:bookmarkEnd w:id="5"/>
      <w:r>
        <w:rPr>
          <w:rFonts w:hint="default" w:ascii="Arial" w:hAnsi="Arial" w:cs="Arial"/>
          <w:sz w:val="22"/>
          <w:szCs w:val="22"/>
          <w:lang w:val="en-GB"/>
        </w:rPr>
        <w:t xml:space="preserve"> </w:t>
      </w:r>
    </w:p>
    <w:p>
      <w:pPr>
        <w:spacing w:line="360" w:lineRule="auto"/>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Boag, S., 2014. Ego, drives, and the dynamics of internal objects.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Frontiers in psychology</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5</w:t>
      </w:r>
      <w:r>
        <w:rPr>
          <w:rFonts w:hint="default" w:ascii="Arial" w:hAnsi="Arial" w:eastAsia="SimSun" w:cs="Arial"/>
          <w:i w:val="0"/>
          <w:iCs w:val="0"/>
          <w:caps w:val="0"/>
          <w:color w:val="222222"/>
          <w:spacing w:val="0"/>
          <w:sz w:val="22"/>
          <w:szCs w:val="22"/>
          <w:shd w:val="clear" w:fill="FFFFFF"/>
        </w:rPr>
        <w:t>, p.666.</w:t>
      </w:r>
    </w:p>
    <w:p>
      <w:pPr>
        <w:spacing w:line="360" w:lineRule="auto"/>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Freud, S., 1905. Three essays on sexuality. Standard Edition.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London: Hogarth Press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19</w:t>
      </w:r>
      <w:r>
        <w:rPr>
          <w:rFonts w:hint="default" w:ascii="Arial" w:hAnsi="Arial" w:eastAsia="SimSun" w:cs="Arial"/>
          <w:i w:val="0"/>
          <w:iCs w:val="0"/>
          <w:caps w:val="0"/>
          <w:color w:val="222222"/>
          <w:spacing w:val="0"/>
          <w:sz w:val="22"/>
          <w:szCs w:val="22"/>
          <w:shd w:val="clear" w:fill="FFFFFF"/>
        </w:rPr>
        <w:t>, pp.3-42.</w:t>
      </w:r>
    </w:p>
    <w:p>
      <w:pPr>
        <w:spacing w:line="360" w:lineRule="auto"/>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Gesinde, A.M., Adejumo, G.O. and Ariyo, A.M., 2013. Self-reported psychosexual lifestyles of university students in South-Western Nigeria: implication for professional counselling.</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Procedia-Social and Behavioral Sciences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84</w:t>
      </w:r>
      <w:r>
        <w:rPr>
          <w:rFonts w:hint="default" w:ascii="Arial" w:hAnsi="Arial" w:eastAsia="SimSun" w:cs="Arial"/>
          <w:i w:val="0"/>
          <w:iCs w:val="0"/>
          <w:caps w:val="0"/>
          <w:color w:val="222222"/>
          <w:spacing w:val="0"/>
          <w:sz w:val="22"/>
          <w:szCs w:val="22"/>
          <w:shd w:val="clear" w:fill="FFFFFF"/>
        </w:rPr>
        <w:t>, pp.979-986.</w:t>
      </w:r>
    </w:p>
    <w:p>
      <w:pPr>
        <w:spacing w:line="360" w:lineRule="auto"/>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Hayes, L., Johnson, E. and Tarrant, A., 2019. Professionalisation at Work in Adult Social Care: Report to the All-Party Parliamentary Group on Adult Social Care, July 2019.</w:t>
      </w:r>
    </w:p>
    <w:p>
      <w:pPr>
        <w:spacing w:line="360" w:lineRule="auto"/>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Honig, A., 2000. Psychosexual development in infants and young children.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Young Children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55</w:t>
      </w:r>
      <w:r>
        <w:rPr>
          <w:rFonts w:hint="default" w:ascii="Arial" w:hAnsi="Arial" w:eastAsia="SimSun" w:cs="Arial"/>
          <w:i w:val="0"/>
          <w:iCs w:val="0"/>
          <w:caps w:val="0"/>
          <w:color w:val="222222"/>
          <w:spacing w:val="0"/>
          <w:sz w:val="22"/>
          <w:szCs w:val="22"/>
          <w:shd w:val="clear" w:fill="FFFFFF"/>
        </w:rPr>
        <w:t>(5), pp.70-77.</w:t>
      </w:r>
    </w:p>
    <w:p>
      <w:pPr>
        <w:spacing w:line="360" w:lineRule="auto"/>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Lantz, S.E. and Ray, S., 2021. Freud Developmental Theory. In</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StatPearls [Internet]</w:t>
      </w:r>
      <w:r>
        <w:rPr>
          <w:rFonts w:hint="default" w:ascii="Arial" w:hAnsi="Arial" w:eastAsia="SimSun" w:cs="Arial"/>
          <w:i w:val="0"/>
          <w:iCs w:val="0"/>
          <w:caps w:val="0"/>
          <w:color w:val="222222"/>
          <w:spacing w:val="0"/>
          <w:sz w:val="22"/>
          <w:szCs w:val="22"/>
          <w:shd w:val="clear" w:fill="FFFFFF"/>
        </w:rPr>
        <w:t>. StatPearls Publishing.</w:t>
      </w:r>
    </w:p>
    <w:p>
      <w:pPr>
        <w:spacing w:line="360" w:lineRule="auto"/>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Maciejewski, F., 2008. Minna Bernays as" Mrs. Freud": What sort of relationship did Sigmund Freud have with his sister-in-law?.</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American Imago</w:t>
      </w:r>
      <w:r>
        <w:rPr>
          <w:rFonts w:hint="default" w:ascii="Arial" w:hAnsi="Arial" w:eastAsia="SimSun" w:cs="Arial"/>
          <w:i w:val="0"/>
          <w:iCs w:val="0"/>
          <w:caps w:val="0"/>
          <w:color w:val="222222"/>
          <w:spacing w:val="0"/>
          <w:sz w:val="22"/>
          <w:szCs w:val="22"/>
          <w:shd w:val="clear" w:fill="FFFFFF"/>
        </w:rPr>
        <w:t>, pp.5-21.</w:t>
      </w:r>
    </w:p>
    <w:p>
      <w:pPr>
        <w:spacing w:line="360" w:lineRule="auto"/>
        <w:jc w:val="both"/>
        <w:rPr>
          <w:rFonts w:hint="default" w:ascii="Arial" w:hAnsi="Arial" w:eastAsia="SimSun" w:cs="Arial"/>
          <w:i w:val="0"/>
          <w:iCs w:val="0"/>
          <w:caps w:val="0"/>
          <w:color w:val="222222"/>
          <w:spacing w:val="0"/>
          <w:sz w:val="22"/>
          <w:szCs w:val="22"/>
          <w:shd w:val="clear" w:fill="FFFFFF"/>
          <w:lang w:val="en-GB"/>
        </w:rPr>
      </w:pPr>
      <w:r>
        <w:rPr>
          <w:rFonts w:hint="default" w:ascii="Arial" w:hAnsi="Arial" w:eastAsia="SimSun" w:cs="Arial"/>
          <w:i w:val="0"/>
          <w:iCs w:val="0"/>
          <w:caps w:val="0"/>
          <w:color w:val="222222"/>
          <w:spacing w:val="0"/>
          <w:sz w:val="22"/>
          <w:szCs w:val="22"/>
          <w:shd w:val="clear" w:fill="FFFFFF"/>
          <w:lang w:val="en-GB"/>
        </w:rPr>
        <w:t xml:space="preserve">McLeod, S., 2019.Freud’s Five Stages Psychosexual Development. </w:t>
      </w:r>
      <w:r>
        <w:rPr>
          <w:rFonts w:hint="default" w:ascii="Arial" w:hAnsi="Arial" w:eastAsia="SimSun" w:cs="Arial"/>
          <w:i/>
          <w:iCs/>
          <w:caps w:val="0"/>
          <w:color w:val="222222"/>
          <w:spacing w:val="0"/>
          <w:sz w:val="22"/>
          <w:szCs w:val="22"/>
          <w:shd w:val="clear" w:fill="FFFFFF"/>
          <w:lang w:val="en-GB"/>
        </w:rPr>
        <w:t>Simply Psychology</w:t>
      </w:r>
      <w:r>
        <w:rPr>
          <w:rFonts w:hint="default" w:ascii="Arial" w:hAnsi="Arial" w:eastAsia="SimSun" w:cs="Arial"/>
          <w:i w:val="0"/>
          <w:iCs w:val="0"/>
          <w:caps w:val="0"/>
          <w:color w:val="222222"/>
          <w:spacing w:val="0"/>
          <w:sz w:val="22"/>
          <w:szCs w:val="22"/>
          <w:shd w:val="clear" w:fill="FFFFFF"/>
          <w:lang w:val="en-GB"/>
        </w:rPr>
        <w:t xml:space="preserve">. Available at: </w:t>
      </w:r>
      <w:r>
        <w:rPr>
          <w:rFonts w:hint="default" w:ascii="Arial" w:hAnsi="Arial" w:eastAsia="SimSun" w:cs="Arial"/>
          <w:i w:val="0"/>
          <w:iCs w:val="0"/>
          <w:caps w:val="0"/>
          <w:color w:val="222222"/>
          <w:spacing w:val="0"/>
          <w:sz w:val="22"/>
          <w:szCs w:val="22"/>
          <w:shd w:val="clear" w:fill="FFFFFF"/>
          <w:lang w:val="en-GB"/>
        </w:rPr>
        <w:fldChar w:fldCharType="begin"/>
      </w:r>
      <w:r>
        <w:rPr>
          <w:rFonts w:hint="default" w:ascii="Arial" w:hAnsi="Arial" w:eastAsia="SimSun" w:cs="Arial"/>
          <w:i w:val="0"/>
          <w:iCs w:val="0"/>
          <w:caps w:val="0"/>
          <w:color w:val="222222"/>
          <w:spacing w:val="0"/>
          <w:sz w:val="22"/>
          <w:szCs w:val="22"/>
          <w:shd w:val="clear" w:fill="FFFFFF"/>
          <w:lang w:val="en-GB"/>
        </w:rPr>
        <w:instrText xml:space="preserve"> HYPERLINK "https://www.simplypsychology.org/psychosexual.html" </w:instrText>
      </w:r>
      <w:r>
        <w:rPr>
          <w:rFonts w:hint="default" w:ascii="Arial" w:hAnsi="Arial" w:eastAsia="SimSun" w:cs="Arial"/>
          <w:i w:val="0"/>
          <w:iCs w:val="0"/>
          <w:caps w:val="0"/>
          <w:color w:val="222222"/>
          <w:spacing w:val="0"/>
          <w:sz w:val="22"/>
          <w:szCs w:val="22"/>
          <w:shd w:val="clear" w:fill="FFFFFF"/>
          <w:lang w:val="en-GB"/>
        </w:rPr>
        <w:fldChar w:fldCharType="separate"/>
      </w:r>
      <w:r>
        <w:rPr>
          <w:rStyle w:val="51"/>
          <w:rFonts w:hint="default" w:ascii="Arial" w:hAnsi="Arial" w:eastAsia="SimSun" w:cs="Arial"/>
          <w:i w:val="0"/>
          <w:iCs w:val="0"/>
          <w:caps w:val="0"/>
          <w:spacing w:val="0"/>
          <w:sz w:val="22"/>
          <w:szCs w:val="22"/>
          <w:shd w:val="clear" w:fill="FFFFFF"/>
          <w:lang w:val="en-GB"/>
        </w:rPr>
        <w:t>https://www.simplypsychology.org/psychosexual.html</w:t>
      </w:r>
      <w:r>
        <w:rPr>
          <w:rFonts w:hint="default" w:ascii="Arial" w:hAnsi="Arial" w:eastAsia="SimSun" w:cs="Arial"/>
          <w:i w:val="0"/>
          <w:iCs w:val="0"/>
          <w:caps w:val="0"/>
          <w:color w:val="222222"/>
          <w:spacing w:val="0"/>
          <w:sz w:val="22"/>
          <w:szCs w:val="22"/>
          <w:shd w:val="clear" w:fill="FFFFFF"/>
          <w:lang w:val="en-GB"/>
        </w:rPr>
        <w:fldChar w:fldCharType="end"/>
      </w:r>
      <w:r>
        <w:rPr>
          <w:rFonts w:hint="default" w:ascii="Arial" w:hAnsi="Arial" w:eastAsia="SimSun" w:cs="Arial"/>
          <w:i w:val="0"/>
          <w:iCs w:val="0"/>
          <w:caps w:val="0"/>
          <w:color w:val="222222"/>
          <w:spacing w:val="0"/>
          <w:sz w:val="22"/>
          <w:szCs w:val="22"/>
          <w:shd w:val="clear" w:fill="FFFFFF"/>
          <w:lang w:val="en-GB"/>
        </w:rPr>
        <w:t xml:space="preserve"> [Accessed 25 April 2022].</w:t>
      </w:r>
    </w:p>
    <w:p>
      <w:pPr>
        <w:spacing w:line="360" w:lineRule="auto"/>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Muscarella, F., 2015. Clinical Psychology, Psychiatry and Homosexuality.</w:t>
      </w:r>
    </w:p>
    <w:p>
      <w:pPr>
        <w:spacing w:line="360" w:lineRule="auto"/>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Narang, T. and Garima, S.M.S., 2016. Psychosexual disorders and dermatologists.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Indian Dermatology Online Journal</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7</w:t>
      </w:r>
      <w:r>
        <w:rPr>
          <w:rFonts w:hint="default" w:ascii="Arial" w:hAnsi="Arial" w:eastAsia="SimSun" w:cs="Arial"/>
          <w:i w:val="0"/>
          <w:iCs w:val="0"/>
          <w:caps w:val="0"/>
          <w:color w:val="222222"/>
          <w:spacing w:val="0"/>
          <w:sz w:val="22"/>
          <w:szCs w:val="22"/>
          <w:shd w:val="clear" w:fill="FFFFFF"/>
        </w:rPr>
        <w:t>(3), p.149.</w:t>
      </w:r>
    </w:p>
    <w:p>
      <w:pPr>
        <w:spacing w:line="360" w:lineRule="auto"/>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Sauerteig, L.D., 2012. Loss of innocence: Albert Moll, Sigmund Freud and the invention of childhood sexuality around 1900.</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Medical History</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56</w:t>
      </w:r>
      <w:r>
        <w:rPr>
          <w:rFonts w:hint="default" w:ascii="Arial" w:hAnsi="Arial" w:eastAsia="SimSun" w:cs="Arial"/>
          <w:i w:val="0"/>
          <w:iCs w:val="0"/>
          <w:caps w:val="0"/>
          <w:color w:val="222222"/>
          <w:spacing w:val="0"/>
          <w:sz w:val="22"/>
          <w:szCs w:val="22"/>
          <w:shd w:val="clear" w:fill="FFFFFF"/>
        </w:rPr>
        <w:t>(2), pp.156-183.</w:t>
      </w:r>
    </w:p>
    <w:p>
      <w:pPr>
        <w:spacing w:line="360" w:lineRule="auto"/>
        <w:jc w:val="both"/>
        <w:rPr>
          <w:rFonts w:hint="default" w:ascii="Arial" w:hAnsi="Arial" w:eastAsia="SimSun" w:cs="Arial"/>
          <w:i w:val="0"/>
          <w:iCs w:val="0"/>
          <w:caps w:val="0"/>
          <w:color w:val="222222"/>
          <w:spacing w:val="0"/>
          <w:sz w:val="22"/>
          <w:szCs w:val="22"/>
          <w:shd w:val="clear" w:fill="FFFFFF"/>
        </w:rPr>
      </w:pPr>
      <w:r>
        <w:rPr>
          <w:rFonts w:hint="default" w:ascii="Arial" w:hAnsi="Arial" w:eastAsia="SimSun" w:cs="Arial"/>
          <w:i w:val="0"/>
          <w:iCs w:val="0"/>
          <w:caps w:val="0"/>
          <w:color w:val="222222"/>
          <w:spacing w:val="0"/>
          <w:sz w:val="22"/>
          <w:szCs w:val="22"/>
          <w:shd w:val="clear" w:fill="FFFFFF"/>
        </w:rPr>
        <w:t>Suri, R., 2016. Psychosexual stages of development among persons with disabilities.</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Research Gate</w:t>
      </w:r>
      <w:r>
        <w:rPr>
          <w:rFonts w:hint="default" w:ascii="Arial" w:hAnsi="Arial" w:eastAsia="SimSun" w:cs="Arial"/>
          <w:i w:val="0"/>
          <w:iCs w:val="0"/>
          <w:caps w:val="0"/>
          <w:color w:val="222222"/>
          <w:spacing w:val="0"/>
          <w:sz w:val="22"/>
          <w:szCs w:val="22"/>
          <w:shd w:val="clear" w:fill="FFFFFF"/>
        </w:rPr>
        <w:t>.</w:t>
      </w:r>
    </w:p>
    <w:p>
      <w:pPr>
        <w:spacing w:line="360" w:lineRule="auto"/>
        <w:jc w:val="both"/>
        <w:rPr>
          <w:rFonts w:hint="default" w:ascii="Arial" w:hAnsi="Arial" w:eastAsia="SimSun" w:cs="Arial"/>
          <w:i w:val="0"/>
          <w:iCs w:val="0"/>
          <w:caps w:val="0"/>
          <w:color w:val="222222"/>
          <w:spacing w:val="0"/>
          <w:sz w:val="22"/>
          <w:szCs w:val="22"/>
          <w:shd w:val="clear" w:fill="FFFFFF"/>
          <w:lang w:val="en-GB"/>
        </w:rPr>
      </w:pPr>
      <w:r>
        <w:rPr>
          <w:rFonts w:hint="default" w:ascii="Arial" w:hAnsi="Arial" w:eastAsia="SimSun" w:cs="Arial"/>
          <w:i w:val="0"/>
          <w:iCs w:val="0"/>
          <w:caps w:val="0"/>
          <w:color w:val="222222"/>
          <w:spacing w:val="0"/>
          <w:sz w:val="22"/>
          <w:szCs w:val="22"/>
          <w:shd w:val="clear" w:fill="FFFFFF"/>
        </w:rPr>
        <w:t>Zukier, H., 1985. Freud and development: The developmental dimensions of psychoanalytic theory.</w:t>
      </w:r>
      <w:r>
        <w:rPr>
          <w:rFonts w:hint="default" w:ascii="Arial" w:hAnsi="Arial" w:eastAsia="SimSun" w:cs="Arial"/>
          <w:i w:val="0"/>
          <w:iCs w:val="0"/>
          <w:caps w:val="0"/>
          <w:color w:val="222222"/>
          <w:spacing w:val="0"/>
          <w:sz w:val="22"/>
          <w:szCs w:val="22"/>
          <w:shd w:val="clear" w:fill="FFFFFF"/>
        </w:rPr>
        <w:t> </w:t>
      </w:r>
      <w:r>
        <w:rPr>
          <w:rFonts w:hint="default" w:ascii="Arial" w:hAnsi="Arial" w:eastAsia="SimSun" w:cs="Arial"/>
          <w:i/>
          <w:iCs/>
          <w:caps w:val="0"/>
          <w:color w:val="222222"/>
          <w:spacing w:val="0"/>
          <w:sz w:val="22"/>
          <w:szCs w:val="22"/>
          <w:shd w:val="clear" w:fill="FFFFFF"/>
        </w:rPr>
        <w:t>Social Research</w:t>
      </w:r>
      <w:r>
        <w:rPr>
          <w:rFonts w:hint="default" w:ascii="Arial" w:hAnsi="Arial" w:eastAsia="SimSun" w:cs="Arial"/>
          <w:i w:val="0"/>
          <w:iCs w:val="0"/>
          <w:caps w:val="0"/>
          <w:color w:val="222222"/>
          <w:spacing w:val="0"/>
          <w:sz w:val="22"/>
          <w:szCs w:val="22"/>
          <w:shd w:val="clear" w:fill="FFFFFF"/>
        </w:rPr>
        <w:t>, pp.3-41.</w:t>
      </w:r>
    </w:p>
    <w:sectPr>
      <w:footerReference r:id="rId4" w:type="default"/>
      <w:pgSz w:w="11906" w:h="16838"/>
      <w:pgMar w:top="1440" w:right="1800" w:bottom="1440" w:left="1800" w:header="720" w:footer="720" w:gutter="0"/>
      <w:pgNumType w:fmt="decimal"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algun Gothic">
    <w:panose1 w:val="020B0503020000020004"/>
    <w:charset w:val="81"/>
    <w:family w:val="auto"/>
    <w:pitch w:val="default"/>
    <w:sig w:usb0="9000002F" w:usb1="29D77CFB" w:usb2="00000012" w:usb3="00000000" w:csb0="00080001"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Georgia Pro Black">
    <w:panose1 w:val="02040A02050405020203"/>
    <w:charset w:val="00"/>
    <w:family w:val="auto"/>
    <w:pitch w:val="default"/>
    <w:sig w:usb0="800002AF" w:usb1="00000003" w:usb2="00000000" w:usb3="00000000" w:csb0="2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7"/>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JLuGUohAgAA&#10;YAQAAA4AAAAAAAAAAQAgAAAAHwEAAGRycy9lMm9Eb2MueG1sUEsFBgAAAAAGAAYAWQEAALIFAAAA&#10;AA==&#10;">
              <v:fill on="f" focussize="0,0"/>
              <v:stroke on="f" weight="0.5pt"/>
              <v:imagedata o:title=""/>
              <o:lock v:ext="edit" aspectratio="f"/>
              <v:textbox inset="0mm,0mm,0mm,0mm" style="mso-fit-shape-to-text:t;">
                <w:txbxContent>
                  <w:p>
                    <w:pPr>
                      <w:pStyle w:val="37"/>
                    </w:pPr>
                    <w:r>
                      <w:fldChar w:fldCharType="begin"/>
                    </w:r>
                    <w:r>
                      <w:instrText xml:space="preserve"> PAGE  \* MERGEFORMAT </w:instrText>
                    </w:r>
                    <w:r>
                      <w:fldChar w:fldCharType="separate"/>
                    </w:r>
                    <w:r>
                      <w:t>I</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1">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2">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3">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4">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5">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6">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7">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8">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9">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420"/>
  <w:hyphenationZone w:val="36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B1D7785"/>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08E8"/>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6A3100A"/>
    <w:rsid w:val="0CF32612"/>
    <w:rsid w:val="154A6964"/>
    <w:rsid w:val="1A4E04AE"/>
    <w:rsid w:val="1B1D7785"/>
    <w:rsid w:val="1F49695D"/>
    <w:rsid w:val="21D365B2"/>
    <w:rsid w:val="29E02CEF"/>
    <w:rsid w:val="2D5A378F"/>
    <w:rsid w:val="2EBF07A5"/>
    <w:rsid w:val="320D4B59"/>
    <w:rsid w:val="33CB000B"/>
    <w:rsid w:val="368C67F4"/>
    <w:rsid w:val="3A7E5A5B"/>
    <w:rsid w:val="3F5832ED"/>
    <w:rsid w:val="42CA0D5B"/>
    <w:rsid w:val="465E55EB"/>
    <w:rsid w:val="46AF2C9E"/>
    <w:rsid w:val="4B3A0BC6"/>
    <w:rsid w:val="4F371833"/>
    <w:rsid w:val="681C79DC"/>
    <w:rsid w:val="6B71165A"/>
    <w:rsid w:val="7377284F"/>
    <w:rsid w:val="771F58FF"/>
    <w:rsid w:val="792B03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qFormat="1" w:unhideWhenUsed="0" w:uiPriority="0" w:semiHidden="0" w:name="index 1"/>
    <w:lsdException w:qFormat="1" w:unhideWhenUsed="0" w:uiPriority="0" w:semiHidden="0" w:name="index 2"/>
    <w:lsdException w:qFormat="1" w:unhideWhenUsed="0" w:uiPriority="0" w:semiHidden="0" w:name="index 3"/>
    <w:lsdException w:qFormat="1" w:unhideWhenUsed="0" w:uiPriority="0" w:semiHidden="0" w:name="index 4"/>
    <w:lsdException w:qFormat="1" w:unhideWhenUsed="0" w:uiPriority="0" w:semiHidden="0" w:name="index 5"/>
    <w:lsdException w:qFormat="1" w:unhideWhenUsed="0" w:uiPriority="0" w:semiHidden="0" w:name="index 6"/>
    <w:lsdException w:qFormat="1" w:unhideWhenUsed="0" w:uiPriority="0" w:semiHidden="0" w:name="index 7"/>
    <w:lsdException w:qFormat="1" w:unhideWhenUsed="0" w:uiPriority="0" w:semiHidden="0" w:name="index 8"/>
    <w:lsdException w:qFormat="1"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qFormat="1" w:unhideWhenUsed="0" w:uiPriority="0" w:semiHidden="0" w:name="Normal Indent"/>
    <w:lsdException w:qFormat="1" w:unhideWhenUsed="0" w:uiPriority="0" w:semiHidden="0" w:name="footnote text"/>
    <w:lsdException w:qFormat="1" w:unhideWhenUsed="0" w:uiPriority="0" w:semiHidden="0" w:name="annotation text"/>
    <w:lsdException w:unhideWhenUsed="0" w:uiPriority="0" w:semiHidden="0" w:name="header"/>
    <w:lsdException w:qFormat="1" w:unhideWhenUsed="0" w:uiPriority="0" w:semiHidden="0" w:name="footer"/>
    <w:lsdException w:qFormat="1" w:unhideWhenUsed="0" w:uiPriority="0" w:semiHidden="0" w:name="index heading"/>
    <w:lsdException w:qFormat="1" w:uiPriority="0" w:name="caption"/>
    <w:lsdException w:qFormat="1" w:unhideWhenUsed="0" w:uiPriority="0" w:semiHidden="0" w:name="table of figures"/>
    <w:lsdException w:qFormat="1" w:unhideWhenUsed="0" w:uiPriority="0" w:semiHidden="0" w:name="envelope address"/>
    <w:lsdException w:qFormat="1" w:unhideWhenUsed="0" w:uiPriority="0" w:semiHidden="0" w:name="envelope return"/>
    <w:lsdException w:qFormat="1" w:unhideWhenUsed="0" w:uiPriority="0" w:semiHidden="0" w:name="footnote reference"/>
    <w:lsdException w:qFormat="1" w:unhideWhenUsed="0" w:uiPriority="0" w:semiHidden="0" w:name="annotation reference"/>
    <w:lsdException w:qFormat="1" w:unhideWhenUsed="0" w:uiPriority="0" w:semiHidden="0" w:name="line number"/>
    <w:lsdException w:qFormat="1" w:unhideWhenUsed="0" w:uiPriority="0" w:semiHidden="0" w:name="page number"/>
    <w:lsdException w:qFormat="1" w:unhideWhenUsed="0" w:uiPriority="0" w:semiHidden="0" w:name="endnote reference"/>
    <w:lsdException w:qFormat="1" w:unhideWhenUsed="0" w:uiPriority="0" w:semiHidden="0" w:name="endnote text"/>
    <w:lsdException w:qFormat="1" w:unhideWhenUsed="0" w:uiPriority="0" w:semiHidden="0" w:name="table of authorities"/>
    <w:lsdException w:qFormat="1" w:unhideWhenUsed="0" w:uiPriority="0" w:semiHidden="0" w:name="macro"/>
    <w:lsdException w:qFormat="1" w:unhideWhenUsed="0" w:uiPriority="0" w:semiHidden="0" w:name="toa heading"/>
    <w:lsdException w:qFormat="1" w:unhideWhenUsed="0" w:uiPriority="0" w:semiHidden="0" w:name="List"/>
    <w:lsdException w:qFormat="1" w:unhideWhenUsed="0" w:uiPriority="0" w:semiHidden="0" w:name="List Bullet"/>
    <w:lsdException w:qFormat="1" w:unhideWhenUsed="0" w:uiPriority="0" w:semiHidden="0" w:name="List Number"/>
    <w:lsdException w:qFormat="1" w:unhideWhenUsed="0" w:uiPriority="0" w:semiHidden="0" w:name="List 2"/>
    <w:lsdException w:qFormat="1" w:unhideWhenUsed="0" w:uiPriority="0" w:semiHidden="0" w:name="List 3"/>
    <w:lsdException w:qFormat="1" w:unhideWhenUsed="0" w:uiPriority="0" w:semiHidden="0" w:name="List 4"/>
    <w:lsdException w:qFormat="1" w:unhideWhenUsed="0" w:uiPriority="0" w:semiHidden="0" w:name="List 5"/>
    <w:lsdException w:qFormat="1" w:unhideWhenUsed="0" w:uiPriority="0" w:semiHidden="0" w:name="List Bullet 2"/>
    <w:lsdException w:qFormat="1" w:unhideWhenUsed="0" w:uiPriority="0" w:semiHidden="0" w:name="List Bullet 3"/>
    <w:lsdException w:qFormat="1" w:unhideWhenUsed="0" w:uiPriority="0" w:semiHidden="0" w:name="List Bullet 4"/>
    <w:lsdException w:qFormat="1" w:unhideWhenUsed="0" w:uiPriority="0" w:semiHidden="0" w:name="List Bullet 5"/>
    <w:lsdException w:qFormat="1" w:unhideWhenUsed="0" w:uiPriority="0" w:semiHidden="0" w:name="List Number 2"/>
    <w:lsdException w:qFormat="1" w:unhideWhenUsed="0" w:uiPriority="0" w:semiHidden="0" w:name="List Number 3"/>
    <w:lsdException w:qFormat="1" w:unhideWhenUsed="0" w:uiPriority="0" w:semiHidden="0" w:name="List Number 4"/>
    <w:lsdException w:qFormat="1" w:unhideWhenUsed="0" w:uiPriority="0" w:semiHidden="0" w:name="List Number 5"/>
    <w:lsdException w:qFormat="1" w:unhideWhenUsed="0" w:uiPriority="0" w:semiHidden="0" w:name="Title"/>
    <w:lsdException w:qFormat="1" w:unhideWhenUsed="0" w:uiPriority="0" w:semiHidden="0" w:name="Closing"/>
    <w:lsdException w:qFormat="1" w:unhideWhenUsed="0" w:uiPriority="0" w:semiHidden="0" w:name="Signature"/>
    <w:lsdException w:qFormat="1" w:unhideWhenUsed="0" w:uiPriority="0" w:name="Default Paragraph Font"/>
    <w:lsdException w:qFormat="1" w:unhideWhenUsed="0" w:uiPriority="0" w:semiHidden="0" w:name="Body Text"/>
    <w:lsdException w:qFormat="1" w:unhideWhenUsed="0" w:uiPriority="0" w:semiHidden="0" w:name="Body Text Indent"/>
    <w:lsdException w:qFormat="1" w:unhideWhenUsed="0" w:uiPriority="0" w:semiHidden="0" w:name="List Continue"/>
    <w:lsdException w:qFormat="1" w:unhideWhenUsed="0" w:uiPriority="0" w:semiHidden="0" w:name="List Continue 2"/>
    <w:lsdException w:qFormat="1" w:unhideWhenUsed="0" w:uiPriority="0" w:semiHidden="0" w:name="List Continue 3"/>
    <w:lsdException w:qFormat="1" w:unhideWhenUsed="0" w:uiPriority="0" w:semiHidden="0" w:name="List Continue 4"/>
    <w:lsdException w:qFormat="1" w:unhideWhenUsed="0" w:uiPriority="0" w:semiHidden="0" w:name="List Continue 5"/>
    <w:lsdException w:qFormat="1" w:unhideWhenUsed="0" w:uiPriority="0" w:semiHidden="0" w:name="Message Header"/>
    <w:lsdException w:qFormat="1" w:unhideWhenUsed="0" w:uiPriority="0" w:semiHidden="0" w:name="Subtitle"/>
    <w:lsdException w:qFormat="1" w:unhideWhenUsed="0" w:uiPriority="0" w:semiHidden="0" w:name="Salutation"/>
    <w:lsdException w:qFormat="1" w:unhideWhenUsed="0" w:uiPriority="0" w:semiHidden="0" w:name="Date"/>
    <w:lsdException w:qFormat="1" w:unhideWhenUsed="0" w:uiPriority="0" w:semiHidden="0" w:name="Body Text First Indent"/>
    <w:lsdException w:qFormat="1" w:unhideWhenUsed="0" w:uiPriority="0" w:semiHidden="0" w:name="Body Text First Indent 2"/>
    <w:lsdException w:qFormat="1" w:unhideWhenUsed="0" w:uiPriority="0" w:semiHidden="0" w:name="Note Heading"/>
    <w:lsdException w:qFormat="1" w:unhideWhenUsed="0" w:uiPriority="0" w:semiHidden="0" w:name="Body Text 2"/>
    <w:lsdException w:qFormat="1" w:unhideWhenUsed="0" w:uiPriority="0" w:semiHidden="0" w:name="Body Text 3"/>
    <w:lsdException w:qFormat="1" w:unhideWhenUsed="0" w:uiPriority="0" w:semiHidden="0" w:name="Body Text Indent 2"/>
    <w:lsdException w:qFormat="1" w:unhideWhenUsed="0" w:uiPriority="0" w:semiHidden="0"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qFormat="1" w:unhideWhenUsed="0" w:uiPriority="0" w:semiHidden="0" w:name="Plain Text"/>
    <w:lsdException w:qFormat="1" w:unhideWhenUsed="0" w:uiPriority="0" w:semiHidden="0" w:name="E-mail Signature"/>
    <w:lsdException w:qFormat="1" w:unhideWhenUsed="0" w:uiPriority="0" w:semiHidden="0" w:name="Normal (Web)"/>
    <w:lsdException w:qFormat="1" w:unhideWhenUsed="0" w:uiPriority="0" w:semiHidden="0" w:name="HTML Acronym"/>
    <w:lsdException w:qFormat="1" w:unhideWhenUsed="0" w:uiPriority="0" w:semiHidden="0" w:name="HTML Address"/>
    <w:lsdException w:qFormat="1" w:unhideWhenUsed="0" w:uiPriority="0" w:semiHidden="0" w:name="HTML Cite"/>
    <w:lsdException w:qFormat="1" w:unhideWhenUsed="0" w:uiPriority="0" w:semiHidden="0" w:name="HTML Code"/>
    <w:lsdException w:qFormat="1" w:unhideWhenUsed="0" w:uiPriority="0" w:semiHidden="0" w:name="HTML Definition"/>
    <w:lsdException w:qFormat="1" w:unhideWhenUsed="0" w:uiPriority="0" w:semiHidden="0" w:name="HTML Keyboard"/>
    <w:lsdException w:qFormat="1" w:unhideWhenUsed="0" w:uiPriority="0" w:semiHidden="0" w:name="HTML Preformatted"/>
    <w:lsdException w:qFormat="1" w:unhideWhenUsed="0" w:uiPriority="0" w:semiHidden="0" w:name="HTML Sample"/>
    <w:lsdException w:qFormat="1" w:unhideWhenUsed="0" w:uiPriority="0" w:semiHidden="0" w:name="HTML Typewriter"/>
    <w:lsdException w:qFormat="1" w:unhideWhenUsed="0" w:uiPriority="0" w:semiHidden="0" w:name="HTML Variable"/>
    <w:lsdException w:qFormat="1" w:unhideWhenUsed="0" w:uiPriority="0" w:name="Normal Table"/>
    <w:lsdException w:qFormat="1" w:unhideWhenUsed="0" w:uiPriority="0" w:semiHidden="0" w:name="annotation subject"/>
    <w:lsdException w:qFormat="1" w:unhideWhenUsed="0" w:uiPriority="0" w:semiHidden="0" w:name="Table Simple 1"/>
    <w:lsdException w:qFormat="1" w:unhideWhenUsed="0" w:uiPriority="0" w:semiHidden="0" w:name="Table Simple 2"/>
    <w:lsdException w:qFormat="1" w:unhideWhenUsed="0" w:uiPriority="0" w:semiHidden="0" w:name="Table Simple 3"/>
    <w:lsdException w:qFormat="1" w:unhideWhenUsed="0" w:uiPriority="0" w:semiHidden="0" w:name="Table Classic 1"/>
    <w:lsdException w:qFormat="1" w:unhideWhenUsed="0" w:uiPriority="0" w:semiHidden="0" w:name="Table Classic 2"/>
    <w:lsdException w:qFormat="1" w:unhideWhenUsed="0" w:uiPriority="0" w:semiHidden="0" w:name="Table Classic 3"/>
    <w:lsdException w:qFormat="1" w:unhideWhenUsed="0" w:uiPriority="0" w:semiHidden="0" w:name="Table Classic 4"/>
    <w:lsdException w:qFormat="1" w:unhideWhenUsed="0" w:uiPriority="0" w:semiHidden="0" w:name="Table Colorful 1"/>
    <w:lsdException w:qFormat="1" w:unhideWhenUsed="0" w:uiPriority="0" w:semiHidden="0" w:name="Table Colorful 2"/>
    <w:lsdException w:qFormat="1" w:unhideWhenUsed="0" w:uiPriority="0" w:semiHidden="0" w:name="Table Colorful 3"/>
    <w:lsdException w:qFormat="1" w:unhideWhenUsed="0" w:uiPriority="0" w:semiHidden="0" w:name="Table Columns 1"/>
    <w:lsdException w:qFormat="1" w:unhideWhenUsed="0" w:uiPriority="0" w:semiHidden="0" w:name="Table Columns 2"/>
    <w:lsdException w:qFormat="1" w:unhideWhenUsed="0" w:uiPriority="0" w:semiHidden="0" w:name="Table Columns 3"/>
    <w:lsdException w:qFormat="1" w:unhideWhenUsed="0" w:uiPriority="0" w:semiHidden="0" w:name="Table Columns 4"/>
    <w:lsdException w:qFormat="1" w:unhideWhenUsed="0" w:uiPriority="0" w:semiHidden="0" w:name="Table Columns 5"/>
    <w:lsdException w:qFormat="1" w:unhideWhenUsed="0" w:uiPriority="0" w:semiHidden="0" w:name="Table Grid 1"/>
    <w:lsdException w:qFormat="1" w:unhideWhenUsed="0" w:uiPriority="0" w:semiHidden="0" w:name="Table Grid 2"/>
    <w:lsdException w:qFormat="1" w:unhideWhenUsed="0" w:uiPriority="0" w:semiHidden="0" w:name="Table Grid 3"/>
    <w:lsdException w:qFormat="1" w:unhideWhenUsed="0" w:uiPriority="0" w:semiHidden="0" w:name="Table Grid 4"/>
    <w:lsdException w:qFormat="1" w:unhideWhenUsed="0" w:uiPriority="0" w:semiHidden="0" w:name="Table Grid 5"/>
    <w:lsdException w:qFormat="1" w:unhideWhenUsed="0" w:uiPriority="0" w:semiHidden="0" w:name="Table Grid 6"/>
    <w:lsdException w:qFormat="1" w:unhideWhenUsed="0" w:uiPriority="0" w:semiHidden="0" w:name="Table Grid 7"/>
    <w:lsdException w:qFormat="1" w:unhideWhenUsed="0" w:uiPriority="0" w:semiHidden="0" w:name="Table Grid 8"/>
    <w:lsdException w:qFormat="1" w:unhideWhenUsed="0" w:uiPriority="0" w:semiHidden="0" w:name="Table List 1"/>
    <w:lsdException w:qFormat="1" w:unhideWhenUsed="0" w:uiPriority="0" w:semiHidden="0" w:name="Table List 2"/>
    <w:lsdException w:qFormat="1" w:unhideWhenUsed="0" w:uiPriority="0" w:semiHidden="0" w:name="Table List 3"/>
    <w:lsdException w:qFormat="1" w:unhideWhenUsed="0" w:uiPriority="0" w:semiHidden="0" w:name="Table List 4"/>
    <w:lsdException w:qFormat="1" w:unhideWhenUsed="0" w:uiPriority="0" w:semiHidden="0" w:name="Table List 5"/>
    <w:lsdException w:qFormat="1" w:unhideWhenUsed="0" w:uiPriority="0" w:semiHidden="0" w:name="Table List 6"/>
    <w:lsdException w:qFormat="1" w:unhideWhenUsed="0" w:uiPriority="0" w:semiHidden="0" w:name="Table List 7"/>
    <w:lsdException w:qFormat="1" w:unhideWhenUsed="0" w:uiPriority="0" w:semiHidden="0" w:name="Table List 8"/>
    <w:lsdException w:qFormat="1" w:unhideWhenUsed="0" w:uiPriority="0" w:semiHidden="0" w:name="Table 3D effects 1"/>
    <w:lsdException w:qFormat="1" w:unhideWhenUsed="0" w:uiPriority="0" w:semiHidden="0" w:name="Table 3D effects 2"/>
    <w:lsdException w:qFormat="1" w:unhideWhenUsed="0" w:uiPriority="0" w:semiHidden="0" w:name="Table 3D effects 3"/>
    <w:lsdException w:qFormat="1" w:unhideWhenUsed="0" w:uiPriority="0" w:semiHidden="0" w:name="Table Contemporary"/>
    <w:lsdException w:qFormat="1" w:unhideWhenUsed="0" w:uiPriority="0" w:semiHidden="0" w:name="Table Elegant"/>
    <w:lsdException w:qFormat="1" w:unhideWhenUsed="0" w:uiPriority="0" w:semiHidden="0" w:name="Table Professional"/>
    <w:lsdException w:qFormat="1" w:unhideWhenUsed="0" w:uiPriority="0" w:semiHidden="0" w:name="Table Subtle 1"/>
    <w:lsdException w:qFormat="1" w:unhideWhenUsed="0" w:uiPriority="0" w:semiHidden="0" w:name="Table Subtle 2"/>
    <w:lsdException w:qFormat="1" w:unhideWhenUsed="0" w:uiPriority="0" w:semiHidden="0" w:name="Table Web 1"/>
    <w:lsdException w:qFormat="1" w:unhideWhenUsed="0" w:uiPriority="0" w:semiHidden="0" w:name="Table Web 2"/>
    <w:lsdException w:qFormat="1" w:unhideWhenUsed="0" w:uiPriority="0" w:semiHidden="0" w:name="Table Web 3"/>
    <w:lsdException w:qFormat="1" w:unhideWhenUsed="0" w:uiPriority="0" w:semiHidden="0" w:name="Balloon Text"/>
    <w:lsdException w:qFormat="1" w:unhideWhenUsed="0" w:uiPriority="0" w:semiHidden="0" w:name="Table Grid"/>
    <w:lsdException w:qFormat="1" w:unhideWhenUsed="0" w:uiPriority="0" w:semiHidden="0" w:name="Table Theme"/>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both"/>
    </w:pPr>
    <w:rPr>
      <w:rFonts w:ascii="Times New Roman" w:hAnsi="Times New Roman" w:eastAsia="Malgun Gothic" w:cstheme="minorBidi"/>
      <w:sz w:val="24"/>
      <w:szCs w:val="24"/>
      <w:lang w:val="en-US" w:eastAsia="zh-CN" w:bidi="ar-SA"/>
    </w:rPr>
  </w:style>
  <w:style w:type="paragraph" w:styleId="2">
    <w:name w:val="heading 1"/>
    <w:basedOn w:val="1"/>
    <w:next w:val="1"/>
    <w:qFormat/>
    <w:uiPriority w:val="0"/>
    <w:pPr>
      <w:keepNext/>
      <w:keepLines/>
      <w:spacing w:line="579" w:lineRule="auto"/>
      <w:jc w:val="center"/>
      <w:outlineLvl w:val="0"/>
    </w:pPr>
    <w:rPr>
      <w:b/>
      <w:bCs/>
      <w:kern w:val="44"/>
      <w:sz w:val="32"/>
      <w:szCs w:val="44"/>
    </w:rPr>
  </w:style>
  <w:style w:type="paragraph" w:styleId="3">
    <w:name w:val="heading 2"/>
    <w:basedOn w:val="1"/>
    <w:next w:val="1"/>
    <w:unhideWhenUsed/>
    <w:qFormat/>
    <w:uiPriority w:val="0"/>
    <w:pPr>
      <w:keepNext/>
      <w:keepLines/>
      <w:spacing w:line="416" w:lineRule="auto"/>
      <w:outlineLvl w:val="1"/>
    </w:pPr>
    <w:rPr>
      <w:b/>
      <w:bCs/>
      <w:sz w:val="28"/>
      <w:szCs w:val="32"/>
    </w:rPr>
  </w:style>
  <w:style w:type="paragraph" w:styleId="4">
    <w:name w:val="heading 3"/>
    <w:basedOn w:val="1"/>
    <w:next w:val="1"/>
    <w:semiHidden/>
    <w:unhideWhenUsed/>
    <w:qFormat/>
    <w:uiPriority w:val="0"/>
    <w:pPr>
      <w:keepNext/>
      <w:keepLines/>
      <w:spacing w:line="416" w:lineRule="auto"/>
      <w:outlineLvl w:val="2"/>
    </w:pPr>
    <w:rPr>
      <w:b/>
      <w:bCs/>
      <w:sz w:val="24"/>
      <w:szCs w:val="32"/>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sz w:val="16"/>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pPr>
      <w:jc w:val="left"/>
    </w:pPr>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jc w:val="left"/>
    </w:pPr>
  </w:style>
  <w:style w:type="paragraph" w:styleId="34">
    <w:name w:val="envelope address"/>
    <w:basedOn w:val="1"/>
    <w:qFormat/>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jc w:val="left"/>
    </w:pPr>
    <w:rPr>
      <w:sz w:val="18"/>
      <w:szCs w:val="18"/>
    </w:rPr>
  </w:style>
  <w:style w:type="paragraph" w:styleId="40">
    <w:name w:val="header"/>
    <w:basedOn w:val="1"/>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sz w:val="20"/>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qFormat/>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basedOn w:val="1"/>
    <w:qFormat/>
    <w:uiPriority w:val="0"/>
    <w:rPr>
      <w:sz w:val="24"/>
      <w:szCs w:val="24"/>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qFormat/>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qFormat/>
    <w:uiPriority w:val="0"/>
    <w:pPr>
      <w:ind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qFormat/>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qFormat/>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qFormat/>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qFormat/>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qFormat/>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249">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Office_11.2.0.11074_F1E327BC-269C-435d-A152-05C5408002CA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2022-04-25T06:29:00Z</dcterms:created>
  <dc:creator>linco</dc:creator>
  <cp:lastModifiedBy>lincoln.innomangwiro</cp:lastModifiedBy>
  <dcterms:modified xsi:type="dcterms:W3CDTF">2022-04-26T08:30:07Z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2057-11.2.0.11074</vt:lpwstr>
  </property>
  <property fmtid="{D5CDD505-2E9C-101B-9397-08002B2CF9AE}" pid="3" name="ICV">
    <vt:lpwstr>4C6B4164DC394F1F91050870BB596505</vt:lpwstr>
  </property>
</Properties>
</file>