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5CBD4" w14:textId="74F7585E" w:rsidR="00136B00" w:rsidRDefault="007D189F">
      <w:r>
        <w:rPr>
          <w:noProof/>
        </w:rPr>
        <w:drawing>
          <wp:inline distT="0" distB="0" distL="0" distR="0" wp14:anchorId="043B01CD" wp14:editId="671C11F8">
            <wp:extent cx="4655820" cy="1920240"/>
            <wp:effectExtent l="0" t="0" r="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655820" cy="1920240"/>
                    </a:xfrm>
                    <a:prstGeom prst="rect">
                      <a:avLst/>
                    </a:prstGeom>
                  </pic:spPr>
                </pic:pic>
              </a:graphicData>
            </a:graphic>
          </wp:inline>
        </w:drawing>
      </w:r>
    </w:p>
    <w:p w14:paraId="461C0A38" w14:textId="77777777" w:rsidR="007D189F" w:rsidRDefault="007D189F"/>
    <w:p w14:paraId="4F0BF53F" w14:textId="18CC4270" w:rsidR="007D189F" w:rsidRDefault="007D189F">
      <w:r>
        <w:t xml:space="preserve"> </w:t>
      </w:r>
    </w:p>
    <w:p w14:paraId="32693A56" w14:textId="77777777" w:rsidR="00193B7B" w:rsidRDefault="00193B7B"/>
    <w:p w14:paraId="50D3DFB2" w14:textId="77777777" w:rsidR="00193B7B" w:rsidRDefault="00193B7B"/>
    <w:p w14:paraId="1A655FA4" w14:textId="77777777" w:rsidR="00193B7B" w:rsidRDefault="00193B7B"/>
    <w:p w14:paraId="727F4583" w14:textId="77777777" w:rsidR="00193B7B" w:rsidRDefault="00193B7B"/>
    <w:p w14:paraId="24A1A94E" w14:textId="77777777" w:rsidR="00193B7B" w:rsidRPr="00013C5D" w:rsidRDefault="00193B7B">
      <w:pPr>
        <w:rPr>
          <w:sz w:val="32"/>
          <w:szCs w:val="32"/>
        </w:rPr>
      </w:pPr>
    </w:p>
    <w:p w14:paraId="334C8296" w14:textId="7037F041" w:rsidR="001C7526" w:rsidRPr="00013C5D" w:rsidRDefault="00FD2A63" w:rsidP="00013C5D">
      <w:pPr>
        <w:spacing w:line="360" w:lineRule="auto"/>
        <w:jc w:val="both"/>
        <w:rPr>
          <w:rFonts w:ascii="Arial" w:hAnsi="Arial" w:cs="Arial"/>
          <w:sz w:val="32"/>
          <w:szCs w:val="32"/>
        </w:rPr>
      </w:pPr>
      <w:r w:rsidRPr="00013C5D">
        <w:rPr>
          <w:rFonts w:ascii="Arial" w:hAnsi="Arial" w:cs="Arial"/>
          <w:sz w:val="32"/>
          <w:szCs w:val="32"/>
        </w:rPr>
        <w:t>Module</w:t>
      </w:r>
      <w:r w:rsidR="00013C5D" w:rsidRPr="00013C5D">
        <w:rPr>
          <w:rFonts w:ascii="Arial" w:hAnsi="Arial" w:cs="Arial"/>
          <w:sz w:val="32"/>
          <w:szCs w:val="32"/>
        </w:rPr>
        <w:t xml:space="preserve"> name</w:t>
      </w:r>
      <w:r w:rsidRPr="00013C5D">
        <w:rPr>
          <w:rFonts w:ascii="Arial" w:hAnsi="Arial" w:cs="Arial"/>
          <w:sz w:val="32"/>
          <w:szCs w:val="32"/>
        </w:rPr>
        <w:t>:</w:t>
      </w:r>
      <w:r w:rsidR="001C7526" w:rsidRPr="00013C5D">
        <w:rPr>
          <w:rFonts w:ascii="Arial" w:eastAsia="Times New Roman" w:hAnsi="Arial" w:cs="Arial"/>
          <w:b/>
          <w:bCs/>
          <w:kern w:val="36"/>
          <w:sz w:val="32"/>
          <w:szCs w:val="32"/>
          <w:lang w:eastAsia="en-GB"/>
          <w14:ligatures w14:val="none"/>
        </w:rPr>
        <w:t xml:space="preserve"> </w:t>
      </w:r>
      <w:r w:rsidR="001C7526" w:rsidRPr="00013C5D">
        <w:rPr>
          <w:rFonts w:ascii="Arial" w:hAnsi="Arial" w:cs="Arial"/>
          <w:sz w:val="32"/>
          <w:szCs w:val="32"/>
        </w:rPr>
        <w:t xml:space="preserve">Changemakers: Creativity </w:t>
      </w:r>
      <w:r w:rsidR="00F37DB0" w:rsidRPr="00013C5D">
        <w:rPr>
          <w:rFonts w:ascii="Arial" w:hAnsi="Arial" w:cs="Arial"/>
          <w:sz w:val="32"/>
          <w:szCs w:val="32"/>
        </w:rPr>
        <w:t>&amp;</w:t>
      </w:r>
      <w:r w:rsidR="001C7526" w:rsidRPr="00013C5D">
        <w:rPr>
          <w:rFonts w:ascii="Arial" w:hAnsi="Arial" w:cs="Arial"/>
          <w:sz w:val="32"/>
          <w:szCs w:val="32"/>
        </w:rPr>
        <w:t xml:space="preserve"> Value Creation </w:t>
      </w:r>
      <w:r w:rsidR="00013C5D" w:rsidRPr="00013C5D">
        <w:rPr>
          <w:rFonts w:ascii="Arial" w:hAnsi="Arial" w:cs="Arial"/>
          <w:sz w:val="32"/>
          <w:szCs w:val="32"/>
        </w:rPr>
        <w:t xml:space="preserve">Module number: </w:t>
      </w:r>
      <w:r w:rsidR="001C7526" w:rsidRPr="00013C5D">
        <w:rPr>
          <w:rFonts w:ascii="Arial" w:hAnsi="Arial" w:cs="Arial"/>
          <w:sz w:val="32"/>
          <w:szCs w:val="32"/>
        </w:rPr>
        <w:t>(BMHP5014_BIRM)</w:t>
      </w:r>
    </w:p>
    <w:p w14:paraId="4D4DAE40" w14:textId="53BA573C" w:rsidR="00FD2A63" w:rsidRPr="00013C5D" w:rsidRDefault="00FD2A63" w:rsidP="00013C5D">
      <w:pPr>
        <w:spacing w:line="360" w:lineRule="auto"/>
        <w:jc w:val="both"/>
        <w:rPr>
          <w:rFonts w:ascii="Arial" w:hAnsi="Arial" w:cs="Arial"/>
          <w:sz w:val="32"/>
          <w:szCs w:val="32"/>
        </w:rPr>
      </w:pPr>
      <w:r w:rsidRPr="00013C5D">
        <w:rPr>
          <w:rFonts w:ascii="Arial" w:hAnsi="Arial" w:cs="Arial"/>
          <w:sz w:val="32"/>
          <w:szCs w:val="32"/>
        </w:rPr>
        <w:t>Student n</w:t>
      </w:r>
      <w:r w:rsidR="009E3133" w:rsidRPr="00013C5D">
        <w:rPr>
          <w:rFonts w:ascii="Arial" w:hAnsi="Arial" w:cs="Arial"/>
          <w:sz w:val="32"/>
          <w:szCs w:val="32"/>
        </w:rPr>
        <w:t>ame: Melania Ciornei</w:t>
      </w:r>
    </w:p>
    <w:p w14:paraId="67375804" w14:textId="6B347B74" w:rsidR="009E3133" w:rsidRPr="00013C5D" w:rsidRDefault="009E3133" w:rsidP="00013C5D">
      <w:pPr>
        <w:spacing w:line="360" w:lineRule="auto"/>
        <w:jc w:val="both"/>
        <w:rPr>
          <w:rFonts w:ascii="Arial" w:hAnsi="Arial" w:cs="Arial"/>
          <w:sz w:val="32"/>
          <w:szCs w:val="32"/>
        </w:rPr>
      </w:pPr>
      <w:r w:rsidRPr="00013C5D">
        <w:rPr>
          <w:rFonts w:ascii="Arial" w:hAnsi="Arial" w:cs="Arial"/>
          <w:sz w:val="32"/>
          <w:szCs w:val="32"/>
        </w:rPr>
        <w:t>Student number: 2329516</w:t>
      </w:r>
    </w:p>
    <w:p w14:paraId="274E932B" w14:textId="5508D3E5" w:rsidR="009E3133" w:rsidRPr="00013C5D" w:rsidRDefault="009E3133" w:rsidP="00013C5D">
      <w:pPr>
        <w:spacing w:line="360" w:lineRule="auto"/>
        <w:jc w:val="both"/>
        <w:rPr>
          <w:rFonts w:ascii="Arial" w:hAnsi="Arial" w:cs="Arial"/>
          <w:sz w:val="32"/>
          <w:szCs w:val="32"/>
        </w:rPr>
      </w:pPr>
      <w:r w:rsidRPr="00013C5D">
        <w:rPr>
          <w:rFonts w:ascii="Arial" w:hAnsi="Arial" w:cs="Arial"/>
          <w:sz w:val="32"/>
          <w:szCs w:val="32"/>
        </w:rPr>
        <w:t xml:space="preserve">Lecturer name: </w:t>
      </w:r>
      <w:proofErr w:type="spellStart"/>
      <w:r w:rsidR="00F47ACA" w:rsidRPr="00013C5D">
        <w:rPr>
          <w:rFonts w:ascii="Arial" w:hAnsi="Arial" w:cs="Arial"/>
          <w:sz w:val="32"/>
          <w:szCs w:val="32"/>
        </w:rPr>
        <w:t>Tsiwani</w:t>
      </w:r>
      <w:proofErr w:type="spellEnd"/>
      <w:r w:rsidR="00F47ACA" w:rsidRPr="00013C5D">
        <w:rPr>
          <w:rFonts w:ascii="Arial" w:hAnsi="Arial" w:cs="Arial"/>
          <w:sz w:val="32"/>
          <w:szCs w:val="32"/>
        </w:rPr>
        <w:t xml:space="preserve"> Khumalo</w:t>
      </w:r>
    </w:p>
    <w:p w14:paraId="74E3BD9D" w14:textId="77777777" w:rsidR="00193B7B" w:rsidRDefault="00193B7B"/>
    <w:p w14:paraId="4F86C84A" w14:textId="77777777" w:rsidR="00193B7B" w:rsidRDefault="00193B7B"/>
    <w:p w14:paraId="2B20E0F1" w14:textId="77777777" w:rsidR="00193B7B" w:rsidRDefault="00193B7B"/>
    <w:p w14:paraId="7F2A7DC1" w14:textId="77777777" w:rsidR="00193B7B" w:rsidRDefault="00193B7B"/>
    <w:p w14:paraId="29EB9E20" w14:textId="2040D29D" w:rsidR="00193B7B" w:rsidRPr="00013C5D" w:rsidRDefault="00013C5D">
      <w:pPr>
        <w:rPr>
          <w:rFonts w:ascii="Arial" w:hAnsi="Arial" w:cs="Arial"/>
          <w:sz w:val="72"/>
          <w:szCs w:val="72"/>
        </w:rPr>
      </w:pPr>
      <w:r w:rsidRPr="00013C5D">
        <w:rPr>
          <w:rFonts w:ascii="Arial" w:hAnsi="Arial" w:cs="Arial"/>
          <w:sz w:val="72"/>
          <w:szCs w:val="72"/>
        </w:rPr>
        <w:t xml:space="preserve">             Portfolio</w:t>
      </w:r>
    </w:p>
    <w:p w14:paraId="4EB34584" w14:textId="77777777" w:rsidR="00193B7B" w:rsidRDefault="00193B7B"/>
    <w:p w14:paraId="6BB25D88" w14:textId="77777777" w:rsidR="00193B7B" w:rsidRDefault="00193B7B"/>
    <w:p w14:paraId="2BC5CB1A" w14:textId="17989981" w:rsidR="00E14D80" w:rsidRPr="00E14D80" w:rsidRDefault="00193B7B" w:rsidP="00193B7B">
      <w:pPr>
        <w:rPr>
          <w:rFonts w:ascii="Arial Nova" w:eastAsia="Arial Nova" w:hAnsi="Arial Nova" w:cs="Arial Nova"/>
          <w:sz w:val="44"/>
          <w:szCs w:val="44"/>
        </w:rPr>
      </w:pPr>
      <w:r w:rsidRPr="021F216E">
        <w:rPr>
          <w:rFonts w:ascii="Arial Nova" w:eastAsia="Arial Nova" w:hAnsi="Arial Nova" w:cs="Arial Nova"/>
          <w:sz w:val="44"/>
          <w:szCs w:val="44"/>
        </w:rPr>
        <w:lastRenderedPageBreak/>
        <w:t>Task 1 – Concept</w:t>
      </w:r>
      <w:r w:rsidR="00FE4B32">
        <w:rPr>
          <w:rFonts w:ascii="Arial Nova" w:eastAsia="Arial Nova" w:hAnsi="Arial Nova" w:cs="Arial Nova"/>
          <w:sz w:val="44"/>
          <w:szCs w:val="44"/>
        </w:rPr>
        <w:t xml:space="preserve"> Creativity</w:t>
      </w:r>
      <w:r w:rsidRPr="021F216E">
        <w:rPr>
          <w:rFonts w:ascii="Arial Nova" w:eastAsia="Arial Nova" w:hAnsi="Arial Nova" w:cs="Arial Nova"/>
          <w:sz w:val="44"/>
          <w:szCs w:val="44"/>
        </w:rPr>
        <w:t xml:space="preserve"> Map</w:t>
      </w:r>
    </w:p>
    <w:p w14:paraId="638F2D5A" w14:textId="77777777" w:rsidR="00193B7B" w:rsidRDefault="00193B7B" w:rsidP="00193B7B">
      <w:pPr>
        <w:rPr>
          <w:noProof/>
        </w:rPr>
      </w:pPr>
    </w:p>
    <w:p w14:paraId="06CBCC63" w14:textId="77777777" w:rsidR="00193B7B" w:rsidRDefault="00193B7B" w:rsidP="00193B7B">
      <w:pPr>
        <w:jc w:val="both"/>
        <w:rPr>
          <w:noProof/>
        </w:rPr>
      </w:pPr>
      <w:r w:rsidRPr="002433E9">
        <w:rPr>
          <w:rFonts w:ascii="Arial" w:hAnsi="Arial" w:cs="Arial"/>
          <w:noProof/>
        </w:rPr>
        <w:drawing>
          <wp:inline distT="0" distB="0" distL="0" distR="0" wp14:anchorId="23070E9C" wp14:editId="247EA391">
            <wp:extent cx="6797040" cy="5867400"/>
            <wp:effectExtent l="0" t="0" r="3810" b="0"/>
            <wp:docPr id="16516306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630650" name=""/>
                    <pic:cNvPicPr/>
                  </pic:nvPicPr>
                  <pic:blipFill>
                    <a:blip r:embed="rId7">
                      <a:extLst>
                        <a:ext uri="{96DAC541-7B7A-43D3-8B79-37D633B846F1}">
                          <asvg:svgBlip xmlns:asvg="http://schemas.microsoft.com/office/drawing/2016/SVG/main" r:embed="rId8"/>
                        </a:ext>
                      </a:extLst>
                    </a:blip>
                    <a:stretch>
                      <a:fillRect/>
                    </a:stretch>
                  </pic:blipFill>
                  <pic:spPr>
                    <a:xfrm>
                      <a:off x="0" y="0"/>
                      <a:ext cx="6797040" cy="5867400"/>
                    </a:xfrm>
                    <a:prstGeom prst="rect">
                      <a:avLst/>
                    </a:prstGeom>
                  </pic:spPr>
                </pic:pic>
              </a:graphicData>
            </a:graphic>
          </wp:inline>
        </w:drawing>
      </w:r>
    </w:p>
    <w:p w14:paraId="02447058" w14:textId="461FF09C" w:rsidR="00BC48D1" w:rsidRP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This concept map illustrates the interrelationship between creativity, value creation, and health and social care improvement. Creativity acts as a key driver of innovation, enabling practitioners to generate meaningful ideas that enhance care quality, patient experience, and system efficiency</w:t>
      </w:r>
      <w:r w:rsidR="001D04F2" w:rsidRPr="001D04F2">
        <w:t xml:space="preserve"> </w:t>
      </w:r>
      <w:r w:rsidR="001D04F2" w:rsidRPr="001D04F2">
        <w:rPr>
          <w:rFonts w:ascii="Arial" w:eastAsia="Arial Nova" w:hAnsi="Arial" w:cs="Arial"/>
          <w:color w:val="000000" w:themeColor="text1"/>
        </w:rPr>
        <w:t>(Boden, 1994; Carlile &amp; Jordan, 2012; Brewster et al., 2021</w:t>
      </w:r>
      <w:r w:rsidR="006548C7">
        <w:rPr>
          <w:rFonts w:ascii="Arial" w:eastAsia="Arial Nova" w:hAnsi="Arial" w:cs="Arial"/>
          <w:color w:val="000000" w:themeColor="text1"/>
        </w:rPr>
        <w:t>).</w:t>
      </w:r>
      <w:r w:rsidRPr="00BC48D1">
        <w:rPr>
          <w:rFonts w:ascii="Arial" w:eastAsia="Arial Nova" w:hAnsi="Arial" w:cs="Arial"/>
          <w:color w:val="000000" w:themeColor="text1"/>
        </w:rPr>
        <w:t xml:space="preserve">The COVID-19 pandemic highlighted this role, as creative thinking supported rapid adaptation in care delivery through telehealth, flexible teams, and innovative resource use (Greenhalgh et al., 2020). Creativity also contributes to wellbeing, with creative activities strengthening mental health, emotional resilience, and social connection among service users and practitioners (Coulton et </w:t>
      </w:r>
      <w:r w:rsidRPr="00BC48D1">
        <w:rPr>
          <w:rFonts w:ascii="Arial" w:eastAsia="Arial Nova" w:hAnsi="Arial" w:cs="Arial"/>
          <w:color w:val="000000" w:themeColor="text1"/>
        </w:rPr>
        <w:lastRenderedPageBreak/>
        <w:t>al., 2015; Zuber, 2018). A creative workplace encourages collaboration, fresh perspectives, and reduced stress, supporting staff morale (Paul et al., 2024).</w:t>
      </w:r>
    </w:p>
    <w:p w14:paraId="16969F23" w14:textId="79B1D9E0" w:rsidR="00BC48D1" w:rsidRP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Motivation underpins creativity and may be intrinsic</w:t>
      </w:r>
      <w:r w:rsidR="00223B95">
        <w:rPr>
          <w:rFonts w:ascii="Arial" w:eastAsia="Arial Nova" w:hAnsi="Arial" w:cs="Arial"/>
          <w:color w:val="000000" w:themeColor="text1"/>
        </w:rPr>
        <w:t xml:space="preserve"> </w:t>
      </w:r>
      <w:r w:rsidRPr="00BC48D1">
        <w:rPr>
          <w:rFonts w:ascii="Arial" w:eastAsia="Arial Nova" w:hAnsi="Arial" w:cs="Arial"/>
          <w:color w:val="000000" w:themeColor="text1"/>
        </w:rPr>
        <w:t>driven by autonomy, mastery, and purpose</w:t>
      </w:r>
      <w:r w:rsidR="00223B95">
        <w:rPr>
          <w:rFonts w:ascii="Arial" w:eastAsia="Arial Nova" w:hAnsi="Arial" w:cs="Arial"/>
          <w:color w:val="000000" w:themeColor="text1"/>
        </w:rPr>
        <w:t xml:space="preserve"> </w:t>
      </w:r>
      <w:r w:rsidRPr="00BC48D1">
        <w:rPr>
          <w:rFonts w:ascii="Arial" w:eastAsia="Arial Nova" w:hAnsi="Arial" w:cs="Arial"/>
          <w:color w:val="000000" w:themeColor="text1"/>
        </w:rPr>
        <w:t>or extrinsic, influenced by rewards and recognition (Ryan and Deci, 2000; Pink, 2009). Intrinsic motivation is particularly effective in sustaining professional engagement and innovation, supporting meaningful contribution to care. Motivated practitioners apply creative problem-solving approaches, such as the Osborn–Parnes model, to turn ideas into evidence-based interventions (Osborn and Parnes, 1967).</w:t>
      </w:r>
    </w:p>
    <w:p w14:paraId="2B63B9EA" w14:textId="77777777" w:rsidR="00BC48D1" w:rsidRDefault="00BC48D1" w:rsidP="00BC48D1">
      <w:pPr>
        <w:spacing w:line="360" w:lineRule="auto"/>
        <w:jc w:val="both"/>
        <w:rPr>
          <w:rFonts w:ascii="Arial" w:eastAsia="Arial Nova" w:hAnsi="Arial" w:cs="Arial"/>
          <w:color w:val="000000" w:themeColor="text1"/>
        </w:rPr>
      </w:pPr>
      <w:r w:rsidRPr="00BC48D1">
        <w:rPr>
          <w:rFonts w:ascii="Arial" w:eastAsia="Arial Nova" w:hAnsi="Arial" w:cs="Arial"/>
          <w:color w:val="000000" w:themeColor="text1"/>
        </w:rPr>
        <w:t>Together, these factors enable value creation across person-centred, equity, and efficiency dimensions (Porter, 2010; Roth et al., 2024), ultimately improving care quality, sustainability, and wellbeing.</w:t>
      </w:r>
    </w:p>
    <w:p w14:paraId="36BEB1D1" w14:textId="77777777" w:rsidR="00193B7B" w:rsidRPr="00A35BFA" w:rsidRDefault="00193B7B" w:rsidP="00193B7B">
      <w:pPr>
        <w:spacing w:line="360" w:lineRule="auto"/>
        <w:jc w:val="both"/>
        <w:rPr>
          <w:rFonts w:ascii="Arial" w:eastAsia="Arial Nova" w:hAnsi="Arial" w:cs="Arial"/>
          <w:color w:val="000000" w:themeColor="text1"/>
        </w:rPr>
      </w:pPr>
    </w:p>
    <w:p w14:paraId="65E1F9BF" w14:textId="360E384A" w:rsidR="005A3346" w:rsidRPr="00F57E9A" w:rsidRDefault="00193B7B" w:rsidP="00193B7B">
      <w:pPr>
        <w:rPr>
          <w:rFonts w:ascii="Arial" w:eastAsia="Arial Nova" w:hAnsi="Arial" w:cs="Arial"/>
          <w:color w:val="000000" w:themeColor="text1"/>
          <w:sz w:val="32"/>
          <w:szCs w:val="32"/>
        </w:rPr>
      </w:pPr>
      <w:r w:rsidRPr="00F57E9A">
        <w:rPr>
          <w:rFonts w:ascii="Arial" w:eastAsia="Arial Nova" w:hAnsi="Arial" w:cs="Arial"/>
          <w:color w:val="000000" w:themeColor="text1"/>
          <w:sz w:val="32"/>
          <w:szCs w:val="32"/>
        </w:rPr>
        <w:t xml:space="preserve">Task 2 </w:t>
      </w:r>
      <w:r w:rsidR="005D4B2A">
        <w:rPr>
          <w:rFonts w:ascii="Arial" w:eastAsia="Arial Nova" w:hAnsi="Arial" w:cs="Arial"/>
          <w:color w:val="000000" w:themeColor="text1"/>
          <w:sz w:val="32"/>
          <w:szCs w:val="32"/>
        </w:rPr>
        <w:t xml:space="preserve">–  </w:t>
      </w:r>
      <w:r w:rsidRPr="00F57E9A">
        <w:rPr>
          <w:rFonts w:ascii="Arial" w:eastAsia="Arial Nova" w:hAnsi="Arial" w:cs="Arial"/>
          <w:color w:val="000000" w:themeColor="text1"/>
          <w:sz w:val="32"/>
          <w:szCs w:val="32"/>
        </w:rPr>
        <w:t xml:space="preserve"> Self-Reflection of Group Activity</w:t>
      </w:r>
    </w:p>
    <w:p w14:paraId="0372111A" w14:textId="6B65EDA8" w:rsidR="001A4A3F" w:rsidRPr="001A4A3F" w:rsidRDefault="00F57E9A" w:rsidP="00013C5D">
      <w:pPr>
        <w:spacing w:line="360" w:lineRule="auto"/>
        <w:rPr>
          <w:rFonts w:ascii="Arial" w:eastAsia="Arial Nova" w:hAnsi="Arial" w:cs="Arial"/>
          <w:color w:val="000000" w:themeColor="text1"/>
        </w:rPr>
      </w:pPr>
      <w:r w:rsidRPr="00013C5D">
        <w:rPr>
          <w:rFonts w:ascii="Arial" w:eastAsia="Arial Nova" w:hAnsi="Arial" w:cs="Arial"/>
          <w:color w:val="000000" w:themeColor="text1"/>
        </w:rPr>
        <w:t>Introduction:</w:t>
      </w:r>
      <w:r w:rsidR="00FC2A50" w:rsidRPr="00013C5D">
        <w:rPr>
          <w:rFonts w:ascii="Arial" w:eastAsia="Arial Nova" w:hAnsi="Arial" w:cs="Arial"/>
          <w:color w:val="000000" w:themeColor="text1"/>
        </w:rPr>
        <w:t xml:space="preserve"> </w:t>
      </w:r>
      <w:r w:rsidR="001A4A3F" w:rsidRPr="001A4A3F">
        <w:rPr>
          <w:rFonts w:ascii="Arial" w:eastAsia="Arial Nova" w:hAnsi="Arial" w:cs="Arial"/>
          <w:color w:val="000000" w:themeColor="text1"/>
        </w:rPr>
        <w:t>Using Gibbs’ Reflective Cycle (1988), this reflection explores my experience in a collaborative Week 2 task where our group was challenged to use ten paperclips to design an innovative object, developing our divergent and convergent thinking skills.</w:t>
      </w:r>
    </w:p>
    <w:p w14:paraId="25532E7A" w14:textId="04976C1B" w:rsidR="001A4A3F" w:rsidRPr="00013C5D" w:rsidRDefault="001A4A3F" w:rsidP="00013C5D">
      <w:pPr>
        <w:spacing w:line="360" w:lineRule="auto"/>
        <w:jc w:val="both"/>
        <w:rPr>
          <w:rFonts w:ascii="Arial" w:eastAsia="Arial Nova" w:hAnsi="Arial" w:cs="Arial"/>
          <w:color w:val="000000" w:themeColor="text1"/>
        </w:rPr>
      </w:pPr>
      <w:r w:rsidRPr="001A4A3F">
        <w:rPr>
          <w:rFonts w:ascii="Arial" w:eastAsia="Arial Nova" w:hAnsi="Arial" w:cs="Arial"/>
          <w:color w:val="000000" w:themeColor="text1"/>
        </w:rPr>
        <w:t>Description:</w:t>
      </w:r>
      <w:r w:rsidR="00FC2A50" w:rsidRPr="00013C5D">
        <w:rPr>
          <w:rFonts w:ascii="Arial" w:eastAsia="Arial Nova" w:hAnsi="Arial" w:cs="Arial"/>
          <w:color w:val="000000" w:themeColor="text1"/>
        </w:rPr>
        <w:t xml:space="preserve"> </w:t>
      </w:r>
      <w:r w:rsidRPr="001A4A3F">
        <w:rPr>
          <w:rFonts w:ascii="Arial" w:eastAsia="Arial Nova" w:hAnsi="Arial" w:cs="Arial"/>
          <w:color w:val="000000" w:themeColor="text1"/>
        </w:rPr>
        <w:t>We began by brainstorming freely to generate as many creative ideas as possible before refining and selecting one concept. Eventually, we decided to create a DNA helix model symbolising a medical clinic researching cancer cures.</w:t>
      </w:r>
    </w:p>
    <w:p w14:paraId="40418666" w14:textId="653E1BAA"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Feelings:</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 xml:space="preserve">At first, I felt hesitant to share my ideas, worrying they might appear </w:t>
      </w:r>
      <w:r w:rsidR="006F78F6" w:rsidRPr="00013C5D">
        <w:rPr>
          <w:rFonts w:ascii="Arial" w:eastAsia="Arial Nova" w:hAnsi="Arial" w:cs="Arial"/>
          <w:color w:val="000000" w:themeColor="text1"/>
        </w:rPr>
        <w:t>simple</w:t>
      </w:r>
      <w:r w:rsidRPr="000A6BFC">
        <w:rPr>
          <w:rFonts w:ascii="Arial" w:eastAsia="Arial Nova" w:hAnsi="Arial" w:cs="Arial"/>
          <w:color w:val="000000" w:themeColor="text1"/>
        </w:rPr>
        <w:t>. This hesitation made me aware of how self-doubt can limit creative contribution. As the group encouraged open discussion, my confidence increased, and I became inspired by the originality of others. The positive, supportive atmosphere demonstrated how psychological safety and encouragement stimulate collaboration and creativity.</w:t>
      </w:r>
    </w:p>
    <w:p w14:paraId="2CCDD6F7" w14:textId="2156FA95"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Evaluation:</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The activity showed that group brainstorming amplifies creativity through diverse perspectives, though limited time prevented deeper exploration of all ideas. I realised that divergent thinking fosters breadth of ideas, while convergent thinking narrows them into realistic outcomes (Rawlings et al., 2025). Our collaboration reflected Pick et al.’s (2024) findings on neural synchronisation, as collective focus improved idea quality. Moreover, metacognitive awareness</w:t>
      </w:r>
      <w:r w:rsidR="00943FB7">
        <w:rPr>
          <w:rFonts w:ascii="Arial" w:eastAsia="Arial Nova" w:hAnsi="Arial" w:cs="Arial"/>
          <w:color w:val="000000" w:themeColor="text1"/>
        </w:rPr>
        <w:t xml:space="preserve"> </w:t>
      </w:r>
      <w:r w:rsidRPr="000A6BFC">
        <w:rPr>
          <w:rFonts w:ascii="Arial" w:eastAsia="Arial Nova" w:hAnsi="Arial" w:cs="Arial"/>
          <w:color w:val="000000" w:themeColor="text1"/>
        </w:rPr>
        <w:t>recognising when to generate or evaluate ideas</w:t>
      </w:r>
      <w:r w:rsidR="00943FB7">
        <w:rPr>
          <w:rFonts w:ascii="Arial" w:eastAsia="Arial Nova" w:hAnsi="Arial" w:cs="Arial"/>
          <w:color w:val="000000" w:themeColor="text1"/>
        </w:rPr>
        <w:t xml:space="preserve">, </w:t>
      </w:r>
      <w:r w:rsidRPr="000A6BFC">
        <w:rPr>
          <w:rFonts w:ascii="Arial" w:eastAsia="Arial Nova" w:hAnsi="Arial" w:cs="Arial"/>
          <w:color w:val="000000" w:themeColor="text1"/>
        </w:rPr>
        <w:t>proved crucial for effective creative thinking (Jiang et al., 2023).</w:t>
      </w:r>
    </w:p>
    <w:p w14:paraId="6FBC8863" w14:textId="053C9AA0" w:rsidR="000A6BFC" w:rsidRPr="000A6BFC" w:rsidRDefault="000A6BFC" w:rsidP="00013C5D">
      <w:pPr>
        <w:spacing w:line="360" w:lineRule="auto"/>
        <w:jc w:val="both"/>
        <w:rPr>
          <w:rFonts w:ascii="Arial" w:eastAsia="Arial Nova" w:hAnsi="Arial" w:cs="Arial"/>
          <w:color w:val="000000" w:themeColor="text1"/>
        </w:rPr>
      </w:pPr>
      <w:r w:rsidRPr="000A6BFC">
        <w:rPr>
          <w:rFonts w:ascii="Arial" w:eastAsia="Arial Nova" w:hAnsi="Arial" w:cs="Arial"/>
          <w:color w:val="000000" w:themeColor="text1"/>
        </w:rPr>
        <w:t>Analysis, Conclusion &amp; Action Plan:</w:t>
      </w:r>
      <w:r w:rsidR="00FC2A50" w:rsidRPr="00013C5D">
        <w:rPr>
          <w:rFonts w:ascii="Arial" w:eastAsia="Arial Nova" w:hAnsi="Arial" w:cs="Arial"/>
          <w:color w:val="000000" w:themeColor="text1"/>
        </w:rPr>
        <w:t xml:space="preserve"> </w:t>
      </w:r>
      <w:r w:rsidRPr="000A6BFC">
        <w:rPr>
          <w:rFonts w:ascii="Arial" w:eastAsia="Arial Nova" w:hAnsi="Arial" w:cs="Arial"/>
          <w:color w:val="000000" w:themeColor="text1"/>
        </w:rPr>
        <w:t xml:space="preserve">Gibbs’ model highlighted how balancing emotional openness and cognitive regulation enhances teamwork. In future projects, I will contribute </w:t>
      </w:r>
      <w:r w:rsidRPr="000A6BFC">
        <w:rPr>
          <w:rFonts w:ascii="Arial" w:eastAsia="Arial Nova" w:hAnsi="Arial" w:cs="Arial"/>
          <w:color w:val="000000" w:themeColor="text1"/>
        </w:rPr>
        <w:lastRenderedPageBreak/>
        <w:t>ideas early, use reflective journaling to assess my thinking patterns, and advocate inclusive idea-sharing stages. Strengthening metacognitive control will help me adapt confidently and collaborate more creatively.</w:t>
      </w:r>
    </w:p>
    <w:p w14:paraId="48F4EBBB" w14:textId="77777777" w:rsidR="00516B2F" w:rsidRDefault="00516B2F" w:rsidP="00193B7B">
      <w:pPr>
        <w:spacing w:line="360" w:lineRule="auto"/>
        <w:jc w:val="both"/>
        <w:rPr>
          <w:rFonts w:ascii="Arial" w:eastAsia="Arial Nova" w:hAnsi="Arial" w:cs="Arial"/>
          <w:color w:val="000000" w:themeColor="text1"/>
        </w:rPr>
      </w:pPr>
    </w:p>
    <w:p w14:paraId="7E6AC696" w14:textId="745B89A6" w:rsidR="00740BDD" w:rsidRPr="00F57E9A" w:rsidRDefault="00193B7B" w:rsidP="00193B7B">
      <w:pPr>
        <w:rPr>
          <w:rFonts w:ascii="Arial" w:eastAsia="Arial Nova" w:hAnsi="Arial" w:cs="Arial"/>
          <w:color w:val="000000" w:themeColor="text1"/>
          <w:sz w:val="32"/>
          <w:szCs w:val="32"/>
        </w:rPr>
      </w:pPr>
      <w:r w:rsidRPr="00F57E9A">
        <w:rPr>
          <w:rFonts w:ascii="Arial" w:eastAsia="Arial Nova" w:hAnsi="Arial" w:cs="Arial"/>
          <w:color w:val="000000" w:themeColor="text1"/>
          <w:sz w:val="32"/>
          <w:szCs w:val="32"/>
        </w:rPr>
        <w:t xml:space="preserve">Task 3 -  </w:t>
      </w:r>
      <w:r w:rsidR="00EE3CE1">
        <w:rPr>
          <w:rFonts w:ascii="Arial" w:eastAsia="Arial Nova" w:hAnsi="Arial" w:cs="Arial"/>
          <w:color w:val="000000" w:themeColor="text1"/>
          <w:sz w:val="32"/>
          <w:szCs w:val="32"/>
        </w:rPr>
        <w:t>NHS at Home</w:t>
      </w:r>
      <w:r w:rsidRPr="00F57E9A">
        <w:rPr>
          <w:rFonts w:ascii="Arial" w:eastAsia="Arial Nova" w:hAnsi="Arial" w:cs="Arial"/>
          <w:color w:val="000000" w:themeColor="text1"/>
          <w:sz w:val="32"/>
          <w:szCs w:val="32"/>
        </w:rPr>
        <w:t xml:space="preserve"> innovation</w:t>
      </w:r>
    </w:p>
    <w:p w14:paraId="24440EF3" w14:textId="108CFB98"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The NHS at Home initiative is a leading example of creative healthcare innovation in the UK. Designed to improve continuity of care and reduce hospital burden, it enables patients</w:t>
      </w:r>
      <w:r w:rsidR="00AF0A7D">
        <w:rPr>
          <w:rFonts w:ascii="Arial" w:eastAsia="Arial Nova" w:hAnsi="Arial" w:cs="Arial"/>
          <w:color w:val="000000" w:themeColor="text1"/>
        </w:rPr>
        <w:t>,</w:t>
      </w:r>
      <w:r w:rsidR="00647B2B">
        <w:rPr>
          <w:rFonts w:ascii="Arial" w:eastAsia="Arial Nova" w:hAnsi="Arial" w:cs="Arial"/>
          <w:color w:val="000000" w:themeColor="text1"/>
        </w:rPr>
        <w:t xml:space="preserve"> </w:t>
      </w:r>
      <w:r w:rsidRPr="00246955">
        <w:rPr>
          <w:rFonts w:ascii="Arial" w:eastAsia="Arial Nova" w:hAnsi="Arial" w:cs="Arial"/>
          <w:color w:val="000000" w:themeColor="text1"/>
        </w:rPr>
        <w:t>particularly those with chronic or post-acute conditions</w:t>
      </w:r>
      <w:r w:rsidR="00647B2B">
        <w:rPr>
          <w:rFonts w:ascii="Arial" w:eastAsia="Arial Nova" w:hAnsi="Arial" w:cs="Arial"/>
          <w:color w:val="000000" w:themeColor="text1"/>
        </w:rPr>
        <w:t xml:space="preserve">, </w:t>
      </w:r>
      <w:r w:rsidRPr="00246955">
        <w:rPr>
          <w:rFonts w:ascii="Arial" w:eastAsia="Arial Nova" w:hAnsi="Arial" w:cs="Arial"/>
          <w:color w:val="000000" w:themeColor="text1"/>
        </w:rPr>
        <w:t>to be remotely monitored in their own homes using digital technologies (Care Quality Commission, 2021). The programme aligns with the NHS Long Term Plan (NHS England, 2019) and the Health and Social Care Act 2012, supporting a shift towards integrated, personalised, and community-based care.</w:t>
      </w:r>
    </w:p>
    <w:p w14:paraId="17E1F407" w14:textId="77777777" w:rsid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Creativity and Innovation in Practice</w:t>
      </w:r>
    </w:p>
    <w:p w14:paraId="61FE3553" w14:textId="525B7B78"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Creativity was central to transforming traditional care pathways. The initiative applied digital tools such as wearable sensors, patient apps, and home-monitoring devices that securely transmit physiological data to clinical teams in real time (Imperial College Healthcare NHS Trust, 2024). Importantly, creativity extended beyond technology design: co-production sessions involved clinicians, digital specialists, and patients, ensuring accessibility for older adults and those with limited digital literacy. This collaborative approach reflected the Care Act 2014’s emphasis on person-centred and equitable support. The model re-imagined clinical roles, demonstrating that technology can enhance compassion rather than replace human care.</w:t>
      </w:r>
    </w:p>
    <w:p w14:paraId="115CB98F" w14:textId="77777777" w:rsid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Cultural and Professional Change</w:t>
      </w:r>
    </w:p>
    <w:p w14:paraId="7050A211" w14:textId="2D47651D"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NHS at Home required cultural adaptation in practice. Patients gained greater confidence, autonomy, and reassurance through active involvement in monitoring their own health. Nursing and allied health professionals adopted digital triage and remote-care coordination roles, supporting the collaborative vision of the Health and Care Act 2022 (UK Government, 2022; Vats, 2024). This represented creativity not only in service design, but in reshaping professional identity, communication, and patient relationships.</w:t>
      </w:r>
    </w:p>
    <w:p w14:paraId="724BC36E" w14:textId="77777777" w:rsidR="00740BDD"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Value Creation and Impact</w:t>
      </w:r>
    </w:p>
    <w:p w14:paraId="60665C1C" w14:textId="7BE0989D" w:rsidR="00246955" w:rsidRPr="00246955" w:rsidRDefault="00246955" w:rsidP="00246955">
      <w:pPr>
        <w:spacing w:line="360" w:lineRule="auto"/>
        <w:jc w:val="both"/>
        <w:rPr>
          <w:rFonts w:ascii="Arial" w:eastAsia="Arial Nova" w:hAnsi="Arial" w:cs="Arial"/>
          <w:color w:val="000000" w:themeColor="text1"/>
        </w:rPr>
      </w:pPr>
      <w:r w:rsidRPr="00246955">
        <w:rPr>
          <w:rFonts w:ascii="Arial" w:eastAsia="Arial Nova" w:hAnsi="Arial" w:cs="Arial"/>
          <w:color w:val="000000" w:themeColor="text1"/>
        </w:rPr>
        <w:t xml:space="preserve">Early evaluation shows reduced readmissions for cardiac patients, faster intervention for deteriorating conditions, and increased patient satisfaction (Imperial College Healthcare NHS Trust, 2024). For patients, benefits include empowerment, convenience, and enhanced safety. For the NHS, the initiative has created value through efficiency gains, workforce flexibility, and </w:t>
      </w:r>
      <w:r w:rsidRPr="00246955">
        <w:rPr>
          <w:rFonts w:ascii="Arial" w:eastAsia="Arial Nova" w:hAnsi="Arial" w:cs="Arial"/>
          <w:color w:val="000000" w:themeColor="text1"/>
        </w:rPr>
        <w:lastRenderedPageBreak/>
        <w:t>improved resource use. The programme adheres to the Data Protection Act 2018, ensuring ethical and secure handling of patient data. However, digital exclusion remains a barrier, indicating ongoing need for digital support and inclusive design (MIND, 2021).</w:t>
      </w:r>
    </w:p>
    <w:p w14:paraId="51E89AC7" w14:textId="13DE4D42" w:rsidR="00246955" w:rsidRPr="00246955" w:rsidRDefault="005D4B2A" w:rsidP="00246955">
      <w:pPr>
        <w:spacing w:line="360" w:lineRule="auto"/>
        <w:jc w:val="both"/>
        <w:rPr>
          <w:rFonts w:ascii="Arial" w:eastAsia="Arial Nova" w:hAnsi="Arial" w:cs="Arial"/>
          <w:color w:val="000000" w:themeColor="text1"/>
        </w:rPr>
      </w:pPr>
      <w:r>
        <w:rPr>
          <w:rFonts w:ascii="Arial" w:eastAsia="Arial Nova" w:hAnsi="Arial" w:cs="Arial"/>
          <w:color w:val="000000" w:themeColor="text1"/>
        </w:rPr>
        <w:t xml:space="preserve">In conclusion, </w:t>
      </w:r>
      <w:r w:rsidR="00246955" w:rsidRPr="00246955">
        <w:rPr>
          <w:rFonts w:ascii="Arial" w:eastAsia="Arial Nova" w:hAnsi="Arial" w:cs="Arial"/>
          <w:color w:val="000000" w:themeColor="text1"/>
        </w:rPr>
        <w:t>NHS at Home demonstrates how creative thinking, co-design, and policy alignment can transform care delivery. By blending technology with person-centred practice and professional innovation, it generates measurable value for patients and providers while promoting sustainable, equitable healthcare across the UK.</w:t>
      </w:r>
    </w:p>
    <w:p w14:paraId="1BBECEA6" w14:textId="77777777" w:rsidR="00BC605D" w:rsidRDefault="00BC605D" w:rsidP="00193B7B">
      <w:pPr>
        <w:rPr>
          <w:rFonts w:ascii="Arial" w:eastAsia="Arial Nova" w:hAnsi="Arial" w:cs="Arial"/>
          <w:color w:val="000000" w:themeColor="text1"/>
        </w:rPr>
      </w:pPr>
    </w:p>
    <w:p w14:paraId="3B806322" w14:textId="24ABD3DB" w:rsidR="003E1E18" w:rsidRPr="003E1E18" w:rsidRDefault="00193B7B" w:rsidP="003E1E18">
      <w:pPr>
        <w:rPr>
          <w:rFonts w:ascii="Arial" w:eastAsia="Arial Nova" w:hAnsi="Arial" w:cs="Arial"/>
          <w:color w:val="000000" w:themeColor="text1"/>
          <w:sz w:val="28"/>
          <w:szCs w:val="28"/>
        </w:rPr>
      </w:pPr>
      <w:r w:rsidRPr="00F57E9A">
        <w:rPr>
          <w:rFonts w:ascii="Arial" w:eastAsia="Arial Nova" w:hAnsi="Arial" w:cs="Arial"/>
          <w:color w:val="000000" w:themeColor="text1"/>
          <w:sz w:val="28"/>
          <w:szCs w:val="28"/>
        </w:rPr>
        <w:t>Task 4 - Research Task</w:t>
      </w:r>
      <w:r w:rsidR="003E1E18">
        <w:rPr>
          <w:rFonts w:ascii="Arial" w:eastAsia="Arial Nova" w:hAnsi="Arial" w:cs="Arial"/>
          <w:color w:val="000000" w:themeColor="text1"/>
          <w:sz w:val="28"/>
          <w:szCs w:val="28"/>
        </w:rPr>
        <w:t xml:space="preserve"> </w:t>
      </w:r>
      <w:r w:rsidR="00310B5C">
        <w:rPr>
          <w:rFonts w:ascii="Arial" w:eastAsia="Arial Nova" w:hAnsi="Arial" w:cs="Arial"/>
          <w:color w:val="000000" w:themeColor="text1"/>
          <w:sz w:val="28"/>
          <w:szCs w:val="28"/>
        </w:rPr>
        <w:t>:</w:t>
      </w:r>
      <w:r w:rsidR="003E1E18" w:rsidRPr="00310B5C">
        <w:rPr>
          <w:rFonts w:ascii="Arial" w:eastAsia="Arial Nova" w:hAnsi="Arial" w:cs="Arial"/>
          <w:sz w:val="28"/>
          <w:szCs w:val="28"/>
        </w:rPr>
        <w:t xml:space="preserve">Poor oral health among children </w:t>
      </w:r>
    </w:p>
    <w:p w14:paraId="086D8490" w14:textId="26AB655B" w:rsidR="004804E2" w:rsidRPr="00053CB2" w:rsidRDefault="004804E2" w:rsidP="004804E2">
      <w:pPr>
        <w:spacing w:line="360" w:lineRule="auto"/>
        <w:jc w:val="both"/>
        <w:rPr>
          <w:rFonts w:ascii="Arial" w:eastAsia="Arial Nova" w:hAnsi="Arial" w:cs="Arial"/>
          <w:sz w:val="24"/>
          <w:szCs w:val="24"/>
        </w:rPr>
      </w:pPr>
      <w:r w:rsidRPr="00053CB2">
        <w:rPr>
          <w:rFonts w:ascii="Arial" w:eastAsia="Arial Nova" w:hAnsi="Arial" w:cs="Arial"/>
          <w:sz w:val="24"/>
          <w:szCs w:val="24"/>
        </w:rPr>
        <w:t>The Smile4Life Case Study</w:t>
      </w:r>
    </w:p>
    <w:p w14:paraId="6C834D3E" w14:textId="7ED031A4"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Poor oral health among children remains a major public health challenge in the UK, particularly in deprived areas such as Lancashire and Cumbria. The Smile4Life programme was developed to address this issue through prevention, education, and workforce training. National policy, including the NHS Long Term Plan (2019), emphasises preventive, community-based approaches</w:t>
      </w:r>
      <w:r w:rsidR="004129D7">
        <w:rPr>
          <w:rFonts w:ascii="Arial" w:eastAsia="Arial Nova" w:hAnsi="Arial" w:cs="Arial"/>
        </w:rPr>
        <w:t xml:space="preserve"> </w:t>
      </w:r>
      <w:r w:rsidRPr="004804E2">
        <w:rPr>
          <w:rFonts w:ascii="Arial" w:eastAsia="Arial Nova" w:hAnsi="Arial" w:cs="Arial"/>
        </w:rPr>
        <w:t>making Smile4Life an example of innovation aligned with national priorities. Academic research identifies social, behavioural, and systemic factors as the main causes of childhood oral health inequalities.</w:t>
      </w:r>
    </w:p>
    <w:p w14:paraId="7CE425E7"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Article 1 – Pine et al. (2016)</w:t>
      </w:r>
    </w:p>
    <w:p w14:paraId="043747ED" w14:textId="578F11D1"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Pine and colleagues (2016) found that socioeconomic deprivation strongly predicts poor oral health outcomes in children. Families living in low-income areas are less likely to access dental services, maintain healthy diets, or afford fluoride toothpaste. Limited parental knowledge and restricted access to local NHS practices contribute to persistent decay. The study argues that behaviour-only interventions are insufficient; effective solutions must be community-based and system-wide, addressing education, environment, and service access—principles central to Smile4Life’s design.</w:t>
      </w:r>
    </w:p>
    <w:p w14:paraId="02A579C6" w14:textId="77777777"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Article 2 – Watt and Sheiham (2012)</w:t>
      </w:r>
    </w:p>
    <w:p w14:paraId="57CF0113" w14:textId="213D5169"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Watt and Sheiham (2012) explain that oral health inequalities reflect wider social determinants such as poverty, housing, and policy neglect. They propose integrating oral health promotion into broader public health and early-years strategies. This aligns with Smile4Life’s multi-agency model, which embeds oral health messages within schools, nurseries, and family services, ensuring sustained behaviour change.</w:t>
      </w:r>
    </w:p>
    <w:p w14:paraId="4970D37A" w14:textId="3549051D" w:rsidR="004804E2" w:rsidRPr="004804E2" w:rsidRDefault="004804E2" w:rsidP="004804E2">
      <w:pPr>
        <w:spacing w:line="360" w:lineRule="auto"/>
        <w:jc w:val="both"/>
        <w:rPr>
          <w:rFonts w:ascii="Arial" w:eastAsia="Arial Nova" w:hAnsi="Arial" w:cs="Arial"/>
        </w:rPr>
      </w:pPr>
      <w:r w:rsidRPr="004804E2">
        <w:rPr>
          <w:rFonts w:ascii="Arial" w:eastAsia="Arial Nova" w:hAnsi="Arial" w:cs="Arial"/>
        </w:rPr>
        <w:t xml:space="preserve">While Smile4Life demonstrates positive community engagement, its long-term success depends on continued funding, staff training, and cross-sector commitment. Overall, these </w:t>
      </w:r>
      <w:r w:rsidRPr="004804E2">
        <w:rPr>
          <w:rFonts w:ascii="Arial" w:eastAsia="Arial Nova" w:hAnsi="Arial" w:cs="Arial"/>
        </w:rPr>
        <w:lastRenderedPageBreak/>
        <w:t>studies show that poor oral health in children arises from structural inequality, highlighting the need for integrated, evidence-based prevention programmes like Smile4Life</w:t>
      </w:r>
      <w:r w:rsidR="00541BA5">
        <w:rPr>
          <w:rFonts w:ascii="Arial" w:eastAsia="Arial Nova" w:hAnsi="Arial" w:cs="Arial"/>
        </w:rPr>
        <w:t>.</w:t>
      </w:r>
    </w:p>
    <w:p w14:paraId="26CEDBD1" w14:textId="18D210F8" w:rsidR="00193B7B" w:rsidRDefault="00193B7B" w:rsidP="004804E2">
      <w:pPr>
        <w:spacing w:line="360" w:lineRule="auto"/>
        <w:jc w:val="both"/>
        <w:rPr>
          <w:rFonts w:ascii="Arial Nova" w:eastAsia="Arial Nova" w:hAnsi="Arial Nova" w:cs="Arial Nova"/>
          <w:i/>
          <w:iCs/>
          <w:color w:val="000000" w:themeColor="text1"/>
        </w:rPr>
      </w:pPr>
    </w:p>
    <w:p w14:paraId="5E6CA60D" w14:textId="2F33EDA6" w:rsidR="00193B7B" w:rsidRPr="00013C5D" w:rsidRDefault="00193B7B" w:rsidP="00013C5D">
      <w:pPr>
        <w:spacing w:line="360" w:lineRule="auto"/>
        <w:jc w:val="both"/>
        <w:rPr>
          <w:rFonts w:ascii="Arial" w:eastAsia="Arial Nova" w:hAnsi="Arial" w:cs="Arial"/>
          <w:color w:val="000000" w:themeColor="text1"/>
          <w:sz w:val="28"/>
          <w:szCs w:val="28"/>
        </w:rPr>
      </w:pPr>
      <w:r w:rsidRPr="00013C5D">
        <w:rPr>
          <w:rFonts w:ascii="Arial" w:eastAsia="Arial Nova" w:hAnsi="Arial" w:cs="Arial"/>
          <w:color w:val="000000" w:themeColor="text1"/>
          <w:sz w:val="28"/>
          <w:szCs w:val="28"/>
        </w:rPr>
        <w:t xml:space="preserve">Task 5 </w:t>
      </w:r>
      <w:r w:rsidR="007914E1">
        <w:rPr>
          <w:rFonts w:ascii="Arial" w:eastAsia="Arial Nova" w:hAnsi="Arial" w:cs="Arial"/>
          <w:color w:val="000000" w:themeColor="text1"/>
          <w:sz w:val="28"/>
          <w:szCs w:val="28"/>
        </w:rPr>
        <w:t>– Smile4life</w:t>
      </w:r>
      <w:r w:rsidRPr="00013C5D">
        <w:rPr>
          <w:rFonts w:ascii="Arial" w:eastAsia="Arial Nova" w:hAnsi="Arial" w:cs="Arial"/>
          <w:color w:val="000000" w:themeColor="text1"/>
          <w:sz w:val="28"/>
          <w:szCs w:val="28"/>
        </w:rPr>
        <w:t xml:space="preserve"> Podcast</w:t>
      </w:r>
      <w:r w:rsidR="00B72604">
        <w:rPr>
          <w:rFonts w:ascii="Arial" w:eastAsia="Arial Nova" w:hAnsi="Arial" w:cs="Arial"/>
          <w:color w:val="000000" w:themeColor="text1"/>
          <w:sz w:val="28"/>
          <w:szCs w:val="28"/>
        </w:rPr>
        <w:t xml:space="preserve"> </w:t>
      </w:r>
    </w:p>
    <w:p w14:paraId="2B37E538" w14:textId="6CF431C8" w:rsidR="00193B7B" w:rsidRDefault="00F771FD" w:rsidP="00013C5D">
      <w:pPr>
        <w:spacing w:line="360" w:lineRule="auto"/>
        <w:jc w:val="both"/>
      </w:pPr>
      <w:r>
        <w:object w:dxaOrig="1200" w:dyaOrig="816" w14:anchorId="50060F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0pt;height:42pt" o:ole="">
            <v:imagedata r:id="rId9" o:title=""/>
          </v:shape>
          <o:OLEObject Type="Embed" ProgID="Package" ShapeID="_x0000_i1025" DrawAspect="Content" ObjectID="_1824753664" r:id="rId10"/>
        </w:object>
      </w:r>
    </w:p>
    <w:p w14:paraId="5AC52FB7" w14:textId="77777777" w:rsidR="00477EF0" w:rsidRPr="00013C5D" w:rsidRDefault="00477EF0" w:rsidP="00013C5D">
      <w:pPr>
        <w:spacing w:line="360" w:lineRule="auto"/>
        <w:jc w:val="both"/>
        <w:rPr>
          <w:rFonts w:ascii="Arial" w:eastAsia="Arial Nova" w:hAnsi="Arial" w:cs="Arial"/>
          <w:i/>
          <w:iCs/>
        </w:rPr>
      </w:pPr>
    </w:p>
    <w:p w14:paraId="75460559" w14:textId="47D7D8E2" w:rsidR="00193B7B" w:rsidRPr="00477EF0" w:rsidRDefault="00193B7B" w:rsidP="003E2C01">
      <w:pPr>
        <w:spacing w:line="360" w:lineRule="auto"/>
        <w:jc w:val="both"/>
        <w:rPr>
          <w:rFonts w:ascii="Arial" w:eastAsia="Arial Nova" w:hAnsi="Arial" w:cs="Arial"/>
          <w:color w:val="000000" w:themeColor="text1"/>
          <w:sz w:val="28"/>
          <w:szCs w:val="28"/>
        </w:rPr>
      </w:pPr>
      <w:r w:rsidRPr="003E2C01">
        <w:rPr>
          <w:rFonts w:ascii="Arial" w:eastAsia="Arial Nova" w:hAnsi="Arial" w:cs="Arial"/>
          <w:color w:val="000000" w:themeColor="text1"/>
          <w:sz w:val="28"/>
          <w:szCs w:val="28"/>
        </w:rPr>
        <w:t>Task 6 - NHS Leadership Framework Analysis</w:t>
      </w:r>
      <w:r w:rsidR="00F02605">
        <w:rPr>
          <w:rFonts w:ascii="Arial" w:eastAsia="Arial Nova" w:hAnsi="Arial" w:cs="Arial"/>
          <w:color w:val="000000" w:themeColor="text1"/>
          <w:sz w:val="28"/>
          <w:szCs w:val="28"/>
        </w:rPr>
        <w:t xml:space="preserve"> </w:t>
      </w:r>
    </w:p>
    <w:p w14:paraId="0AD1F81D" w14:textId="3CDF8B36" w:rsidR="00FA7429" w:rsidRPr="003E2C01" w:rsidRDefault="00AB2805" w:rsidP="00AB2805">
      <w:pPr>
        <w:spacing w:line="360" w:lineRule="auto"/>
        <w:jc w:val="both"/>
        <w:rPr>
          <w:rFonts w:ascii="Arial" w:eastAsia="Arial Nova" w:hAnsi="Arial" w:cs="Arial"/>
          <w:color w:val="000000" w:themeColor="text1"/>
        </w:rPr>
      </w:pPr>
      <w:r w:rsidRPr="00AB2805">
        <w:rPr>
          <w:rFonts w:ascii="Arial" w:eastAsia="Arial Nova" w:hAnsi="Arial" w:cs="Arial"/>
          <w:color w:val="000000" w:themeColor="text1"/>
        </w:rPr>
        <w:t xml:space="preserve">The NHS Leadership Framework (NHS Leadership Academy, 2011) describes the core behaviours and competencies expected across all professional groups in the NHS, emphasising that leadership is not limited to senior posts but shared throughout the workforce. Its purpose is to support compassionate, effective, and improvement-focused leaders who contribute to safe, high-quality, and person-centred care, reflecting values in the NHS Constitution (Department of Health &amp; Social Care, 2021). The framework includes seven interconnected domains. Demonstrating </w:t>
      </w:r>
      <w:r w:rsidR="002034D7">
        <w:rPr>
          <w:rFonts w:ascii="Arial" w:eastAsia="Arial Nova" w:hAnsi="Arial" w:cs="Arial"/>
          <w:color w:val="000000" w:themeColor="text1"/>
        </w:rPr>
        <w:t>p</w:t>
      </w:r>
      <w:r w:rsidRPr="00AB2805">
        <w:rPr>
          <w:rFonts w:ascii="Arial" w:eastAsia="Arial Nova" w:hAnsi="Arial" w:cs="Arial"/>
          <w:color w:val="000000" w:themeColor="text1"/>
        </w:rPr>
        <w:t xml:space="preserve">ersonal </w:t>
      </w:r>
      <w:r w:rsidR="002034D7">
        <w:rPr>
          <w:rFonts w:ascii="Arial" w:eastAsia="Arial Nova" w:hAnsi="Arial" w:cs="Arial"/>
          <w:color w:val="000000" w:themeColor="text1"/>
        </w:rPr>
        <w:t>q</w:t>
      </w:r>
      <w:r w:rsidRPr="00AB2805">
        <w:rPr>
          <w:rFonts w:ascii="Arial" w:eastAsia="Arial Nova" w:hAnsi="Arial" w:cs="Arial"/>
          <w:color w:val="000000" w:themeColor="text1"/>
        </w:rPr>
        <w:t xml:space="preserve">ualities focuses on self-awareness, emotional intelligence, integrity, and resilience. Working with </w:t>
      </w:r>
      <w:r w:rsidR="002034D7">
        <w:rPr>
          <w:rFonts w:ascii="Arial" w:eastAsia="Arial Nova" w:hAnsi="Arial" w:cs="Arial"/>
          <w:color w:val="000000" w:themeColor="text1"/>
        </w:rPr>
        <w:t>o</w:t>
      </w:r>
      <w:r w:rsidRPr="00AB2805">
        <w:rPr>
          <w:rFonts w:ascii="Arial" w:eastAsia="Arial Nova" w:hAnsi="Arial" w:cs="Arial"/>
          <w:color w:val="000000" w:themeColor="text1"/>
        </w:rPr>
        <w:t xml:space="preserve">thers highlights effective communication, collaboration, and valuing diverse contributions. Managing </w:t>
      </w:r>
      <w:r w:rsidR="002034D7">
        <w:rPr>
          <w:rFonts w:ascii="Arial" w:eastAsia="Arial Nova" w:hAnsi="Arial" w:cs="Arial"/>
          <w:color w:val="000000" w:themeColor="text1"/>
        </w:rPr>
        <w:t>s</w:t>
      </w:r>
      <w:r w:rsidRPr="00AB2805">
        <w:rPr>
          <w:rFonts w:ascii="Arial" w:eastAsia="Arial Nova" w:hAnsi="Arial" w:cs="Arial"/>
          <w:color w:val="000000" w:themeColor="text1"/>
        </w:rPr>
        <w:t xml:space="preserve">ervices involves prioritising, organising resources, and ensuring efficient and equitable delivery. Improving </w:t>
      </w:r>
      <w:r w:rsidR="002034D7">
        <w:rPr>
          <w:rFonts w:ascii="Arial" w:eastAsia="Arial Nova" w:hAnsi="Arial" w:cs="Arial"/>
          <w:color w:val="000000" w:themeColor="text1"/>
        </w:rPr>
        <w:t>s</w:t>
      </w:r>
      <w:r w:rsidRPr="00AB2805">
        <w:rPr>
          <w:rFonts w:ascii="Arial" w:eastAsia="Arial Nova" w:hAnsi="Arial" w:cs="Arial"/>
          <w:color w:val="000000" w:themeColor="text1"/>
        </w:rPr>
        <w:t xml:space="preserve">ervices promotes innovation, reflective practice, and quality-improvement approaches. Setting </w:t>
      </w:r>
      <w:r w:rsidR="002034D7">
        <w:rPr>
          <w:rFonts w:ascii="Arial" w:eastAsia="Arial Nova" w:hAnsi="Arial" w:cs="Arial"/>
          <w:color w:val="000000" w:themeColor="text1"/>
        </w:rPr>
        <w:t>d</w:t>
      </w:r>
      <w:r w:rsidRPr="00AB2805">
        <w:rPr>
          <w:rFonts w:ascii="Arial" w:eastAsia="Arial Nova" w:hAnsi="Arial" w:cs="Arial"/>
          <w:color w:val="000000" w:themeColor="text1"/>
        </w:rPr>
        <w:t xml:space="preserve">irection requires analysing evidence, anticipating change, and aligning actions with strategic aims. Creating the </w:t>
      </w:r>
      <w:r w:rsidR="002034D7">
        <w:rPr>
          <w:rFonts w:ascii="Arial" w:eastAsia="Arial Nova" w:hAnsi="Arial" w:cs="Arial"/>
          <w:color w:val="000000" w:themeColor="text1"/>
        </w:rPr>
        <w:t>v</w:t>
      </w:r>
      <w:r w:rsidRPr="00AB2805">
        <w:rPr>
          <w:rFonts w:ascii="Arial" w:eastAsia="Arial Nova" w:hAnsi="Arial" w:cs="Arial"/>
          <w:color w:val="000000" w:themeColor="text1"/>
        </w:rPr>
        <w:t xml:space="preserve">ision emphasises inspiring others through a clear, values-driven vision, and </w:t>
      </w:r>
      <w:r w:rsidR="002034D7">
        <w:rPr>
          <w:rFonts w:ascii="Arial" w:eastAsia="Arial Nova" w:hAnsi="Arial" w:cs="Arial"/>
          <w:color w:val="000000" w:themeColor="text1"/>
        </w:rPr>
        <w:t>d</w:t>
      </w:r>
      <w:r w:rsidRPr="00AB2805">
        <w:rPr>
          <w:rFonts w:ascii="Arial" w:eastAsia="Arial Nova" w:hAnsi="Arial" w:cs="Arial"/>
          <w:color w:val="000000" w:themeColor="text1"/>
        </w:rPr>
        <w:t xml:space="preserve">elivering the </w:t>
      </w:r>
      <w:r w:rsidR="002034D7">
        <w:rPr>
          <w:rFonts w:ascii="Arial" w:eastAsia="Arial Nova" w:hAnsi="Arial" w:cs="Arial"/>
          <w:color w:val="000000" w:themeColor="text1"/>
        </w:rPr>
        <w:t>s</w:t>
      </w:r>
      <w:r w:rsidRPr="00AB2805">
        <w:rPr>
          <w:rFonts w:ascii="Arial" w:eastAsia="Arial Nova" w:hAnsi="Arial" w:cs="Arial"/>
          <w:color w:val="000000" w:themeColor="text1"/>
        </w:rPr>
        <w:t>trategy relates to planning, evaluating outcomes, and sustaining improvements. This approach aligns with compassionate and collective leadership principles, which are linked to staff wellbeing and improved outcomes (West et al., 2017; The King's Fund, 2022). Overall, the framework underpins modern NHS leadership expectations and supports the ambitions of the NHS Long Term Plan (NHS England, 2019).</w:t>
      </w:r>
    </w:p>
    <w:p w14:paraId="64AB91B7" w14:textId="78B839B5" w:rsidR="00FA7429" w:rsidRPr="00310B5C" w:rsidRDefault="007E7BAB" w:rsidP="00FA7429">
      <w:pPr>
        <w:spacing w:line="360" w:lineRule="auto"/>
        <w:jc w:val="both"/>
        <w:rPr>
          <w:rFonts w:ascii="Arial" w:eastAsia="Arial Nova" w:hAnsi="Arial" w:cs="Arial"/>
          <w:color w:val="000000" w:themeColor="text1"/>
        </w:rPr>
      </w:pPr>
      <w:r w:rsidRPr="00310B5C">
        <w:rPr>
          <w:rFonts w:ascii="Arial" w:eastAsia="Arial Nova" w:hAnsi="Arial" w:cs="Arial"/>
          <w:color w:val="000000" w:themeColor="text1"/>
        </w:rPr>
        <w:t>How Leaders Can Foster Creativity to Enhance Care in the NHS</w:t>
      </w:r>
      <w:r w:rsidR="00310B5C">
        <w:rPr>
          <w:rFonts w:ascii="Arial" w:eastAsia="Arial Nova" w:hAnsi="Arial" w:cs="Arial"/>
          <w:color w:val="000000" w:themeColor="text1"/>
        </w:rPr>
        <w:t>?</w:t>
      </w:r>
    </w:p>
    <w:p w14:paraId="4FFB9354" w14:textId="36249B3D" w:rsidR="00FA7429" w:rsidRDefault="001614E0" w:rsidP="00FA7429">
      <w:pPr>
        <w:spacing w:line="360" w:lineRule="auto"/>
        <w:jc w:val="both"/>
        <w:rPr>
          <w:rFonts w:ascii="Arial" w:eastAsia="Arial Nova" w:hAnsi="Arial" w:cs="Arial"/>
          <w:color w:val="000000" w:themeColor="text1"/>
        </w:rPr>
      </w:pPr>
      <w:r w:rsidRPr="001614E0">
        <w:rPr>
          <w:rFonts w:ascii="Arial" w:eastAsia="Arial Nova" w:hAnsi="Arial" w:cs="Arial"/>
          <w:color w:val="000000" w:themeColor="text1"/>
        </w:rPr>
        <w:t xml:space="preserve">The </w:t>
      </w:r>
      <w:r w:rsidR="00EA4419">
        <w:rPr>
          <w:rFonts w:ascii="Arial" w:eastAsia="Arial Nova" w:hAnsi="Arial" w:cs="Arial"/>
          <w:color w:val="000000" w:themeColor="text1"/>
        </w:rPr>
        <w:t>i</w:t>
      </w:r>
      <w:r w:rsidRPr="001614E0">
        <w:rPr>
          <w:rFonts w:ascii="Arial" w:eastAsia="Arial Nova" w:hAnsi="Arial" w:cs="Arial"/>
          <w:color w:val="000000" w:themeColor="text1"/>
        </w:rPr>
        <w:t xml:space="preserve">mproving </w:t>
      </w:r>
      <w:r w:rsidR="00EA4419">
        <w:rPr>
          <w:rFonts w:ascii="Arial" w:eastAsia="Arial Nova" w:hAnsi="Arial" w:cs="Arial"/>
          <w:color w:val="000000" w:themeColor="text1"/>
        </w:rPr>
        <w:t>s</w:t>
      </w:r>
      <w:r w:rsidRPr="001614E0">
        <w:rPr>
          <w:rFonts w:ascii="Arial" w:eastAsia="Arial Nova" w:hAnsi="Arial" w:cs="Arial"/>
          <w:color w:val="000000" w:themeColor="text1"/>
        </w:rPr>
        <w:t xml:space="preserve">ervices component of the NHS </w:t>
      </w:r>
      <w:r w:rsidR="00EA4419">
        <w:rPr>
          <w:rFonts w:ascii="Arial" w:eastAsia="Arial Nova" w:hAnsi="Arial" w:cs="Arial"/>
          <w:color w:val="000000" w:themeColor="text1"/>
        </w:rPr>
        <w:t>l</w:t>
      </w:r>
      <w:r w:rsidRPr="001614E0">
        <w:rPr>
          <w:rFonts w:ascii="Arial" w:eastAsia="Arial Nova" w:hAnsi="Arial" w:cs="Arial"/>
          <w:color w:val="000000" w:themeColor="text1"/>
        </w:rPr>
        <w:t xml:space="preserve">eadership </w:t>
      </w:r>
      <w:r w:rsidR="00EA4419">
        <w:rPr>
          <w:rFonts w:ascii="Arial" w:eastAsia="Arial Nova" w:hAnsi="Arial" w:cs="Arial"/>
          <w:color w:val="000000" w:themeColor="text1"/>
        </w:rPr>
        <w:t>f</w:t>
      </w:r>
      <w:r w:rsidRPr="001614E0">
        <w:rPr>
          <w:rFonts w:ascii="Arial" w:eastAsia="Arial Nova" w:hAnsi="Arial" w:cs="Arial"/>
          <w:color w:val="000000" w:themeColor="text1"/>
        </w:rPr>
        <w:t xml:space="preserve">ramework emphasises innovation, reflective practice, and continuous improvement (NHS Leadership Academy, 2011). A leader in the NHS can use this domain to encourage creativity by creating an environment where staff feel empowered to challenge current practices and explore new solutions. For example, a ward manager might introduce structured improvement sessions in which team members </w:t>
      </w:r>
      <w:r w:rsidRPr="001614E0">
        <w:rPr>
          <w:rFonts w:ascii="Arial" w:eastAsia="Arial Nova" w:hAnsi="Arial" w:cs="Arial"/>
          <w:color w:val="000000" w:themeColor="text1"/>
        </w:rPr>
        <w:lastRenderedPageBreak/>
        <w:t>propose small changes to enhance patient experience and safety. Leaders can support this by offering protected time, resources, and constructive feedback. Research suggests that adaptive leadership encourages staff to experiment and develop innovative responses to complex healthcare challenges (Heifetz and Laurie, 2009). By celebrating new ideas, learning from unsuccessful attempts, and promoting shared decision-making, leaders build confidence and psychological safety among staff. This approach enables frontline teams to contribute meaningfully to service redesign, resulting in improved care quality and more responsive NHS services.</w:t>
      </w:r>
    </w:p>
    <w:p w14:paraId="4A0C7FF9" w14:textId="77777777" w:rsidR="00110325" w:rsidRPr="001614E0" w:rsidRDefault="00110325" w:rsidP="00FA7429">
      <w:pPr>
        <w:spacing w:line="360" w:lineRule="auto"/>
        <w:jc w:val="both"/>
        <w:rPr>
          <w:rFonts w:ascii="Arial" w:eastAsia="Arial Nova" w:hAnsi="Arial" w:cs="Arial"/>
          <w:color w:val="000000" w:themeColor="text1"/>
        </w:rPr>
      </w:pPr>
    </w:p>
    <w:p w14:paraId="0DF70862" w14:textId="77777777" w:rsidR="00193B7B" w:rsidRPr="00013C5D" w:rsidRDefault="00193B7B" w:rsidP="00013C5D">
      <w:pPr>
        <w:spacing w:line="360" w:lineRule="auto"/>
        <w:jc w:val="both"/>
        <w:rPr>
          <w:rFonts w:ascii="Arial" w:eastAsia="Arial Nova" w:hAnsi="Arial" w:cs="Arial"/>
          <w:color w:val="000000" w:themeColor="text1"/>
          <w:sz w:val="28"/>
          <w:szCs w:val="28"/>
        </w:rPr>
      </w:pPr>
      <w:r w:rsidRPr="00013C5D">
        <w:rPr>
          <w:rFonts w:ascii="Arial" w:eastAsia="Arial Nova" w:hAnsi="Arial" w:cs="Arial"/>
          <w:color w:val="000000" w:themeColor="text1"/>
          <w:sz w:val="28"/>
          <w:szCs w:val="28"/>
        </w:rPr>
        <w:t>Task 7 - Self-Reflection Journal Entry</w:t>
      </w:r>
    </w:p>
    <w:p w14:paraId="6D880027" w14:textId="37D089AA" w:rsidR="008C7CEB" w:rsidRPr="008C7CEB" w:rsidRDefault="0050547D" w:rsidP="00013C5D">
      <w:pPr>
        <w:spacing w:line="360" w:lineRule="auto"/>
        <w:jc w:val="both"/>
        <w:rPr>
          <w:rFonts w:ascii="Arial" w:eastAsia="Arial Nova" w:hAnsi="Arial" w:cs="Arial"/>
          <w:color w:val="000000" w:themeColor="text1"/>
        </w:rPr>
      </w:pPr>
      <w:r w:rsidRPr="0050547D">
        <w:rPr>
          <w:rFonts w:ascii="Arial" w:eastAsia="Arial Nova" w:hAnsi="Arial" w:cs="Arial"/>
          <w:color w:val="000000" w:themeColor="text1"/>
        </w:rPr>
        <w:t xml:space="preserve">The insights gained from this module have </w:t>
      </w:r>
      <w:r w:rsidR="005F09B2">
        <w:rPr>
          <w:rFonts w:ascii="Arial" w:eastAsia="Arial Nova" w:hAnsi="Arial" w:cs="Arial"/>
          <w:color w:val="000000" w:themeColor="text1"/>
        </w:rPr>
        <w:t>deepened</w:t>
      </w:r>
      <w:r w:rsidRPr="0050547D">
        <w:rPr>
          <w:rFonts w:ascii="Arial" w:eastAsia="Arial Nova" w:hAnsi="Arial" w:cs="Arial"/>
          <w:color w:val="000000" w:themeColor="text1"/>
        </w:rPr>
        <w:t xml:space="preserve"> my understanding of creativity as a catalyst for value co-creation within health and social care systems.</w:t>
      </w:r>
      <w:r w:rsidR="008C7CEB" w:rsidRPr="008C7CEB">
        <w:rPr>
          <w:rFonts w:ascii="Arial" w:eastAsia="Arial Nova" w:hAnsi="Arial" w:cs="Arial"/>
          <w:color w:val="000000" w:themeColor="text1"/>
        </w:rPr>
        <w:t xml:space="preserve"> As a care assistant, I originally thought creativity meant adding new ideas or activities to support people. However, I now recognise that creativity is a strategic and collaborative process that improves how care is delivered and experienced. Learning about initiatives such as NHS at Home and Smile4Life showed me how innovation succeeds when built on teamwork, evidence-based practice, and community engagement.</w:t>
      </w:r>
    </w:p>
    <w:p w14:paraId="157AC1BF" w14:textId="77777777" w:rsidR="008C7CEB" w:rsidRPr="008C7CEB" w:rsidRDefault="008C7CEB" w:rsidP="00013C5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I have also learned that value creation is not just about saving time or reducing cost—it means enhancing quality, equality, and dignity in care. This new perspective encourages me to think creatively in my role, for example, by adapting communication to meet individual needs or suggesting small environmental improvements that make care more comfortable and person-centred.</w:t>
      </w:r>
    </w:p>
    <w:p w14:paraId="332C2792" w14:textId="77777777" w:rsidR="00740BDD" w:rsidRDefault="008C7CEB" w:rsidP="00740BDD">
      <w:pPr>
        <w:spacing w:line="360" w:lineRule="auto"/>
        <w:jc w:val="both"/>
        <w:rPr>
          <w:rFonts w:ascii="Arial" w:eastAsia="Arial Nova" w:hAnsi="Arial" w:cs="Arial"/>
          <w:color w:val="000000" w:themeColor="text1"/>
        </w:rPr>
      </w:pPr>
      <w:r w:rsidRPr="008C7CEB">
        <w:rPr>
          <w:rFonts w:ascii="Arial" w:eastAsia="Arial Nova" w:hAnsi="Arial" w:cs="Arial"/>
          <w:color w:val="000000" w:themeColor="text1"/>
        </w:rPr>
        <w:t>Overall, this module has inspired me to be more confident, reflective, and open to change. I now view creativity as part of everyday care and believe that even small ideas, shared within a supportive team, can create meaningful improvements for service users and colleagues. I feel motivated to continue learning and to contribute positively to innovation in health and social care.</w:t>
      </w:r>
    </w:p>
    <w:p w14:paraId="30B50C2C" w14:textId="77777777" w:rsidR="00DF3914" w:rsidRDefault="00DF3914" w:rsidP="00740BDD">
      <w:pPr>
        <w:spacing w:line="360" w:lineRule="auto"/>
        <w:jc w:val="both"/>
        <w:rPr>
          <w:rFonts w:ascii="Arial" w:eastAsia="Arial Nova" w:hAnsi="Arial" w:cs="Arial"/>
          <w:color w:val="000000" w:themeColor="text1"/>
        </w:rPr>
      </w:pPr>
    </w:p>
    <w:p w14:paraId="2D3649A8" w14:textId="77777777" w:rsidR="00DF3914" w:rsidRDefault="00DF3914" w:rsidP="00740BDD">
      <w:pPr>
        <w:spacing w:line="360" w:lineRule="auto"/>
        <w:jc w:val="both"/>
        <w:rPr>
          <w:rFonts w:ascii="Arial" w:eastAsia="Arial Nova" w:hAnsi="Arial" w:cs="Arial"/>
          <w:color w:val="000000" w:themeColor="text1"/>
        </w:rPr>
      </w:pPr>
    </w:p>
    <w:p w14:paraId="2680C608" w14:textId="77777777" w:rsidR="00DF3914" w:rsidRDefault="00DF3914" w:rsidP="00740BDD">
      <w:pPr>
        <w:spacing w:line="360" w:lineRule="auto"/>
        <w:jc w:val="both"/>
        <w:rPr>
          <w:rFonts w:ascii="Arial" w:eastAsia="Arial Nova" w:hAnsi="Arial" w:cs="Arial"/>
          <w:color w:val="000000" w:themeColor="text1"/>
        </w:rPr>
      </w:pPr>
    </w:p>
    <w:p w14:paraId="09EE1EBD" w14:textId="77777777" w:rsidR="00DF3914" w:rsidRDefault="00DF3914" w:rsidP="00740BDD">
      <w:pPr>
        <w:spacing w:line="360" w:lineRule="auto"/>
        <w:jc w:val="both"/>
        <w:rPr>
          <w:rFonts w:ascii="Arial" w:eastAsia="Arial Nova" w:hAnsi="Arial" w:cs="Arial"/>
          <w:color w:val="000000" w:themeColor="text1"/>
        </w:rPr>
      </w:pPr>
    </w:p>
    <w:p w14:paraId="3CB64E87" w14:textId="77777777" w:rsidR="00310B5C" w:rsidRDefault="00310B5C" w:rsidP="00740BDD">
      <w:pPr>
        <w:spacing w:line="360" w:lineRule="auto"/>
        <w:jc w:val="both"/>
        <w:rPr>
          <w:rFonts w:ascii="Arial" w:eastAsia="Arial Nova" w:hAnsi="Arial" w:cs="Arial"/>
          <w:color w:val="000000" w:themeColor="text1"/>
        </w:rPr>
      </w:pPr>
    </w:p>
    <w:p w14:paraId="24E6A48E" w14:textId="6F693BE8" w:rsidR="00193B7B" w:rsidRDefault="00193B7B" w:rsidP="00740BDD">
      <w:pPr>
        <w:spacing w:line="360" w:lineRule="auto"/>
        <w:jc w:val="both"/>
        <w:rPr>
          <w:rFonts w:ascii="Arial" w:eastAsia="Arial Nova" w:hAnsi="Arial" w:cs="Arial"/>
          <w:color w:val="000000" w:themeColor="text1"/>
          <w:sz w:val="28"/>
          <w:szCs w:val="28"/>
        </w:rPr>
      </w:pPr>
      <w:r w:rsidRPr="00740BDD">
        <w:rPr>
          <w:rFonts w:ascii="Arial" w:eastAsia="Arial Nova" w:hAnsi="Arial" w:cs="Arial"/>
          <w:color w:val="000000" w:themeColor="text1"/>
          <w:sz w:val="28"/>
          <w:szCs w:val="28"/>
        </w:rPr>
        <w:lastRenderedPageBreak/>
        <w:t>Reference List</w:t>
      </w:r>
    </w:p>
    <w:p w14:paraId="15459D94" w14:textId="77777777" w:rsidR="00E94277" w:rsidRDefault="00E94277" w:rsidP="00740BDD">
      <w:pPr>
        <w:spacing w:line="360" w:lineRule="auto"/>
        <w:jc w:val="both"/>
        <w:rPr>
          <w:rFonts w:ascii="Arial" w:eastAsia="Arial Nova" w:hAnsi="Arial" w:cs="Arial"/>
          <w:color w:val="000000" w:themeColor="text1"/>
          <w:sz w:val="28"/>
          <w:szCs w:val="28"/>
        </w:rPr>
      </w:pPr>
    </w:p>
    <w:p w14:paraId="5EB669D5" w14:textId="77777777" w:rsidR="00E94277" w:rsidRPr="00E94277" w:rsidRDefault="00E94277" w:rsidP="00E94277">
      <w:pPr>
        <w:spacing w:line="360" w:lineRule="auto"/>
        <w:jc w:val="both"/>
        <w:rPr>
          <w:rFonts w:ascii="Arial" w:eastAsia="Arial Nova" w:hAnsi="Arial" w:cs="Arial"/>
        </w:rPr>
      </w:pPr>
    </w:p>
    <w:p w14:paraId="587ED398"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Boden, M.A. (1994) </w:t>
      </w:r>
      <w:r w:rsidRPr="00E94277">
        <w:rPr>
          <w:rFonts w:ascii="Arial" w:eastAsia="Arial Nova" w:hAnsi="Arial" w:cs="Arial"/>
          <w:i/>
          <w:iCs/>
        </w:rPr>
        <w:t>Dimensions of creativity</w:t>
      </w:r>
      <w:r w:rsidRPr="00E94277">
        <w:rPr>
          <w:rFonts w:ascii="Arial" w:eastAsia="Arial Nova" w:hAnsi="Arial" w:cs="Arial"/>
        </w:rPr>
        <w:t>. Cambridge, MA: MIT Press.</w:t>
      </w:r>
    </w:p>
    <w:p w14:paraId="14884729"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Brewster, L., Holt, R., Howell, A., Bamford, C. and Hampshaw, S. (2021) ‘Creative practice as a driver for health and care innovation’, </w:t>
      </w:r>
      <w:r w:rsidRPr="00E94277">
        <w:rPr>
          <w:rFonts w:ascii="Arial" w:eastAsia="Arial Nova" w:hAnsi="Arial" w:cs="Arial"/>
          <w:i/>
          <w:iCs/>
        </w:rPr>
        <w:t>Health Expectations</w:t>
      </w:r>
      <w:r w:rsidRPr="00E94277">
        <w:rPr>
          <w:rFonts w:ascii="Arial" w:eastAsia="Arial Nova" w:hAnsi="Arial" w:cs="Arial"/>
        </w:rPr>
        <w:t>, 24(4), pp.1182–1191.</w:t>
      </w:r>
    </w:p>
    <w:p w14:paraId="2F6EBF61" w14:textId="77777777" w:rsidR="00006842" w:rsidRDefault="00E94277" w:rsidP="00E94277">
      <w:pPr>
        <w:spacing w:line="360" w:lineRule="auto"/>
        <w:jc w:val="both"/>
        <w:rPr>
          <w:rFonts w:ascii="Arial" w:eastAsia="Arial Nova" w:hAnsi="Arial" w:cs="Arial"/>
        </w:rPr>
      </w:pPr>
      <w:r w:rsidRPr="00E94277">
        <w:rPr>
          <w:rFonts w:ascii="Arial" w:eastAsia="Arial Nova" w:hAnsi="Arial" w:cs="Arial"/>
        </w:rPr>
        <w:t xml:space="preserve">Care Quality Commission (2021) </w:t>
      </w:r>
      <w:r w:rsidRPr="00E94277">
        <w:rPr>
          <w:rFonts w:ascii="Arial" w:eastAsia="Arial Nova" w:hAnsi="Arial" w:cs="Arial"/>
          <w:i/>
          <w:iCs/>
        </w:rPr>
        <w:t>Enabling innovation and adoption in health and social care</w:t>
      </w:r>
      <w:r w:rsidRPr="00E94277">
        <w:rPr>
          <w:rFonts w:ascii="Arial" w:eastAsia="Arial Nova" w:hAnsi="Arial" w:cs="Arial"/>
        </w:rPr>
        <w:t xml:space="preserve">. Available at: </w:t>
      </w:r>
    </w:p>
    <w:p w14:paraId="5EC667F2" w14:textId="6C8EB1F1" w:rsidR="00E94277" w:rsidRPr="00E94277" w:rsidRDefault="00006842" w:rsidP="00E94277">
      <w:pPr>
        <w:spacing w:line="360" w:lineRule="auto"/>
        <w:jc w:val="both"/>
        <w:rPr>
          <w:rFonts w:ascii="Arial" w:eastAsia="Arial Nova" w:hAnsi="Arial" w:cs="Arial"/>
        </w:rPr>
      </w:pPr>
      <w:hyperlink r:id="rId11" w:history="1">
        <w:r w:rsidRPr="00E94277">
          <w:rPr>
            <w:rStyle w:val="Hyperlink"/>
            <w:rFonts w:ascii="Arial" w:eastAsia="Arial Nova" w:hAnsi="Arial" w:cs="Arial"/>
            <w:color w:val="auto"/>
            <w:u w:val="none"/>
          </w:rPr>
          <w:t>https://www.cqc.org.uk/sites/default/files/20210208_InnovationPrinciples_report.pdf</w:t>
        </w:r>
      </w:hyperlink>
      <w:r w:rsidR="00E94277" w:rsidRPr="00E94277">
        <w:rPr>
          <w:rFonts w:ascii="Arial" w:eastAsia="Arial Nova" w:hAnsi="Arial" w:cs="Arial"/>
        </w:rPr>
        <w:t xml:space="preserve"> (Accessed: 29 October 2025).</w:t>
      </w:r>
    </w:p>
    <w:p w14:paraId="74EC3CF6"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Carlile, P.R. and Jordan, J.M. (2012) </w:t>
      </w:r>
      <w:r w:rsidRPr="00E94277">
        <w:rPr>
          <w:rFonts w:ascii="Arial" w:eastAsia="Arial Nova" w:hAnsi="Arial" w:cs="Arial"/>
          <w:i/>
          <w:iCs/>
        </w:rPr>
        <w:t>Managing knowledge in complex systems: Leadership and innovation in the creative economy</w:t>
      </w:r>
      <w:r w:rsidRPr="00E94277">
        <w:rPr>
          <w:rFonts w:ascii="Arial" w:eastAsia="Arial Nova" w:hAnsi="Arial" w:cs="Arial"/>
        </w:rPr>
        <w:t>. New York: Routledge.</w:t>
      </w:r>
    </w:p>
    <w:p w14:paraId="25EB9976"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Coulton, S., Clift, S., Skingley, A. and Rodriguez, J. (2015) ‘Effectiveness and cost-effectiveness of community singing for older people’, </w:t>
      </w:r>
      <w:r w:rsidRPr="00E94277">
        <w:rPr>
          <w:rFonts w:ascii="Arial" w:eastAsia="Arial Nova" w:hAnsi="Arial" w:cs="Arial"/>
          <w:i/>
          <w:iCs/>
        </w:rPr>
        <w:t>British Journal of Psychiatry</w:t>
      </w:r>
      <w:r w:rsidRPr="00E94277">
        <w:rPr>
          <w:rFonts w:ascii="Arial" w:eastAsia="Arial Nova" w:hAnsi="Arial" w:cs="Arial"/>
        </w:rPr>
        <w:t>, 207(3), pp.250–255.</w:t>
      </w:r>
    </w:p>
    <w:p w14:paraId="5A6B1384"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Department of Health &amp; Social Care (2021) </w:t>
      </w:r>
      <w:r w:rsidRPr="00E94277">
        <w:rPr>
          <w:rFonts w:ascii="Arial" w:eastAsia="Arial Nova" w:hAnsi="Arial" w:cs="Arial"/>
          <w:i/>
          <w:iCs/>
        </w:rPr>
        <w:t>The NHS Constitution for England</w:t>
      </w:r>
      <w:r w:rsidRPr="00E94277">
        <w:rPr>
          <w:rFonts w:ascii="Arial" w:eastAsia="Arial Nova" w:hAnsi="Arial" w:cs="Arial"/>
        </w:rPr>
        <w:t>. London: DHSC.</w:t>
      </w:r>
    </w:p>
    <w:p w14:paraId="58D88C03"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Edmondson, A.C. (2019) </w:t>
      </w:r>
      <w:r w:rsidRPr="00E94277">
        <w:rPr>
          <w:rFonts w:ascii="Arial" w:eastAsia="Arial Nova" w:hAnsi="Arial" w:cs="Arial"/>
          <w:i/>
          <w:iCs/>
        </w:rPr>
        <w:t>The fearless organization: Creating psychological safety in the workplace for learning, innovation, and growth</w:t>
      </w:r>
      <w:r w:rsidRPr="00E94277">
        <w:rPr>
          <w:rFonts w:ascii="Arial" w:eastAsia="Arial Nova" w:hAnsi="Arial" w:cs="Arial"/>
        </w:rPr>
        <w:t>. Hoboken, NJ: Wiley.</w:t>
      </w:r>
    </w:p>
    <w:p w14:paraId="06803FDC"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Gibbs, G. (1988) </w:t>
      </w:r>
      <w:r w:rsidRPr="00E94277">
        <w:rPr>
          <w:rFonts w:ascii="Arial" w:eastAsia="Arial Nova" w:hAnsi="Arial" w:cs="Arial"/>
          <w:i/>
          <w:iCs/>
        </w:rPr>
        <w:t>Learning by doing: A guide to teaching and learning methods</w:t>
      </w:r>
      <w:r w:rsidRPr="00E94277">
        <w:rPr>
          <w:rFonts w:ascii="Arial" w:eastAsia="Arial Nova" w:hAnsi="Arial" w:cs="Arial"/>
        </w:rPr>
        <w:t>. Oxford: Oxford Polytechnic.</w:t>
      </w:r>
    </w:p>
    <w:p w14:paraId="011E9C90"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Greenhalgh, T., Wherton, J., Shaw, S. and Morrison, C. (2020) ‘Video consultations for COVID-19’, </w:t>
      </w:r>
      <w:r w:rsidRPr="00E94277">
        <w:rPr>
          <w:rFonts w:ascii="Arial" w:eastAsia="Arial Nova" w:hAnsi="Arial" w:cs="Arial"/>
          <w:i/>
          <w:iCs/>
        </w:rPr>
        <w:t>The BMJ</w:t>
      </w:r>
      <w:r w:rsidRPr="00E94277">
        <w:rPr>
          <w:rFonts w:ascii="Arial" w:eastAsia="Arial Nova" w:hAnsi="Arial" w:cs="Arial"/>
        </w:rPr>
        <w:t>, 368, m998.</w:t>
      </w:r>
    </w:p>
    <w:p w14:paraId="0E68F84A"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Heifetz, R. and Laurie, D. (2009) ‘The work of leadership’, </w:t>
      </w:r>
      <w:r w:rsidRPr="00E94277">
        <w:rPr>
          <w:rFonts w:ascii="Arial" w:eastAsia="Arial Nova" w:hAnsi="Arial" w:cs="Arial"/>
          <w:i/>
          <w:iCs/>
        </w:rPr>
        <w:t>Harvard Business Review</w:t>
      </w:r>
      <w:r w:rsidRPr="00E94277">
        <w:rPr>
          <w:rFonts w:ascii="Arial" w:eastAsia="Arial Nova" w:hAnsi="Arial" w:cs="Arial"/>
        </w:rPr>
        <w:t>, 75(1), pp.124–134.</w:t>
      </w:r>
    </w:p>
    <w:p w14:paraId="6C09D64B" w14:textId="7F4976D3"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Imperial College Healthcare NHS Trust (2024) </w:t>
      </w:r>
      <w:r w:rsidRPr="00E94277">
        <w:rPr>
          <w:rFonts w:ascii="Arial" w:eastAsia="Arial Nova" w:hAnsi="Arial" w:cs="Arial"/>
          <w:i/>
          <w:iCs/>
        </w:rPr>
        <w:t>Remote monitoring of heart attack patients significantly reduced hospital readmissions</w:t>
      </w:r>
      <w:r w:rsidRPr="00E94277">
        <w:rPr>
          <w:rFonts w:ascii="Arial" w:eastAsia="Arial Nova" w:hAnsi="Arial" w:cs="Arial"/>
        </w:rPr>
        <w:t xml:space="preserve">. Available at: </w:t>
      </w:r>
      <w:hyperlink r:id="rId12" w:tgtFrame="_new" w:history="1">
        <w:r w:rsidRPr="00E94277">
          <w:rPr>
            <w:rStyle w:val="Hyperlink"/>
            <w:rFonts w:ascii="Arial" w:eastAsia="Arial Nova" w:hAnsi="Arial" w:cs="Arial"/>
            <w:color w:val="auto"/>
            <w:u w:val="none"/>
          </w:rPr>
          <w:t>https://www.imperial.nhs.uk/about-us/news/remote-monitoring-of-heart-attack-patients-significantly-reduced-hospital-readmissions</w:t>
        </w:r>
      </w:hyperlink>
      <w:r w:rsidRPr="00E94277">
        <w:rPr>
          <w:rFonts w:ascii="Arial" w:eastAsia="Arial Nova" w:hAnsi="Arial" w:cs="Arial"/>
        </w:rPr>
        <w:t xml:space="preserve"> (Accessed: 1</w:t>
      </w:r>
      <w:r w:rsidR="00F60924">
        <w:rPr>
          <w:rFonts w:ascii="Arial" w:eastAsia="Arial Nova" w:hAnsi="Arial" w:cs="Arial"/>
        </w:rPr>
        <w:t>0</w:t>
      </w:r>
      <w:r w:rsidRPr="00E94277">
        <w:rPr>
          <w:rFonts w:ascii="Arial" w:eastAsia="Arial Nova" w:hAnsi="Arial" w:cs="Arial"/>
        </w:rPr>
        <w:t xml:space="preserve"> November 2025).</w:t>
      </w:r>
    </w:p>
    <w:p w14:paraId="506EF56A"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lastRenderedPageBreak/>
        <w:t xml:space="preserve">Jiang, J., Liu, Y., Wang, R. and Li, X. (2023) ‘Metacognitive processes in creative thinking: A review’, </w:t>
      </w:r>
      <w:r w:rsidRPr="00E94277">
        <w:rPr>
          <w:rFonts w:ascii="Arial" w:eastAsia="Arial Nova" w:hAnsi="Arial" w:cs="Arial"/>
          <w:i/>
          <w:iCs/>
        </w:rPr>
        <w:t>Psychology of Creativity and Cognition</w:t>
      </w:r>
      <w:r w:rsidRPr="00E94277">
        <w:rPr>
          <w:rFonts w:ascii="Arial" w:eastAsia="Arial Nova" w:hAnsi="Arial" w:cs="Arial"/>
        </w:rPr>
        <w:t>, 12(2), pp.145–160.</w:t>
      </w:r>
    </w:p>
    <w:p w14:paraId="4BC9D6F9"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MIND (2021) </w:t>
      </w:r>
      <w:r w:rsidRPr="00E94277">
        <w:rPr>
          <w:rFonts w:ascii="Arial" w:eastAsia="Arial Nova" w:hAnsi="Arial" w:cs="Arial"/>
          <w:i/>
          <w:iCs/>
        </w:rPr>
        <w:t>Trying to connect: The importance of choice in remote mental health services</w:t>
      </w:r>
      <w:r w:rsidRPr="00E94277">
        <w:rPr>
          <w:rFonts w:ascii="Arial" w:eastAsia="Arial Nova" w:hAnsi="Arial" w:cs="Arial"/>
        </w:rPr>
        <w:t xml:space="preserve">. Available at: </w:t>
      </w:r>
      <w:hyperlink r:id="rId13" w:tgtFrame="_new" w:history="1">
        <w:r w:rsidRPr="00E94277">
          <w:rPr>
            <w:rStyle w:val="Hyperlink"/>
            <w:rFonts w:ascii="Arial" w:eastAsia="Arial Nova" w:hAnsi="Arial" w:cs="Arial"/>
            <w:color w:val="auto"/>
            <w:u w:val="none"/>
          </w:rPr>
          <w:t>https://www.mind.org.uk/media/8575/mind-20582-trying-to-connect-report-aw2-welsh-recommendations-lr.pdf</w:t>
        </w:r>
      </w:hyperlink>
      <w:r w:rsidRPr="00E94277">
        <w:rPr>
          <w:rFonts w:ascii="Arial" w:eastAsia="Arial Nova" w:hAnsi="Arial" w:cs="Arial"/>
        </w:rPr>
        <w:t xml:space="preserve"> (Accessed: 30 September 2025).</w:t>
      </w:r>
    </w:p>
    <w:p w14:paraId="1948E4C7"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NHS England (2019) </w:t>
      </w:r>
      <w:r w:rsidRPr="00E94277">
        <w:rPr>
          <w:rFonts w:ascii="Arial" w:eastAsia="Arial Nova" w:hAnsi="Arial" w:cs="Arial"/>
          <w:i/>
          <w:iCs/>
        </w:rPr>
        <w:t>The NHS Long Term Plan</w:t>
      </w:r>
      <w:r w:rsidRPr="00E94277">
        <w:rPr>
          <w:rFonts w:ascii="Arial" w:eastAsia="Arial Nova" w:hAnsi="Arial" w:cs="Arial"/>
        </w:rPr>
        <w:t>. London: NHS England.</w:t>
      </w:r>
    </w:p>
    <w:p w14:paraId="1C7D635D"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NHS Leadership Academy (2011) </w:t>
      </w:r>
      <w:r w:rsidRPr="00E94277">
        <w:rPr>
          <w:rFonts w:ascii="Arial" w:eastAsia="Arial Nova" w:hAnsi="Arial" w:cs="Arial"/>
          <w:i/>
          <w:iCs/>
        </w:rPr>
        <w:t>NHS leadership framework</w:t>
      </w:r>
      <w:r w:rsidRPr="00E94277">
        <w:rPr>
          <w:rFonts w:ascii="Arial" w:eastAsia="Arial Nova" w:hAnsi="Arial" w:cs="Arial"/>
        </w:rPr>
        <w:t>. Leeds: NHS Leadership Academy.</w:t>
      </w:r>
    </w:p>
    <w:p w14:paraId="11599BB0"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Osborn, A.F. and Parnes, S.J. (1967) </w:t>
      </w:r>
      <w:r w:rsidRPr="00E94277">
        <w:rPr>
          <w:rFonts w:ascii="Arial" w:eastAsia="Arial Nova" w:hAnsi="Arial" w:cs="Arial"/>
          <w:i/>
          <w:iCs/>
        </w:rPr>
        <w:t>Creative problem solving: The basic course</w:t>
      </w:r>
      <w:r w:rsidRPr="00E94277">
        <w:rPr>
          <w:rFonts w:ascii="Arial" w:eastAsia="Arial Nova" w:hAnsi="Arial" w:cs="Arial"/>
        </w:rPr>
        <w:t>. Buffalo, NY: Creative Education Foundation.</w:t>
      </w:r>
    </w:p>
    <w:p w14:paraId="35B66B8E"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Paul, E., et al. (2024) ‘Creative environments and staff wellbeing in healthcare’, </w:t>
      </w:r>
      <w:r w:rsidRPr="00E94277">
        <w:rPr>
          <w:rFonts w:ascii="Arial" w:eastAsia="Arial Nova" w:hAnsi="Arial" w:cs="Arial"/>
          <w:i/>
          <w:iCs/>
        </w:rPr>
        <w:t>Journal of Health Organisation and Management</w:t>
      </w:r>
      <w:r w:rsidRPr="00E94277">
        <w:rPr>
          <w:rFonts w:ascii="Arial" w:eastAsia="Arial Nova" w:hAnsi="Arial" w:cs="Arial"/>
        </w:rPr>
        <w:t>, 38(2), pp.145–161.</w:t>
      </w:r>
    </w:p>
    <w:p w14:paraId="3248FE67"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Pine, C.M., Adair, P.M., Petersen, P.E. and Douglass, C. (2016) ‘Developing explanatory models of health inequalities in childhood dental caries’, </w:t>
      </w:r>
      <w:r w:rsidRPr="00E94277">
        <w:rPr>
          <w:rFonts w:ascii="Arial" w:eastAsia="Arial Nova" w:hAnsi="Arial" w:cs="Arial"/>
          <w:i/>
          <w:iCs/>
        </w:rPr>
        <w:t>Community Dentistry and Oral Epidemiology</w:t>
      </w:r>
      <w:r w:rsidRPr="00E94277">
        <w:rPr>
          <w:rFonts w:ascii="Arial" w:eastAsia="Arial Nova" w:hAnsi="Arial" w:cs="Arial"/>
        </w:rPr>
        <w:t>, 44(2), pp.142–150.</w:t>
      </w:r>
    </w:p>
    <w:p w14:paraId="35548AC3"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Pink, D.H. (2009) </w:t>
      </w:r>
      <w:r w:rsidRPr="00E94277">
        <w:rPr>
          <w:rFonts w:ascii="Arial" w:eastAsia="Arial Nova" w:hAnsi="Arial" w:cs="Arial"/>
          <w:i/>
          <w:iCs/>
        </w:rPr>
        <w:t>Drive: The surprising truth about what motivates us</w:t>
      </w:r>
      <w:r w:rsidRPr="00E94277">
        <w:rPr>
          <w:rFonts w:ascii="Arial" w:eastAsia="Arial Nova" w:hAnsi="Arial" w:cs="Arial"/>
        </w:rPr>
        <w:t>. New York: Riverhead Books.</w:t>
      </w:r>
    </w:p>
    <w:p w14:paraId="075C3069"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Pick, A., Meyer, L., Thompson, R. and Klasen, M. (2024) ‘Neural synchronisation and collaborative creativity in group innovation tasks’, </w:t>
      </w:r>
      <w:r w:rsidRPr="00E94277">
        <w:rPr>
          <w:rFonts w:ascii="Arial" w:eastAsia="Arial Nova" w:hAnsi="Arial" w:cs="Arial"/>
          <w:i/>
          <w:iCs/>
        </w:rPr>
        <w:t>Journal of Creative Behavior</w:t>
      </w:r>
      <w:r w:rsidRPr="00E94277">
        <w:rPr>
          <w:rFonts w:ascii="Arial" w:eastAsia="Arial Nova" w:hAnsi="Arial" w:cs="Arial"/>
        </w:rPr>
        <w:t>, 58(1), pp.34–50.</w:t>
      </w:r>
    </w:p>
    <w:p w14:paraId="76B9F040"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Porter, M.E. (2010) ‘What is value in health care?’, </w:t>
      </w:r>
      <w:r w:rsidRPr="00E94277">
        <w:rPr>
          <w:rFonts w:ascii="Arial" w:eastAsia="Arial Nova" w:hAnsi="Arial" w:cs="Arial"/>
          <w:i/>
          <w:iCs/>
        </w:rPr>
        <w:t>New England Journal of Medicine</w:t>
      </w:r>
      <w:r w:rsidRPr="00E94277">
        <w:rPr>
          <w:rFonts w:ascii="Arial" w:eastAsia="Arial Nova" w:hAnsi="Arial" w:cs="Arial"/>
        </w:rPr>
        <w:t>, 363, pp.2477–2481.</w:t>
      </w:r>
    </w:p>
    <w:p w14:paraId="5642CBB9"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Rawlings, D., Harper, C. and Moran, N. (2025) ‘Understanding divergent and convergent thinking in creative problem solving’, </w:t>
      </w:r>
      <w:r w:rsidRPr="00E94277">
        <w:rPr>
          <w:rFonts w:ascii="Arial" w:eastAsia="Arial Nova" w:hAnsi="Arial" w:cs="Arial"/>
          <w:i/>
          <w:iCs/>
        </w:rPr>
        <w:t>Creativity Research Journal</w:t>
      </w:r>
      <w:r w:rsidRPr="00E94277">
        <w:rPr>
          <w:rFonts w:ascii="Arial" w:eastAsia="Arial Nova" w:hAnsi="Arial" w:cs="Arial"/>
        </w:rPr>
        <w:t>, 37(1), pp.1–12.</w:t>
      </w:r>
    </w:p>
    <w:p w14:paraId="5B8E5771"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Roth, S., Balzat, B., Mahnke, A. and Friesacher, H. (2024) ‘Value-based healthcare and social care outcomes’, </w:t>
      </w:r>
      <w:r w:rsidRPr="00E94277">
        <w:rPr>
          <w:rFonts w:ascii="Arial" w:eastAsia="Arial Nova" w:hAnsi="Arial" w:cs="Arial"/>
          <w:i/>
          <w:iCs/>
        </w:rPr>
        <w:t>International Journal of Integrated Care</w:t>
      </w:r>
      <w:r w:rsidRPr="00E94277">
        <w:rPr>
          <w:rFonts w:ascii="Arial" w:eastAsia="Arial Nova" w:hAnsi="Arial" w:cs="Arial"/>
        </w:rPr>
        <w:t>, 24(1), pp.1–10.</w:t>
      </w:r>
    </w:p>
    <w:p w14:paraId="7EBD5EB7"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Ryan, R.M. and Deci, E.L. (2000) ‘Intrinsic and extrinsic motivations: Classic definitions and new directions’, </w:t>
      </w:r>
      <w:r w:rsidRPr="00E94277">
        <w:rPr>
          <w:rFonts w:ascii="Arial" w:eastAsia="Arial Nova" w:hAnsi="Arial" w:cs="Arial"/>
          <w:i/>
          <w:iCs/>
        </w:rPr>
        <w:t>Contemporary Educational Psychology</w:t>
      </w:r>
      <w:r w:rsidRPr="00E94277">
        <w:rPr>
          <w:rFonts w:ascii="Arial" w:eastAsia="Arial Nova" w:hAnsi="Arial" w:cs="Arial"/>
        </w:rPr>
        <w:t>, 25(1), pp.54–67.</w:t>
      </w:r>
    </w:p>
    <w:p w14:paraId="41E79C6C"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UK Government (2012) </w:t>
      </w:r>
      <w:r w:rsidRPr="00E94277">
        <w:rPr>
          <w:rFonts w:ascii="Arial" w:eastAsia="Arial Nova" w:hAnsi="Arial" w:cs="Arial"/>
          <w:i/>
          <w:iCs/>
        </w:rPr>
        <w:t>Health and Social Care Act 2012</w:t>
      </w:r>
      <w:r w:rsidRPr="00E94277">
        <w:rPr>
          <w:rFonts w:ascii="Arial" w:eastAsia="Arial Nova" w:hAnsi="Arial" w:cs="Arial"/>
        </w:rPr>
        <w:t>. London: The Stationery Office.</w:t>
      </w:r>
    </w:p>
    <w:p w14:paraId="6D68C482"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UK Government (2014) </w:t>
      </w:r>
      <w:r w:rsidRPr="00E94277">
        <w:rPr>
          <w:rFonts w:ascii="Arial" w:eastAsia="Arial Nova" w:hAnsi="Arial" w:cs="Arial"/>
          <w:i/>
          <w:iCs/>
        </w:rPr>
        <w:t>Care Act 2014</w:t>
      </w:r>
      <w:r w:rsidRPr="00E94277">
        <w:rPr>
          <w:rFonts w:ascii="Arial" w:eastAsia="Arial Nova" w:hAnsi="Arial" w:cs="Arial"/>
        </w:rPr>
        <w:t>. London: The Stationery Office.</w:t>
      </w:r>
    </w:p>
    <w:p w14:paraId="674790EE"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lastRenderedPageBreak/>
        <w:t xml:space="preserve">UK Government (2018) </w:t>
      </w:r>
      <w:r w:rsidRPr="00E94277">
        <w:rPr>
          <w:rFonts w:ascii="Arial" w:eastAsia="Arial Nova" w:hAnsi="Arial" w:cs="Arial"/>
          <w:i/>
          <w:iCs/>
        </w:rPr>
        <w:t>Data Protection Act 2018</w:t>
      </w:r>
      <w:r w:rsidRPr="00E94277">
        <w:rPr>
          <w:rFonts w:ascii="Arial" w:eastAsia="Arial Nova" w:hAnsi="Arial" w:cs="Arial"/>
        </w:rPr>
        <w:t>. London: The Stationery Office.</w:t>
      </w:r>
    </w:p>
    <w:p w14:paraId="3F8FF545"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UK Government (2022) </w:t>
      </w:r>
      <w:r w:rsidRPr="00E94277">
        <w:rPr>
          <w:rFonts w:ascii="Arial" w:eastAsia="Arial Nova" w:hAnsi="Arial" w:cs="Arial"/>
          <w:i/>
          <w:iCs/>
        </w:rPr>
        <w:t>Health and Care Act 2022</w:t>
      </w:r>
      <w:r w:rsidRPr="00E94277">
        <w:rPr>
          <w:rFonts w:ascii="Arial" w:eastAsia="Arial Nova" w:hAnsi="Arial" w:cs="Arial"/>
        </w:rPr>
        <w:t>. London: The Stationery Office.</w:t>
      </w:r>
    </w:p>
    <w:p w14:paraId="10C126BF"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Vats, K. (2024) ‘Navigating the digital landscape: Embracing innovation and prioritising patient-centric care’, </w:t>
      </w:r>
      <w:r w:rsidRPr="00E94277">
        <w:rPr>
          <w:rFonts w:ascii="Arial" w:eastAsia="Arial Nova" w:hAnsi="Arial" w:cs="Arial"/>
          <w:i/>
          <w:iCs/>
        </w:rPr>
        <w:t>Cureus</w:t>
      </w:r>
      <w:r w:rsidRPr="00E94277">
        <w:rPr>
          <w:rFonts w:ascii="Arial" w:eastAsia="Arial Nova" w:hAnsi="Arial" w:cs="Arial"/>
        </w:rPr>
        <w:t>, 16(4).</w:t>
      </w:r>
    </w:p>
    <w:p w14:paraId="5CF81639"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Watt, R.G. and Sheiham, A. (2012) ‘Integrating the common risk factor approach into a social determinants framework’, </w:t>
      </w:r>
      <w:r w:rsidRPr="00E94277">
        <w:rPr>
          <w:rFonts w:ascii="Arial" w:eastAsia="Arial Nova" w:hAnsi="Arial" w:cs="Arial"/>
          <w:i/>
          <w:iCs/>
        </w:rPr>
        <w:t>Community Dentistry and Oral Epidemiology</w:t>
      </w:r>
      <w:r w:rsidRPr="00E94277">
        <w:rPr>
          <w:rFonts w:ascii="Arial" w:eastAsia="Arial Nova" w:hAnsi="Arial" w:cs="Arial"/>
        </w:rPr>
        <w:t>, 40(4), pp.289–296.</w:t>
      </w:r>
    </w:p>
    <w:p w14:paraId="34796253"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West, M., Eckert, R., Collins, B. and Chowla, R. (2017) </w:t>
      </w:r>
      <w:r w:rsidRPr="00E94277">
        <w:rPr>
          <w:rFonts w:ascii="Arial" w:eastAsia="Arial Nova" w:hAnsi="Arial" w:cs="Arial"/>
          <w:i/>
          <w:iCs/>
        </w:rPr>
        <w:t>Caring to change: How compassionate leadership can stimulate innovation in health care</w:t>
      </w:r>
      <w:r w:rsidRPr="00E94277">
        <w:rPr>
          <w:rFonts w:ascii="Arial" w:eastAsia="Arial Nova" w:hAnsi="Arial" w:cs="Arial"/>
        </w:rPr>
        <w:t>. London: The King’s Fund.</w:t>
      </w:r>
    </w:p>
    <w:p w14:paraId="2FBDC6EC" w14:textId="77777777" w:rsidR="00E94277" w:rsidRPr="00E94277" w:rsidRDefault="00E94277" w:rsidP="00E94277">
      <w:pPr>
        <w:spacing w:line="360" w:lineRule="auto"/>
        <w:jc w:val="both"/>
        <w:rPr>
          <w:rFonts w:ascii="Arial" w:eastAsia="Arial Nova" w:hAnsi="Arial" w:cs="Arial"/>
        </w:rPr>
      </w:pPr>
      <w:r w:rsidRPr="00E94277">
        <w:rPr>
          <w:rFonts w:ascii="Arial" w:eastAsia="Arial Nova" w:hAnsi="Arial" w:cs="Arial"/>
        </w:rPr>
        <w:t xml:space="preserve">Zuber, V. (2018) ‘Creativity and positive mental health in social care settings’, </w:t>
      </w:r>
      <w:r w:rsidRPr="00E94277">
        <w:rPr>
          <w:rFonts w:ascii="Arial" w:eastAsia="Arial Nova" w:hAnsi="Arial" w:cs="Arial"/>
          <w:i/>
          <w:iCs/>
        </w:rPr>
        <w:t>The Arts in Psychotherapy</w:t>
      </w:r>
      <w:r w:rsidRPr="00E94277">
        <w:rPr>
          <w:rFonts w:ascii="Arial" w:eastAsia="Arial Nova" w:hAnsi="Arial" w:cs="Arial"/>
        </w:rPr>
        <w:t>, 59, pp.70–77.</w:t>
      </w:r>
    </w:p>
    <w:p w14:paraId="031A0C91" w14:textId="77777777" w:rsidR="00E94277" w:rsidRPr="00E94277" w:rsidRDefault="00E94277" w:rsidP="00E94277">
      <w:pPr>
        <w:spacing w:line="360" w:lineRule="auto"/>
        <w:jc w:val="both"/>
        <w:rPr>
          <w:rFonts w:ascii="Arial" w:eastAsia="Arial Nova" w:hAnsi="Arial" w:cs="Arial"/>
        </w:rPr>
      </w:pPr>
    </w:p>
    <w:sectPr w:rsidR="00E94277" w:rsidRPr="00E942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4ED3"/>
    <w:multiLevelType w:val="multilevel"/>
    <w:tmpl w:val="8C621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9E5F10"/>
    <w:multiLevelType w:val="multilevel"/>
    <w:tmpl w:val="87FC7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1733068">
    <w:abstractNumId w:val="0"/>
  </w:num>
  <w:num w:numId="2" w16cid:durableId="141193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AC"/>
    <w:rsid w:val="00006842"/>
    <w:rsid w:val="00013C5D"/>
    <w:rsid w:val="000354F9"/>
    <w:rsid w:val="000418A9"/>
    <w:rsid w:val="00045140"/>
    <w:rsid w:val="00053373"/>
    <w:rsid w:val="00053CB2"/>
    <w:rsid w:val="00063BF3"/>
    <w:rsid w:val="00087EC9"/>
    <w:rsid w:val="000A6BFC"/>
    <w:rsid w:val="000C0295"/>
    <w:rsid w:val="000F4CC4"/>
    <w:rsid w:val="00110325"/>
    <w:rsid w:val="00111C91"/>
    <w:rsid w:val="00136B00"/>
    <w:rsid w:val="00160BFC"/>
    <w:rsid w:val="001614E0"/>
    <w:rsid w:val="0016651B"/>
    <w:rsid w:val="00193B7B"/>
    <w:rsid w:val="00194EE5"/>
    <w:rsid w:val="0019618B"/>
    <w:rsid w:val="001A4A3F"/>
    <w:rsid w:val="001C7526"/>
    <w:rsid w:val="001D04F2"/>
    <w:rsid w:val="001D20F7"/>
    <w:rsid w:val="001E0306"/>
    <w:rsid w:val="002034D7"/>
    <w:rsid w:val="00203DAB"/>
    <w:rsid w:val="00223B95"/>
    <w:rsid w:val="00246955"/>
    <w:rsid w:val="00250B29"/>
    <w:rsid w:val="002A1023"/>
    <w:rsid w:val="002E73E3"/>
    <w:rsid w:val="002F6AA2"/>
    <w:rsid w:val="00310B5C"/>
    <w:rsid w:val="00315C48"/>
    <w:rsid w:val="003A6F8B"/>
    <w:rsid w:val="003E1E18"/>
    <w:rsid w:val="003E2C01"/>
    <w:rsid w:val="00402B2A"/>
    <w:rsid w:val="004129D7"/>
    <w:rsid w:val="00415B86"/>
    <w:rsid w:val="00422928"/>
    <w:rsid w:val="00462900"/>
    <w:rsid w:val="00477EF0"/>
    <w:rsid w:val="004804E2"/>
    <w:rsid w:val="004944DA"/>
    <w:rsid w:val="004B46F3"/>
    <w:rsid w:val="004B7902"/>
    <w:rsid w:val="004B7DC0"/>
    <w:rsid w:val="005009B3"/>
    <w:rsid w:val="0050547D"/>
    <w:rsid w:val="00516B2F"/>
    <w:rsid w:val="005318A9"/>
    <w:rsid w:val="00533F0A"/>
    <w:rsid w:val="00540DCF"/>
    <w:rsid w:val="00541BA5"/>
    <w:rsid w:val="00542896"/>
    <w:rsid w:val="00547610"/>
    <w:rsid w:val="005A3346"/>
    <w:rsid w:val="005A5C91"/>
    <w:rsid w:val="005A7214"/>
    <w:rsid w:val="005D401D"/>
    <w:rsid w:val="005D4B2A"/>
    <w:rsid w:val="005E32CE"/>
    <w:rsid w:val="005F09B2"/>
    <w:rsid w:val="005F63FE"/>
    <w:rsid w:val="00647B2B"/>
    <w:rsid w:val="006548C7"/>
    <w:rsid w:val="00656B4F"/>
    <w:rsid w:val="006725F1"/>
    <w:rsid w:val="00673C6A"/>
    <w:rsid w:val="00677F86"/>
    <w:rsid w:val="00687093"/>
    <w:rsid w:val="006969B2"/>
    <w:rsid w:val="006A5D43"/>
    <w:rsid w:val="006C0D2E"/>
    <w:rsid w:val="006E3FC2"/>
    <w:rsid w:val="006F78F6"/>
    <w:rsid w:val="00721F34"/>
    <w:rsid w:val="00740BDD"/>
    <w:rsid w:val="007427D5"/>
    <w:rsid w:val="00755462"/>
    <w:rsid w:val="00773905"/>
    <w:rsid w:val="007914E1"/>
    <w:rsid w:val="007961ED"/>
    <w:rsid w:val="007A145A"/>
    <w:rsid w:val="007D189F"/>
    <w:rsid w:val="007E7BAB"/>
    <w:rsid w:val="00802CCF"/>
    <w:rsid w:val="008177D7"/>
    <w:rsid w:val="008614B5"/>
    <w:rsid w:val="008675BD"/>
    <w:rsid w:val="0087267F"/>
    <w:rsid w:val="00886884"/>
    <w:rsid w:val="008C7CEB"/>
    <w:rsid w:val="008E680F"/>
    <w:rsid w:val="00925B2B"/>
    <w:rsid w:val="00943FB7"/>
    <w:rsid w:val="00945C50"/>
    <w:rsid w:val="0096695F"/>
    <w:rsid w:val="009856F7"/>
    <w:rsid w:val="009A01B4"/>
    <w:rsid w:val="009A70D7"/>
    <w:rsid w:val="009E3133"/>
    <w:rsid w:val="009E4B16"/>
    <w:rsid w:val="00A13DA8"/>
    <w:rsid w:val="00A158FB"/>
    <w:rsid w:val="00A67F43"/>
    <w:rsid w:val="00A72A12"/>
    <w:rsid w:val="00A74019"/>
    <w:rsid w:val="00A84F33"/>
    <w:rsid w:val="00A9560C"/>
    <w:rsid w:val="00AB2805"/>
    <w:rsid w:val="00AB3EB7"/>
    <w:rsid w:val="00AE5D9C"/>
    <w:rsid w:val="00AF0A7D"/>
    <w:rsid w:val="00AF3D35"/>
    <w:rsid w:val="00B3245E"/>
    <w:rsid w:val="00B72604"/>
    <w:rsid w:val="00B91A1B"/>
    <w:rsid w:val="00B97BAC"/>
    <w:rsid w:val="00BC48D1"/>
    <w:rsid w:val="00BC605D"/>
    <w:rsid w:val="00BE448C"/>
    <w:rsid w:val="00BE4F63"/>
    <w:rsid w:val="00C9358F"/>
    <w:rsid w:val="00C93D2C"/>
    <w:rsid w:val="00C97127"/>
    <w:rsid w:val="00CA2AFB"/>
    <w:rsid w:val="00CA6F93"/>
    <w:rsid w:val="00CC2A47"/>
    <w:rsid w:val="00CD6B4F"/>
    <w:rsid w:val="00CE78EB"/>
    <w:rsid w:val="00D01A59"/>
    <w:rsid w:val="00D03ED3"/>
    <w:rsid w:val="00D31850"/>
    <w:rsid w:val="00D7106A"/>
    <w:rsid w:val="00DB36F0"/>
    <w:rsid w:val="00DB3C9A"/>
    <w:rsid w:val="00DD5BB2"/>
    <w:rsid w:val="00DF3914"/>
    <w:rsid w:val="00DF6823"/>
    <w:rsid w:val="00E12426"/>
    <w:rsid w:val="00E14D80"/>
    <w:rsid w:val="00E23537"/>
    <w:rsid w:val="00E267D8"/>
    <w:rsid w:val="00E40EF5"/>
    <w:rsid w:val="00E61A89"/>
    <w:rsid w:val="00E909E5"/>
    <w:rsid w:val="00E94277"/>
    <w:rsid w:val="00EA4419"/>
    <w:rsid w:val="00EB757D"/>
    <w:rsid w:val="00EC3A5C"/>
    <w:rsid w:val="00ED49AB"/>
    <w:rsid w:val="00EE3CE1"/>
    <w:rsid w:val="00EE5D9D"/>
    <w:rsid w:val="00F02605"/>
    <w:rsid w:val="00F028A7"/>
    <w:rsid w:val="00F109DE"/>
    <w:rsid w:val="00F179C2"/>
    <w:rsid w:val="00F26799"/>
    <w:rsid w:val="00F37DB0"/>
    <w:rsid w:val="00F47ACA"/>
    <w:rsid w:val="00F57E9A"/>
    <w:rsid w:val="00F60924"/>
    <w:rsid w:val="00F771FD"/>
    <w:rsid w:val="00F94CFE"/>
    <w:rsid w:val="00FA2D5A"/>
    <w:rsid w:val="00FA7429"/>
    <w:rsid w:val="00FB1385"/>
    <w:rsid w:val="00FB4D79"/>
    <w:rsid w:val="00FC2A50"/>
    <w:rsid w:val="00FD070C"/>
    <w:rsid w:val="00FD2A63"/>
    <w:rsid w:val="00FE4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65869A"/>
  <w15:chartTrackingRefBased/>
  <w15:docId w15:val="{32E4E163-6A4D-4A7D-A9C5-CF105B627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B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7B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7B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7B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7B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7B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7B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7B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7B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B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7B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7B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7B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7B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7B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7B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7B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7BAC"/>
    <w:rPr>
      <w:rFonts w:eastAsiaTheme="majorEastAsia" w:cstheme="majorBidi"/>
      <w:color w:val="272727" w:themeColor="text1" w:themeTint="D8"/>
    </w:rPr>
  </w:style>
  <w:style w:type="paragraph" w:styleId="Title">
    <w:name w:val="Title"/>
    <w:basedOn w:val="Normal"/>
    <w:next w:val="Normal"/>
    <w:link w:val="TitleChar"/>
    <w:uiPriority w:val="10"/>
    <w:qFormat/>
    <w:rsid w:val="00B97B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7B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7B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7B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7BAC"/>
    <w:pPr>
      <w:spacing w:before="160"/>
      <w:jc w:val="center"/>
    </w:pPr>
    <w:rPr>
      <w:i/>
      <w:iCs/>
      <w:color w:val="404040" w:themeColor="text1" w:themeTint="BF"/>
    </w:rPr>
  </w:style>
  <w:style w:type="character" w:customStyle="1" w:styleId="QuoteChar">
    <w:name w:val="Quote Char"/>
    <w:basedOn w:val="DefaultParagraphFont"/>
    <w:link w:val="Quote"/>
    <w:uiPriority w:val="29"/>
    <w:rsid w:val="00B97BAC"/>
    <w:rPr>
      <w:i/>
      <w:iCs/>
      <w:color w:val="404040" w:themeColor="text1" w:themeTint="BF"/>
    </w:rPr>
  </w:style>
  <w:style w:type="paragraph" w:styleId="ListParagraph">
    <w:name w:val="List Paragraph"/>
    <w:basedOn w:val="Normal"/>
    <w:uiPriority w:val="34"/>
    <w:qFormat/>
    <w:rsid w:val="00B97BAC"/>
    <w:pPr>
      <w:ind w:left="720"/>
      <w:contextualSpacing/>
    </w:pPr>
  </w:style>
  <w:style w:type="character" w:styleId="IntenseEmphasis">
    <w:name w:val="Intense Emphasis"/>
    <w:basedOn w:val="DefaultParagraphFont"/>
    <w:uiPriority w:val="21"/>
    <w:qFormat/>
    <w:rsid w:val="00B97BAC"/>
    <w:rPr>
      <w:i/>
      <w:iCs/>
      <w:color w:val="0F4761" w:themeColor="accent1" w:themeShade="BF"/>
    </w:rPr>
  </w:style>
  <w:style w:type="paragraph" w:styleId="IntenseQuote">
    <w:name w:val="Intense Quote"/>
    <w:basedOn w:val="Normal"/>
    <w:next w:val="Normal"/>
    <w:link w:val="IntenseQuoteChar"/>
    <w:uiPriority w:val="30"/>
    <w:qFormat/>
    <w:rsid w:val="00B97B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7BAC"/>
    <w:rPr>
      <w:i/>
      <w:iCs/>
      <w:color w:val="0F4761" w:themeColor="accent1" w:themeShade="BF"/>
    </w:rPr>
  </w:style>
  <w:style w:type="character" w:styleId="IntenseReference">
    <w:name w:val="Intense Reference"/>
    <w:basedOn w:val="DefaultParagraphFont"/>
    <w:uiPriority w:val="32"/>
    <w:qFormat/>
    <w:rsid w:val="00B97BAC"/>
    <w:rPr>
      <w:b/>
      <w:bCs/>
      <w:smallCaps/>
      <w:color w:val="0F4761" w:themeColor="accent1" w:themeShade="BF"/>
      <w:spacing w:val="5"/>
    </w:rPr>
  </w:style>
  <w:style w:type="character" w:styleId="Hyperlink">
    <w:name w:val="Hyperlink"/>
    <w:basedOn w:val="DefaultParagraphFont"/>
    <w:uiPriority w:val="99"/>
    <w:unhideWhenUsed/>
    <w:rsid w:val="00193B7B"/>
    <w:rPr>
      <w:color w:val="467886" w:themeColor="hyperlink"/>
      <w:u w:val="single"/>
    </w:rPr>
  </w:style>
  <w:style w:type="character" w:styleId="UnresolvedMention">
    <w:name w:val="Unresolved Mention"/>
    <w:basedOn w:val="DefaultParagraphFont"/>
    <w:uiPriority w:val="99"/>
    <w:semiHidden/>
    <w:unhideWhenUsed/>
    <w:rsid w:val="00CA2AFB"/>
    <w:rPr>
      <w:color w:val="605E5C"/>
      <w:shd w:val="clear" w:color="auto" w:fill="E1DFDD"/>
    </w:rPr>
  </w:style>
  <w:style w:type="character" w:styleId="FollowedHyperlink">
    <w:name w:val="FollowedHyperlink"/>
    <w:basedOn w:val="DefaultParagraphFont"/>
    <w:uiPriority w:val="99"/>
    <w:semiHidden/>
    <w:unhideWhenUsed/>
    <w:rsid w:val="004804E2"/>
    <w:rPr>
      <w:color w:val="96607D" w:themeColor="followedHyperlink"/>
      <w:u w:val="single"/>
    </w:rPr>
  </w:style>
  <w:style w:type="paragraph" w:styleId="NormalWeb">
    <w:name w:val="Normal (Web)"/>
    <w:basedOn w:val="Normal"/>
    <w:uiPriority w:val="99"/>
    <w:semiHidden/>
    <w:unhideWhenUsed/>
    <w:rsid w:val="00EC3A5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EC3A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hyperlink" Target="https://www.mind.org.uk/media/8575/mind-20582-trying-to-connect-report-aw2-welsh-recommendations-lr.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mperial.nhs.uk/about-us/news/remote-monitoring-of-heart-attack-patients-significantly-reduced-hospital-readmission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qc.org.uk/sites/default/files/20210208_InnovationPrinciples_report.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39950-666B-4350-93AF-1AD8FD749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2670</Words>
  <Characters>15220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41</cp:revision>
  <dcterms:created xsi:type="dcterms:W3CDTF">2025-11-06T09:30:00Z</dcterms:created>
  <dcterms:modified xsi:type="dcterms:W3CDTF">2025-11-15T23:15:00Z</dcterms:modified>
</cp:coreProperties>
</file>