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D0BF5" w14:textId="7BE79A7B" w:rsidR="00D81486" w:rsidRPr="0015363E" w:rsidRDefault="00D81486" w:rsidP="0015363E">
      <w:pPr>
        <w:spacing w:line="360" w:lineRule="auto"/>
        <w:rPr>
          <w:rFonts w:ascii="Calibri" w:hAnsi="Calibri" w:cs="Calibri"/>
          <w:sz w:val="24"/>
          <w:szCs w:val="24"/>
        </w:rPr>
      </w:pPr>
      <w:r w:rsidRPr="0015363E">
        <w:rPr>
          <w:rFonts w:ascii="Calibri" w:hAnsi="Calibri" w:cs="Calibri"/>
          <w:sz w:val="24"/>
          <w:szCs w:val="24"/>
        </w:rPr>
        <w:t xml:space="preserve">This essay presents an analysis of two distinct teaching observations in the post-16 education sector, focusing on Miss Johnson's Educational Studies class on lesson planning and Mr Thompson's </w:t>
      </w:r>
      <w:r w:rsidR="004117C6" w:rsidRPr="0015363E">
        <w:rPr>
          <w:rFonts w:ascii="Calibri" w:hAnsi="Calibri" w:cs="Calibri"/>
          <w:sz w:val="24"/>
          <w:szCs w:val="24"/>
        </w:rPr>
        <w:t xml:space="preserve">Educational Studies </w:t>
      </w:r>
      <w:r w:rsidRPr="0015363E">
        <w:rPr>
          <w:rFonts w:ascii="Calibri" w:hAnsi="Calibri" w:cs="Calibri"/>
          <w:sz w:val="24"/>
          <w:szCs w:val="24"/>
        </w:rPr>
        <w:t>class on well</w:t>
      </w:r>
      <w:r w:rsidR="004117C6" w:rsidRPr="0015363E">
        <w:rPr>
          <w:rFonts w:ascii="Calibri" w:hAnsi="Calibri" w:cs="Calibri"/>
          <w:sz w:val="24"/>
          <w:szCs w:val="24"/>
        </w:rPr>
        <w:t>-</w:t>
      </w:r>
      <w:r w:rsidRPr="0015363E">
        <w:rPr>
          <w:rFonts w:ascii="Calibri" w:hAnsi="Calibri" w:cs="Calibri"/>
          <w:sz w:val="24"/>
          <w:szCs w:val="24"/>
        </w:rPr>
        <w:t>being in education. These observations, each lasting three hours, provided valuable insights into effective teaching practices, classroom management strategies, and student engagement techniques that will inform my future career as a</w:t>
      </w:r>
      <w:r w:rsidR="00263A92" w:rsidRPr="0015363E">
        <w:rPr>
          <w:rFonts w:ascii="Calibri" w:hAnsi="Calibri" w:cs="Calibri"/>
          <w:sz w:val="24"/>
          <w:szCs w:val="24"/>
        </w:rPr>
        <w:t xml:space="preserve"> teacher</w:t>
      </w:r>
      <w:r w:rsidRPr="0015363E">
        <w:rPr>
          <w:rFonts w:ascii="Calibri" w:hAnsi="Calibri" w:cs="Calibri"/>
          <w:sz w:val="24"/>
          <w:szCs w:val="24"/>
        </w:rPr>
        <w:t>.</w:t>
      </w:r>
      <w:r w:rsidR="00192CA8" w:rsidRPr="0015363E">
        <w:rPr>
          <w:rFonts w:ascii="Calibri" w:hAnsi="Calibri" w:cs="Calibri"/>
          <w:sz w:val="24"/>
          <w:szCs w:val="24"/>
        </w:rPr>
        <w:t xml:space="preserve"> </w:t>
      </w:r>
      <w:r w:rsidRPr="0015363E">
        <w:rPr>
          <w:rFonts w:ascii="Calibri" w:hAnsi="Calibri" w:cs="Calibri"/>
          <w:sz w:val="24"/>
          <w:szCs w:val="24"/>
        </w:rPr>
        <w:t>By examining these contrasting teaching styles, I aim to deepen my understanding of post-16 education complexities and identify best practices to incorporate into my own teaching philosophy. This essay will discuss key aspects of each observation, including classroom environment, teaching strategies, and student engagement techniques</w:t>
      </w:r>
      <w:r w:rsidR="001975FC" w:rsidRPr="0015363E">
        <w:rPr>
          <w:rFonts w:ascii="Calibri" w:hAnsi="Calibri" w:cs="Calibri"/>
          <w:sz w:val="24"/>
          <w:szCs w:val="24"/>
        </w:rPr>
        <w:t>,</w:t>
      </w:r>
      <w:r w:rsidRPr="0015363E">
        <w:rPr>
          <w:rFonts w:ascii="Calibri" w:hAnsi="Calibri" w:cs="Calibri"/>
          <w:sz w:val="24"/>
          <w:szCs w:val="24"/>
        </w:rPr>
        <w:t xml:space="preserve"> while reflecting on their alignment with educational theories and professional standards. Through this analysis, I will explore how these observations have influenced my perspective on effective teaching and how I plan to apply these insights in my future practice.</w:t>
      </w:r>
      <w:r w:rsidR="007B6305" w:rsidRPr="0015363E">
        <w:rPr>
          <w:rFonts w:ascii="Calibri" w:hAnsi="Calibri" w:cs="Calibri"/>
          <w:sz w:val="24"/>
          <w:szCs w:val="24"/>
        </w:rPr>
        <w:t xml:space="preserve"> </w:t>
      </w:r>
    </w:p>
    <w:p w14:paraId="5D80D364" w14:textId="175425B7" w:rsidR="004222ED" w:rsidRPr="0015363E" w:rsidRDefault="00B11A97" w:rsidP="0015363E">
      <w:pPr>
        <w:spacing w:line="360" w:lineRule="auto"/>
        <w:rPr>
          <w:rFonts w:ascii="Calibri" w:hAnsi="Calibri" w:cs="Calibri"/>
          <w:sz w:val="24"/>
          <w:szCs w:val="24"/>
        </w:rPr>
      </w:pPr>
      <w:r w:rsidRPr="0015363E">
        <w:rPr>
          <w:rFonts w:ascii="Calibri" w:hAnsi="Calibri" w:cs="Calibri"/>
          <w:sz w:val="24"/>
          <w:szCs w:val="24"/>
        </w:rPr>
        <w:t>Miss Johnson's Lesson Planning Observation</w:t>
      </w:r>
    </w:p>
    <w:p w14:paraId="5E6DB522" w14:textId="7FBBAA4A" w:rsidR="00CC651C" w:rsidRPr="0015363E" w:rsidRDefault="00CC651C" w:rsidP="0015363E">
      <w:pPr>
        <w:spacing w:line="360" w:lineRule="auto"/>
        <w:rPr>
          <w:rFonts w:ascii="Calibri" w:hAnsi="Calibri" w:cs="Calibri"/>
          <w:sz w:val="24"/>
          <w:szCs w:val="24"/>
        </w:rPr>
      </w:pPr>
      <w:r w:rsidRPr="0015363E">
        <w:rPr>
          <w:rFonts w:ascii="Calibri" w:hAnsi="Calibri" w:cs="Calibri"/>
          <w:sz w:val="24"/>
          <w:szCs w:val="24"/>
        </w:rPr>
        <w:t xml:space="preserve">Observing Miss Johnson's Educational Studies class provided me with valuable insights into effective teaching practices, which I can reflect upon and adapt for my future teaching career. Her approach to classroom layout, lesson delivery, student engagement, and reflective practice demonstrated thoughtful and research-informed </w:t>
      </w:r>
      <w:r w:rsidR="005A2695" w:rsidRPr="0015363E">
        <w:rPr>
          <w:rFonts w:ascii="Calibri" w:hAnsi="Calibri" w:cs="Calibri"/>
          <w:sz w:val="24"/>
          <w:szCs w:val="24"/>
        </w:rPr>
        <w:t>teaching</w:t>
      </w:r>
      <w:r w:rsidRPr="0015363E">
        <w:rPr>
          <w:rFonts w:ascii="Calibri" w:hAnsi="Calibri" w:cs="Calibri"/>
          <w:sz w:val="24"/>
          <w:szCs w:val="24"/>
        </w:rPr>
        <w:t xml:space="preserve"> that I aspire to emulate.</w:t>
      </w:r>
    </w:p>
    <w:p w14:paraId="184940CD" w14:textId="77777777" w:rsidR="00B4732E" w:rsidRPr="0015363E" w:rsidRDefault="00CC651C" w:rsidP="0015363E">
      <w:pPr>
        <w:spacing w:line="360" w:lineRule="auto"/>
        <w:rPr>
          <w:rFonts w:ascii="Calibri" w:hAnsi="Calibri" w:cs="Calibri"/>
          <w:sz w:val="24"/>
          <w:szCs w:val="24"/>
        </w:rPr>
      </w:pPr>
      <w:r w:rsidRPr="0015363E">
        <w:rPr>
          <w:rFonts w:ascii="Calibri" w:hAnsi="Calibri" w:cs="Calibri"/>
          <w:sz w:val="24"/>
          <w:szCs w:val="24"/>
        </w:rPr>
        <w:t>Upon entering Miss Johnson's classroom, I noticed the traditional layout of tables and chairs facing the teacher</w:t>
      </w:r>
      <w:r w:rsidR="00CE06E5" w:rsidRPr="0015363E">
        <w:rPr>
          <w:rFonts w:ascii="Calibri" w:hAnsi="Calibri" w:cs="Calibri"/>
          <w:sz w:val="24"/>
          <w:szCs w:val="24"/>
        </w:rPr>
        <w:t>,</w:t>
      </w:r>
      <w:r w:rsidRPr="0015363E">
        <w:rPr>
          <w:rFonts w:ascii="Calibri" w:hAnsi="Calibri" w:cs="Calibri"/>
          <w:sz w:val="24"/>
          <w:szCs w:val="24"/>
        </w:rPr>
        <w:t xml:space="preserve"> and </w:t>
      </w:r>
      <w:r w:rsidR="005A2695" w:rsidRPr="0015363E">
        <w:rPr>
          <w:rFonts w:ascii="Calibri" w:hAnsi="Calibri" w:cs="Calibri"/>
          <w:sz w:val="24"/>
          <w:szCs w:val="24"/>
        </w:rPr>
        <w:t xml:space="preserve">the </w:t>
      </w:r>
      <w:r w:rsidRPr="0015363E">
        <w:rPr>
          <w:rFonts w:ascii="Calibri" w:hAnsi="Calibri" w:cs="Calibri"/>
          <w:sz w:val="24"/>
          <w:szCs w:val="24"/>
        </w:rPr>
        <w:t xml:space="preserve">whiteboard. While such arrangements are sometimes criticised for promoting passive learning (Rands and Gansemer-Topf, 2017), in this context, </w:t>
      </w:r>
      <w:r w:rsidR="005A2695" w:rsidRPr="0015363E">
        <w:rPr>
          <w:rFonts w:ascii="Calibri" w:hAnsi="Calibri" w:cs="Calibri"/>
          <w:sz w:val="24"/>
          <w:szCs w:val="24"/>
        </w:rPr>
        <w:t>they</w:t>
      </w:r>
      <w:r w:rsidRPr="0015363E">
        <w:rPr>
          <w:rFonts w:ascii="Calibri" w:hAnsi="Calibri" w:cs="Calibri"/>
          <w:sz w:val="24"/>
          <w:szCs w:val="24"/>
        </w:rPr>
        <w:t xml:space="preserve"> proved effective. The setup allowed Miss Johnson to maintain eye contact with all students and facilitated whole-class discussions. This aligns with Wannarka and Ruhl's (2008) findings </w:t>
      </w:r>
      <w:r w:rsidR="00C94C07" w:rsidRPr="0015363E">
        <w:rPr>
          <w:rFonts w:ascii="Calibri" w:hAnsi="Calibri" w:cs="Calibri"/>
          <w:sz w:val="24"/>
          <w:szCs w:val="24"/>
        </w:rPr>
        <w:t>that show</w:t>
      </w:r>
      <w:r w:rsidRPr="0015363E">
        <w:rPr>
          <w:rFonts w:ascii="Calibri" w:hAnsi="Calibri" w:cs="Calibri"/>
          <w:sz w:val="24"/>
          <w:szCs w:val="24"/>
        </w:rPr>
        <w:t xml:space="preserve"> how traditional layouts can support specific teaching styles and learning outcomes. In my future teaching practice, I would consider using this layout when whole-class discussions or direct instruction are central to the lesson objectives.</w:t>
      </w:r>
    </w:p>
    <w:p w14:paraId="31CAC58D" w14:textId="638C28CC" w:rsidR="00CC651C" w:rsidRPr="0015363E" w:rsidRDefault="00B4732E" w:rsidP="0015363E">
      <w:pPr>
        <w:spacing w:line="360" w:lineRule="auto"/>
        <w:rPr>
          <w:rFonts w:ascii="Calibri" w:hAnsi="Calibri" w:cs="Calibri"/>
          <w:sz w:val="24"/>
          <w:szCs w:val="24"/>
        </w:rPr>
      </w:pPr>
      <w:r w:rsidRPr="0015363E">
        <w:rPr>
          <w:rFonts w:ascii="Calibri" w:hAnsi="Calibri" w:cs="Calibri"/>
          <w:sz w:val="24"/>
          <w:szCs w:val="24"/>
        </w:rPr>
        <w:t xml:space="preserve">Classroom management was an area where Miss Johnson excelled. She maintained a positive and focused learning atmosphere throughout the three-hour session by effectively managing time and smoothly transitioning between activities (Race, 2015, p. 164). When </w:t>
      </w:r>
      <w:r w:rsidRPr="0015363E">
        <w:rPr>
          <w:rFonts w:ascii="Calibri" w:hAnsi="Calibri" w:cs="Calibri"/>
          <w:sz w:val="24"/>
          <w:szCs w:val="24"/>
        </w:rPr>
        <w:lastRenderedPageBreak/>
        <w:t>minor disruptions, such as late arrivals or technical issues with the projector, occurred, she handled them calmly and efficiently, minimising their impact on the flow of the lesson (Race, 2015, p. 178). This balanced approach demonstrated her ability to maintain structure while adapting to unforeseen challenges. Additionally, her approachable demeanour encouraged student participation while fostering positive teacher-student relationships, which is an essential factor in promoting engagement and achievement (Roorda et al., 2011). These observations highlighted how strong organisational skills, combined with meaningful interpersonal connections, create a supportive environment where students feel motivated and engaged.</w:t>
      </w:r>
    </w:p>
    <w:p w14:paraId="4B0970CA" w14:textId="0E1E07E0" w:rsidR="00CC651C" w:rsidRPr="0015363E" w:rsidRDefault="00CC651C" w:rsidP="0015363E">
      <w:pPr>
        <w:spacing w:line="360" w:lineRule="auto"/>
        <w:rPr>
          <w:rFonts w:ascii="Calibri" w:hAnsi="Calibri" w:cs="Calibri"/>
          <w:sz w:val="24"/>
          <w:szCs w:val="24"/>
        </w:rPr>
      </w:pPr>
      <w:r w:rsidRPr="0015363E">
        <w:rPr>
          <w:rFonts w:ascii="Calibri" w:hAnsi="Calibri" w:cs="Calibri"/>
          <w:sz w:val="24"/>
          <w:szCs w:val="24"/>
        </w:rPr>
        <w:t>Miss Johnson began the lesson by clearly stating the objectives, which focused on effective lesson planning techniques. This approach reflects Hattie's (2012) research on visible learning, emphasising the importance of clear learning intentions. She connected these objectives to the students' future teaching careers, demonstrating the relevance of learning, which is a key principle in adult education (Knowles, Holton and Swanson, 2015). This practice resonated with me as it highlighted the importance of making content meaningful for learners. In my teaching career, I plan to adopt this strategy to ensure students understand the purpose of their learning and how it applies to their lives.</w:t>
      </w:r>
    </w:p>
    <w:p w14:paraId="4438C28F" w14:textId="77777777" w:rsidR="00CC651C" w:rsidRPr="0015363E" w:rsidRDefault="00CC651C" w:rsidP="0015363E">
      <w:pPr>
        <w:spacing w:line="360" w:lineRule="auto"/>
        <w:rPr>
          <w:rFonts w:ascii="Calibri" w:hAnsi="Calibri" w:cs="Calibri"/>
          <w:sz w:val="24"/>
          <w:szCs w:val="24"/>
        </w:rPr>
      </w:pPr>
      <w:r w:rsidRPr="0015363E">
        <w:rPr>
          <w:rFonts w:ascii="Calibri" w:hAnsi="Calibri" w:cs="Calibri"/>
          <w:sz w:val="24"/>
          <w:szCs w:val="24"/>
        </w:rPr>
        <w:t>One particularly engaging aspect of Miss Johnson's lesson was her use of a story sack to demonstrate lesson planning and delivery techniques. This hands-on activity exemplified Kolb's (2015) Experiential Learning Theory, which emphasises the role of concrete experiences in the learning process. It also reflects Race's (2015) emphasis on "learning by doing" as a crucial factor in successful learning. I observed how this activity significantly increased student engagement, with many actively participating in the lesson-planning process. This reinforced my belief in incorporating interactive and experiential activities into my lessons to enhance student involvement and understanding.</w:t>
      </w:r>
    </w:p>
    <w:p w14:paraId="508CC53C" w14:textId="60EFE412" w:rsidR="00CC651C" w:rsidRPr="0015363E" w:rsidRDefault="00CC651C" w:rsidP="0015363E">
      <w:pPr>
        <w:spacing w:line="360" w:lineRule="auto"/>
        <w:rPr>
          <w:rFonts w:ascii="Calibri" w:hAnsi="Calibri" w:cs="Calibri"/>
          <w:sz w:val="24"/>
          <w:szCs w:val="24"/>
        </w:rPr>
      </w:pPr>
      <w:r w:rsidRPr="0015363E">
        <w:rPr>
          <w:rFonts w:ascii="Calibri" w:hAnsi="Calibri" w:cs="Calibri"/>
          <w:sz w:val="24"/>
          <w:szCs w:val="24"/>
        </w:rPr>
        <w:t xml:space="preserve">Throughout the lesson, Miss Johnson employed various strategies to maintain high levels of student engagement. She frequently used open-ended questions that addressed different levels of Bloom's revised Taxonomy, from remembering and understanding to analysing and evaluating </w:t>
      </w:r>
      <w:r w:rsidR="00160C8C" w:rsidRPr="0015363E">
        <w:rPr>
          <w:rFonts w:ascii="Calibri" w:hAnsi="Calibri" w:cs="Calibri"/>
          <w:sz w:val="24"/>
          <w:szCs w:val="24"/>
        </w:rPr>
        <w:t xml:space="preserve">(Krathwohl, 2002). </w:t>
      </w:r>
      <w:r w:rsidRPr="0015363E">
        <w:rPr>
          <w:rFonts w:ascii="Calibri" w:hAnsi="Calibri" w:cs="Calibri"/>
          <w:sz w:val="24"/>
          <w:szCs w:val="24"/>
        </w:rPr>
        <w:t xml:space="preserve">Additionally, she implemented think-pair-share activities to encourage peer discussion and foster deeper understanding through collaboration. These strategies align with research suggesting that active learning promotes better retention and </w:t>
      </w:r>
      <w:r w:rsidRPr="0015363E">
        <w:rPr>
          <w:rFonts w:ascii="Calibri" w:hAnsi="Calibri" w:cs="Calibri"/>
          <w:sz w:val="24"/>
          <w:szCs w:val="24"/>
        </w:rPr>
        <w:lastRenderedPageBreak/>
        <w:t xml:space="preserve">comprehension of course material (Freeman </w:t>
      </w:r>
      <w:r w:rsidRPr="0015363E">
        <w:rPr>
          <w:rFonts w:ascii="Calibri" w:hAnsi="Calibri" w:cs="Calibri"/>
          <w:i/>
          <w:iCs/>
          <w:sz w:val="24"/>
          <w:szCs w:val="24"/>
        </w:rPr>
        <w:t>et al</w:t>
      </w:r>
      <w:r w:rsidRPr="0015363E">
        <w:rPr>
          <w:rFonts w:ascii="Calibri" w:hAnsi="Calibri" w:cs="Calibri"/>
          <w:sz w:val="24"/>
          <w:szCs w:val="24"/>
        </w:rPr>
        <w:t>., 2014). When students were not engaging, she called on them by name, a personalised approach that ensured participation while fostering accountability and inclusivity within the classroom. Research supports this method as an effective way to increase engagement and create a more inclusive environment (</w:t>
      </w:r>
      <w:r w:rsidR="009D20FB" w:rsidRPr="0015363E">
        <w:rPr>
          <w:rFonts w:ascii="Calibri" w:hAnsi="Calibri" w:cs="Calibri"/>
          <w:sz w:val="24"/>
          <w:szCs w:val="24"/>
        </w:rPr>
        <w:t xml:space="preserve">Lisdawati </w:t>
      </w:r>
      <w:r w:rsidR="00F864ED" w:rsidRPr="0015363E">
        <w:rPr>
          <w:rFonts w:ascii="Calibri" w:hAnsi="Calibri" w:cs="Calibri"/>
          <w:i/>
          <w:iCs/>
          <w:sz w:val="24"/>
          <w:szCs w:val="24"/>
        </w:rPr>
        <w:t xml:space="preserve">et al., </w:t>
      </w:r>
      <w:r w:rsidR="00F864ED" w:rsidRPr="0015363E">
        <w:rPr>
          <w:rFonts w:ascii="Calibri" w:hAnsi="Calibri" w:cs="Calibri"/>
          <w:sz w:val="24"/>
          <w:szCs w:val="24"/>
        </w:rPr>
        <w:t>2024</w:t>
      </w:r>
      <w:r w:rsidRPr="0015363E">
        <w:rPr>
          <w:rFonts w:ascii="Calibri" w:hAnsi="Calibri" w:cs="Calibri"/>
          <w:sz w:val="24"/>
          <w:szCs w:val="24"/>
        </w:rPr>
        <w:t>). These observations have inspired me to prioritise active learning strategies in my future teaching practice.</w:t>
      </w:r>
    </w:p>
    <w:p w14:paraId="43776E1B" w14:textId="7F2CF549" w:rsidR="00CC651C" w:rsidRPr="0015363E" w:rsidRDefault="00CC651C" w:rsidP="0015363E">
      <w:pPr>
        <w:spacing w:line="360" w:lineRule="auto"/>
        <w:rPr>
          <w:rFonts w:ascii="Calibri" w:hAnsi="Calibri" w:cs="Calibri"/>
          <w:sz w:val="24"/>
          <w:szCs w:val="24"/>
        </w:rPr>
      </w:pPr>
      <w:r w:rsidRPr="0015363E">
        <w:rPr>
          <w:rFonts w:ascii="Calibri" w:hAnsi="Calibri" w:cs="Calibri"/>
          <w:sz w:val="24"/>
          <w:szCs w:val="24"/>
        </w:rPr>
        <w:t xml:space="preserve">Miss Johnson also demonstrated attentiveness to her students' needs during the lesson. At one point, she noticed that some students were taking notes diligently while she spoke. Recognising the importance of allowing time </w:t>
      </w:r>
      <w:r w:rsidR="00590E14" w:rsidRPr="0015363E">
        <w:rPr>
          <w:rFonts w:ascii="Calibri" w:hAnsi="Calibri" w:cs="Calibri"/>
          <w:sz w:val="24"/>
          <w:szCs w:val="24"/>
        </w:rPr>
        <w:t>to process</w:t>
      </w:r>
      <w:r w:rsidRPr="0015363E">
        <w:rPr>
          <w:rFonts w:ascii="Calibri" w:hAnsi="Calibri" w:cs="Calibri"/>
          <w:sz w:val="24"/>
          <w:szCs w:val="24"/>
        </w:rPr>
        <w:t xml:space="preserve"> information, she paused her instruction to let them finish writing. This thoughtful action aligns with research on </w:t>
      </w:r>
      <w:r w:rsidR="00590E14" w:rsidRPr="0015363E">
        <w:rPr>
          <w:rFonts w:ascii="Calibri" w:hAnsi="Calibri" w:cs="Calibri"/>
          <w:sz w:val="24"/>
          <w:szCs w:val="24"/>
        </w:rPr>
        <w:t>notetaking</w:t>
      </w:r>
      <w:r w:rsidRPr="0015363E">
        <w:rPr>
          <w:rFonts w:ascii="Calibri" w:hAnsi="Calibri" w:cs="Calibri"/>
          <w:sz w:val="24"/>
          <w:szCs w:val="24"/>
        </w:rPr>
        <w:t xml:space="preserve"> as a tool for enhancing learning and retention (Jansen et al., 2017). Furthermore, it reflects the Professional Standards for Wales </w:t>
      </w:r>
      <w:r w:rsidR="00976295" w:rsidRPr="0015363E">
        <w:rPr>
          <w:rFonts w:ascii="Calibri" w:hAnsi="Calibri" w:cs="Calibri"/>
          <w:sz w:val="24"/>
          <w:szCs w:val="24"/>
        </w:rPr>
        <w:t>(PSFW)</w:t>
      </w:r>
      <w:r w:rsidRPr="0015363E">
        <w:rPr>
          <w:rFonts w:ascii="Calibri" w:hAnsi="Calibri" w:cs="Calibri"/>
          <w:sz w:val="24"/>
          <w:szCs w:val="24"/>
        </w:rPr>
        <w:t xml:space="preserve"> emphasis on supporting learners based on their starting points and progression options (Welsh Government, 2017). This moment highlighted for me the importance of being observant and responsive to students' needs in real</w:t>
      </w:r>
      <w:r w:rsidR="00ED3DBF" w:rsidRPr="0015363E">
        <w:rPr>
          <w:rFonts w:ascii="Calibri" w:hAnsi="Calibri" w:cs="Calibri"/>
          <w:sz w:val="24"/>
          <w:szCs w:val="24"/>
        </w:rPr>
        <w:t xml:space="preserve"> </w:t>
      </w:r>
      <w:r w:rsidRPr="0015363E">
        <w:rPr>
          <w:rFonts w:ascii="Calibri" w:hAnsi="Calibri" w:cs="Calibri"/>
          <w:sz w:val="24"/>
          <w:szCs w:val="24"/>
        </w:rPr>
        <w:t>time, a practice I aim to incorporate into my own teaching.</w:t>
      </w:r>
    </w:p>
    <w:p w14:paraId="7CE8C2A4" w14:textId="77777777" w:rsidR="00CC651C" w:rsidRPr="0015363E" w:rsidRDefault="00CC651C" w:rsidP="0015363E">
      <w:pPr>
        <w:spacing w:line="360" w:lineRule="auto"/>
        <w:rPr>
          <w:rFonts w:ascii="Calibri" w:hAnsi="Calibri" w:cs="Calibri"/>
          <w:sz w:val="24"/>
          <w:szCs w:val="24"/>
        </w:rPr>
      </w:pPr>
      <w:r w:rsidRPr="0015363E">
        <w:rPr>
          <w:rFonts w:ascii="Calibri" w:hAnsi="Calibri" w:cs="Calibri"/>
          <w:sz w:val="24"/>
          <w:szCs w:val="24"/>
        </w:rPr>
        <w:t xml:space="preserve">Another notable aspect of Miss Johnson's teaching was her use of scaffolding techniques. Scaffolding involves providing temporary support to help learners develop new skills or understanding before gradually reducing assistance as they gain competence (Wood, Bruner and Ross, 1976). For example, when a student struggled with formulating clear learning objectives, Miss Johnson guided them by asking open-ended questions such as "What do you want your students to be able to do by the end of the lesson?" This approach aligns with Vygotsky's (1978) concept of the Zone of Proximal Development, where learners are supported in achieving tasks just beyond their current capabilities. Research shows that effective scaffolding enhances student engagement and promotes deeper understanding (van de Pol, Volman and </w:t>
      </w:r>
      <w:proofErr w:type="spellStart"/>
      <w:r w:rsidRPr="0015363E">
        <w:rPr>
          <w:rFonts w:ascii="Calibri" w:hAnsi="Calibri" w:cs="Calibri"/>
          <w:sz w:val="24"/>
          <w:szCs w:val="24"/>
        </w:rPr>
        <w:t>Beishuizen</w:t>
      </w:r>
      <w:proofErr w:type="spellEnd"/>
      <w:r w:rsidRPr="0015363E">
        <w:rPr>
          <w:rFonts w:ascii="Calibri" w:hAnsi="Calibri" w:cs="Calibri"/>
          <w:sz w:val="24"/>
          <w:szCs w:val="24"/>
        </w:rPr>
        <w:t>, 2010). Observing this technique reinforced my belief in providing structured support tailored to individual learners' needs.</w:t>
      </w:r>
    </w:p>
    <w:p w14:paraId="6CB7FA94" w14:textId="4057A1D8" w:rsidR="00DE5452" w:rsidRPr="0015363E" w:rsidRDefault="00CC651C" w:rsidP="0015363E">
      <w:pPr>
        <w:spacing w:line="360" w:lineRule="auto"/>
        <w:rPr>
          <w:rFonts w:ascii="Calibri" w:hAnsi="Calibri" w:cs="Calibri"/>
          <w:sz w:val="24"/>
          <w:szCs w:val="24"/>
        </w:rPr>
      </w:pPr>
      <w:r w:rsidRPr="0015363E">
        <w:rPr>
          <w:rFonts w:ascii="Calibri" w:hAnsi="Calibri" w:cs="Calibri"/>
          <w:sz w:val="24"/>
          <w:szCs w:val="24"/>
        </w:rPr>
        <w:t xml:space="preserve">Towards the end of the lesson, Miss Johnson demonstrated self-awareness by acknowledging </w:t>
      </w:r>
      <w:r w:rsidR="003B6665" w:rsidRPr="0015363E">
        <w:rPr>
          <w:rFonts w:ascii="Calibri" w:hAnsi="Calibri" w:cs="Calibri"/>
          <w:sz w:val="24"/>
          <w:szCs w:val="24"/>
        </w:rPr>
        <w:t>her</w:t>
      </w:r>
      <w:r w:rsidRPr="0015363E">
        <w:rPr>
          <w:rFonts w:ascii="Calibri" w:hAnsi="Calibri" w:cs="Calibri"/>
          <w:sz w:val="24"/>
          <w:szCs w:val="24"/>
        </w:rPr>
        <w:t xml:space="preserve"> oversigh</w:t>
      </w:r>
      <w:r w:rsidR="00F92C1F" w:rsidRPr="0015363E">
        <w:rPr>
          <w:rFonts w:ascii="Calibri" w:hAnsi="Calibri" w:cs="Calibri"/>
          <w:sz w:val="24"/>
          <w:szCs w:val="24"/>
        </w:rPr>
        <w:t>t that</w:t>
      </w:r>
      <w:r w:rsidRPr="0015363E">
        <w:rPr>
          <w:rFonts w:ascii="Calibri" w:hAnsi="Calibri" w:cs="Calibri"/>
          <w:sz w:val="24"/>
          <w:szCs w:val="24"/>
        </w:rPr>
        <w:t xml:space="preserve"> she had forgotten to activate students' prior knowledge at the start of class. Rather than ignoring this mistake, she openly admitted it to her students, a transparent approach that aligns with research suggesting that teacher honesty can enhance trust and engagement (</w:t>
      </w:r>
      <w:r w:rsidR="0067220C" w:rsidRPr="0015363E">
        <w:rPr>
          <w:rFonts w:ascii="Calibri" w:hAnsi="Calibri" w:cs="Calibri"/>
          <w:sz w:val="24"/>
          <w:szCs w:val="24"/>
        </w:rPr>
        <w:t>Vivekananda and Meenakshi, 2022</w:t>
      </w:r>
      <w:r w:rsidRPr="0015363E">
        <w:rPr>
          <w:rFonts w:ascii="Calibri" w:hAnsi="Calibri" w:cs="Calibri"/>
          <w:sz w:val="24"/>
          <w:szCs w:val="24"/>
        </w:rPr>
        <w:t xml:space="preserve">). Activating prior knowledge is a </w:t>
      </w:r>
      <w:r w:rsidRPr="0015363E">
        <w:rPr>
          <w:rFonts w:ascii="Calibri" w:hAnsi="Calibri" w:cs="Calibri"/>
          <w:sz w:val="24"/>
          <w:szCs w:val="24"/>
        </w:rPr>
        <w:lastRenderedPageBreak/>
        <w:t>crucial step in scaffolding new learning</w:t>
      </w:r>
      <w:r w:rsidR="00986B3E" w:rsidRPr="0015363E">
        <w:rPr>
          <w:rFonts w:ascii="Calibri" w:hAnsi="Calibri" w:cs="Calibri"/>
          <w:sz w:val="24"/>
          <w:szCs w:val="24"/>
        </w:rPr>
        <w:t xml:space="preserve">, </w:t>
      </w:r>
      <w:r w:rsidRPr="0015363E">
        <w:rPr>
          <w:rFonts w:ascii="Calibri" w:hAnsi="Calibri" w:cs="Calibri"/>
          <w:sz w:val="24"/>
          <w:szCs w:val="24"/>
        </w:rPr>
        <w:t>as it helps students connect new information with existing knowledge, enhancing both understanding and retention (Ambrose et al., 2010). By modelling reflective practice through her admission, Miss Johnson emphasised the value of continual self-improvement, a principle I hope to embody in my own teaching career.</w:t>
      </w:r>
    </w:p>
    <w:p w14:paraId="64CF48DF" w14:textId="78AFE35F" w:rsidR="00DE5452" w:rsidRPr="0015363E" w:rsidRDefault="00DD0718" w:rsidP="0015363E">
      <w:pPr>
        <w:spacing w:line="360" w:lineRule="auto"/>
        <w:rPr>
          <w:rFonts w:ascii="Calibri" w:hAnsi="Calibri" w:cs="Calibri"/>
          <w:sz w:val="24"/>
          <w:szCs w:val="24"/>
        </w:rPr>
      </w:pPr>
      <w:r w:rsidRPr="0015363E">
        <w:rPr>
          <w:rFonts w:ascii="Calibri" w:hAnsi="Calibri" w:cs="Calibri"/>
          <w:sz w:val="24"/>
          <w:szCs w:val="24"/>
        </w:rPr>
        <w:t>Mr Thompson's Wellbeing in Education Observation</w:t>
      </w:r>
    </w:p>
    <w:p w14:paraId="4E68B3D6" w14:textId="651CB009" w:rsidR="00C623F3" w:rsidRPr="0015363E" w:rsidRDefault="00AD152A" w:rsidP="0015363E">
      <w:pPr>
        <w:spacing w:line="360" w:lineRule="auto"/>
        <w:rPr>
          <w:rFonts w:ascii="Calibri" w:hAnsi="Calibri" w:cs="Calibri"/>
          <w:sz w:val="24"/>
          <w:szCs w:val="24"/>
        </w:rPr>
      </w:pPr>
      <w:r w:rsidRPr="0015363E">
        <w:rPr>
          <w:rFonts w:ascii="Calibri" w:hAnsi="Calibri" w:cs="Calibri"/>
          <w:sz w:val="24"/>
          <w:szCs w:val="24"/>
        </w:rPr>
        <w:t xml:space="preserve">Following my observation of Miss Johnson's class, I had the opportunity to observe Mr Thompson's Educational Studies class, which provided a fascinating contrast in teaching styles and classroom environments. While both instructors demonstrated effective teaching practices, Mr Thompson's approach highlighted different aspects of </w:t>
      </w:r>
      <w:r w:rsidR="003F017D" w:rsidRPr="0015363E">
        <w:rPr>
          <w:rFonts w:ascii="Calibri" w:hAnsi="Calibri" w:cs="Calibri"/>
          <w:sz w:val="24"/>
          <w:szCs w:val="24"/>
        </w:rPr>
        <w:t>student-centred</w:t>
      </w:r>
      <w:r w:rsidRPr="0015363E">
        <w:rPr>
          <w:rFonts w:ascii="Calibri" w:hAnsi="Calibri" w:cs="Calibri"/>
          <w:sz w:val="24"/>
          <w:szCs w:val="24"/>
        </w:rPr>
        <w:t xml:space="preserve"> learning and </w:t>
      </w:r>
      <w:r w:rsidR="003F017D" w:rsidRPr="0015363E">
        <w:rPr>
          <w:rFonts w:ascii="Calibri" w:hAnsi="Calibri" w:cs="Calibri"/>
          <w:sz w:val="24"/>
          <w:szCs w:val="24"/>
        </w:rPr>
        <w:t xml:space="preserve">engagement. </w:t>
      </w:r>
      <w:r w:rsidR="00C623F3" w:rsidRPr="0015363E">
        <w:rPr>
          <w:rFonts w:ascii="Calibri" w:hAnsi="Calibri" w:cs="Calibri"/>
          <w:sz w:val="24"/>
          <w:szCs w:val="24"/>
        </w:rPr>
        <w:t xml:space="preserve">Upon entering Mr Thompson's classroom, I was immediately </w:t>
      </w:r>
      <w:r w:rsidR="00A65CD4" w:rsidRPr="0015363E">
        <w:rPr>
          <w:rFonts w:ascii="Calibri" w:hAnsi="Calibri" w:cs="Calibri"/>
          <w:sz w:val="24"/>
          <w:szCs w:val="24"/>
        </w:rPr>
        <w:t>impressed</w:t>
      </w:r>
      <w:r w:rsidR="00C623F3" w:rsidRPr="0015363E">
        <w:rPr>
          <w:rFonts w:ascii="Calibri" w:hAnsi="Calibri" w:cs="Calibri"/>
          <w:sz w:val="24"/>
          <w:szCs w:val="24"/>
        </w:rPr>
        <w:t xml:space="preserve"> by the warm and inviting environment he had cultivated. He greeted each student personally as they arrived, demonstrating a personal approach that Marzano</w:t>
      </w:r>
      <w:r w:rsidR="004041DE" w:rsidRPr="0015363E">
        <w:rPr>
          <w:rFonts w:ascii="Calibri" w:hAnsi="Calibri" w:cs="Calibri"/>
          <w:sz w:val="24"/>
          <w:szCs w:val="24"/>
        </w:rPr>
        <w:t>, Marzano and Pickering</w:t>
      </w:r>
      <w:r w:rsidR="00C623F3" w:rsidRPr="0015363E">
        <w:rPr>
          <w:rFonts w:ascii="Calibri" w:hAnsi="Calibri" w:cs="Calibri"/>
          <w:sz w:val="24"/>
          <w:szCs w:val="24"/>
        </w:rPr>
        <w:t xml:space="preserve"> (2003) </w:t>
      </w:r>
      <w:r w:rsidR="00EE279C" w:rsidRPr="0015363E">
        <w:rPr>
          <w:rFonts w:ascii="Calibri" w:hAnsi="Calibri" w:cs="Calibri"/>
          <w:sz w:val="24"/>
          <w:szCs w:val="24"/>
        </w:rPr>
        <w:t>identify</w:t>
      </w:r>
      <w:r w:rsidR="00C623F3" w:rsidRPr="0015363E">
        <w:rPr>
          <w:rFonts w:ascii="Calibri" w:hAnsi="Calibri" w:cs="Calibri"/>
          <w:sz w:val="24"/>
          <w:szCs w:val="24"/>
        </w:rPr>
        <w:t xml:space="preserve"> as crucial for building positive teacher-student relationships. This initial interaction set a positive tone for the lesson and highlighted the importance of establishing rapport with students. Research suggests that such personalised interactions can enhance student engagement and motivation (Roorda et al., 2011). In my future teaching practice, I plan to adopt similar strategies by greeting students at the door or taking a moment at the start of each class to check in with individuals.</w:t>
      </w:r>
    </w:p>
    <w:p w14:paraId="21C7F3DB" w14:textId="6C47FFD6" w:rsidR="00C623F3" w:rsidRPr="0015363E" w:rsidRDefault="00C623F3" w:rsidP="0015363E">
      <w:pPr>
        <w:spacing w:line="360" w:lineRule="auto"/>
        <w:rPr>
          <w:rFonts w:ascii="Calibri" w:hAnsi="Calibri" w:cs="Calibri"/>
          <w:sz w:val="24"/>
          <w:szCs w:val="24"/>
        </w:rPr>
      </w:pPr>
      <w:r w:rsidRPr="0015363E">
        <w:rPr>
          <w:rFonts w:ascii="Calibri" w:hAnsi="Calibri" w:cs="Calibri"/>
          <w:sz w:val="24"/>
          <w:szCs w:val="24"/>
        </w:rPr>
        <w:t xml:space="preserve">The flexible seating arrangement in Mr Thompson's classroom, with tables grouped to facilitate small group discussions, reflected a student-centred approach that encourages collaboration and interaction </w:t>
      </w:r>
      <w:r w:rsidR="00FE6ABE" w:rsidRPr="0015363E">
        <w:rPr>
          <w:rFonts w:ascii="Calibri" w:hAnsi="Calibri" w:cs="Calibri"/>
          <w:sz w:val="24"/>
          <w:szCs w:val="24"/>
        </w:rPr>
        <w:t>between</w:t>
      </w:r>
      <w:r w:rsidRPr="0015363E">
        <w:rPr>
          <w:rFonts w:ascii="Calibri" w:hAnsi="Calibri" w:cs="Calibri"/>
          <w:sz w:val="24"/>
          <w:szCs w:val="24"/>
        </w:rPr>
        <w:t xml:space="preserve"> learners (</w:t>
      </w:r>
      <w:r w:rsidR="00A356CA" w:rsidRPr="0015363E">
        <w:rPr>
          <w:rFonts w:ascii="Calibri" w:hAnsi="Calibri" w:cs="Calibri"/>
          <w:sz w:val="24"/>
          <w:szCs w:val="24"/>
        </w:rPr>
        <w:t xml:space="preserve">Poirier </w:t>
      </w:r>
      <w:r w:rsidR="00A356CA" w:rsidRPr="0015363E">
        <w:rPr>
          <w:rFonts w:ascii="Calibri" w:hAnsi="Calibri" w:cs="Calibri"/>
          <w:i/>
          <w:iCs/>
          <w:sz w:val="24"/>
          <w:szCs w:val="24"/>
        </w:rPr>
        <w:t>et al</w:t>
      </w:r>
      <w:r w:rsidR="00A356CA" w:rsidRPr="0015363E">
        <w:rPr>
          <w:rFonts w:ascii="Calibri" w:hAnsi="Calibri" w:cs="Calibri"/>
          <w:sz w:val="24"/>
          <w:szCs w:val="24"/>
        </w:rPr>
        <w:t>., 2022</w:t>
      </w:r>
      <w:r w:rsidRPr="0015363E">
        <w:rPr>
          <w:rFonts w:ascii="Calibri" w:hAnsi="Calibri" w:cs="Calibri"/>
          <w:sz w:val="24"/>
          <w:szCs w:val="24"/>
        </w:rPr>
        <w:t>). Observing how easily students transitioned between whole-class discussions and small</w:t>
      </w:r>
      <w:r w:rsidR="00FE1A38" w:rsidRPr="0015363E">
        <w:rPr>
          <w:rFonts w:ascii="Calibri" w:hAnsi="Calibri" w:cs="Calibri"/>
          <w:sz w:val="24"/>
          <w:szCs w:val="24"/>
        </w:rPr>
        <w:t>-</w:t>
      </w:r>
      <w:r w:rsidRPr="0015363E">
        <w:rPr>
          <w:rFonts w:ascii="Calibri" w:hAnsi="Calibri" w:cs="Calibri"/>
          <w:sz w:val="24"/>
          <w:szCs w:val="24"/>
        </w:rPr>
        <w:t>group work inspired me to consider how I might incorporate flexible seating in my own classroom. Research supports the idea that flexible seating arrangements can enhance peer-to-peer learning and foster active engagement (Rands &amp; Gansemer-Topf, 2017). By experimenting with different layouts based on lesson objectives, I can create an environment that promotes dynamic interaction and peer learning.</w:t>
      </w:r>
    </w:p>
    <w:p w14:paraId="0EE2ED9B" w14:textId="77777777" w:rsidR="00C623F3" w:rsidRPr="0015363E" w:rsidRDefault="00C623F3" w:rsidP="0015363E">
      <w:pPr>
        <w:spacing w:line="360" w:lineRule="auto"/>
        <w:rPr>
          <w:rFonts w:ascii="Calibri" w:hAnsi="Calibri" w:cs="Calibri"/>
          <w:sz w:val="24"/>
          <w:szCs w:val="24"/>
        </w:rPr>
      </w:pPr>
      <w:r w:rsidRPr="0015363E">
        <w:rPr>
          <w:rFonts w:ascii="Calibri" w:hAnsi="Calibri" w:cs="Calibri"/>
          <w:sz w:val="24"/>
          <w:szCs w:val="24"/>
        </w:rPr>
        <w:t xml:space="preserve">Mr Thompson began the session with a brief recap of the previous lesson, effectively activating students' prior knowledge. This strategy aligns with Hattie's (2012) research on visible learning, which emphasises the significance of connecting new information to existing </w:t>
      </w:r>
      <w:r w:rsidRPr="0015363E">
        <w:rPr>
          <w:rFonts w:ascii="Calibri" w:hAnsi="Calibri" w:cs="Calibri"/>
          <w:sz w:val="24"/>
          <w:szCs w:val="24"/>
        </w:rPr>
        <w:lastRenderedPageBreak/>
        <w:t>knowledge. Activating prior knowledge is essential for scaffolding new learning (Ambrose et al., 2010). I noted how this approach not only served as a refresher but also provided a smooth transition into the day's lesson. In my future teaching practice, I plan to incorporate similar recap activities using interactive quizzes or brief discussions to engage students and reinforce their understanding before introducing new concepts.</w:t>
      </w:r>
    </w:p>
    <w:p w14:paraId="1758A8AB" w14:textId="136BD46E" w:rsidR="00F875BD" w:rsidRPr="0015363E" w:rsidRDefault="00FA35F3" w:rsidP="0015363E">
      <w:pPr>
        <w:spacing w:line="360" w:lineRule="auto"/>
        <w:rPr>
          <w:rFonts w:ascii="Calibri" w:hAnsi="Calibri" w:cs="Calibri"/>
          <w:sz w:val="24"/>
          <w:szCs w:val="24"/>
        </w:rPr>
      </w:pPr>
      <w:r w:rsidRPr="0015363E">
        <w:rPr>
          <w:rFonts w:ascii="Calibri" w:hAnsi="Calibri" w:cs="Calibri"/>
          <w:sz w:val="24"/>
          <w:szCs w:val="24"/>
        </w:rPr>
        <w:t>Throughout the lesson, I was impressed by Mr Thompson's engaging teaching style and evident enthusiasm for the topic</w:t>
      </w:r>
      <w:r w:rsidR="00891195" w:rsidRPr="0015363E">
        <w:rPr>
          <w:rFonts w:ascii="Calibri" w:hAnsi="Calibri" w:cs="Calibri"/>
          <w:sz w:val="24"/>
          <w:szCs w:val="24"/>
        </w:rPr>
        <w:t xml:space="preserve">. </w:t>
      </w:r>
      <w:r w:rsidR="003F3911" w:rsidRPr="0015363E">
        <w:rPr>
          <w:rFonts w:ascii="Calibri" w:hAnsi="Calibri" w:cs="Calibri"/>
          <w:sz w:val="24"/>
          <w:szCs w:val="24"/>
        </w:rPr>
        <w:t xml:space="preserve">Race (2015, p. 13) posits that </w:t>
      </w:r>
      <w:r w:rsidR="00D44F3F" w:rsidRPr="0015363E">
        <w:rPr>
          <w:rFonts w:ascii="Calibri" w:hAnsi="Calibri" w:cs="Calibri"/>
          <w:sz w:val="24"/>
          <w:szCs w:val="24"/>
        </w:rPr>
        <w:t xml:space="preserve">'enthusiasm is very infectious,' </w:t>
      </w:r>
      <w:r w:rsidR="003F3911" w:rsidRPr="0015363E">
        <w:rPr>
          <w:rFonts w:ascii="Calibri" w:hAnsi="Calibri" w:cs="Calibri"/>
          <w:sz w:val="24"/>
          <w:szCs w:val="24"/>
        </w:rPr>
        <w:t>suggesting such an approach can significantly enhance student motivation. This was apparent in the high levels of student engagement observed throughout the session. A key feature of Mr Thompson's teaching approach was his strategic use of classroom space. He consistently moved around the room, interacting with students both individually and in small groups. This mobility served</w:t>
      </w:r>
      <w:r w:rsidR="003977A1" w:rsidRPr="0015363E">
        <w:rPr>
          <w:rFonts w:ascii="Calibri" w:hAnsi="Calibri" w:cs="Calibri"/>
          <w:sz w:val="24"/>
          <w:szCs w:val="24"/>
        </w:rPr>
        <w:t xml:space="preserve"> </w:t>
      </w:r>
      <w:r w:rsidR="00DA4220" w:rsidRPr="0015363E">
        <w:rPr>
          <w:rFonts w:ascii="Calibri" w:hAnsi="Calibri" w:cs="Calibri"/>
          <w:sz w:val="24"/>
          <w:szCs w:val="24"/>
        </w:rPr>
        <w:t>multiple functions</w:t>
      </w:r>
      <w:r w:rsidR="006042D8" w:rsidRPr="0015363E">
        <w:rPr>
          <w:rFonts w:ascii="Calibri" w:hAnsi="Calibri" w:cs="Calibri"/>
          <w:sz w:val="24"/>
          <w:szCs w:val="24"/>
        </w:rPr>
        <w:t>:</w:t>
      </w:r>
      <w:r w:rsidR="00DA4220" w:rsidRPr="0015363E">
        <w:rPr>
          <w:rFonts w:ascii="Calibri" w:hAnsi="Calibri" w:cs="Calibri"/>
          <w:sz w:val="24"/>
          <w:szCs w:val="24"/>
        </w:rPr>
        <w:t xml:space="preserve"> it allowed for personalised interactions, providing opportunities for individualised instruction and support</w:t>
      </w:r>
      <w:r w:rsidR="003F3911" w:rsidRPr="0015363E">
        <w:rPr>
          <w:rFonts w:ascii="Calibri" w:hAnsi="Calibri" w:cs="Calibri"/>
          <w:sz w:val="24"/>
          <w:szCs w:val="24"/>
        </w:rPr>
        <w:t xml:space="preserve"> whilst also acting as a non-verbal cue for maintaining student focus and participation. Research supports the efficacy of this approach. Lampi, Fenty, and </w:t>
      </w:r>
      <w:proofErr w:type="spellStart"/>
      <w:r w:rsidR="003F3911" w:rsidRPr="0015363E">
        <w:rPr>
          <w:rFonts w:ascii="Calibri" w:hAnsi="Calibri" w:cs="Calibri"/>
          <w:sz w:val="24"/>
          <w:szCs w:val="24"/>
        </w:rPr>
        <w:t>Beaunae</w:t>
      </w:r>
      <w:proofErr w:type="spellEnd"/>
      <w:r w:rsidR="003F3911" w:rsidRPr="0015363E">
        <w:rPr>
          <w:rFonts w:ascii="Calibri" w:hAnsi="Calibri" w:cs="Calibri"/>
          <w:sz w:val="24"/>
          <w:szCs w:val="24"/>
        </w:rPr>
        <w:t xml:space="preserve"> (2005) found that teacher proximity in the classroom effectively increases student engagement and reduces off-task behaviour. Similarly, Riches (2019) argues that strategic circulation transforms classrooms into dynamic spaces where teachers can observe, guide, and challenge students in real time. Mr Thompson's ability to maintain a relaxed demeanour whilst actively moving through the classroom created an environment conducive to learning. This approach appeared to strengthen teacher-student relationships, further enhancing overall classroom engagement. Observing this dynamic approach has prompted reflection on how to incorporate more movement into my future teaching practice. By effectively utilising the entire classroom space and increasing interactions with students throughout lessons, I aim to foster more personal connections and create a more engaging learning environment. This strategy has the potential to strengthen teacher-student relationships and promote active participation, ultimately enhancing the overall learning experience.</w:t>
      </w:r>
      <w:r w:rsidR="00F875BD" w:rsidRPr="0015363E">
        <w:rPr>
          <w:rFonts w:ascii="Calibri" w:hAnsi="Calibri" w:cs="Calibri"/>
          <w:sz w:val="24"/>
          <w:szCs w:val="24"/>
        </w:rPr>
        <w:t xml:space="preserve"> </w:t>
      </w:r>
    </w:p>
    <w:p w14:paraId="5979B3F5" w14:textId="355EF7E4" w:rsidR="00C623F3" w:rsidRPr="0015363E" w:rsidRDefault="00C623F3" w:rsidP="0015363E">
      <w:pPr>
        <w:spacing w:line="360" w:lineRule="auto"/>
        <w:rPr>
          <w:rFonts w:ascii="Calibri" w:hAnsi="Calibri" w:cs="Calibri"/>
          <w:sz w:val="24"/>
          <w:szCs w:val="24"/>
        </w:rPr>
      </w:pPr>
      <w:r w:rsidRPr="0015363E">
        <w:rPr>
          <w:rFonts w:ascii="Calibri" w:hAnsi="Calibri" w:cs="Calibri"/>
          <w:sz w:val="24"/>
          <w:szCs w:val="24"/>
        </w:rPr>
        <w:t xml:space="preserve">One particularly noteworthy aspect of Mr Thompson's teaching was his consistent use of positive reinforcement. He frequently thanked students for their participation and used both verbal praise and non-verbal cues to acknowledge their contributions. This practice is rooted in behaviourist theories of learning (Skinner, 1953) and appeared to increase student </w:t>
      </w:r>
      <w:r w:rsidRPr="0015363E">
        <w:rPr>
          <w:rFonts w:ascii="Calibri" w:hAnsi="Calibri" w:cs="Calibri"/>
          <w:sz w:val="24"/>
          <w:szCs w:val="24"/>
        </w:rPr>
        <w:lastRenderedPageBreak/>
        <w:t>motivation and willingness to contribute to class discussions (</w:t>
      </w:r>
      <w:r w:rsidR="00F02968" w:rsidRPr="0015363E">
        <w:rPr>
          <w:rFonts w:ascii="Calibri" w:hAnsi="Calibri" w:cs="Calibri"/>
          <w:sz w:val="24"/>
          <w:szCs w:val="24"/>
        </w:rPr>
        <w:t xml:space="preserve">Caldarella </w:t>
      </w:r>
      <w:r w:rsidR="00F02968" w:rsidRPr="0015363E">
        <w:rPr>
          <w:rFonts w:ascii="Calibri" w:hAnsi="Calibri" w:cs="Calibri"/>
          <w:i/>
          <w:iCs/>
          <w:sz w:val="24"/>
          <w:szCs w:val="24"/>
        </w:rPr>
        <w:t>et al</w:t>
      </w:r>
      <w:r w:rsidR="00F02968" w:rsidRPr="0015363E">
        <w:rPr>
          <w:rFonts w:ascii="Calibri" w:hAnsi="Calibri" w:cs="Calibri"/>
          <w:sz w:val="24"/>
          <w:szCs w:val="24"/>
        </w:rPr>
        <w:t>., 202</w:t>
      </w:r>
      <w:r w:rsidR="00EE46CA" w:rsidRPr="0015363E">
        <w:rPr>
          <w:rFonts w:ascii="Calibri" w:hAnsi="Calibri" w:cs="Calibri"/>
          <w:sz w:val="24"/>
          <w:szCs w:val="24"/>
        </w:rPr>
        <w:t>0</w:t>
      </w:r>
      <w:r w:rsidRPr="0015363E">
        <w:rPr>
          <w:rFonts w:ascii="Calibri" w:hAnsi="Calibri" w:cs="Calibri"/>
          <w:sz w:val="24"/>
          <w:szCs w:val="24"/>
        </w:rPr>
        <w:t>). Race (2015) asserts that positive feedback is essential for motivating students: "Positive feedback helps students feel valued" (Race, 2015, p. 10). Witnessing the positive impact of this reinforcement has prompted me to consider how I can implement similar strategies in my own classroom. Developing a range of verbal and non-verbal cues to recognise student efforts will help create an atmosphere where students feel valued and encouraged to take risks in their learning.</w:t>
      </w:r>
    </w:p>
    <w:p w14:paraId="5D3C8B6C" w14:textId="0CFD3543" w:rsidR="00C623F3" w:rsidRPr="0015363E" w:rsidRDefault="00C623F3" w:rsidP="0015363E">
      <w:pPr>
        <w:spacing w:line="360" w:lineRule="auto"/>
        <w:rPr>
          <w:rFonts w:ascii="Calibri" w:hAnsi="Calibri" w:cs="Calibri"/>
          <w:sz w:val="24"/>
          <w:szCs w:val="24"/>
        </w:rPr>
      </w:pPr>
      <w:r w:rsidRPr="0015363E">
        <w:rPr>
          <w:rFonts w:ascii="Calibri" w:hAnsi="Calibri" w:cs="Calibri"/>
          <w:sz w:val="24"/>
          <w:szCs w:val="24"/>
        </w:rPr>
        <w:t>Mr Thompson structured his lesson around collaborative learning activities that reflected Vygotsky's (1978) social constructivist theories of learning. These activities encouraged students to share their experiences and learn from one another, creating a rich learning environment known to promote deeper understanding through peer interaction (van de Pol et al., 2010). Race (2015) supports this by stating that small-group teaching allows students to "make sense of what has been learned" by sharing ideas and perspectives (Race, 2015, p. 164). Inspired by this observation, I intend to design collaborative tasks in my future lessons that promote individual accountability while fostering positive interdependence among students.</w:t>
      </w:r>
      <w:r w:rsidR="00BE66FF" w:rsidRPr="0015363E">
        <w:rPr>
          <w:rFonts w:ascii="Calibri" w:hAnsi="Calibri" w:cs="Calibri"/>
          <w:sz w:val="24"/>
          <w:szCs w:val="24"/>
        </w:rPr>
        <w:t xml:space="preserve"> </w:t>
      </w:r>
      <w:r w:rsidRPr="0015363E">
        <w:rPr>
          <w:rFonts w:ascii="Calibri" w:hAnsi="Calibri" w:cs="Calibri"/>
          <w:sz w:val="24"/>
          <w:szCs w:val="24"/>
        </w:rPr>
        <w:t>Mr Thompson frequently drew on students' professional experiences, encouraging them to share relevant anecdotes and insights. This practice validated their existing knowledge while bridging the gap between theory and practice (Lave &amp; Wenger, 1991). In my future teaching, I plan to similarly encourage students to share their experiences, making learning more meaningful and applicable to their current or future roles.</w:t>
      </w:r>
    </w:p>
    <w:p w14:paraId="61566E91" w14:textId="77777777" w:rsidR="004A748A" w:rsidRPr="0015363E" w:rsidRDefault="005C39F3" w:rsidP="0015363E">
      <w:pPr>
        <w:spacing w:line="360" w:lineRule="auto"/>
        <w:rPr>
          <w:rFonts w:ascii="Calibri" w:hAnsi="Calibri" w:cs="Calibri"/>
          <w:sz w:val="24"/>
          <w:szCs w:val="24"/>
        </w:rPr>
      </w:pPr>
      <w:r w:rsidRPr="0015363E">
        <w:rPr>
          <w:rFonts w:ascii="Calibri" w:hAnsi="Calibri" w:cs="Calibri"/>
          <w:sz w:val="24"/>
          <w:szCs w:val="24"/>
        </w:rPr>
        <w:t>Mr Thompson's active learning strategies exemplified a comprehensive approach to effective teaching and learning, aligning closely with the</w:t>
      </w:r>
      <w:r w:rsidR="008F28B7" w:rsidRPr="0015363E">
        <w:rPr>
          <w:rFonts w:ascii="Calibri" w:hAnsi="Calibri" w:cs="Calibri"/>
          <w:sz w:val="24"/>
          <w:szCs w:val="24"/>
        </w:rPr>
        <w:t xml:space="preserve"> </w:t>
      </w:r>
      <w:r w:rsidR="008B2291" w:rsidRPr="0015363E">
        <w:rPr>
          <w:rFonts w:ascii="Calibri" w:hAnsi="Calibri" w:cs="Calibri"/>
          <w:sz w:val="24"/>
          <w:szCs w:val="24"/>
        </w:rPr>
        <w:t>PSF</w:t>
      </w:r>
      <w:r w:rsidR="008F28B7" w:rsidRPr="0015363E">
        <w:rPr>
          <w:rFonts w:ascii="Calibri" w:hAnsi="Calibri" w:cs="Calibri"/>
          <w:sz w:val="24"/>
          <w:szCs w:val="24"/>
        </w:rPr>
        <w:t>W</w:t>
      </w:r>
      <w:r w:rsidRPr="0015363E">
        <w:rPr>
          <w:rFonts w:ascii="Calibri" w:hAnsi="Calibri" w:cs="Calibri"/>
          <w:sz w:val="24"/>
          <w:szCs w:val="24"/>
        </w:rPr>
        <w:t xml:space="preserve"> (Welsh Government, 2017). His methodology incorporated think-pair-share activities, group discussions, and practical exercises that required students to apply theoretical concepts to real-world scenarios.</w:t>
      </w:r>
      <w:r w:rsidR="00FB6545" w:rsidRPr="0015363E">
        <w:rPr>
          <w:rFonts w:ascii="Calibri" w:hAnsi="Calibri" w:cs="Calibri"/>
          <w:sz w:val="24"/>
          <w:szCs w:val="24"/>
        </w:rPr>
        <w:t xml:space="preserve"> </w:t>
      </w:r>
      <w:r w:rsidRPr="0015363E">
        <w:rPr>
          <w:rFonts w:ascii="Calibri" w:hAnsi="Calibri" w:cs="Calibri"/>
          <w:sz w:val="24"/>
          <w:szCs w:val="24"/>
        </w:rPr>
        <w:t xml:space="preserve">Research supports that active learning leads to better retention and </w:t>
      </w:r>
      <w:r w:rsidR="00FB6545" w:rsidRPr="0015363E">
        <w:rPr>
          <w:rFonts w:ascii="Calibri" w:hAnsi="Calibri" w:cs="Calibri"/>
          <w:sz w:val="24"/>
          <w:szCs w:val="24"/>
        </w:rPr>
        <w:t xml:space="preserve">a deeper understanding of the </w:t>
      </w:r>
      <w:r w:rsidRPr="0015363E">
        <w:rPr>
          <w:rFonts w:ascii="Calibri" w:hAnsi="Calibri" w:cs="Calibri"/>
          <w:sz w:val="24"/>
          <w:szCs w:val="24"/>
        </w:rPr>
        <w:t xml:space="preserve">material (Freeman </w:t>
      </w:r>
      <w:r w:rsidRPr="0015363E">
        <w:rPr>
          <w:rFonts w:ascii="Calibri" w:hAnsi="Calibri" w:cs="Calibri"/>
          <w:i/>
          <w:iCs/>
          <w:sz w:val="24"/>
          <w:szCs w:val="24"/>
        </w:rPr>
        <w:t>et al</w:t>
      </w:r>
      <w:r w:rsidRPr="0015363E">
        <w:rPr>
          <w:rFonts w:ascii="Calibri" w:hAnsi="Calibri" w:cs="Calibri"/>
          <w:sz w:val="24"/>
          <w:szCs w:val="24"/>
        </w:rPr>
        <w:t xml:space="preserve">., 2014). By encouraging </w:t>
      </w:r>
      <w:r w:rsidR="00F14A0C" w:rsidRPr="0015363E">
        <w:rPr>
          <w:rFonts w:ascii="Calibri" w:hAnsi="Calibri" w:cs="Calibri"/>
          <w:sz w:val="24"/>
          <w:szCs w:val="24"/>
        </w:rPr>
        <w:t xml:space="preserve">students </w:t>
      </w:r>
      <w:r w:rsidR="00FE1A38" w:rsidRPr="0015363E">
        <w:rPr>
          <w:rFonts w:ascii="Calibri" w:hAnsi="Calibri" w:cs="Calibri"/>
          <w:sz w:val="24"/>
          <w:szCs w:val="24"/>
        </w:rPr>
        <w:t xml:space="preserve">to participate </w:t>
      </w:r>
      <w:r w:rsidR="0076327B" w:rsidRPr="0015363E">
        <w:rPr>
          <w:rFonts w:ascii="Calibri" w:hAnsi="Calibri" w:cs="Calibri"/>
          <w:sz w:val="24"/>
          <w:szCs w:val="24"/>
        </w:rPr>
        <w:t>actively</w:t>
      </w:r>
      <w:r w:rsidR="00FE1A38" w:rsidRPr="0015363E">
        <w:rPr>
          <w:rFonts w:ascii="Calibri" w:hAnsi="Calibri" w:cs="Calibri"/>
          <w:sz w:val="24"/>
          <w:szCs w:val="24"/>
        </w:rPr>
        <w:t xml:space="preserve"> rather than passively receive information</w:t>
      </w:r>
      <w:r w:rsidRPr="0015363E">
        <w:rPr>
          <w:rFonts w:ascii="Calibri" w:hAnsi="Calibri" w:cs="Calibri"/>
          <w:sz w:val="24"/>
          <w:szCs w:val="24"/>
        </w:rPr>
        <w:t xml:space="preserve">, </w:t>
      </w:r>
      <w:r w:rsidR="00306A5C" w:rsidRPr="0015363E">
        <w:rPr>
          <w:rFonts w:ascii="Calibri" w:hAnsi="Calibri" w:cs="Calibri"/>
          <w:sz w:val="24"/>
          <w:szCs w:val="24"/>
        </w:rPr>
        <w:t xml:space="preserve">Mr Thompson exemplified the PSFW emphasis on creating engaging learning environments and supporting learners' </w:t>
      </w:r>
      <w:r w:rsidR="006562F2" w:rsidRPr="0015363E">
        <w:rPr>
          <w:rFonts w:ascii="Calibri" w:hAnsi="Calibri" w:cs="Calibri"/>
          <w:sz w:val="24"/>
          <w:szCs w:val="24"/>
        </w:rPr>
        <w:t>progression (</w:t>
      </w:r>
      <w:r w:rsidR="00752C17" w:rsidRPr="0015363E">
        <w:rPr>
          <w:rFonts w:ascii="Calibri" w:hAnsi="Calibri" w:cs="Calibri"/>
          <w:sz w:val="24"/>
          <w:szCs w:val="24"/>
        </w:rPr>
        <w:t xml:space="preserve">Welsh </w:t>
      </w:r>
      <w:r w:rsidR="00BE7933" w:rsidRPr="0015363E">
        <w:rPr>
          <w:rFonts w:ascii="Calibri" w:hAnsi="Calibri" w:cs="Calibri"/>
          <w:sz w:val="24"/>
          <w:szCs w:val="24"/>
        </w:rPr>
        <w:t>Government, 2017)</w:t>
      </w:r>
      <w:r w:rsidRPr="0015363E">
        <w:rPr>
          <w:rFonts w:ascii="Calibri" w:hAnsi="Calibri" w:cs="Calibri"/>
          <w:sz w:val="24"/>
          <w:szCs w:val="24"/>
        </w:rPr>
        <w:t>.</w:t>
      </w:r>
      <w:r w:rsidR="00FC3B26" w:rsidRPr="0015363E">
        <w:rPr>
          <w:rFonts w:ascii="Calibri" w:hAnsi="Calibri" w:cs="Calibri"/>
          <w:sz w:val="24"/>
          <w:szCs w:val="24"/>
        </w:rPr>
        <w:t xml:space="preserve"> </w:t>
      </w:r>
      <w:r w:rsidRPr="0015363E">
        <w:rPr>
          <w:rFonts w:ascii="Calibri" w:hAnsi="Calibri" w:cs="Calibri"/>
          <w:sz w:val="24"/>
          <w:szCs w:val="24"/>
        </w:rPr>
        <w:t>The think-pair-share activities were structured to maximi</w:t>
      </w:r>
      <w:r w:rsidR="006522EB" w:rsidRPr="0015363E">
        <w:rPr>
          <w:rFonts w:ascii="Calibri" w:hAnsi="Calibri" w:cs="Calibri"/>
          <w:sz w:val="24"/>
          <w:szCs w:val="24"/>
        </w:rPr>
        <w:t>s</w:t>
      </w:r>
      <w:r w:rsidRPr="0015363E">
        <w:rPr>
          <w:rFonts w:ascii="Calibri" w:hAnsi="Calibri" w:cs="Calibri"/>
          <w:sz w:val="24"/>
          <w:szCs w:val="24"/>
        </w:rPr>
        <w:t xml:space="preserve">e student </w:t>
      </w:r>
      <w:r w:rsidR="00B51FCF" w:rsidRPr="0015363E">
        <w:rPr>
          <w:rFonts w:ascii="Calibri" w:hAnsi="Calibri" w:cs="Calibri"/>
          <w:sz w:val="24"/>
          <w:szCs w:val="24"/>
        </w:rPr>
        <w:t>engagement and learning</w:t>
      </w:r>
      <w:r w:rsidRPr="0015363E">
        <w:rPr>
          <w:rFonts w:ascii="Calibri" w:hAnsi="Calibri" w:cs="Calibri"/>
          <w:sz w:val="24"/>
          <w:szCs w:val="24"/>
        </w:rPr>
        <w:t xml:space="preserve">. </w:t>
      </w:r>
      <w:r w:rsidR="001705B3" w:rsidRPr="0015363E">
        <w:rPr>
          <w:rFonts w:ascii="Calibri" w:hAnsi="Calibri" w:cs="Calibri"/>
          <w:sz w:val="24"/>
          <w:szCs w:val="24"/>
        </w:rPr>
        <w:t>Students were given time to process information individually, then discuss with a partner, and finally share their insights with the larger group</w:t>
      </w:r>
      <w:r w:rsidRPr="0015363E">
        <w:rPr>
          <w:rFonts w:ascii="Calibri" w:hAnsi="Calibri" w:cs="Calibri"/>
          <w:sz w:val="24"/>
          <w:szCs w:val="24"/>
        </w:rPr>
        <w:t xml:space="preserve">. This </w:t>
      </w:r>
      <w:r w:rsidRPr="0015363E">
        <w:rPr>
          <w:rFonts w:ascii="Calibri" w:hAnsi="Calibri" w:cs="Calibri"/>
          <w:sz w:val="24"/>
          <w:szCs w:val="24"/>
        </w:rPr>
        <w:lastRenderedPageBreak/>
        <w:t>approach promoted both individual reflection and collaborative learning, allowing students to articulate their understanding and learn from peers (</w:t>
      </w:r>
      <w:proofErr w:type="spellStart"/>
      <w:r w:rsidR="00BF22C9" w:rsidRPr="0015363E">
        <w:rPr>
          <w:rFonts w:ascii="Calibri" w:hAnsi="Calibri" w:cs="Calibri"/>
          <w:sz w:val="24"/>
          <w:szCs w:val="24"/>
        </w:rPr>
        <w:t>Kothiyal</w:t>
      </w:r>
      <w:proofErr w:type="spellEnd"/>
      <w:r w:rsidR="00BF22C9" w:rsidRPr="0015363E">
        <w:rPr>
          <w:rFonts w:ascii="Calibri" w:hAnsi="Calibri" w:cs="Calibri"/>
          <w:sz w:val="24"/>
          <w:szCs w:val="24"/>
        </w:rPr>
        <w:t>, Murthy and Iyer, 2014</w:t>
      </w:r>
      <w:r w:rsidRPr="0015363E">
        <w:rPr>
          <w:rFonts w:ascii="Calibri" w:hAnsi="Calibri" w:cs="Calibri"/>
          <w:sz w:val="24"/>
          <w:szCs w:val="24"/>
        </w:rPr>
        <w:t>).</w:t>
      </w:r>
      <w:r w:rsidR="00805C91" w:rsidRPr="0015363E">
        <w:rPr>
          <w:rFonts w:ascii="Calibri" w:hAnsi="Calibri" w:cs="Calibri"/>
          <w:sz w:val="24"/>
          <w:szCs w:val="24"/>
        </w:rPr>
        <w:t xml:space="preserve"> </w:t>
      </w:r>
    </w:p>
    <w:p w14:paraId="55EC966F" w14:textId="39F40451" w:rsidR="001F1514" w:rsidRPr="0015363E" w:rsidRDefault="005C39F3" w:rsidP="0015363E">
      <w:pPr>
        <w:spacing w:line="360" w:lineRule="auto"/>
        <w:rPr>
          <w:rFonts w:ascii="Calibri" w:hAnsi="Calibri" w:cs="Calibri"/>
          <w:sz w:val="24"/>
          <w:szCs w:val="24"/>
        </w:rPr>
      </w:pPr>
      <w:r w:rsidRPr="0015363E">
        <w:rPr>
          <w:rFonts w:ascii="Calibri" w:hAnsi="Calibri" w:cs="Calibri"/>
          <w:sz w:val="24"/>
          <w:szCs w:val="24"/>
        </w:rPr>
        <w:t>Group discussions facilitated peer learning and diverse perspective exchange, while practical</w:t>
      </w:r>
      <w:r w:rsidR="00805C91" w:rsidRPr="0015363E">
        <w:rPr>
          <w:rFonts w:ascii="Calibri" w:hAnsi="Calibri" w:cs="Calibri"/>
          <w:sz w:val="24"/>
          <w:szCs w:val="24"/>
        </w:rPr>
        <w:t xml:space="preserve"> </w:t>
      </w:r>
      <w:r w:rsidRPr="0015363E">
        <w:rPr>
          <w:rFonts w:ascii="Calibri" w:hAnsi="Calibri" w:cs="Calibri"/>
          <w:sz w:val="24"/>
          <w:szCs w:val="24"/>
        </w:rPr>
        <w:t>exercises bridged the gap between theory and application (</w:t>
      </w:r>
      <w:proofErr w:type="spellStart"/>
      <w:r w:rsidRPr="0015363E">
        <w:rPr>
          <w:rFonts w:ascii="Calibri" w:hAnsi="Calibri" w:cs="Calibri"/>
          <w:sz w:val="24"/>
          <w:szCs w:val="24"/>
        </w:rPr>
        <w:t>Deslauriers</w:t>
      </w:r>
      <w:proofErr w:type="spellEnd"/>
      <w:r w:rsidRPr="0015363E">
        <w:rPr>
          <w:rFonts w:ascii="Calibri" w:hAnsi="Calibri" w:cs="Calibri"/>
          <w:sz w:val="24"/>
          <w:szCs w:val="24"/>
        </w:rPr>
        <w:t xml:space="preserve"> </w:t>
      </w:r>
      <w:r w:rsidRPr="0015363E">
        <w:rPr>
          <w:rFonts w:ascii="Calibri" w:hAnsi="Calibri" w:cs="Calibri"/>
          <w:i/>
          <w:iCs/>
          <w:sz w:val="24"/>
          <w:szCs w:val="24"/>
        </w:rPr>
        <w:t>et al</w:t>
      </w:r>
      <w:r w:rsidRPr="0015363E">
        <w:rPr>
          <w:rFonts w:ascii="Calibri" w:hAnsi="Calibri" w:cs="Calibri"/>
          <w:sz w:val="24"/>
          <w:szCs w:val="24"/>
        </w:rPr>
        <w:t>., 2019).</w:t>
      </w:r>
      <w:r w:rsidR="0064594D" w:rsidRPr="0015363E">
        <w:rPr>
          <w:rFonts w:ascii="Calibri" w:hAnsi="Calibri" w:cs="Calibri"/>
          <w:sz w:val="24"/>
          <w:szCs w:val="24"/>
        </w:rPr>
        <w:t xml:space="preserve"> </w:t>
      </w:r>
      <w:r w:rsidRPr="0015363E">
        <w:rPr>
          <w:rFonts w:ascii="Calibri" w:hAnsi="Calibri" w:cs="Calibri"/>
          <w:sz w:val="24"/>
          <w:szCs w:val="24"/>
        </w:rPr>
        <w:t>Mr Thompson's approach show</w:t>
      </w:r>
      <w:r w:rsidR="004D32CB" w:rsidRPr="0015363E">
        <w:rPr>
          <w:rFonts w:ascii="Calibri" w:hAnsi="Calibri" w:cs="Calibri"/>
          <w:sz w:val="24"/>
          <w:szCs w:val="24"/>
        </w:rPr>
        <w:t xml:space="preserve">ed </w:t>
      </w:r>
      <w:r w:rsidRPr="0015363E">
        <w:rPr>
          <w:rFonts w:ascii="Calibri" w:hAnsi="Calibri" w:cs="Calibri"/>
          <w:sz w:val="24"/>
          <w:szCs w:val="24"/>
        </w:rPr>
        <w:t>how diverse teaching strategies can support learners in developing and expressing their understanding. His methods aligned with the</w:t>
      </w:r>
      <w:r w:rsidR="000746B1" w:rsidRPr="0015363E">
        <w:rPr>
          <w:rFonts w:ascii="Calibri" w:hAnsi="Calibri" w:cs="Calibri"/>
          <w:sz w:val="24"/>
          <w:szCs w:val="24"/>
        </w:rPr>
        <w:t xml:space="preserve"> PSFW </w:t>
      </w:r>
      <w:r w:rsidRPr="0015363E">
        <w:rPr>
          <w:rFonts w:ascii="Calibri" w:hAnsi="Calibri" w:cs="Calibri"/>
          <w:sz w:val="24"/>
          <w:szCs w:val="24"/>
        </w:rPr>
        <w:t xml:space="preserve">focus on using assessment to support learner progress and </w:t>
      </w:r>
      <w:r w:rsidR="000746B1" w:rsidRPr="0015363E">
        <w:rPr>
          <w:rFonts w:ascii="Calibri" w:hAnsi="Calibri" w:cs="Calibri"/>
          <w:sz w:val="24"/>
          <w:szCs w:val="24"/>
        </w:rPr>
        <w:t>create</w:t>
      </w:r>
      <w:r w:rsidRPr="0015363E">
        <w:rPr>
          <w:rFonts w:ascii="Calibri" w:hAnsi="Calibri" w:cs="Calibri"/>
          <w:sz w:val="24"/>
          <w:szCs w:val="24"/>
        </w:rPr>
        <w:t xml:space="preserve"> engaging learning environments. Reflecting on this experience, I see great potential in implementing these techniques in my future teaching practice, especially to engage students who might be hesitant to speak up in larger group settings. By employing a range of teaching and assessment methods, Mr Thompson demonstrated effective teaching practices that align with key aspects of the </w:t>
      </w:r>
      <w:r w:rsidR="00F76B0D" w:rsidRPr="0015363E">
        <w:rPr>
          <w:rFonts w:ascii="Calibri" w:hAnsi="Calibri" w:cs="Calibri"/>
          <w:sz w:val="24"/>
          <w:szCs w:val="24"/>
        </w:rPr>
        <w:t>PSFW</w:t>
      </w:r>
      <w:r w:rsidRPr="0015363E">
        <w:rPr>
          <w:rFonts w:ascii="Calibri" w:hAnsi="Calibri" w:cs="Calibri"/>
          <w:sz w:val="24"/>
          <w:szCs w:val="24"/>
        </w:rPr>
        <w:t>, ultimately supporting student learning and progress</w:t>
      </w:r>
      <w:r w:rsidR="00310301" w:rsidRPr="0015363E">
        <w:rPr>
          <w:rFonts w:ascii="Calibri" w:hAnsi="Calibri" w:cs="Calibri"/>
          <w:sz w:val="24"/>
          <w:szCs w:val="24"/>
        </w:rPr>
        <w:t xml:space="preserve"> (Welsh Government, 2017</w:t>
      </w:r>
      <w:r w:rsidR="00331FA0" w:rsidRPr="0015363E">
        <w:rPr>
          <w:rFonts w:ascii="Calibri" w:hAnsi="Calibri" w:cs="Calibri"/>
          <w:sz w:val="24"/>
          <w:szCs w:val="24"/>
        </w:rPr>
        <w:t>)</w:t>
      </w:r>
      <w:r w:rsidRPr="0015363E">
        <w:rPr>
          <w:rFonts w:ascii="Calibri" w:hAnsi="Calibri" w:cs="Calibri"/>
          <w:sz w:val="24"/>
          <w:szCs w:val="24"/>
        </w:rPr>
        <w:t>.</w:t>
      </w:r>
    </w:p>
    <w:p w14:paraId="78F21CD1" w14:textId="77777777" w:rsidR="0015363E" w:rsidRPr="0015363E" w:rsidRDefault="0015363E" w:rsidP="0015363E">
      <w:pPr>
        <w:spacing w:line="360" w:lineRule="auto"/>
        <w:rPr>
          <w:rFonts w:ascii="Calibri" w:hAnsi="Calibri" w:cs="Calibri"/>
          <w:b/>
          <w:bCs/>
          <w:sz w:val="24"/>
          <w:szCs w:val="24"/>
          <w:u w:val="single"/>
        </w:rPr>
      </w:pPr>
      <w:r w:rsidRPr="0015363E">
        <w:rPr>
          <w:rFonts w:ascii="Calibri" w:hAnsi="Calibri" w:cs="Calibri"/>
          <w:b/>
          <w:bCs/>
          <w:sz w:val="24"/>
          <w:szCs w:val="24"/>
          <w:u w:val="single"/>
        </w:rPr>
        <w:t>Conclusion</w:t>
      </w:r>
    </w:p>
    <w:p w14:paraId="10FC7F77" w14:textId="205506C9" w:rsidR="0015363E" w:rsidRPr="0015363E" w:rsidRDefault="0015363E" w:rsidP="0015363E">
      <w:pPr>
        <w:spacing w:line="360" w:lineRule="auto"/>
        <w:rPr>
          <w:rFonts w:ascii="Calibri" w:hAnsi="Calibri" w:cs="Calibri"/>
          <w:b/>
          <w:bCs/>
          <w:sz w:val="24"/>
          <w:szCs w:val="24"/>
          <w:u w:val="single"/>
        </w:rPr>
      </w:pPr>
      <w:r w:rsidRPr="0015363E">
        <w:rPr>
          <w:rFonts w:ascii="Calibri" w:hAnsi="Calibri" w:cs="Calibri"/>
          <w:sz w:val="24"/>
          <w:szCs w:val="24"/>
        </w:rPr>
        <w:t>After observing Miss Johnson and Mr Thompson’s teaching approaches, I have gained valuable insights into effective post-16 education practices. Both educators demonstrated unique strengths that contribute to student engagement and deep learning, albeit through different methods.</w:t>
      </w:r>
    </w:p>
    <w:p w14:paraId="41B2B7EB" w14:textId="77777777" w:rsidR="0015363E" w:rsidRPr="0015363E" w:rsidRDefault="0015363E" w:rsidP="0015363E">
      <w:pPr>
        <w:spacing w:line="360" w:lineRule="auto"/>
        <w:rPr>
          <w:rFonts w:ascii="Calibri" w:hAnsi="Calibri" w:cs="Calibri"/>
          <w:sz w:val="24"/>
          <w:szCs w:val="24"/>
        </w:rPr>
      </w:pPr>
      <w:r w:rsidRPr="0015363E">
        <w:rPr>
          <w:rFonts w:ascii="Calibri" w:hAnsi="Calibri" w:cs="Calibri"/>
          <w:sz w:val="24"/>
          <w:szCs w:val="24"/>
        </w:rPr>
        <w:t>Miss Johnson’s structured approach, with clear objectives and scaffolding techniques, highlighted the importance of meticulous planning and reflective practice. Her use of story sacks and think-pair-share activities showcased effective ways to implement experiential learning and promote active participation.</w:t>
      </w:r>
    </w:p>
    <w:p w14:paraId="00469B5A" w14:textId="77777777" w:rsidR="0015363E" w:rsidRPr="0015363E" w:rsidRDefault="0015363E" w:rsidP="0015363E">
      <w:pPr>
        <w:spacing w:line="360" w:lineRule="auto"/>
        <w:rPr>
          <w:rFonts w:ascii="Calibri" w:hAnsi="Calibri" w:cs="Calibri"/>
          <w:sz w:val="24"/>
          <w:szCs w:val="24"/>
        </w:rPr>
      </w:pPr>
      <w:r w:rsidRPr="0015363E">
        <w:rPr>
          <w:rFonts w:ascii="Calibri" w:hAnsi="Calibri" w:cs="Calibri"/>
          <w:sz w:val="24"/>
          <w:szCs w:val="24"/>
        </w:rPr>
        <w:t>Mr Thompson’s student-centred strategies emphasised the value of creating a collaborative and supportive learning environment. His flexible seating arrangements, personalised interactions, and consistent use of positive reinforcement fostered a warm classroom atmosphere conducive to peer learning and open discussion.</w:t>
      </w:r>
    </w:p>
    <w:p w14:paraId="33DC7C1D" w14:textId="2FC26B2B" w:rsidR="00B42975" w:rsidRPr="0015363E" w:rsidRDefault="0015363E" w:rsidP="0015363E">
      <w:pPr>
        <w:spacing w:line="360" w:lineRule="auto"/>
        <w:rPr>
          <w:rFonts w:ascii="Calibri" w:hAnsi="Calibri" w:cs="Calibri"/>
          <w:sz w:val="24"/>
          <w:szCs w:val="24"/>
        </w:rPr>
      </w:pPr>
      <w:r w:rsidRPr="0015363E">
        <w:rPr>
          <w:rFonts w:ascii="Calibri" w:hAnsi="Calibri" w:cs="Calibri"/>
          <w:sz w:val="24"/>
          <w:szCs w:val="24"/>
        </w:rPr>
        <w:t>Both teachers’ methods aligned with key educational theories and the Professional Standards for Wales, demonstrating how diverse approaches can achieve similar goals in fostering student success.</w:t>
      </w:r>
    </w:p>
    <w:p w14:paraId="3A2CF297" w14:textId="77777777" w:rsidR="00110D15" w:rsidRPr="0015363E" w:rsidRDefault="00755806" w:rsidP="0015363E">
      <w:pPr>
        <w:spacing w:line="360" w:lineRule="auto"/>
        <w:rPr>
          <w:rFonts w:ascii="Calibri" w:hAnsi="Calibri" w:cs="Calibri"/>
          <w:b/>
          <w:bCs/>
          <w:sz w:val="24"/>
          <w:szCs w:val="24"/>
          <w:u w:val="single"/>
        </w:rPr>
      </w:pPr>
      <w:r w:rsidRPr="00755806">
        <w:rPr>
          <w:rFonts w:ascii="Calibri" w:hAnsi="Calibri" w:cs="Calibri"/>
          <w:b/>
          <w:bCs/>
          <w:sz w:val="24"/>
          <w:szCs w:val="24"/>
          <w:u w:val="single"/>
        </w:rPr>
        <w:t>Action Plan for Future Practice</w:t>
      </w:r>
    </w:p>
    <w:p w14:paraId="19439DCE" w14:textId="6F055223" w:rsidR="00755806" w:rsidRPr="00755806" w:rsidRDefault="00755806" w:rsidP="0015363E">
      <w:pPr>
        <w:spacing w:line="360" w:lineRule="auto"/>
        <w:rPr>
          <w:rFonts w:ascii="Calibri" w:hAnsi="Calibri" w:cs="Calibri"/>
          <w:sz w:val="24"/>
          <w:szCs w:val="24"/>
        </w:rPr>
      </w:pPr>
      <w:r w:rsidRPr="00755806">
        <w:rPr>
          <w:rFonts w:ascii="Calibri" w:hAnsi="Calibri" w:cs="Calibri"/>
          <w:b/>
          <w:bCs/>
          <w:sz w:val="24"/>
          <w:szCs w:val="24"/>
          <w:u w:val="single"/>
        </w:rPr>
        <w:lastRenderedPageBreak/>
        <w:t>Classroom Environment</w:t>
      </w:r>
    </w:p>
    <w:p w14:paraId="5209B6F6" w14:textId="77777777" w:rsidR="00755806" w:rsidRPr="00755806" w:rsidRDefault="00755806" w:rsidP="0015363E">
      <w:pPr>
        <w:numPr>
          <w:ilvl w:val="0"/>
          <w:numId w:val="4"/>
        </w:numPr>
        <w:spacing w:line="360" w:lineRule="auto"/>
        <w:rPr>
          <w:rFonts w:ascii="Calibri" w:hAnsi="Calibri" w:cs="Calibri"/>
          <w:sz w:val="24"/>
          <w:szCs w:val="24"/>
        </w:rPr>
      </w:pPr>
      <w:r w:rsidRPr="00755806">
        <w:rPr>
          <w:rFonts w:ascii="Calibri" w:hAnsi="Calibri" w:cs="Calibri"/>
          <w:sz w:val="24"/>
          <w:szCs w:val="24"/>
        </w:rPr>
        <w:t>Implement flexible seating options to facilitate both collaborative work and direct instruction when needed</w:t>
      </w:r>
    </w:p>
    <w:p w14:paraId="59BCCE03" w14:textId="77777777" w:rsidR="00755806" w:rsidRPr="00755806" w:rsidRDefault="00755806" w:rsidP="0015363E">
      <w:pPr>
        <w:numPr>
          <w:ilvl w:val="0"/>
          <w:numId w:val="4"/>
        </w:numPr>
        <w:spacing w:line="360" w:lineRule="auto"/>
        <w:rPr>
          <w:rFonts w:ascii="Calibri" w:hAnsi="Calibri" w:cs="Calibri"/>
          <w:sz w:val="24"/>
          <w:szCs w:val="24"/>
        </w:rPr>
      </w:pPr>
      <w:r w:rsidRPr="00755806">
        <w:rPr>
          <w:rFonts w:ascii="Calibri" w:hAnsi="Calibri" w:cs="Calibri"/>
          <w:sz w:val="24"/>
          <w:szCs w:val="24"/>
        </w:rPr>
        <w:t>Greet students personally at the beginning of each class to establish rapport</w:t>
      </w:r>
    </w:p>
    <w:p w14:paraId="3B383057" w14:textId="77777777" w:rsidR="00755806" w:rsidRPr="00755806" w:rsidRDefault="00755806" w:rsidP="0015363E">
      <w:pPr>
        <w:spacing w:line="360" w:lineRule="auto"/>
        <w:rPr>
          <w:rFonts w:ascii="Calibri" w:hAnsi="Calibri" w:cs="Calibri"/>
          <w:sz w:val="24"/>
          <w:szCs w:val="24"/>
        </w:rPr>
      </w:pPr>
      <w:r w:rsidRPr="00755806">
        <w:rPr>
          <w:rFonts w:ascii="Calibri" w:hAnsi="Calibri" w:cs="Calibri"/>
          <w:b/>
          <w:bCs/>
          <w:sz w:val="24"/>
          <w:szCs w:val="24"/>
          <w:u w:val="single"/>
        </w:rPr>
        <w:t>Lesson Planning and Delivery</w:t>
      </w:r>
    </w:p>
    <w:p w14:paraId="75A35EFB" w14:textId="77777777" w:rsidR="00755806" w:rsidRPr="00755806" w:rsidRDefault="00755806" w:rsidP="0015363E">
      <w:pPr>
        <w:numPr>
          <w:ilvl w:val="0"/>
          <w:numId w:val="5"/>
        </w:numPr>
        <w:spacing w:line="360" w:lineRule="auto"/>
        <w:rPr>
          <w:rFonts w:ascii="Calibri" w:hAnsi="Calibri" w:cs="Calibri"/>
          <w:sz w:val="24"/>
          <w:szCs w:val="24"/>
        </w:rPr>
      </w:pPr>
      <w:r w:rsidRPr="00755806">
        <w:rPr>
          <w:rFonts w:ascii="Calibri" w:hAnsi="Calibri" w:cs="Calibri"/>
          <w:sz w:val="24"/>
          <w:szCs w:val="24"/>
        </w:rPr>
        <w:t>Begin lessons with clear objectives and connect content to students’ future careers</w:t>
      </w:r>
    </w:p>
    <w:p w14:paraId="177FBA2C" w14:textId="77777777" w:rsidR="00755806" w:rsidRPr="00755806" w:rsidRDefault="00755806" w:rsidP="0015363E">
      <w:pPr>
        <w:numPr>
          <w:ilvl w:val="0"/>
          <w:numId w:val="5"/>
        </w:numPr>
        <w:spacing w:line="360" w:lineRule="auto"/>
        <w:rPr>
          <w:rFonts w:ascii="Calibri" w:hAnsi="Calibri" w:cs="Calibri"/>
          <w:sz w:val="24"/>
          <w:szCs w:val="24"/>
        </w:rPr>
      </w:pPr>
      <w:r w:rsidRPr="00755806">
        <w:rPr>
          <w:rFonts w:ascii="Calibri" w:hAnsi="Calibri" w:cs="Calibri"/>
          <w:sz w:val="24"/>
          <w:szCs w:val="24"/>
        </w:rPr>
        <w:t>Incorporate a brief recap at the start of each session to activate prior knowledge</w:t>
      </w:r>
    </w:p>
    <w:p w14:paraId="1A15EE8C" w14:textId="77777777" w:rsidR="00755806" w:rsidRPr="00755806" w:rsidRDefault="00755806" w:rsidP="0015363E">
      <w:pPr>
        <w:numPr>
          <w:ilvl w:val="0"/>
          <w:numId w:val="5"/>
        </w:numPr>
        <w:spacing w:line="360" w:lineRule="auto"/>
        <w:rPr>
          <w:rFonts w:ascii="Calibri" w:hAnsi="Calibri" w:cs="Calibri"/>
          <w:sz w:val="24"/>
          <w:szCs w:val="24"/>
        </w:rPr>
      </w:pPr>
      <w:r w:rsidRPr="00755806">
        <w:rPr>
          <w:rFonts w:ascii="Calibri" w:hAnsi="Calibri" w:cs="Calibri"/>
          <w:sz w:val="24"/>
          <w:szCs w:val="24"/>
        </w:rPr>
        <w:t>Use a mix of whole-class discussions, small group work, and individual activities</w:t>
      </w:r>
    </w:p>
    <w:p w14:paraId="566D2C0D" w14:textId="77777777" w:rsidR="00755806" w:rsidRPr="00755806" w:rsidRDefault="00755806" w:rsidP="0015363E">
      <w:pPr>
        <w:spacing w:line="360" w:lineRule="auto"/>
        <w:rPr>
          <w:rFonts w:ascii="Calibri" w:hAnsi="Calibri" w:cs="Calibri"/>
          <w:sz w:val="24"/>
          <w:szCs w:val="24"/>
        </w:rPr>
      </w:pPr>
      <w:r w:rsidRPr="00755806">
        <w:rPr>
          <w:rFonts w:ascii="Calibri" w:hAnsi="Calibri" w:cs="Calibri"/>
          <w:b/>
          <w:bCs/>
          <w:sz w:val="24"/>
          <w:szCs w:val="24"/>
          <w:u w:val="single"/>
        </w:rPr>
        <w:t>Student Engagement Strategies</w:t>
      </w:r>
    </w:p>
    <w:p w14:paraId="353FDB98" w14:textId="77777777" w:rsidR="00755806" w:rsidRPr="00755806" w:rsidRDefault="00755806" w:rsidP="0015363E">
      <w:pPr>
        <w:numPr>
          <w:ilvl w:val="0"/>
          <w:numId w:val="6"/>
        </w:numPr>
        <w:spacing w:line="360" w:lineRule="auto"/>
        <w:rPr>
          <w:rFonts w:ascii="Calibri" w:hAnsi="Calibri" w:cs="Calibri"/>
          <w:sz w:val="24"/>
          <w:szCs w:val="24"/>
        </w:rPr>
      </w:pPr>
      <w:r w:rsidRPr="00755806">
        <w:rPr>
          <w:rFonts w:ascii="Calibri" w:hAnsi="Calibri" w:cs="Calibri"/>
          <w:sz w:val="24"/>
          <w:szCs w:val="24"/>
        </w:rPr>
        <w:t>Utilise think-pair-share activities to encourage peer discussion and deeper understanding</w:t>
      </w:r>
    </w:p>
    <w:p w14:paraId="6DD82D22" w14:textId="77777777" w:rsidR="00755806" w:rsidRPr="00755806" w:rsidRDefault="00755806" w:rsidP="0015363E">
      <w:pPr>
        <w:numPr>
          <w:ilvl w:val="0"/>
          <w:numId w:val="6"/>
        </w:numPr>
        <w:spacing w:line="360" w:lineRule="auto"/>
        <w:rPr>
          <w:rFonts w:ascii="Calibri" w:hAnsi="Calibri" w:cs="Calibri"/>
          <w:sz w:val="24"/>
          <w:szCs w:val="24"/>
        </w:rPr>
      </w:pPr>
      <w:r w:rsidRPr="00755806">
        <w:rPr>
          <w:rFonts w:ascii="Calibri" w:hAnsi="Calibri" w:cs="Calibri"/>
          <w:sz w:val="24"/>
          <w:szCs w:val="24"/>
        </w:rPr>
        <w:t>Implement hands-on demonstrations or manipulatives to make abstract concepts tangible</w:t>
      </w:r>
    </w:p>
    <w:p w14:paraId="1948662B" w14:textId="77777777" w:rsidR="00755806" w:rsidRPr="00755806" w:rsidRDefault="00755806" w:rsidP="0015363E">
      <w:pPr>
        <w:numPr>
          <w:ilvl w:val="0"/>
          <w:numId w:val="6"/>
        </w:numPr>
        <w:spacing w:line="360" w:lineRule="auto"/>
        <w:rPr>
          <w:rFonts w:ascii="Calibri" w:hAnsi="Calibri" w:cs="Calibri"/>
          <w:sz w:val="24"/>
          <w:szCs w:val="24"/>
        </w:rPr>
      </w:pPr>
      <w:r w:rsidRPr="00755806">
        <w:rPr>
          <w:rFonts w:ascii="Calibri" w:hAnsi="Calibri" w:cs="Calibri"/>
          <w:sz w:val="24"/>
          <w:szCs w:val="24"/>
        </w:rPr>
        <w:t>Move around the classroom during lessons to provide individualised support and maintain student focus</w:t>
      </w:r>
    </w:p>
    <w:p w14:paraId="098439FE" w14:textId="77777777" w:rsidR="00755806" w:rsidRPr="00755806" w:rsidRDefault="00755806" w:rsidP="0015363E">
      <w:pPr>
        <w:spacing w:line="360" w:lineRule="auto"/>
        <w:rPr>
          <w:rFonts w:ascii="Calibri" w:hAnsi="Calibri" w:cs="Calibri"/>
          <w:sz w:val="24"/>
          <w:szCs w:val="24"/>
        </w:rPr>
      </w:pPr>
      <w:r w:rsidRPr="00755806">
        <w:rPr>
          <w:rFonts w:ascii="Calibri" w:hAnsi="Calibri" w:cs="Calibri"/>
          <w:b/>
          <w:bCs/>
          <w:sz w:val="24"/>
          <w:szCs w:val="24"/>
          <w:u w:val="single"/>
        </w:rPr>
        <w:t>Scaffolding and Support</w:t>
      </w:r>
    </w:p>
    <w:p w14:paraId="30B18BDB" w14:textId="77777777" w:rsidR="00755806" w:rsidRPr="00755806" w:rsidRDefault="00755806" w:rsidP="0015363E">
      <w:pPr>
        <w:numPr>
          <w:ilvl w:val="0"/>
          <w:numId w:val="7"/>
        </w:numPr>
        <w:spacing w:line="360" w:lineRule="auto"/>
        <w:rPr>
          <w:rFonts w:ascii="Calibri" w:hAnsi="Calibri" w:cs="Calibri"/>
          <w:sz w:val="24"/>
          <w:szCs w:val="24"/>
        </w:rPr>
      </w:pPr>
      <w:r w:rsidRPr="00755806">
        <w:rPr>
          <w:rFonts w:ascii="Calibri" w:hAnsi="Calibri" w:cs="Calibri"/>
          <w:sz w:val="24"/>
          <w:szCs w:val="24"/>
        </w:rPr>
        <w:t>Develop a range of open-ended questions that address different levels of Bloom’s Taxonomy</w:t>
      </w:r>
    </w:p>
    <w:p w14:paraId="264F2E72" w14:textId="77777777" w:rsidR="00755806" w:rsidRPr="00755806" w:rsidRDefault="00755806" w:rsidP="0015363E">
      <w:pPr>
        <w:numPr>
          <w:ilvl w:val="0"/>
          <w:numId w:val="7"/>
        </w:numPr>
        <w:spacing w:line="360" w:lineRule="auto"/>
        <w:rPr>
          <w:rFonts w:ascii="Calibri" w:hAnsi="Calibri" w:cs="Calibri"/>
          <w:sz w:val="24"/>
          <w:szCs w:val="24"/>
        </w:rPr>
      </w:pPr>
      <w:r w:rsidRPr="00755806">
        <w:rPr>
          <w:rFonts w:ascii="Calibri" w:hAnsi="Calibri" w:cs="Calibri"/>
          <w:sz w:val="24"/>
          <w:szCs w:val="24"/>
        </w:rPr>
        <w:t>Create opportunities for students to share their professional experiences and apply theoretical concepts to real-world scenarios</w:t>
      </w:r>
    </w:p>
    <w:p w14:paraId="46B595BE" w14:textId="77777777" w:rsidR="00755806" w:rsidRPr="00755806" w:rsidRDefault="00755806" w:rsidP="0015363E">
      <w:pPr>
        <w:spacing w:line="360" w:lineRule="auto"/>
        <w:rPr>
          <w:rFonts w:ascii="Calibri" w:hAnsi="Calibri" w:cs="Calibri"/>
          <w:sz w:val="24"/>
          <w:szCs w:val="24"/>
        </w:rPr>
      </w:pPr>
      <w:r w:rsidRPr="00755806">
        <w:rPr>
          <w:rFonts w:ascii="Calibri" w:hAnsi="Calibri" w:cs="Calibri"/>
          <w:b/>
          <w:bCs/>
          <w:sz w:val="24"/>
          <w:szCs w:val="24"/>
          <w:u w:val="single"/>
        </w:rPr>
        <w:t>Assessment and Feedback</w:t>
      </w:r>
    </w:p>
    <w:p w14:paraId="3F3E7B0E" w14:textId="77777777" w:rsidR="00755806" w:rsidRPr="00755806" w:rsidRDefault="00755806" w:rsidP="0015363E">
      <w:pPr>
        <w:numPr>
          <w:ilvl w:val="0"/>
          <w:numId w:val="8"/>
        </w:numPr>
        <w:spacing w:line="360" w:lineRule="auto"/>
        <w:rPr>
          <w:rFonts w:ascii="Calibri" w:hAnsi="Calibri" w:cs="Calibri"/>
          <w:sz w:val="24"/>
          <w:szCs w:val="24"/>
        </w:rPr>
      </w:pPr>
      <w:r w:rsidRPr="00755806">
        <w:rPr>
          <w:rFonts w:ascii="Calibri" w:hAnsi="Calibri" w:cs="Calibri"/>
          <w:sz w:val="24"/>
          <w:szCs w:val="24"/>
        </w:rPr>
        <w:t>Use a variety of assessment methods, including group discussions and practical exercises</w:t>
      </w:r>
    </w:p>
    <w:p w14:paraId="5B03AA8A" w14:textId="77777777" w:rsidR="00755806" w:rsidRPr="00755806" w:rsidRDefault="00755806" w:rsidP="0015363E">
      <w:pPr>
        <w:numPr>
          <w:ilvl w:val="0"/>
          <w:numId w:val="8"/>
        </w:numPr>
        <w:spacing w:line="360" w:lineRule="auto"/>
        <w:rPr>
          <w:rFonts w:ascii="Calibri" w:hAnsi="Calibri" w:cs="Calibri"/>
          <w:sz w:val="24"/>
          <w:szCs w:val="24"/>
        </w:rPr>
      </w:pPr>
      <w:r w:rsidRPr="00755806">
        <w:rPr>
          <w:rFonts w:ascii="Calibri" w:hAnsi="Calibri" w:cs="Calibri"/>
          <w:sz w:val="24"/>
          <w:szCs w:val="24"/>
        </w:rPr>
        <w:t>Provide consistent positive reinforcement through verbal praise and non-verbal cues</w:t>
      </w:r>
    </w:p>
    <w:p w14:paraId="36B263E6" w14:textId="77777777" w:rsidR="00755806" w:rsidRPr="00755806" w:rsidRDefault="00755806" w:rsidP="0015363E">
      <w:pPr>
        <w:numPr>
          <w:ilvl w:val="0"/>
          <w:numId w:val="8"/>
        </w:numPr>
        <w:spacing w:line="360" w:lineRule="auto"/>
        <w:rPr>
          <w:rFonts w:ascii="Calibri" w:hAnsi="Calibri" w:cs="Calibri"/>
          <w:sz w:val="24"/>
          <w:szCs w:val="24"/>
        </w:rPr>
      </w:pPr>
      <w:r w:rsidRPr="00755806">
        <w:rPr>
          <w:rFonts w:ascii="Calibri" w:hAnsi="Calibri" w:cs="Calibri"/>
          <w:sz w:val="24"/>
          <w:szCs w:val="24"/>
        </w:rPr>
        <w:t>Allow time for students to process information and complete notes when necessary</w:t>
      </w:r>
    </w:p>
    <w:p w14:paraId="74AF3A61" w14:textId="77777777" w:rsidR="00755806" w:rsidRPr="00755806" w:rsidRDefault="00755806" w:rsidP="0015363E">
      <w:pPr>
        <w:spacing w:line="360" w:lineRule="auto"/>
        <w:rPr>
          <w:rFonts w:ascii="Calibri" w:hAnsi="Calibri" w:cs="Calibri"/>
          <w:sz w:val="24"/>
          <w:szCs w:val="24"/>
        </w:rPr>
      </w:pPr>
      <w:r w:rsidRPr="00755806">
        <w:rPr>
          <w:rFonts w:ascii="Calibri" w:hAnsi="Calibri" w:cs="Calibri"/>
          <w:b/>
          <w:bCs/>
          <w:sz w:val="24"/>
          <w:szCs w:val="24"/>
          <w:u w:val="single"/>
        </w:rPr>
        <w:lastRenderedPageBreak/>
        <w:t>Professional Development</w:t>
      </w:r>
    </w:p>
    <w:p w14:paraId="015F948D" w14:textId="77777777" w:rsidR="00755806" w:rsidRPr="00755806" w:rsidRDefault="00755806" w:rsidP="0015363E">
      <w:pPr>
        <w:numPr>
          <w:ilvl w:val="0"/>
          <w:numId w:val="9"/>
        </w:numPr>
        <w:spacing w:line="360" w:lineRule="auto"/>
        <w:rPr>
          <w:rFonts w:ascii="Calibri" w:hAnsi="Calibri" w:cs="Calibri"/>
          <w:sz w:val="24"/>
          <w:szCs w:val="24"/>
        </w:rPr>
      </w:pPr>
      <w:r w:rsidRPr="00755806">
        <w:rPr>
          <w:rFonts w:ascii="Calibri" w:hAnsi="Calibri" w:cs="Calibri"/>
          <w:sz w:val="24"/>
          <w:szCs w:val="24"/>
        </w:rPr>
        <w:t>Regularly reflect on teaching practices and openly acknowledge areas for improvement</w:t>
      </w:r>
    </w:p>
    <w:p w14:paraId="4AD29BB2" w14:textId="77777777" w:rsidR="00755806" w:rsidRPr="00755806" w:rsidRDefault="00755806" w:rsidP="0015363E">
      <w:pPr>
        <w:numPr>
          <w:ilvl w:val="0"/>
          <w:numId w:val="9"/>
        </w:numPr>
        <w:spacing w:line="360" w:lineRule="auto"/>
        <w:rPr>
          <w:rFonts w:ascii="Calibri" w:hAnsi="Calibri" w:cs="Calibri"/>
          <w:sz w:val="24"/>
          <w:szCs w:val="24"/>
        </w:rPr>
      </w:pPr>
      <w:r w:rsidRPr="00755806">
        <w:rPr>
          <w:rFonts w:ascii="Calibri" w:hAnsi="Calibri" w:cs="Calibri"/>
          <w:sz w:val="24"/>
          <w:szCs w:val="24"/>
        </w:rPr>
        <w:t>Stay updated on current educational research and theories to inform teaching methods</w:t>
      </w:r>
    </w:p>
    <w:p w14:paraId="0CABD788" w14:textId="77777777" w:rsidR="00755806" w:rsidRPr="00755806" w:rsidRDefault="00755806" w:rsidP="0015363E">
      <w:pPr>
        <w:numPr>
          <w:ilvl w:val="0"/>
          <w:numId w:val="9"/>
        </w:numPr>
        <w:spacing w:line="360" w:lineRule="auto"/>
        <w:rPr>
          <w:rFonts w:ascii="Calibri" w:hAnsi="Calibri" w:cs="Calibri"/>
          <w:sz w:val="24"/>
          <w:szCs w:val="24"/>
        </w:rPr>
      </w:pPr>
      <w:r w:rsidRPr="00755806">
        <w:rPr>
          <w:rFonts w:ascii="Calibri" w:hAnsi="Calibri" w:cs="Calibri"/>
          <w:sz w:val="24"/>
          <w:szCs w:val="24"/>
        </w:rPr>
        <w:t>Seek opportunities for peer observation and feedback to continually enhance teaching skills</w:t>
      </w:r>
    </w:p>
    <w:p w14:paraId="3D07A79E" w14:textId="4402FC1F" w:rsidR="0082176D" w:rsidRPr="0015363E" w:rsidRDefault="00755806" w:rsidP="0015363E">
      <w:pPr>
        <w:spacing w:line="360" w:lineRule="auto"/>
        <w:rPr>
          <w:rFonts w:ascii="Calibri" w:hAnsi="Calibri" w:cs="Calibri"/>
          <w:sz w:val="24"/>
          <w:szCs w:val="24"/>
        </w:rPr>
      </w:pPr>
      <w:r w:rsidRPr="0015363E">
        <w:rPr>
          <w:rFonts w:ascii="Calibri" w:hAnsi="Calibri" w:cs="Calibri"/>
          <w:b/>
          <w:bCs/>
          <w:sz w:val="24"/>
          <w:szCs w:val="24"/>
          <w:u w:val="single"/>
        </w:rPr>
        <w:t>Implementation Goal</w:t>
      </w:r>
      <w:r w:rsidRPr="0015363E">
        <w:rPr>
          <w:rFonts w:ascii="Calibri" w:hAnsi="Calibri" w:cs="Calibri"/>
          <w:sz w:val="24"/>
          <w:szCs w:val="24"/>
        </w:rPr>
        <w:br/>
        <w:t>By implementing this action plan, I aim to create a dynamic learning environment that balances structure with flexibility, promotes active engagement, and supports diverse learning needs. Regular self-reflection and adaptation of these strategies will ensure continuous growth in my teaching practice, aligning with the Professional Standards for Wales and fostering student success in post-16 education.</w:t>
      </w:r>
    </w:p>
    <w:p w14:paraId="26454628" w14:textId="77777777" w:rsidR="0015363E" w:rsidRPr="0015363E" w:rsidRDefault="0015363E" w:rsidP="0015363E">
      <w:pPr>
        <w:spacing w:line="360" w:lineRule="auto"/>
        <w:rPr>
          <w:rFonts w:ascii="Calibri" w:hAnsi="Calibri" w:cs="Calibri"/>
          <w:sz w:val="24"/>
          <w:szCs w:val="24"/>
        </w:rPr>
      </w:pPr>
    </w:p>
    <w:p w14:paraId="241BE9F8" w14:textId="77777777" w:rsidR="0015363E" w:rsidRPr="0015363E" w:rsidRDefault="0015363E" w:rsidP="0015363E">
      <w:pPr>
        <w:spacing w:line="360" w:lineRule="auto"/>
        <w:rPr>
          <w:rFonts w:ascii="Calibri" w:hAnsi="Calibri" w:cs="Calibri"/>
          <w:sz w:val="24"/>
          <w:szCs w:val="24"/>
        </w:rPr>
      </w:pPr>
    </w:p>
    <w:p w14:paraId="0CD7A9AA" w14:textId="77777777" w:rsidR="0082176D" w:rsidRPr="0015363E" w:rsidRDefault="0082176D" w:rsidP="0015363E">
      <w:pPr>
        <w:spacing w:line="360" w:lineRule="auto"/>
        <w:rPr>
          <w:rFonts w:ascii="Calibri" w:hAnsi="Calibri" w:cs="Calibri"/>
          <w:b/>
          <w:bCs/>
          <w:sz w:val="24"/>
          <w:szCs w:val="24"/>
        </w:rPr>
      </w:pPr>
    </w:p>
    <w:p w14:paraId="079B0F63" w14:textId="77777777" w:rsidR="0082176D" w:rsidRPr="0015363E" w:rsidRDefault="0082176D" w:rsidP="0015363E">
      <w:pPr>
        <w:spacing w:line="360" w:lineRule="auto"/>
        <w:rPr>
          <w:rFonts w:ascii="Calibri" w:hAnsi="Calibri" w:cs="Calibri"/>
          <w:b/>
          <w:bCs/>
          <w:sz w:val="24"/>
          <w:szCs w:val="24"/>
        </w:rPr>
      </w:pPr>
    </w:p>
    <w:p w14:paraId="2C076697" w14:textId="77777777" w:rsidR="0082176D" w:rsidRPr="0015363E" w:rsidRDefault="0082176D" w:rsidP="0015363E">
      <w:pPr>
        <w:spacing w:line="360" w:lineRule="auto"/>
        <w:rPr>
          <w:rFonts w:ascii="Calibri" w:hAnsi="Calibri" w:cs="Calibri"/>
          <w:b/>
          <w:bCs/>
          <w:sz w:val="24"/>
          <w:szCs w:val="24"/>
        </w:rPr>
      </w:pPr>
    </w:p>
    <w:p w14:paraId="5A3BC941" w14:textId="77777777" w:rsidR="0082176D" w:rsidRPr="0015363E" w:rsidRDefault="0082176D" w:rsidP="0015363E">
      <w:pPr>
        <w:spacing w:line="360" w:lineRule="auto"/>
        <w:rPr>
          <w:rFonts w:ascii="Calibri" w:hAnsi="Calibri" w:cs="Calibri"/>
          <w:b/>
          <w:bCs/>
          <w:sz w:val="24"/>
          <w:szCs w:val="24"/>
        </w:rPr>
      </w:pPr>
    </w:p>
    <w:p w14:paraId="40076055" w14:textId="77777777" w:rsidR="0082176D" w:rsidRPr="0015363E" w:rsidRDefault="0082176D" w:rsidP="0015363E">
      <w:pPr>
        <w:spacing w:line="360" w:lineRule="auto"/>
        <w:rPr>
          <w:rFonts w:ascii="Calibri" w:hAnsi="Calibri" w:cs="Calibri"/>
          <w:b/>
          <w:bCs/>
          <w:sz w:val="24"/>
          <w:szCs w:val="24"/>
        </w:rPr>
      </w:pPr>
    </w:p>
    <w:p w14:paraId="1409A90F" w14:textId="77777777" w:rsidR="0082176D" w:rsidRDefault="0082176D" w:rsidP="0015363E">
      <w:pPr>
        <w:spacing w:line="360" w:lineRule="auto"/>
        <w:rPr>
          <w:rFonts w:ascii="Calibri" w:hAnsi="Calibri" w:cs="Calibri"/>
          <w:b/>
          <w:bCs/>
          <w:sz w:val="24"/>
          <w:szCs w:val="24"/>
        </w:rPr>
      </w:pPr>
    </w:p>
    <w:p w14:paraId="71CA4F59" w14:textId="77777777" w:rsidR="001172FA" w:rsidRDefault="001172FA" w:rsidP="0015363E">
      <w:pPr>
        <w:spacing w:line="360" w:lineRule="auto"/>
        <w:rPr>
          <w:rFonts w:ascii="Calibri" w:hAnsi="Calibri" w:cs="Calibri"/>
          <w:b/>
          <w:bCs/>
          <w:sz w:val="24"/>
          <w:szCs w:val="24"/>
        </w:rPr>
      </w:pPr>
    </w:p>
    <w:p w14:paraId="7D9F6CC2" w14:textId="77777777" w:rsidR="001172FA" w:rsidRDefault="001172FA" w:rsidP="0015363E">
      <w:pPr>
        <w:spacing w:line="360" w:lineRule="auto"/>
        <w:rPr>
          <w:rFonts w:ascii="Calibri" w:hAnsi="Calibri" w:cs="Calibri"/>
          <w:b/>
          <w:bCs/>
          <w:sz w:val="24"/>
          <w:szCs w:val="24"/>
        </w:rPr>
      </w:pPr>
    </w:p>
    <w:p w14:paraId="1F4E4E9E" w14:textId="77777777" w:rsidR="001172FA" w:rsidRPr="0015363E" w:rsidRDefault="001172FA" w:rsidP="0015363E">
      <w:pPr>
        <w:spacing w:line="360" w:lineRule="auto"/>
        <w:rPr>
          <w:rFonts w:ascii="Calibri" w:hAnsi="Calibri" w:cs="Calibri"/>
          <w:b/>
          <w:bCs/>
          <w:sz w:val="24"/>
          <w:szCs w:val="24"/>
        </w:rPr>
      </w:pPr>
    </w:p>
    <w:p w14:paraId="1BE4F0C6" w14:textId="77777777" w:rsidR="0082176D" w:rsidRPr="0015363E" w:rsidRDefault="0082176D" w:rsidP="0015363E">
      <w:pPr>
        <w:spacing w:line="360" w:lineRule="auto"/>
        <w:rPr>
          <w:rFonts w:ascii="Calibri" w:hAnsi="Calibri" w:cs="Calibri"/>
          <w:b/>
          <w:bCs/>
          <w:sz w:val="24"/>
          <w:szCs w:val="24"/>
        </w:rPr>
      </w:pPr>
    </w:p>
    <w:p w14:paraId="4749C09C" w14:textId="51A757ED" w:rsidR="004663DA" w:rsidRPr="0015363E" w:rsidRDefault="004D2968" w:rsidP="001172FA">
      <w:pPr>
        <w:spacing w:line="360" w:lineRule="auto"/>
        <w:jc w:val="center"/>
        <w:rPr>
          <w:rFonts w:ascii="Calibri" w:hAnsi="Calibri" w:cs="Calibri"/>
          <w:sz w:val="24"/>
          <w:szCs w:val="24"/>
        </w:rPr>
      </w:pPr>
      <w:r w:rsidRPr="0015363E">
        <w:rPr>
          <w:rFonts w:ascii="Calibri" w:hAnsi="Calibri" w:cs="Calibri"/>
          <w:b/>
          <w:bCs/>
          <w:sz w:val="24"/>
          <w:szCs w:val="24"/>
        </w:rPr>
        <w:t>Reference list</w:t>
      </w:r>
    </w:p>
    <w:p w14:paraId="2B3F6DB4" w14:textId="3A82B965" w:rsidR="004663DA" w:rsidRPr="0015363E" w:rsidRDefault="004663DA" w:rsidP="0015363E">
      <w:pPr>
        <w:spacing w:line="360" w:lineRule="auto"/>
        <w:rPr>
          <w:rFonts w:ascii="Calibri" w:hAnsi="Calibri" w:cs="Calibri"/>
          <w:sz w:val="24"/>
          <w:szCs w:val="24"/>
        </w:rPr>
      </w:pPr>
      <w:r w:rsidRPr="0015363E">
        <w:rPr>
          <w:rFonts w:ascii="Calibri" w:hAnsi="Calibri" w:cs="Calibri"/>
          <w:sz w:val="24"/>
          <w:szCs w:val="24"/>
        </w:rPr>
        <w:t>Ambrose, S.A., Bridges, M.W., DiPietro, M., Lovett, M.C. and Norman, M.K.</w:t>
      </w:r>
      <w:r w:rsidR="002B71C6" w:rsidRPr="0015363E">
        <w:rPr>
          <w:rFonts w:ascii="Calibri" w:hAnsi="Calibri" w:cs="Calibri"/>
          <w:sz w:val="24"/>
          <w:szCs w:val="24"/>
        </w:rPr>
        <w:t xml:space="preserve"> </w:t>
      </w:r>
      <w:r w:rsidRPr="0015363E">
        <w:rPr>
          <w:rFonts w:ascii="Calibri" w:hAnsi="Calibri" w:cs="Calibri"/>
          <w:sz w:val="24"/>
          <w:szCs w:val="24"/>
        </w:rPr>
        <w:t>(2010) </w:t>
      </w:r>
      <w:r w:rsidRPr="0015363E">
        <w:rPr>
          <w:rFonts w:ascii="Calibri" w:hAnsi="Calibri" w:cs="Calibri"/>
          <w:i/>
          <w:iCs/>
          <w:sz w:val="24"/>
          <w:szCs w:val="24"/>
        </w:rPr>
        <w:t xml:space="preserve">How </w:t>
      </w:r>
      <w:r w:rsidR="002B71C6" w:rsidRPr="0015363E">
        <w:rPr>
          <w:rFonts w:ascii="Calibri" w:hAnsi="Calibri" w:cs="Calibri"/>
          <w:i/>
          <w:iCs/>
          <w:sz w:val="24"/>
          <w:szCs w:val="24"/>
        </w:rPr>
        <w:t>learning works: seven research-based principles</w:t>
      </w:r>
      <w:r w:rsidRPr="0015363E">
        <w:rPr>
          <w:rFonts w:ascii="Calibri" w:hAnsi="Calibri" w:cs="Calibri"/>
          <w:i/>
          <w:iCs/>
          <w:sz w:val="24"/>
          <w:szCs w:val="24"/>
        </w:rPr>
        <w:t xml:space="preserve"> for </w:t>
      </w:r>
      <w:r w:rsidR="002B71C6" w:rsidRPr="0015363E">
        <w:rPr>
          <w:rFonts w:ascii="Calibri" w:hAnsi="Calibri" w:cs="Calibri"/>
          <w:i/>
          <w:iCs/>
          <w:sz w:val="24"/>
          <w:szCs w:val="24"/>
        </w:rPr>
        <w:t>smart teaching</w:t>
      </w:r>
      <w:r w:rsidR="002B71C6" w:rsidRPr="0015363E">
        <w:rPr>
          <w:rFonts w:ascii="Calibri" w:hAnsi="Calibri" w:cs="Calibri"/>
          <w:sz w:val="24"/>
          <w:szCs w:val="24"/>
        </w:rPr>
        <w:t>. San Francisco, CA:</w:t>
      </w:r>
      <w:r w:rsidRPr="0015363E">
        <w:rPr>
          <w:rFonts w:ascii="Calibri" w:hAnsi="Calibri" w:cs="Calibri"/>
          <w:sz w:val="24"/>
          <w:szCs w:val="24"/>
        </w:rPr>
        <w:t xml:space="preserve"> </w:t>
      </w:r>
      <w:r w:rsidRPr="0015363E">
        <w:rPr>
          <w:rFonts w:ascii="Calibri" w:hAnsi="Calibri" w:cs="Calibri"/>
          <w:sz w:val="24"/>
          <w:szCs w:val="24"/>
        </w:rPr>
        <w:lastRenderedPageBreak/>
        <w:t>Jossey-Bass.</w:t>
      </w:r>
      <w:r w:rsidR="00D71D01" w:rsidRPr="0015363E">
        <w:rPr>
          <w:rFonts w:ascii="Calibri" w:hAnsi="Calibri" w:cs="Calibri"/>
          <w:sz w:val="24"/>
          <w:szCs w:val="24"/>
        </w:rPr>
        <w:t xml:space="preserve"> Available at: </w:t>
      </w:r>
      <w:hyperlink r:id="rId8" w:history="1">
        <w:r w:rsidR="004B39DE" w:rsidRPr="0015363E">
          <w:rPr>
            <w:rStyle w:val="Hyperlink"/>
            <w:rFonts w:ascii="Calibri" w:hAnsi="Calibri" w:cs="Calibri"/>
            <w:sz w:val="24"/>
            <w:szCs w:val="24"/>
          </w:rPr>
          <w:t>https://firstliteracy.org/wp-content/uploads/2015/07/How-Learning-Works.pdf</w:t>
        </w:r>
      </w:hyperlink>
    </w:p>
    <w:p w14:paraId="670E4C57" w14:textId="16DB4EE3" w:rsidR="00EE46CA" w:rsidRPr="0015363E" w:rsidRDefault="00EE46CA" w:rsidP="0015363E">
      <w:pPr>
        <w:spacing w:line="360" w:lineRule="auto"/>
        <w:rPr>
          <w:rFonts w:ascii="Calibri" w:hAnsi="Calibri" w:cs="Calibri"/>
          <w:sz w:val="24"/>
          <w:szCs w:val="24"/>
        </w:rPr>
      </w:pPr>
      <w:r w:rsidRPr="0015363E">
        <w:rPr>
          <w:rFonts w:ascii="Calibri" w:hAnsi="Calibri" w:cs="Calibri"/>
          <w:sz w:val="24"/>
          <w:szCs w:val="24"/>
        </w:rPr>
        <w:t>Caldarella, P., Larsen, R.A.A., Williams, L., Downs, K.R., Wills, H.P. and Wehby, J.H. (2020) 'Effects of teachers’ praise-to-reprimand ratios on elementary students’ on-task behaviour', </w:t>
      </w:r>
      <w:r w:rsidRPr="0015363E">
        <w:rPr>
          <w:rFonts w:ascii="Calibri" w:hAnsi="Calibri" w:cs="Calibri"/>
          <w:i/>
          <w:iCs/>
          <w:sz w:val="24"/>
          <w:szCs w:val="24"/>
        </w:rPr>
        <w:t>Educational Psychology</w:t>
      </w:r>
      <w:r w:rsidRPr="0015363E">
        <w:rPr>
          <w:rFonts w:ascii="Calibri" w:hAnsi="Calibri" w:cs="Calibri"/>
          <w:sz w:val="24"/>
          <w:szCs w:val="24"/>
        </w:rPr>
        <w:t>, 40(6), pp. 730–750. Available at: </w:t>
      </w:r>
      <w:r w:rsidR="0008458D" w:rsidRPr="0015363E">
        <w:rPr>
          <w:rFonts w:ascii="Calibri" w:hAnsi="Calibri" w:cs="Calibri"/>
          <w:sz w:val="24"/>
          <w:szCs w:val="24"/>
        </w:rPr>
        <w:t xml:space="preserve"> </w:t>
      </w:r>
      <w:hyperlink r:id="rId9" w:history="1">
        <w:r w:rsidR="001E47A4" w:rsidRPr="0015363E">
          <w:rPr>
            <w:rStyle w:val="Hyperlink"/>
            <w:rFonts w:ascii="Calibri" w:hAnsi="Calibri" w:cs="Calibri"/>
            <w:sz w:val="24"/>
            <w:szCs w:val="24"/>
          </w:rPr>
          <w:t>https://doi.org/10.1080/01443410.2020.1711872</w:t>
        </w:r>
      </w:hyperlink>
    </w:p>
    <w:p w14:paraId="70D80974" w14:textId="3BA94023" w:rsidR="0004435A" w:rsidRPr="0015363E" w:rsidRDefault="0004435A" w:rsidP="0015363E">
      <w:pPr>
        <w:spacing w:line="360" w:lineRule="auto"/>
        <w:rPr>
          <w:rFonts w:ascii="Calibri" w:hAnsi="Calibri" w:cs="Calibri"/>
          <w:sz w:val="24"/>
          <w:szCs w:val="24"/>
        </w:rPr>
      </w:pPr>
      <w:proofErr w:type="spellStart"/>
      <w:r w:rsidRPr="0015363E">
        <w:rPr>
          <w:rFonts w:ascii="Calibri" w:hAnsi="Calibri" w:cs="Calibri"/>
          <w:sz w:val="24"/>
          <w:szCs w:val="24"/>
        </w:rPr>
        <w:t>Deslauriers</w:t>
      </w:r>
      <w:proofErr w:type="spellEnd"/>
      <w:r w:rsidRPr="0015363E">
        <w:rPr>
          <w:rFonts w:ascii="Calibri" w:hAnsi="Calibri" w:cs="Calibri"/>
          <w:sz w:val="24"/>
          <w:szCs w:val="24"/>
        </w:rPr>
        <w:t>, L., McCarty, L.S., Miller, K., Callaghan, K. and Kestin, G. (2019) 'Measuring actual learning versus feeling of learning in response to being actively engaged in the classroom', </w:t>
      </w:r>
      <w:r w:rsidRPr="0015363E">
        <w:rPr>
          <w:rFonts w:ascii="Calibri" w:hAnsi="Calibri" w:cs="Calibri"/>
          <w:i/>
          <w:iCs/>
          <w:sz w:val="24"/>
          <w:szCs w:val="24"/>
        </w:rPr>
        <w:t>Proceedings of the National Academy of Sciences</w:t>
      </w:r>
      <w:r w:rsidRPr="0015363E">
        <w:rPr>
          <w:rFonts w:ascii="Calibri" w:hAnsi="Calibri" w:cs="Calibri"/>
          <w:sz w:val="24"/>
          <w:szCs w:val="24"/>
        </w:rPr>
        <w:t>, 116(39), pp. 19251–19257. Available at: </w:t>
      </w:r>
      <w:hyperlink r:id="rId10" w:tgtFrame="_blank" w:history="1">
        <w:r w:rsidRPr="0015363E">
          <w:rPr>
            <w:rStyle w:val="Hyperlink"/>
            <w:rFonts w:ascii="Calibri" w:hAnsi="Calibri" w:cs="Calibri"/>
            <w:sz w:val="24"/>
            <w:szCs w:val="24"/>
          </w:rPr>
          <w:t>https://doi.org/10.1073/pnas.1821936116</w:t>
        </w:r>
      </w:hyperlink>
    </w:p>
    <w:p w14:paraId="333EFDA7" w14:textId="77777777" w:rsidR="00090E2A" w:rsidRPr="0015363E" w:rsidRDefault="00090E2A" w:rsidP="0015363E">
      <w:pPr>
        <w:spacing w:line="360" w:lineRule="auto"/>
        <w:rPr>
          <w:rFonts w:ascii="Calibri" w:hAnsi="Calibri" w:cs="Calibri"/>
          <w:sz w:val="24"/>
          <w:szCs w:val="24"/>
        </w:rPr>
      </w:pPr>
      <w:r w:rsidRPr="0015363E">
        <w:rPr>
          <w:rFonts w:ascii="Calibri" w:hAnsi="Calibri" w:cs="Calibri"/>
          <w:sz w:val="24"/>
          <w:szCs w:val="24"/>
        </w:rPr>
        <w:t>Freeman, S., Eddy, S.L., McDonough, M., Smith, M.K., Okoroafor, N., Jordt, H. and Wenderoth, M.P. (2014) 'Active learning increases student performance in science, engineering, and mathematics', </w:t>
      </w:r>
      <w:r w:rsidRPr="0015363E">
        <w:rPr>
          <w:rFonts w:ascii="Calibri" w:hAnsi="Calibri" w:cs="Calibri"/>
          <w:i/>
          <w:iCs/>
          <w:sz w:val="24"/>
          <w:szCs w:val="24"/>
        </w:rPr>
        <w:t>Proceedings of the National Academy of Sciences</w:t>
      </w:r>
      <w:r w:rsidRPr="0015363E">
        <w:rPr>
          <w:rFonts w:ascii="Calibri" w:hAnsi="Calibri" w:cs="Calibri"/>
          <w:sz w:val="24"/>
          <w:szCs w:val="24"/>
        </w:rPr>
        <w:t>, 111(23), pp. 8410–8415. Available at: </w:t>
      </w:r>
      <w:hyperlink r:id="rId11" w:tgtFrame="_blank" w:history="1">
        <w:r w:rsidRPr="0015363E">
          <w:rPr>
            <w:rStyle w:val="Hyperlink"/>
            <w:rFonts w:ascii="Calibri" w:hAnsi="Calibri" w:cs="Calibri"/>
            <w:sz w:val="24"/>
            <w:szCs w:val="24"/>
          </w:rPr>
          <w:t>https://doi.org/10.1073/pnas.1319030111</w:t>
        </w:r>
      </w:hyperlink>
    </w:p>
    <w:p w14:paraId="31B313F1" w14:textId="13A890E1" w:rsidR="00C45F79" w:rsidRPr="0015363E" w:rsidRDefault="00F212D3" w:rsidP="0015363E">
      <w:pPr>
        <w:spacing w:line="360" w:lineRule="auto"/>
        <w:rPr>
          <w:rFonts w:ascii="Calibri" w:hAnsi="Calibri" w:cs="Calibri"/>
          <w:sz w:val="24"/>
          <w:szCs w:val="24"/>
        </w:rPr>
      </w:pPr>
      <w:r w:rsidRPr="0015363E">
        <w:rPr>
          <w:rFonts w:ascii="Calibri" w:hAnsi="Calibri" w:cs="Calibri"/>
          <w:sz w:val="24"/>
          <w:szCs w:val="24"/>
        </w:rPr>
        <w:t>Hattie, J. (2012) </w:t>
      </w:r>
      <w:r w:rsidRPr="0015363E">
        <w:rPr>
          <w:rFonts w:ascii="Calibri" w:hAnsi="Calibri" w:cs="Calibri"/>
          <w:i/>
          <w:iCs/>
          <w:sz w:val="24"/>
          <w:szCs w:val="24"/>
        </w:rPr>
        <w:t xml:space="preserve">Visible </w:t>
      </w:r>
      <w:r w:rsidR="00D9477C" w:rsidRPr="0015363E">
        <w:rPr>
          <w:rFonts w:ascii="Calibri" w:hAnsi="Calibri" w:cs="Calibri"/>
          <w:i/>
          <w:iCs/>
          <w:sz w:val="24"/>
          <w:szCs w:val="24"/>
        </w:rPr>
        <w:t>learning</w:t>
      </w:r>
      <w:r w:rsidRPr="0015363E">
        <w:rPr>
          <w:rFonts w:ascii="Calibri" w:hAnsi="Calibri" w:cs="Calibri"/>
          <w:i/>
          <w:iCs/>
          <w:sz w:val="24"/>
          <w:szCs w:val="24"/>
        </w:rPr>
        <w:t xml:space="preserve"> for </w:t>
      </w:r>
      <w:r w:rsidR="00D9477C" w:rsidRPr="0015363E">
        <w:rPr>
          <w:rFonts w:ascii="Calibri" w:hAnsi="Calibri" w:cs="Calibri"/>
          <w:i/>
          <w:iCs/>
          <w:sz w:val="24"/>
          <w:szCs w:val="24"/>
        </w:rPr>
        <w:t>teachers: maximizing impact</w:t>
      </w:r>
      <w:r w:rsidRPr="0015363E">
        <w:rPr>
          <w:rFonts w:ascii="Calibri" w:hAnsi="Calibri" w:cs="Calibri"/>
          <w:i/>
          <w:iCs/>
          <w:sz w:val="24"/>
          <w:szCs w:val="24"/>
        </w:rPr>
        <w:t xml:space="preserve"> on </w:t>
      </w:r>
      <w:r w:rsidR="00D9477C" w:rsidRPr="0015363E">
        <w:rPr>
          <w:rFonts w:ascii="Calibri" w:hAnsi="Calibri" w:cs="Calibri"/>
          <w:i/>
          <w:iCs/>
          <w:sz w:val="24"/>
          <w:szCs w:val="24"/>
        </w:rPr>
        <w:t>learning</w:t>
      </w:r>
      <w:r w:rsidR="00D9477C" w:rsidRPr="0015363E">
        <w:rPr>
          <w:rFonts w:ascii="Calibri" w:hAnsi="Calibri" w:cs="Calibri"/>
          <w:sz w:val="24"/>
          <w:szCs w:val="24"/>
        </w:rPr>
        <w:t>.</w:t>
      </w:r>
      <w:r w:rsidRPr="0015363E">
        <w:rPr>
          <w:rFonts w:ascii="Calibri" w:hAnsi="Calibri" w:cs="Calibri"/>
          <w:sz w:val="24"/>
          <w:szCs w:val="24"/>
        </w:rPr>
        <w:t xml:space="preserve"> London: Routledge. Available at: </w:t>
      </w:r>
      <w:hyperlink r:id="rId12" w:tgtFrame="_blank" w:history="1">
        <w:r w:rsidRPr="0015363E">
          <w:rPr>
            <w:rStyle w:val="Hyperlink"/>
            <w:rFonts w:ascii="Calibri" w:hAnsi="Calibri" w:cs="Calibri"/>
            <w:sz w:val="24"/>
            <w:szCs w:val="24"/>
          </w:rPr>
          <w:t>https://www.routledge.com/Visible-Learning-for-Teachers-Maximizing-Impact-on-Learning/Hattie/p/book/9780415690157</w:t>
        </w:r>
      </w:hyperlink>
      <w:r w:rsidRPr="0015363E">
        <w:rPr>
          <w:rFonts w:ascii="Calibri" w:hAnsi="Calibri" w:cs="Calibri"/>
          <w:sz w:val="24"/>
          <w:szCs w:val="24"/>
        </w:rPr>
        <w:t> (Accessed: 1 February 2025).</w:t>
      </w:r>
    </w:p>
    <w:p w14:paraId="50727585" w14:textId="7DA66996" w:rsidR="004235B0" w:rsidRPr="0015363E" w:rsidRDefault="00C83876" w:rsidP="0015363E">
      <w:pPr>
        <w:spacing w:line="360" w:lineRule="auto"/>
        <w:rPr>
          <w:rFonts w:ascii="Calibri" w:hAnsi="Calibri" w:cs="Calibri"/>
          <w:sz w:val="24"/>
          <w:szCs w:val="24"/>
        </w:rPr>
      </w:pPr>
      <w:r w:rsidRPr="0015363E">
        <w:rPr>
          <w:rFonts w:ascii="Calibri" w:hAnsi="Calibri" w:cs="Calibri"/>
          <w:sz w:val="24"/>
          <w:szCs w:val="24"/>
        </w:rPr>
        <w:t xml:space="preserve">Jansen, R.S., </w:t>
      </w:r>
      <w:proofErr w:type="spellStart"/>
      <w:r w:rsidRPr="0015363E">
        <w:rPr>
          <w:rFonts w:ascii="Calibri" w:hAnsi="Calibri" w:cs="Calibri"/>
          <w:sz w:val="24"/>
          <w:szCs w:val="24"/>
        </w:rPr>
        <w:t>Lakens</w:t>
      </w:r>
      <w:proofErr w:type="spellEnd"/>
      <w:r w:rsidRPr="0015363E">
        <w:rPr>
          <w:rFonts w:ascii="Calibri" w:hAnsi="Calibri" w:cs="Calibri"/>
          <w:sz w:val="24"/>
          <w:szCs w:val="24"/>
        </w:rPr>
        <w:t xml:space="preserve">, D. and </w:t>
      </w:r>
      <w:proofErr w:type="spellStart"/>
      <w:r w:rsidRPr="0015363E">
        <w:rPr>
          <w:rFonts w:ascii="Calibri" w:hAnsi="Calibri" w:cs="Calibri"/>
          <w:sz w:val="24"/>
          <w:szCs w:val="24"/>
        </w:rPr>
        <w:t>IJsselsteijn</w:t>
      </w:r>
      <w:proofErr w:type="spellEnd"/>
      <w:r w:rsidRPr="0015363E">
        <w:rPr>
          <w:rFonts w:ascii="Calibri" w:hAnsi="Calibri" w:cs="Calibri"/>
          <w:sz w:val="24"/>
          <w:szCs w:val="24"/>
        </w:rPr>
        <w:t xml:space="preserve">, W.A. (2017) 'An integrative review of the cognitive costs and benefits of </w:t>
      </w:r>
      <w:proofErr w:type="gramStart"/>
      <w:r w:rsidRPr="0015363E">
        <w:rPr>
          <w:rFonts w:ascii="Calibri" w:hAnsi="Calibri" w:cs="Calibri"/>
          <w:sz w:val="24"/>
          <w:szCs w:val="24"/>
        </w:rPr>
        <w:t>note-taking</w:t>
      </w:r>
      <w:proofErr w:type="gramEnd"/>
      <w:r w:rsidRPr="0015363E">
        <w:rPr>
          <w:rFonts w:ascii="Calibri" w:hAnsi="Calibri" w:cs="Calibri"/>
          <w:sz w:val="24"/>
          <w:szCs w:val="24"/>
        </w:rPr>
        <w:t>', </w:t>
      </w:r>
      <w:r w:rsidRPr="0015363E">
        <w:rPr>
          <w:rFonts w:ascii="Calibri" w:hAnsi="Calibri" w:cs="Calibri"/>
          <w:i/>
          <w:iCs/>
          <w:sz w:val="24"/>
          <w:szCs w:val="24"/>
        </w:rPr>
        <w:t>Educational Research Review</w:t>
      </w:r>
      <w:r w:rsidRPr="0015363E">
        <w:rPr>
          <w:rFonts w:ascii="Calibri" w:hAnsi="Calibri" w:cs="Calibri"/>
          <w:sz w:val="24"/>
          <w:szCs w:val="24"/>
        </w:rPr>
        <w:t>, 22, pp. 223–233. Available at: </w:t>
      </w:r>
      <w:r w:rsidR="004515EE" w:rsidRPr="0015363E">
        <w:rPr>
          <w:rFonts w:ascii="Calibri" w:hAnsi="Calibri" w:cs="Calibri"/>
          <w:sz w:val="24"/>
          <w:szCs w:val="24"/>
        </w:rPr>
        <w:t xml:space="preserve"> </w:t>
      </w:r>
      <w:hyperlink r:id="rId13" w:history="1">
        <w:r w:rsidR="0008458D" w:rsidRPr="0015363E">
          <w:rPr>
            <w:rStyle w:val="Hyperlink"/>
            <w:rFonts w:ascii="Calibri" w:hAnsi="Calibri" w:cs="Calibri"/>
            <w:sz w:val="24"/>
            <w:szCs w:val="24"/>
          </w:rPr>
          <w:t>https://doi.org/10.1016/j.edurev.2017.10.001</w:t>
        </w:r>
      </w:hyperlink>
      <w:r w:rsidR="00AE7AAB" w:rsidRPr="0015363E">
        <w:rPr>
          <w:rFonts w:ascii="Calibri" w:hAnsi="Calibri" w:cs="Calibri"/>
          <w:sz w:val="24"/>
          <w:szCs w:val="24"/>
        </w:rPr>
        <w:t xml:space="preserve"> (Accessed: 27 Jan 2025)</w:t>
      </w:r>
    </w:p>
    <w:p w14:paraId="372C0B7C" w14:textId="77777777" w:rsidR="006A485A" w:rsidRPr="0015363E" w:rsidRDefault="006A485A" w:rsidP="0015363E">
      <w:pPr>
        <w:spacing w:line="360" w:lineRule="auto"/>
        <w:rPr>
          <w:rFonts w:ascii="Calibri" w:hAnsi="Calibri" w:cs="Calibri"/>
          <w:sz w:val="24"/>
          <w:szCs w:val="24"/>
        </w:rPr>
      </w:pPr>
      <w:r w:rsidRPr="0015363E">
        <w:rPr>
          <w:rFonts w:ascii="Calibri" w:hAnsi="Calibri" w:cs="Calibri"/>
          <w:sz w:val="24"/>
          <w:szCs w:val="24"/>
        </w:rPr>
        <w:t>Knowles, M.S., Holton III, E.F. and Swanson, R.A. (2015) </w:t>
      </w:r>
      <w:r w:rsidRPr="0015363E">
        <w:rPr>
          <w:rFonts w:ascii="Calibri" w:hAnsi="Calibri" w:cs="Calibri"/>
          <w:i/>
          <w:iCs/>
          <w:sz w:val="24"/>
          <w:szCs w:val="24"/>
        </w:rPr>
        <w:t>The adult learner: The definitive classic in adult education and human resource development</w:t>
      </w:r>
      <w:r w:rsidRPr="0015363E">
        <w:rPr>
          <w:rFonts w:ascii="Calibri" w:hAnsi="Calibri" w:cs="Calibri"/>
          <w:sz w:val="24"/>
          <w:szCs w:val="24"/>
        </w:rPr>
        <w:t xml:space="preserve">. 8th </w:t>
      </w:r>
      <w:proofErr w:type="spellStart"/>
      <w:r w:rsidRPr="0015363E">
        <w:rPr>
          <w:rFonts w:ascii="Calibri" w:hAnsi="Calibri" w:cs="Calibri"/>
          <w:sz w:val="24"/>
          <w:szCs w:val="24"/>
        </w:rPr>
        <w:t>edn</w:t>
      </w:r>
      <w:proofErr w:type="spellEnd"/>
      <w:r w:rsidRPr="0015363E">
        <w:rPr>
          <w:rFonts w:ascii="Calibri" w:hAnsi="Calibri" w:cs="Calibri"/>
          <w:sz w:val="24"/>
          <w:szCs w:val="24"/>
        </w:rPr>
        <w:t>. London: Routledge.</w:t>
      </w:r>
    </w:p>
    <w:p w14:paraId="67263E51" w14:textId="3295C825" w:rsidR="00B56D62" w:rsidRPr="0015363E" w:rsidRDefault="00B56D62" w:rsidP="0015363E">
      <w:pPr>
        <w:spacing w:line="360" w:lineRule="auto"/>
        <w:rPr>
          <w:rFonts w:ascii="Calibri" w:hAnsi="Calibri" w:cs="Calibri"/>
          <w:sz w:val="24"/>
          <w:szCs w:val="24"/>
        </w:rPr>
      </w:pPr>
      <w:r w:rsidRPr="0015363E">
        <w:rPr>
          <w:rFonts w:ascii="Calibri" w:hAnsi="Calibri" w:cs="Calibri"/>
          <w:sz w:val="24"/>
          <w:szCs w:val="24"/>
        </w:rPr>
        <w:t xml:space="preserve">Krathwohl, D.R. (2002) 'A revision of Bloom's </w:t>
      </w:r>
      <w:r w:rsidR="004235B0" w:rsidRPr="0015363E">
        <w:rPr>
          <w:rFonts w:ascii="Calibri" w:hAnsi="Calibri" w:cs="Calibri"/>
          <w:sz w:val="24"/>
          <w:szCs w:val="24"/>
        </w:rPr>
        <w:t>T</w:t>
      </w:r>
      <w:r w:rsidRPr="0015363E">
        <w:rPr>
          <w:rFonts w:ascii="Calibri" w:hAnsi="Calibri" w:cs="Calibri"/>
          <w:sz w:val="24"/>
          <w:szCs w:val="24"/>
        </w:rPr>
        <w:t>axonomy: An overview', </w:t>
      </w:r>
      <w:r w:rsidRPr="0015363E">
        <w:rPr>
          <w:rFonts w:ascii="Calibri" w:hAnsi="Calibri" w:cs="Calibri"/>
          <w:i/>
          <w:iCs/>
          <w:sz w:val="24"/>
          <w:szCs w:val="24"/>
        </w:rPr>
        <w:t xml:space="preserve">Theory </w:t>
      </w:r>
      <w:proofErr w:type="gramStart"/>
      <w:r w:rsidRPr="0015363E">
        <w:rPr>
          <w:rFonts w:ascii="Calibri" w:hAnsi="Calibri" w:cs="Calibri"/>
          <w:i/>
          <w:iCs/>
          <w:sz w:val="24"/>
          <w:szCs w:val="24"/>
        </w:rPr>
        <w:t>Into</w:t>
      </w:r>
      <w:proofErr w:type="gramEnd"/>
      <w:r w:rsidRPr="0015363E">
        <w:rPr>
          <w:rFonts w:ascii="Calibri" w:hAnsi="Calibri" w:cs="Calibri"/>
          <w:i/>
          <w:iCs/>
          <w:sz w:val="24"/>
          <w:szCs w:val="24"/>
        </w:rPr>
        <w:t xml:space="preserve"> Practice</w:t>
      </w:r>
      <w:r w:rsidRPr="0015363E">
        <w:rPr>
          <w:rFonts w:ascii="Calibri" w:hAnsi="Calibri" w:cs="Calibri"/>
          <w:sz w:val="24"/>
          <w:szCs w:val="24"/>
        </w:rPr>
        <w:t>, 41(4), pp. 212–218. Available at: </w:t>
      </w:r>
      <w:hyperlink r:id="rId14" w:tgtFrame="_blank" w:history="1">
        <w:r w:rsidRPr="0015363E">
          <w:rPr>
            <w:rStyle w:val="Hyperlink"/>
            <w:rFonts w:ascii="Calibri" w:hAnsi="Calibri" w:cs="Calibri"/>
            <w:sz w:val="24"/>
            <w:szCs w:val="24"/>
          </w:rPr>
          <w:t>https://www.jstor.org/stable/1477405</w:t>
        </w:r>
      </w:hyperlink>
    </w:p>
    <w:p w14:paraId="34C326CB" w14:textId="5B2D87FB" w:rsidR="00DD286D" w:rsidRPr="0015363E" w:rsidRDefault="002259B4" w:rsidP="0015363E">
      <w:pPr>
        <w:spacing w:line="360" w:lineRule="auto"/>
        <w:rPr>
          <w:rFonts w:ascii="Calibri" w:hAnsi="Calibri" w:cs="Calibri"/>
          <w:sz w:val="24"/>
          <w:szCs w:val="24"/>
        </w:rPr>
      </w:pPr>
      <w:r w:rsidRPr="0015363E">
        <w:rPr>
          <w:rFonts w:ascii="Calibri" w:hAnsi="Calibri" w:cs="Calibri"/>
          <w:sz w:val="24"/>
          <w:szCs w:val="24"/>
        </w:rPr>
        <w:t>Kolb, D.A. (2015) </w:t>
      </w:r>
      <w:r w:rsidRPr="0015363E">
        <w:rPr>
          <w:rFonts w:ascii="Calibri" w:hAnsi="Calibri" w:cs="Calibri"/>
          <w:i/>
          <w:iCs/>
          <w:sz w:val="24"/>
          <w:szCs w:val="24"/>
        </w:rPr>
        <w:t>Experiential learning: experience as the source of learning and development</w:t>
      </w:r>
      <w:r w:rsidRPr="0015363E">
        <w:rPr>
          <w:rFonts w:ascii="Calibri" w:hAnsi="Calibri" w:cs="Calibri"/>
          <w:sz w:val="24"/>
          <w:szCs w:val="24"/>
        </w:rPr>
        <w:t xml:space="preserve">. 2nd </w:t>
      </w:r>
      <w:proofErr w:type="spellStart"/>
      <w:r w:rsidRPr="0015363E">
        <w:rPr>
          <w:rFonts w:ascii="Calibri" w:hAnsi="Calibri" w:cs="Calibri"/>
          <w:sz w:val="24"/>
          <w:szCs w:val="24"/>
        </w:rPr>
        <w:t>edn</w:t>
      </w:r>
      <w:proofErr w:type="spellEnd"/>
      <w:r w:rsidRPr="0015363E">
        <w:rPr>
          <w:rFonts w:ascii="Calibri" w:hAnsi="Calibri" w:cs="Calibri"/>
          <w:sz w:val="24"/>
          <w:szCs w:val="24"/>
        </w:rPr>
        <w:t xml:space="preserve">. </w:t>
      </w:r>
      <w:r w:rsidR="00606AEB" w:rsidRPr="0015363E">
        <w:rPr>
          <w:rFonts w:ascii="Calibri" w:hAnsi="Calibri" w:cs="Calibri"/>
          <w:sz w:val="24"/>
          <w:szCs w:val="24"/>
        </w:rPr>
        <w:t>Harlow: Pearson FT Press.</w:t>
      </w:r>
      <w:r w:rsidR="00393EB3" w:rsidRPr="0015363E">
        <w:rPr>
          <w:rFonts w:ascii="Calibri" w:hAnsi="Calibri" w:cs="Calibri"/>
          <w:sz w:val="24"/>
          <w:szCs w:val="24"/>
        </w:rPr>
        <w:t xml:space="preserve"> </w:t>
      </w:r>
    </w:p>
    <w:p w14:paraId="5FED4594" w14:textId="1A443717" w:rsidR="006D7183" w:rsidRPr="0015363E" w:rsidRDefault="0070100A" w:rsidP="0015363E">
      <w:pPr>
        <w:spacing w:line="360" w:lineRule="auto"/>
        <w:rPr>
          <w:rFonts w:ascii="Calibri" w:hAnsi="Calibri" w:cs="Calibri"/>
          <w:sz w:val="24"/>
          <w:szCs w:val="24"/>
        </w:rPr>
      </w:pPr>
      <w:proofErr w:type="spellStart"/>
      <w:r w:rsidRPr="0015363E">
        <w:rPr>
          <w:rFonts w:ascii="Calibri" w:hAnsi="Calibri" w:cs="Calibri"/>
          <w:sz w:val="24"/>
          <w:szCs w:val="24"/>
        </w:rPr>
        <w:lastRenderedPageBreak/>
        <w:t>Kothiyal</w:t>
      </w:r>
      <w:proofErr w:type="spellEnd"/>
      <w:r w:rsidRPr="0015363E">
        <w:rPr>
          <w:rFonts w:ascii="Calibri" w:hAnsi="Calibri" w:cs="Calibri"/>
          <w:sz w:val="24"/>
          <w:szCs w:val="24"/>
        </w:rPr>
        <w:t>, A., Murthy, S. and Iyer, S. (2014) 'Think-pair-share in a large CS1 class: does learning really happen?', in </w:t>
      </w:r>
      <w:r w:rsidRPr="0015363E">
        <w:rPr>
          <w:rFonts w:ascii="Calibri" w:hAnsi="Calibri" w:cs="Calibri"/>
          <w:i/>
          <w:iCs/>
          <w:sz w:val="24"/>
          <w:szCs w:val="24"/>
        </w:rPr>
        <w:t>Proceedings of the 2014 conference on innovation and technology in computer science education</w:t>
      </w:r>
      <w:r w:rsidRPr="0015363E">
        <w:rPr>
          <w:rFonts w:ascii="Calibri" w:hAnsi="Calibri" w:cs="Calibri"/>
          <w:sz w:val="24"/>
          <w:szCs w:val="24"/>
        </w:rPr>
        <w:t>. New York: ACM, pp. 51-56. Available at: </w:t>
      </w:r>
      <w:r w:rsidR="006D7183" w:rsidRPr="0015363E">
        <w:rPr>
          <w:rFonts w:ascii="Calibri" w:hAnsi="Calibri" w:cs="Calibri"/>
          <w:sz w:val="24"/>
          <w:szCs w:val="24"/>
        </w:rPr>
        <w:t xml:space="preserve"> </w:t>
      </w:r>
      <w:hyperlink r:id="rId15" w:history="1">
        <w:r w:rsidR="00F12415" w:rsidRPr="0015363E">
          <w:rPr>
            <w:rStyle w:val="Hyperlink"/>
            <w:rFonts w:ascii="Calibri" w:hAnsi="Calibri" w:cs="Calibri"/>
            <w:sz w:val="24"/>
            <w:szCs w:val="24"/>
          </w:rPr>
          <w:t>https://dl.acm.org/doi/10.1145/2591708.2591739</w:t>
        </w:r>
      </w:hyperlink>
      <w:r w:rsidRPr="0015363E">
        <w:rPr>
          <w:rFonts w:ascii="Calibri" w:hAnsi="Calibri" w:cs="Calibri"/>
          <w:sz w:val="24"/>
          <w:szCs w:val="24"/>
        </w:rPr>
        <w:t> (Accessed: 1 February 2025).</w:t>
      </w:r>
    </w:p>
    <w:p w14:paraId="4BB80644" w14:textId="094CBCA2" w:rsidR="00537930" w:rsidRPr="0015363E" w:rsidRDefault="00537930" w:rsidP="0015363E">
      <w:pPr>
        <w:spacing w:line="360" w:lineRule="auto"/>
        <w:rPr>
          <w:rFonts w:ascii="Calibri" w:hAnsi="Calibri" w:cs="Calibri"/>
          <w:sz w:val="24"/>
          <w:szCs w:val="24"/>
        </w:rPr>
      </w:pPr>
      <w:r w:rsidRPr="0015363E">
        <w:rPr>
          <w:rFonts w:ascii="Calibri" w:hAnsi="Calibri" w:cs="Calibri"/>
          <w:sz w:val="24"/>
          <w:szCs w:val="24"/>
        </w:rPr>
        <w:t>Lave, J. and Wenger, E. (1991) </w:t>
      </w:r>
      <w:r w:rsidRPr="0015363E">
        <w:rPr>
          <w:rFonts w:ascii="Calibri" w:hAnsi="Calibri" w:cs="Calibri"/>
          <w:i/>
          <w:iCs/>
          <w:sz w:val="24"/>
          <w:szCs w:val="24"/>
        </w:rPr>
        <w:t>Situated learning: legitimate peripheral participation</w:t>
      </w:r>
      <w:r w:rsidRPr="0015363E">
        <w:rPr>
          <w:rFonts w:ascii="Calibri" w:hAnsi="Calibri" w:cs="Calibri"/>
          <w:sz w:val="24"/>
          <w:szCs w:val="24"/>
        </w:rPr>
        <w:t>. Cambridge: Cambridge University Press.</w:t>
      </w:r>
    </w:p>
    <w:p w14:paraId="6A9E6132" w14:textId="295AC270" w:rsidR="001F3E84" w:rsidRPr="0015363E" w:rsidRDefault="004C51F5" w:rsidP="0015363E">
      <w:pPr>
        <w:spacing w:line="360" w:lineRule="auto"/>
        <w:rPr>
          <w:rFonts w:ascii="Calibri" w:hAnsi="Calibri" w:cs="Calibri"/>
          <w:sz w:val="24"/>
          <w:szCs w:val="24"/>
        </w:rPr>
      </w:pPr>
      <w:r w:rsidRPr="0015363E">
        <w:rPr>
          <w:rFonts w:ascii="Calibri" w:hAnsi="Calibri" w:cs="Calibri"/>
          <w:sz w:val="24"/>
          <w:szCs w:val="24"/>
        </w:rPr>
        <w:t xml:space="preserve">Lampi, A.R., Fenty, N.S. &amp; </w:t>
      </w:r>
      <w:proofErr w:type="spellStart"/>
      <w:r w:rsidRPr="0015363E">
        <w:rPr>
          <w:rFonts w:ascii="Calibri" w:hAnsi="Calibri" w:cs="Calibri"/>
          <w:sz w:val="24"/>
          <w:szCs w:val="24"/>
        </w:rPr>
        <w:t>Beaunae</w:t>
      </w:r>
      <w:proofErr w:type="spellEnd"/>
      <w:r w:rsidRPr="0015363E">
        <w:rPr>
          <w:rFonts w:ascii="Calibri" w:hAnsi="Calibri" w:cs="Calibri"/>
          <w:sz w:val="24"/>
          <w:szCs w:val="24"/>
        </w:rPr>
        <w:t>, C. (2005) 'Making the three Ps easier: praise, proximity, and precorrection', </w:t>
      </w:r>
      <w:r w:rsidRPr="0015363E">
        <w:rPr>
          <w:rFonts w:ascii="Calibri" w:hAnsi="Calibri" w:cs="Calibri"/>
          <w:i/>
          <w:iCs/>
          <w:sz w:val="24"/>
          <w:szCs w:val="24"/>
        </w:rPr>
        <w:t xml:space="preserve">Beyond </w:t>
      </w:r>
      <w:proofErr w:type="spellStart"/>
      <w:r w:rsidRPr="0015363E">
        <w:rPr>
          <w:rFonts w:ascii="Calibri" w:hAnsi="Calibri" w:cs="Calibri"/>
          <w:i/>
          <w:iCs/>
          <w:sz w:val="24"/>
          <w:szCs w:val="24"/>
        </w:rPr>
        <w:t>Behavior</w:t>
      </w:r>
      <w:proofErr w:type="spellEnd"/>
      <w:r w:rsidRPr="0015363E">
        <w:rPr>
          <w:rFonts w:ascii="Calibri" w:hAnsi="Calibri" w:cs="Calibri"/>
          <w:sz w:val="24"/>
          <w:szCs w:val="24"/>
        </w:rPr>
        <w:t>, 15(1), pp. 8-12.</w:t>
      </w:r>
      <w:r w:rsidR="00915EE5" w:rsidRPr="0015363E">
        <w:rPr>
          <w:rFonts w:ascii="Calibri" w:hAnsi="Calibri" w:cs="Calibri"/>
          <w:sz w:val="24"/>
          <w:szCs w:val="24"/>
        </w:rPr>
        <w:t xml:space="preserve"> Available at</w:t>
      </w:r>
      <w:r w:rsidRPr="0015363E">
        <w:rPr>
          <w:rFonts w:ascii="Calibri" w:hAnsi="Calibri" w:cs="Calibri"/>
          <w:sz w:val="24"/>
          <w:szCs w:val="24"/>
        </w:rPr>
        <w:t>: </w:t>
      </w:r>
      <w:r w:rsidR="004515EE" w:rsidRPr="0015363E">
        <w:rPr>
          <w:rFonts w:ascii="Calibri" w:hAnsi="Calibri" w:cs="Calibri"/>
          <w:sz w:val="24"/>
          <w:szCs w:val="24"/>
        </w:rPr>
        <w:t xml:space="preserve"> </w:t>
      </w:r>
      <w:hyperlink r:id="rId16" w:history="1">
        <w:r w:rsidR="004515EE" w:rsidRPr="0015363E">
          <w:rPr>
            <w:rStyle w:val="Hyperlink"/>
            <w:rFonts w:ascii="Calibri" w:hAnsi="Calibri" w:cs="Calibri"/>
            <w:sz w:val="24"/>
            <w:szCs w:val="24"/>
          </w:rPr>
          <w:t>https://www.jstor.org/stable/41824408</w:t>
        </w:r>
      </w:hyperlink>
      <w:r w:rsidRPr="0015363E">
        <w:rPr>
          <w:rFonts w:ascii="Calibri" w:hAnsi="Calibri" w:cs="Calibri"/>
          <w:sz w:val="24"/>
          <w:szCs w:val="24"/>
        </w:rPr>
        <w:t> (Accessed: 2 February 2025).</w:t>
      </w:r>
    </w:p>
    <w:p w14:paraId="3AC7215B" w14:textId="77777777" w:rsidR="001A7561" w:rsidRPr="0015363E" w:rsidRDefault="001A7561" w:rsidP="0015363E">
      <w:pPr>
        <w:spacing w:line="360" w:lineRule="auto"/>
        <w:rPr>
          <w:rFonts w:ascii="Calibri" w:hAnsi="Calibri" w:cs="Calibri"/>
          <w:sz w:val="24"/>
          <w:szCs w:val="24"/>
        </w:rPr>
      </w:pPr>
      <w:r w:rsidRPr="0015363E">
        <w:rPr>
          <w:rFonts w:ascii="Calibri" w:hAnsi="Calibri" w:cs="Calibri"/>
          <w:sz w:val="24"/>
          <w:szCs w:val="24"/>
        </w:rPr>
        <w:t xml:space="preserve">Lisdawati, I., </w:t>
      </w:r>
      <w:proofErr w:type="spellStart"/>
      <w:r w:rsidRPr="0015363E">
        <w:rPr>
          <w:rFonts w:ascii="Calibri" w:hAnsi="Calibri" w:cs="Calibri"/>
          <w:sz w:val="24"/>
          <w:szCs w:val="24"/>
        </w:rPr>
        <w:t>Bhuana</w:t>
      </w:r>
      <w:proofErr w:type="spellEnd"/>
      <w:r w:rsidRPr="0015363E">
        <w:rPr>
          <w:rFonts w:ascii="Calibri" w:hAnsi="Calibri" w:cs="Calibri"/>
          <w:sz w:val="24"/>
          <w:szCs w:val="24"/>
        </w:rPr>
        <w:t xml:space="preserve">, G.P., El Fauziah, U.N. and </w:t>
      </w:r>
      <w:proofErr w:type="spellStart"/>
      <w:r w:rsidRPr="0015363E">
        <w:rPr>
          <w:rFonts w:ascii="Calibri" w:hAnsi="Calibri" w:cs="Calibri"/>
          <w:sz w:val="24"/>
          <w:szCs w:val="24"/>
        </w:rPr>
        <w:t>Syathroh</w:t>
      </w:r>
      <w:proofErr w:type="spellEnd"/>
      <w:r w:rsidRPr="0015363E">
        <w:rPr>
          <w:rFonts w:ascii="Calibri" w:hAnsi="Calibri" w:cs="Calibri"/>
          <w:sz w:val="24"/>
          <w:szCs w:val="24"/>
        </w:rPr>
        <w:t>, I.L. (2024) 'Exploring divergent questions and cold calling in a class discussion', </w:t>
      </w:r>
      <w:r w:rsidRPr="0015363E">
        <w:rPr>
          <w:rFonts w:ascii="Calibri" w:hAnsi="Calibri" w:cs="Calibri"/>
          <w:i/>
          <w:iCs/>
          <w:sz w:val="24"/>
          <w:szCs w:val="24"/>
        </w:rPr>
        <w:t>Journal of English Language and Literature (JELA)</w:t>
      </w:r>
      <w:r w:rsidRPr="0015363E">
        <w:rPr>
          <w:rFonts w:ascii="Calibri" w:hAnsi="Calibri" w:cs="Calibri"/>
          <w:sz w:val="24"/>
          <w:szCs w:val="24"/>
        </w:rPr>
        <w:t>, 6(1), pp. 1–10. Available at: </w:t>
      </w:r>
      <w:hyperlink r:id="rId17" w:tgtFrame="_blank" w:history="1">
        <w:r w:rsidRPr="0015363E">
          <w:rPr>
            <w:rStyle w:val="Hyperlink"/>
            <w:rFonts w:ascii="Calibri" w:hAnsi="Calibri" w:cs="Calibri"/>
            <w:sz w:val="24"/>
            <w:szCs w:val="24"/>
          </w:rPr>
          <w:t>https://doi.org/10.37742/jela.v6i1.124</w:t>
        </w:r>
      </w:hyperlink>
    </w:p>
    <w:p w14:paraId="1C4CACEC" w14:textId="77777777" w:rsidR="00F63A46" w:rsidRPr="0015363E" w:rsidRDefault="00F63A46" w:rsidP="0015363E">
      <w:pPr>
        <w:spacing w:line="360" w:lineRule="auto"/>
        <w:rPr>
          <w:rFonts w:ascii="Calibri" w:hAnsi="Calibri" w:cs="Calibri"/>
          <w:sz w:val="24"/>
          <w:szCs w:val="24"/>
        </w:rPr>
      </w:pPr>
      <w:r w:rsidRPr="0015363E">
        <w:rPr>
          <w:rFonts w:ascii="Calibri" w:hAnsi="Calibri" w:cs="Calibri"/>
          <w:sz w:val="24"/>
          <w:szCs w:val="24"/>
        </w:rPr>
        <w:t>Marzano, R.J., Marzano, J.S. and Pickering, D.J. (2003) </w:t>
      </w:r>
      <w:r w:rsidRPr="0015363E">
        <w:rPr>
          <w:rFonts w:ascii="Calibri" w:hAnsi="Calibri" w:cs="Calibri"/>
          <w:i/>
          <w:iCs/>
          <w:sz w:val="24"/>
          <w:szCs w:val="24"/>
        </w:rPr>
        <w:t>Classroom management that works: Research-based strategies for every teacher</w:t>
      </w:r>
      <w:r w:rsidRPr="0015363E">
        <w:rPr>
          <w:rFonts w:ascii="Calibri" w:hAnsi="Calibri" w:cs="Calibri"/>
          <w:sz w:val="24"/>
          <w:szCs w:val="24"/>
        </w:rPr>
        <w:t>. Alexandria, VA: ASCD</w:t>
      </w:r>
    </w:p>
    <w:p w14:paraId="55050FAF" w14:textId="52623308" w:rsidR="008C4D7B" w:rsidRPr="0015363E" w:rsidRDefault="00024E60" w:rsidP="0015363E">
      <w:pPr>
        <w:spacing w:line="360" w:lineRule="auto"/>
        <w:rPr>
          <w:rFonts w:ascii="Calibri" w:hAnsi="Calibri" w:cs="Calibri"/>
          <w:sz w:val="24"/>
          <w:szCs w:val="24"/>
        </w:rPr>
      </w:pPr>
      <w:r w:rsidRPr="0015363E">
        <w:rPr>
          <w:rFonts w:ascii="Calibri" w:hAnsi="Calibri" w:cs="Calibri"/>
          <w:sz w:val="24"/>
          <w:szCs w:val="24"/>
        </w:rPr>
        <w:t xml:space="preserve">Poirier, M., </w:t>
      </w:r>
      <w:proofErr w:type="spellStart"/>
      <w:r w:rsidRPr="0015363E">
        <w:rPr>
          <w:rFonts w:ascii="Calibri" w:hAnsi="Calibri" w:cs="Calibri"/>
          <w:sz w:val="24"/>
          <w:szCs w:val="24"/>
        </w:rPr>
        <w:t>Aubenas</w:t>
      </w:r>
      <w:proofErr w:type="spellEnd"/>
      <w:r w:rsidRPr="0015363E">
        <w:rPr>
          <w:rFonts w:ascii="Calibri" w:hAnsi="Calibri" w:cs="Calibri"/>
          <w:sz w:val="24"/>
          <w:szCs w:val="24"/>
        </w:rPr>
        <w:t xml:space="preserve">, S., </w:t>
      </w:r>
      <w:proofErr w:type="spellStart"/>
      <w:r w:rsidRPr="0015363E">
        <w:rPr>
          <w:rFonts w:ascii="Calibri" w:hAnsi="Calibri" w:cs="Calibri"/>
          <w:sz w:val="24"/>
          <w:szCs w:val="24"/>
        </w:rPr>
        <w:t>Bluteau</w:t>
      </w:r>
      <w:proofErr w:type="spellEnd"/>
      <w:r w:rsidRPr="0015363E">
        <w:rPr>
          <w:rFonts w:ascii="Calibri" w:hAnsi="Calibri" w:cs="Calibri"/>
          <w:sz w:val="24"/>
          <w:szCs w:val="24"/>
        </w:rPr>
        <w:t>, J. and Dufour, F. (2022) ‘Influence of flexible classroom seating on the wellbeing and mental health of upper elementary school students: A gender analysis’, </w:t>
      </w:r>
      <w:r w:rsidRPr="0015363E">
        <w:rPr>
          <w:rFonts w:ascii="Calibri" w:hAnsi="Calibri" w:cs="Calibri"/>
          <w:i/>
          <w:sz w:val="24"/>
          <w:szCs w:val="24"/>
        </w:rPr>
        <w:t>Frontiers in Psychology</w:t>
      </w:r>
      <w:r w:rsidRPr="0015363E">
        <w:rPr>
          <w:rFonts w:ascii="Calibri" w:hAnsi="Calibri" w:cs="Calibri"/>
          <w:sz w:val="24"/>
          <w:szCs w:val="24"/>
        </w:rPr>
        <w:t>, 13, p. 821227. Availab</w:t>
      </w:r>
      <w:r w:rsidR="008C4D7B" w:rsidRPr="0015363E">
        <w:rPr>
          <w:rFonts w:ascii="Calibri" w:hAnsi="Calibri" w:cs="Calibri"/>
          <w:sz w:val="24"/>
          <w:szCs w:val="24"/>
        </w:rPr>
        <w:t xml:space="preserve">le at: </w:t>
      </w:r>
      <w:hyperlink r:id="rId18" w:history="1">
        <w:r w:rsidR="00CD6D37" w:rsidRPr="0015363E">
          <w:rPr>
            <w:rStyle w:val="Hyperlink"/>
            <w:rFonts w:ascii="Calibri" w:hAnsi="Calibri" w:cs="Calibri"/>
            <w:sz w:val="24"/>
            <w:szCs w:val="24"/>
          </w:rPr>
          <w:t>https://www.frontiersin.org/articles/10.3389/fpsyg.2022.821227</w:t>
        </w:r>
      </w:hyperlink>
      <w:r w:rsidRPr="0015363E">
        <w:rPr>
          <w:rFonts w:ascii="Calibri" w:hAnsi="Calibri" w:cs="Calibri"/>
          <w:sz w:val="24"/>
          <w:szCs w:val="24"/>
        </w:rPr>
        <w:t> (Accessed: 1 February 2025).</w:t>
      </w:r>
    </w:p>
    <w:p w14:paraId="1B248AAD" w14:textId="77777777" w:rsidR="00F3431E" w:rsidRPr="0015363E" w:rsidRDefault="00F3431E" w:rsidP="0015363E">
      <w:pPr>
        <w:spacing w:line="360" w:lineRule="auto"/>
        <w:rPr>
          <w:rFonts w:ascii="Calibri" w:hAnsi="Calibri" w:cs="Calibri"/>
          <w:sz w:val="24"/>
          <w:szCs w:val="24"/>
        </w:rPr>
      </w:pPr>
      <w:r w:rsidRPr="0015363E">
        <w:rPr>
          <w:rFonts w:ascii="Calibri" w:hAnsi="Calibri" w:cs="Calibri"/>
          <w:sz w:val="24"/>
          <w:szCs w:val="24"/>
        </w:rPr>
        <w:t>Race, P. (2015) </w:t>
      </w:r>
      <w:r w:rsidRPr="0015363E">
        <w:rPr>
          <w:rFonts w:ascii="Calibri" w:hAnsi="Calibri" w:cs="Calibri"/>
          <w:i/>
          <w:iCs/>
          <w:sz w:val="24"/>
          <w:szCs w:val="24"/>
        </w:rPr>
        <w:t>The lecturer's toolkit: a practical guide to assessment, learning and teaching</w:t>
      </w:r>
      <w:r w:rsidRPr="0015363E">
        <w:rPr>
          <w:rFonts w:ascii="Calibri" w:hAnsi="Calibri" w:cs="Calibri"/>
          <w:sz w:val="24"/>
          <w:szCs w:val="24"/>
        </w:rPr>
        <w:t xml:space="preserve">. 4th </w:t>
      </w:r>
      <w:proofErr w:type="spellStart"/>
      <w:r w:rsidRPr="0015363E">
        <w:rPr>
          <w:rFonts w:ascii="Calibri" w:hAnsi="Calibri" w:cs="Calibri"/>
          <w:sz w:val="24"/>
          <w:szCs w:val="24"/>
        </w:rPr>
        <w:t>edn</w:t>
      </w:r>
      <w:proofErr w:type="spellEnd"/>
      <w:r w:rsidRPr="0015363E">
        <w:rPr>
          <w:rFonts w:ascii="Calibri" w:hAnsi="Calibri" w:cs="Calibri"/>
          <w:sz w:val="24"/>
          <w:szCs w:val="24"/>
        </w:rPr>
        <w:t>. Abingdon: Routledge.</w:t>
      </w:r>
    </w:p>
    <w:p w14:paraId="68A35C97" w14:textId="77777777" w:rsidR="00CD4FF2" w:rsidRPr="0015363E" w:rsidRDefault="00870058" w:rsidP="0015363E">
      <w:pPr>
        <w:spacing w:line="360" w:lineRule="auto"/>
        <w:rPr>
          <w:rFonts w:ascii="Calibri" w:hAnsi="Calibri" w:cs="Calibri"/>
          <w:sz w:val="24"/>
          <w:szCs w:val="24"/>
        </w:rPr>
      </w:pPr>
      <w:r w:rsidRPr="0015363E">
        <w:rPr>
          <w:rFonts w:ascii="Calibri" w:hAnsi="Calibri" w:cs="Calibri"/>
          <w:sz w:val="24"/>
          <w:szCs w:val="24"/>
        </w:rPr>
        <w:t>Rands, M.L. and Gansemer-Topf, A.M. (2017) 'The room itself is active: how classroom design impacts student engagement', </w:t>
      </w:r>
      <w:r w:rsidRPr="0015363E">
        <w:rPr>
          <w:rFonts w:ascii="Calibri" w:hAnsi="Calibri" w:cs="Calibri"/>
          <w:i/>
          <w:iCs/>
          <w:sz w:val="24"/>
          <w:szCs w:val="24"/>
        </w:rPr>
        <w:t>Journal of Learning Spaces</w:t>
      </w:r>
      <w:r w:rsidRPr="0015363E">
        <w:rPr>
          <w:rFonts w:ascii="Calibri" w:hAnsi="Calibri" w:cs="Calibri"/>
          <w:sz w:val="24"/>
          <w:szCs w:val="24"/>
        </w:rPr>
        <w:t>, 6(1), pp. 26-33. Available at: </w:t>
      </w:r>
      <w:hyperlink r:id="rId19" w:tgtFrame="_blank" w:history="1">
        <w:r w:rsidRPr="0015363E">
          <w:rPr>
            <w:rStyle w:val="Hyperlink"/>
            <w:rFonts w:ascii="Calibri" w:hAnsi="Calibri" w:cs="Calibri"/>
            <w:sz w:val="24"/>
            <w:szCs w:val="24"/>
          </w:rPr>
          <w:t>http://libjournal.uncg.edu/jls/article/view/1286</w:t>
        </w:r>
      </w:hyperlink>
      <w:r w:rsidRPr="0015363E">
        <w:rPr>
          <w:rFonts w:ascii="Calibri" w:hAnsi="Calibri" w:cs="Calibri"/>
          <w:sz w:val="24"/>
          <w:szCs w:val="24"/>
        </w:rPr>
        <w:t> (Accessed: 29 January 2025).</w:t>
      </w:r>
    </w:p>
    <w:p w14:paraId="0273A027" w14:textId="5BD72B42" w:rsidR="00CD4FF2" w:rsidRPr="0015363E" w:rsidRDefault="00CD4FF2" w:rsidP="0015363E">
      <w:pPr>
        <w:spacing w:line="360" w:lineRule="auto"/>
        <w:rPr>
          <w:rFonts w:ascii="Calibri" w:hAnsi="Calibri" w:cs="Calibri"/>
          <w:sz w:val="24"/>
          <w:szCs w:val="24"/>
        </w:rPr>
      </w:pPr>
      <w:r w:rsidRPr="0015363E">
        <w:rPr>
          <w:rFonts w:ascii="Calibri" w:hAnsi="Calibri" w:cs="Calibri"/>
          <w:sz w:val="24"/>
          <w:szCs w:val="24"/>
        </w:rPr>
        <w:t>Riches, A. (2019) 'Get out from behind the desk', </w:t>
      </w:r>
      <w:r w:rsidRPr="0015363E">
        <w:rPr>
          <w:rFonts w:ascii="Calibri" w:hAnsi="Calibri" w:cs="Calibri"/>
          <w:i/>
          <w:iCs/>
          <w:sz w:val="24"/>
          <w:szCs w:val="24"/>
        </w:rPr>
        <w:t>SecEd</w:t>
      </w:r>
      <w:r w:rsidRPr="0015363E">
        <w:rPr>
          <w:rFonts w:ascii="Calibri" w:hAnsi="Calibri" w:cs="Calibri"/>
          <w:sz w:val="24"/>
          <w:szCs w:val="24"/>
        </w:rPr>
        <w:t>. Available at: </w:t>
      </w:r>
      <w:hyperlink r:id="rId20" w:tgtFrame="_blank" w:history="1">
        <w:r w:rsidRPr="0015363E">
          <w:rPr>
            <w:rStyle w:val="Hyperlink"/>
            <w:rFonts w:ascii="Calibri" w:hAnsi="Calibri" w:cs="Calibri"/>
            <w:sz w:val="24"/>
            <w:szCs w:val="24"/>
          </w:rPr>
          <w:t>https://www.sec-ed.co.uk/content/best-practice/get-out-from-behind-the-desk/</w:t>
        </w:r>
      </w:hyperlink>
      <w:r w:rsidRPr="0015363E">
        <w:rPr>
          <w:rFonts w:ascii="Calibri" w:hAnsi="Calibri" w:cs="Calibri"/>
          <w:sz w:val="24"/>
          <w:szCs w:val="24"/>
        </w:rPr>
        <w:t> (Accessed: 1 February 2025).</w:t>
      </w:r>
    </w:p>
    <w:p w14:paraId="7F3DC0DC" w14:textId="76890AE3" w:rsidR="00A03A3A" w:rsidRPr="0015363E" w:rsidRDefault="004663DA" w:rsidP="0015363E">
      <w:pPr>
        <w:spacing w:line="360" w:lineRule="auto"/>
        <w:rPr>
          <w:rFonts w:ascii="Calibri" w:hAnsi="Calibri" w:cs="Calibri"/>
          <w:sz w:val="24"/>
          <w:szCs w:val="24"/>
        </w:rPr>
      </w:pPr>
      <w:r w:rsidRPr="0015363E">
        <w:rPr>
          <w:rFonts w:ascii="Calibri" w:hAnsi="Calibri" w:cs="Calibri"/>
          <w:sz w:val="24"/>
          <w:szCs w:val="24"/>
        </w:rPr>
        <w:t>Roorda, D. L., Koomen, H. M. Y., Spilt, J. L. and Oort, F. J. (2011) 'The influence of affective teacher-student relationships on students' school engagement and achievement: A meta-</w:t>
      </w:r>
      <w:r w:rsidRPr="0015363E">
        <w:rPr>
          <w:rFonts w:ascii="Calibri" w:hAnsi="Calibri" w:cs="Calibri"/>
          <w:sz w:val="24"/>
          <w:szCs w:val="24"/>
        </w:rPr>
        <w:lastRenderedPageBreak/>
        <w:t>analytic approach', </w:t>
      </w:r>
      <w:r w:rsidRPr="0015363E">
        <w:rPr>
          <w:rFonts w:ascii="Calibri" w:hAnsi="Calibri" w:cs="Calibri"/>
          <w:i/>
          <w:iCs/>
          <w:sz w:val="24"/>
          <w:szCs w:val="24"/>
        </w:rPr>
        <w:t>Review of Educational Research</w:t>
      </w:r>
      <w:r w:rsidRPr="0015363E">
        <w:rPr>
          <w:rFonts w:ascii="Calibri" w:hAnsi="Calibri" w:cs="Calibri"/>
          <w:sz w:val="24"/>
          <w:szCs w:val="24"/>
        </w:rPr>
        <w:t>, vol. 81, no. 4, pp. 493-529. Available at: </w:t>
      </w:r>
      <w:r w:rsidR="005F056B" w:rsidRPr="0015363E">
        <w:rPr>
          <w:rFonts w:ascii="Calibri" w:hAnsi="Calibri" w:cs="Calibri"/>
          <w:sz w:val="24"/>
          <w:szCs w:val="24"/>
        </w:rPr>
        <w:t xml:space="preserve"> </w:t>
      </w:r>
      <w:hyperlink r:id="rId21" w:history="1">
        <w:r w:rsidR="00A130E0" w:rsidRPr="0015363E">
          <w:rPr>
            <w:rStyle w:val="Hyperlink"/>
            <w:rFonts w:ascii="Calibri" w:hAnsi="Calibri" w:cs="Calibri"/>
            <w:sz w:val="24"/>
            <w:szCs w:val="24"/>
          </w:rPr>
          <w:t>https://journals.sagepub.com/doi/pdf/10.3102/0034654311421793?casa_token=MFzRt411MWYAAAAA:p9v5EhxjPxQXfNB6icwa7XbOZoktd9w3QyXUQph3lx_D50AsdA8VHtDfE3dmDX6wkW4fFa4AiGA</w:t>
        </w:r>
      </w:hyperlink>
      <w:r w:rsidR="009777CB" w:rsidRPr="0015363E">
        <w:rPr>
          <w:rFonts w:ascii="Calibri" w:hAnsi="Calibri" w:cs="Calibri"/>
          <w:sz w:val="24"/>
          <w:szCs w:val="24"/>
        </w:rPr>
        <w:t xml:space="preserve"> (Acc</w:t>
      </w:r>
      <w:r w:rsidR="00ED388D" w:rsidRPr="0015363E">
        <w:rPr>
          <w:rFonts w:ascii="Calibri" w:hAnsi="Calibri" w:cs="Calibri"/>
          <w:sz w:val="24"/>
          <w:szCs w:val="24"/>
        </w:rPr>
        <w:t>essed</w:t>
      </w:r>
      <w:r w:rsidR="007A0121" w:rsidRPr="0015363E">
        <w:rPr>
          <w:rFonts w:ascii="Calibri" w:hAnsi="Calibri" w:cs="Calibri"/>
          <w:sz w:val="24"/>
          <w:szCs w:val="24"/>
        </w:rPr>
        <w:t>:</w:t>
      </w:r>
      <w:r w:rsidR="00ED388D" w:rsidRPr="0015363E">
        <w:rPr>
          <w:rFonts w:ascii="Calibri" w:hAnsi="Calibri" w:cs="Calibri"/>
          <w:sz w:val="24"/>
          <w:szCs w:val="24"/>
        </w:rPr>
        <w:t xml:space="preserve"> 20 Jan</w:t>
      </w:r>
      <w:r w:rsidR="00850C3F" w:rsidRPr="0015363E">
        <w:rPr>
          <w:rFonts w:ascii="Calibri" w:hAnsi="Calibri" w:cs="Calibri"/>
          <w:sz w:val="24"/>
          <w:szCs w:val="24"/>
        </w:rPr>
        <w:t xml:space="preserve"> </w:t>
      </w:r>
      <w:r w:rsidR="00ED388D" w:rsidRPr="0015363E">
        <w:rPr>
          <w:rFonts w:ascii="Calibri" w:hAnsi="Calibri" w:cs="Calibri"/>
          <w:sz w:val="24"/>
          <w:szCs w:val="24"/>
        </w:rPr>
        <w:t>2025)</w:t>
      </w:r>
    </w:p>
    <w:p w14:paraId="009D3E9A" w14:textId="7D2C6AE0" w:rsidR="00A130E0" w:rsidRPr="0015363E" w:rsidRDefault="004663DA" w:rsidP="0015363E">
      <w:pPr>
        <w:spacing w:line="360" w:lineRule="auto"/>
        <w:rPr>
          <w:rFonts w:ascii="Calibri" w:hAnsi="Calibri" w:cs="Calibri"/>
          <w:sz w:val="24"/>
          <w:szCs w:val="24"/>
        </w:rPr>
      </w:pPr>
      <w:r w:rsidRPr="0015363E">
        <w:rPr>
          <w:rFonts w:ascii="Calibri" w:hAnsi="Calibri" w:cs="Calibri"/>
          <w:sz w:val="24"/>
          <w:szCs w:val="24"/>
        </w:rPr>
        <w:t>Skinner, B.F.</w:t>
      </w:r>
      <w:r w:rsidR="00BE1CC6" w:rsidRPr="0015363E">
        <w:rPr>
          <w:rFonts w:ascii="Calibri" w:hAnsi="Calibri" w:cs="Calibri"/>
          <w:sz w:val="24"/>
          <w:szCs w:val="24"/>
        </w:rPr>
        <w:t xml:space="preserve"> </w:t>
      </w:r>
      <w:r w:rsidRPr="0015363E">
        <w:rPr>
          <w:rFonts w:ascii="Calibri" w:hAnsi="Calibri" w:cs="Calibri"/>
          <w:sz w:val="24"/>
          <w:szCs w:val="24"/>
        </w:rPr>
        <w:t>(1953) </w:t>
      </w:r>
      <w:r w:rsidRPr="0015363E">
        <w:rPr>
          <w:rFonts w:ascii="Calibri" w:hAnsi="Calibri" w:cs="Calibri"/>
          <w:i/>
          <w:sz w:val="24"/>
          <w:szCs w:val="24"/>
        </w:rPr>
        <w:t xml:space="preserve">Science and </w:t>
      </w:r>
      <w:r w:rsidR="00BE1CC6" w:rsidRPr="0015363E">
        <w:rPr>
          <w:rFonts w:ascii="Calibri" w:hAnsi="Calibri" w:cs="Calibri"/>
          <w:i/>
          <w:iCs/>
          <w:sz w:val="24"/>
          <w:szCs w:val="24"/>
        </w:rPr>
        <w:t xml:space="preserve">human </w:t>
      </w:r>
      <w:proofErr w:type="spellStart"/>
      <w:r w:rsidR="00BE1CC6" w:rsidRPr="0015363E">
        <w:rPr>
          <w:rFonts w:ascii="Calibri" w:hAnsi="Calibri" w:cs="Calibri"/>
          <w:i/>
          <w:iCs/>
          <w:sz w:val="24"/>
          <w:szCs w:val="24"/>
        </w:rPr>
        <w:t>behavior</w:t>
      </w:r>
      <w:proofErr w:type="spellEnd"/>
      <w:r w:rsidR="00BE1CC6" w:rsidRPr="0015363E">
        <w:rPr>
          <w:rFonts w:ascii="Calibri" w:hAnsi="Calibri" w:cs="Calibri"/>
          <w:sz w:val="24"/>
          <w:szCs w:val="24"/>
        </w:rPr>
        <w:t>. New York:</w:t>
      </w:r>
      <w:r w:rsidRPr="0015363E">
        <w:rPr>
          <w:rFonts w:ascii="Calibri" w:hAnsi="Calibri" w:cs="Calibri"/>
          <w:sz w:val="24"/>
          <w:szCs w:val="24"/>
        </w:rPr>
        <w:t xml:space="preserve"> Macmillan.</w:t>
      </w:r>
    </w:p>
    <w:p w14:paraId="662AD72E" w14:textId="76BB2C00" w:rsidR="00F62DDD" w:rsidRPr="0015363E" w:rsidRDefault="002F4D3C" w:rsidP="0015363E">
      <w:pPr>
        <w:spacing w:line="360" w:lineRule="auto"/>
        <w:rPr>
          <w:rFonts w:ascii="Calibri" w:hAnsi="Calibri" w:cs="Calibri"/>
          <w:sz w:val="24"/>
          <w:szCs w:val="24"/>
        </w:rPr>
      </w:pPr>
      <w:r w:rsidRPr="0015363E">
        <w:rPr>
          <w:rFonts w:ascii="Calibri" w:hAnsi="Calibri" w:cs="Calibri"/>
          <w:sz w:val="24"/>
          <w:szCs w:val="24"/>
        </w:rPr>
        <w:t xml:space="preserve">van de Pol, J., Volman, M. and </w:t>
      </w:r>
      <w:proofErr w:type="spellStart"/>
      <w:r w:rsidRPr="0015363E">
        <w:rPr>
          <w:rFonts w:ascii="Calibri" w:hAnsi="Calibri" w:cs="Calibri"/>
          <w:sz w:val="24"/>
          <w:szCs w:val="24"/>
        </w:rPr>
        <w:t>Beishuizen</w:t>
      </w:r>
      <w:proofErr w:type="spellEnd"/>
      <w:r w:rsidRPr="0015363E">
        <w:rPr>
          <w:rFonts w:ascii="Calibri" w:hAnsi="Calibri" w:cs="Calibri"/>
          <w:sz w:val="24"/>
          <w:szCs w:val="24"/>
        </w:rPr>
        <w:t>, J. (2010) 'Scaffolding in teacher-student interaction: a decade of research', </w:t>
      </w:r>
      <w:r w:rsidRPr="0015363E">
        <w:rPr>
          <w:rFonts w:ascii="Calibri" w:hAnsi="Calibri" w:cs="Calibri"/>
          <w:i/>
          <w:iCs/>
          <w:sz w:val="24"/>
          <w:szCs w:val="24"/>
        </w:rPr>
        <w:t>Educational Psychology Review</w:t>
      </w:r>
      <w:r w:rsidRPr="0015363E">
        <w:rPr>
          <w:rFonts w:ascii="Calibri" w:hAnsi="Calibri" w:cs="Calibri"/>
          <w:sz w:val="24"/>
          <w:szCs w:val="24"/>
        </w:rPr>
        <w:t>, 22(3), pp. 271-296. Available at: </w:t>
      </w:r>
      <w:r w:rsidR="004515EE" w:rsidRPr="0015363E">
        <w:rPr>
          <w:rFonts w:ascii="Calibri" w:hAnsi="Calibri" w:cs="Calibri"/>
          <w:sz w:val="24"/>
          <w:szCs w:val="24"/>
        </w:rPr>
        <w:t xml:space="preserve"> </w:t>
      </w:r>
      <w:hyperlink r:id="rId22" w:history="1">
        <w:r w:rsidR="004515EE" w:rsidRPr="0015363E">
          <w:rPr>
            <w:rStyle w:val="Hyperlink"/>
            <w:rFonts w:ascii="Calibri" w:hAnsi="Calibri" w:cs="Calibri"/>
            <w:sz w:val="24"/>
            <w:szCs w:val="24"/>
          </w:rPr>
          <w:t>https://doi.org/10.1007/s10648-010-9127-6</w:t>
        </w:r>
      </w:hyperlink>
      <w:r w:rsidRPr="0015363E">
        <w:rPr>
          <w:rFonts w:ascii="Calibri" w:hAnsi="Calibri" w:cs="Calibri"/>
          <w:sz w:val="24"/>
          <w:szCs w:val="24"/>
        </w:rPr>
        <w:t> (Accessed: 20 January 2025).</w:t>
      </w:r>
    </w:p>
    <w:p w14:paraId="109A4582" w14:textId="061D3FE9" w:rsidR="00DA142B" w:rsidRPr="0015363E" w:rsidRDefault="00DA142B" w:rsidP="0015363E">
      <w:pPr>
        <w:spacing w:line="360" w:lineRule="auto"/>
        <w:rPr>
          <w:rFonts w:ascii="Calibri" w:hAnsi="Calibri" w:cs="Calibri"/>
          <w:sz w:val="24"/>
          <w:szCs w:val="24"/>
        </w:rPr>
      </w:pPr>
      <w:r w:rsidRPr="0015363E">
        <w:rPr>
          <w:rFonts w:ascii="Calibri" w:hAnsi="Calibri" w:cs="Calibri"/>
          <w:sz w:val="24"/>
          <w:szCs w:val="24"/>
        </w:rPr>
        <w:t>Vivekananda, N. and Meenakshi, R. (2022) 'The importance of honesty in the teaching profession', </w:t>
      </w:r>
      <w:r w:rsidRPr="0015363E">
        <w:rPr>
          <w:rFonts w:ascii="Calibri" w:hAnsi="Calibri" w:cs="Calibri"/>
          <w:i/>
          <w:iCs/>
          <w:sz w:val="24"/>
          <w:szCs w:val="24"/>
        </w:rPr>
        <w:t>IJFANS International Journal of Food and Nutritional Sciences</w:t>
      </w:r>
      <w:r w:rsidRPr="0015363E">
        <w:rPr>
          <w:rFonts w:ascii="Calibri" w:hAnsi="Calibri" w:cs="Calibri"/>
          <w:sz w:val="24"/>
          <w:szCs w:val="24"/>
        </w:rPr>
        <w:t>, 11(Special Issue 7), pp. 4505-4510. Available at:</w:t>
      </w:r>
      <w:r w:rsidR="004515EE" w:rsidRPr="0015363E">
        <w:rPr>
          <w:rFonts w:ascii="Calibri" w:hAnsi="Calibri" w:cs="Calibri"/>
          <w:sz w:val="24"/>
          <w:szCs w:val="24"/>
        </w:rPr>
        <w:t xml:space="preserve"> </w:t>
      </w:r>
      <w:r w:rsidRPr="0015363E">
        <w:rPr>
          <w:rFonts w:ascii="Calibri" w:hAnsi="Calibri" w:cs="Calibri"/>
          <w:sz w:val="24"/>
          <w:szCs w:val="24"/>
        </w:rPr>
        <w:t> </w:t>
      </w:r>
      <w:hyperlink r:id="rId23" w:tgtFrame="_blank" w:history="1">
        <w:r w:rsidRPr="0015363E">
          <w:rPr>
            <w:rStyle w:val="Hyperlink"/>
            <w:rFonts w:ascii="Calibri" w:hAnsi="Calibri" w:cs="Calibri"/>
            <w:sz w:val="24"/>
            <w:szCs w:val="24"/>
          </w:rPr>
          <w:t>https://ijfans.org/uploads/paper/f5cd2bf04215b4c4d079d10ea19ed419.pdf</w:t>
        </w:r>
      </w:hyperlink>
      <w:r w:rsidRPr="0015363E">
        <w:rPr>
          <w:rFonts w:ascii="Calibri" w:hAnsi="Calibri" w:cs="Calibri"/>
          <w:sz w:val="24"/>
          <w:szCs w:val="24"/>
        </w:rPr>
        <w:t> (Accessed: 27 January 2025).</w:t>
      </w:r>
    </w:p>
    <w:p w14:paraId="6C472EB9" w14:textId="77777777" w:rsidR="00254F69" w:rsidRPr="0015363E" w:rsidRDefault="0075113C" w:rsidP="0015363E">
      <w:pPr>
        <w:spacing w:line="360" w:lineRule="auto"/>
        <w:rPr>
          <w:rFonts w:ascii="Calibri" w:hAnsi="Calibri" w:cs="Calibri"/>
          <w:sz w:val="24"/>
          <w:szCs w:val="24"/>
        </w:rPr>
      </w:pPr>
      <w:r w:rsidRPr="0015363E">
        <w:rPr>
          <w:rFonts w:ascii="Calibri" w:hAnsi="Calibri" w:cs="Calibri"/>
          <w:sz w:val="24"/>
          <w:szCs w:val="24"/>
        </w:rPr>
        <w:t>Vygotsky, L.S. (1978) </w:t>
      </w:r>
      <w:r w:rsidRPr="0015363E">
        <w:rPr>
          <w:rFonts w:ascii="Calibri" w:hAnsi="Calibri" w:cs="Calibri"/>
          <w:i/>
          <w:iCs/>
          <w:sz w:val="24"/>
          <w:szCs w:val="24"/>
        </w:rPr>
        <w:t>Mind in society: the development of higher psychological processes</w:t>
      </w:r>
      <w:r w:rsidRPr="0015363E">
        <w:rPr>
          <w:rFonts w:ascii="Calibri" w:hAnsi="Calibri" w:cs="Calibri"/>
          <w:sz w:val="24"/>
          <w:szCs w:val="24"/>
        </w:rPr>
        <w:t>. Cambridge, MA: Harvard University Press.</w:t>
      </w:r>
    </w:p>
    <w:p w14:paraId="5857D0FD" w14:textId="0A8A0750" w:rsidR="005C6F3A" w:rsidRPr="0015363E" w:rsidRDefault="0009371D" w:rsidP="0015363E">
      <w:pPr>
        <w:spacing w:line="360" w:lineRule="auto"/>
        <w:rPr>
          <w:rFonts w:ascii="Calibri" w:hAnsi="Calibri" w:cs="Calibri"/>
          <w:sz w:val="24"/>
          <w:szCs w:val="24"/>
        </w:rPr>
      </w:pPr>
      <w:r w:rsidRPr="0015363E">
        <w:rPr>
          <w:rFonts w:ascii="Calibri" w:hAnsi="Calibri" w:cs="Calibri"/>
          <w:sz w:val="24"/>
          <w:szCs w:val="24"/>
        </w:rPr>
        <w:t xml:space="preserve">Wannarka, R. and Ruhl, K. </w:t>
      </w:r>
      <w:r w:rsidR="004663DA" w:rsidRPr="0015363E">
        <w:rPr>
          <w:rFonts w:ascii="Calibri" w:hAnsi="Calibri" w:cs="Calibri"/>
          <w:sz w:val="24"/>
          <w:szCs w:val="24"/>
        </w:rPr>
        <w:t xml:space="preserve">(2008) 'Seating arrangements that promote positive academic and behavioural outcomes: </w:t>
      </w:r>
      <w:r w:rsidRPr="0015363E">
        <w:rPr>
          <w:rFonts w:ascii="Calibri" w:hAnsi="Calibri" w:cs="Calibri"/>
          <w:sz w:val="24"/>
          <w:szCs w:val="24"/>
        </w:rPr>
        <w:t>a</w:t>
      </w:r>
      <w:r w:rsidR="004663DA" w:rsidRPr="0015363E">
        <w:rPr>
          <w:rFonts w:ascii="Calibri" w:hAnsi="Calibri" w:cs="Calibri"/>
          <w:sz w:val="24"/>
          <w:szCs w:val="24"/>
        </w:rPr>
        <w:t xml:space="preserve"> review of empirical research', </w:t>
      </w:r>
      <w:r w:rsidR="004663DA" w:rsidRPr="0015363E">
        <w:rPr>
          <w:rFonts w:ascii="Calibri" w:hAnsi="Calibri" w:cs="Calibri"/>
          <w:i/>
          <w:iCs/>
          <w:sz w:val="24"/>
          <w:szCs w:val="24"/>
        </w:rPr>
        <w:t>Support for Learning</w:t>
      </w:r>
      <w:r w:rsidR="004663DA" w:rsidRPr="0015363E">
        <w:rPr>
          <w:rFonts w:ascii="Calibri" w:hAnsi="Calibri" w:cs="Calibri"/>
          <w:sz w:val="24"/>
          <w:szCs w:val="24"/>
        </w:rPr>
        <w:t xml:space="preserve">, </w:t>
      </w:r>
      <w:r w:rsidRPr="0015363E">
        <w:rPr>
          <w:rFonts w:ascii="Calibri" w:hAnsi="Calibri" w:cs="Calibri"/>
          <w:sz w:val="24"/>
          <w:szCs w:val="24"/>
        </w:rPr>
        <w:t>23(</w:t>
      </w:r>
      <w:r w:rsidR="004663DA" w:rsidRPr="0015363E">
        <w:rPr>
          <w:rFonts w:ascii="Calibri" w:hAnsi="Calibri" w:cs="Calibri"/>
          <w:sz w:val="24"/>
          <w:szCs w:val="24"/>
        </w:rPr>
        <w:t>2</w:t>
      </w:r>
      <w:r w:rsidRPr="0015363E">
        <w:rPr>
          <w:rFonts w:ascii="Calibri" w:hAnsi="Calibri" w:cs="Calibri"/>
          <w:sz w:val="24"/>
          <w:szCs w:val="24"/>
        </w:rPr>
        <w:t>),</w:t>
      </w:r>
      <w:r w:rsidR="004663DA" w:rsidRPr="0015363E">
        <w:rPr>
          <w:rFonts w:ascii="Calibri" w:hAnsi="Calibri" w:cs="Calibri"/>
          <w:sz w:val="24"/>
          <w:szCs w:val="24"/>
        </w:rPr>
        <w:t xml:space="preserve"> pp</w:t>
      </w:r>
      <w:r w:rsidRPr="0015363E">
        <w:rPr>
          <w:rFonts w:ascii="Calibri" w:hAnsi="Calibri" w:cs="Calibri"/>
          <w:sz w:val="24"/>
          <w:szCs w:val="24"/>
        </w:rPr>
        <w:t>. 89-93. Available at: </w:t>
      </w:r>
      <w:hyperlink r:id="rId24" w:tgtFrame="_blank" w:history="1">
        <w:r w:rsidRPr="0015363E">
          <w:rPr>
            <w:rStyle w:val="Hyperlink"/>
            <w:rFonts w:ascii="Calibri" w:hAnsi="Calibri" w:cs="Calibri"/>
            <w:sz w:val="24"/>
            <w:szCs w:val="24"/>
          </w:rPr>
          <w:t>https://doi.org/10.1111/j.1467-9604.2008.00375.x</w:t>
        </w:r>
      </w:hyperlink>
      <w:r w:rsidRPr="0015363E">
        <w:rPr>
          <w:rFonts w:ascii="Calibri" w:hAnsi="Calibri" w:cs="Calibri"/>
          <w:sz w:val="24"/>
          <w:szCs w:val="24"/>
        </w:rPr>
        <w:t> (Accessed: 2 February 2025).</w:t>
      </w:r>
    </w:p>
    <w:p w14:paraId="1522136D" w14:textId="6212DD97" w:rsidR="00012D54" w:rsidRPr="0015363E" w:rsidRDefault="00012D54" w:rsidP="0015363E">
      <w:pPr>
        <w:spacing w:line="360" w:lineRule="auto"/>
        <w:rPr>
          <w:rFonts w:ascii="Calibri" w:hAnsi="Calibri" w:cs="Calibri"/>
          <w:sz w:val="24"/>
          <w:szCs w:val="24"/>
        </w:rPr>
      </w:pPr>
      <w:r w:rsidRPr="0015363E">
        <w:rPr>
          <w:rFonts w:ascii="Calibri" w:hAnsi="Calibri" w:cs="Calibri"/>
          <w:sz w:val="24"/>
          <w:szCs w:val="24"/>
        </w:rPr>
        <w:t>Welsh Government (2017) </w:t>
      </w:r>
      <w:r w:rsidRPr="0015363E">
        <w:rPr>
          <w:rFonts w:ascii="Calibri" w:hAnsi="Calibri" w:cs="Calibri"/>
          <w:i/>
          <w:iCs/>
          <w:sz w:val="24"/>
          <w:szCs w:val="24"/>
        </w:rPr>
        <w:t>Professional Standards for Further Education Teachers and Work-Based Learning Practitioners in Wales</w:t>
      </w:r>
      <w:r w:rsidRPr="0015363E">
        <w:rPr>
          <w:rFonts w:ascii="Calibri" w:hAnsi="Calibri" w:cs="Calibri"/>
          <w:sz w:val="24"/>
          <w:szCs w:val="24"/>
        </w:rPr>
        <w:t xml:space="preserve">. Available at: </w:t>
      </w:r>
      <w:hyperlink r:id="rId25" w:history="1">
        <w:r w:rsidRPr="0015363E">
          <w:rPr>
            <w:rStyle w:val="Hyperlink"/>
            <w:rFonts w:ascii="Calibri" w:hAnsi="Calibri" w:cs="Calibri"/>
            <w:sz w:val="24"/>
            <w:szCs w:val="24"/>
          </w:rPr>
          <w:t>https://hwb.gov.wales/api/storage/460a740a-7bf1-4c7b-b4ae-348ae380879b/professional-standards-further-education-teachers-work-based-learning-practitioners-wales.pdf</w:t>
        </w:r>
      </w:hyperlink>
      <w:r w:rsidR="00254F69" w:rsidRPr="0015363E">
        <w:rPr>
          <w:rFonts w:ascii="Calibri" w:hAnsi="Calibri" w:cs="Calibri"/>
          <w:sz w:val="24"/>
          <w:szCs w:val="24"/>
        </w:rPr>
        <w:t xml:space="preserve"> (Accessed: 20 </w:t>
      </w:r>
      <w:r w:rsidR="003768EE" w:rsidRPr="0015363E">
        <w:rPr>
          <w:rFonts w:ascii="Calibri" w:hAnsi="Calibri" w:cs="Calibri"/>
          <w:sz w:val="24"/>
          <w:szCs w:val="24"/>
        </w:rPr>
        <w:t xml:space="preserve">January </w:t>
      </w:r>
      <w:r w:rsidR="00254F69" w:rsidRPr="0015363E">
        <w:rPr>
          <w:rFonts w:ascii="Calibri" w:hAnsi="Calibri" w:cs="Calibri"/>
          <w:sz w:val="24"/>
          <w:szCs w:val="24"/>
        </w:rPr>
        <w:t>2025).</w:t>
      </w:r>
    </w:p>
    <w:sectPr w:rsidR="00012D54" w:rsidRPr="001536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8029E"/>
    <w:multiLevelType w:val="multilevel"/>
    <w:tmpl w:val="3776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06506F"/>
    <w:multiLevelType w:val="multilevel"/>
    <w:tmpl w:val="F1CE1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0A1C4F"/>
    <w:multiLevelType w:val="multilevel"/>
    <w:tmpl w:val="800CB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762349"/>
    <w:multiLevelType w:val="multilevel"/>
    <w:tmpl w:val="DF5C6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1A4B15"/>
    <w:multiLevelType w:val="multilevel"/>
    <w:tmpl w:val="5192C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59C32C6"/>
    <w:multiLevelType w:val="multilevel"/>
    <w:tmpl w:val="3F0E69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6" w15:restartNumberingAfterBreak="0">
    <w:nsid w:val="55C76C19"/>
    <w:multiLevelType w:val="multilevel"/>
    <w:tmpl w:val="9F4CC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AD379F3"/>
    <w:multiLevelType w:val="hybridMultilevel"/>
    <w:tmpl w:val="579A0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F938C5"/>
    <w:multiLevelType w:val="multilevel"/>
    <w:tmpl w:val="2EA6F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70469457">
    <w:abstractNumId w:val="7"/>
  </w:num>
  <w:num w:numId="2" w16cid:durableId="702940322">
    <w:abstractNumId w:val="5"/>
  </w:num>
  <w:num w:numId="3" w16cid:durableId="1839150272">
    <w:abstractNumId w:val="2"/>
  </w:num>
  <w:num w:numId="4" w16cid:durableId="1482306005">
    <w:abstractNumId w:val="4"/>
  </w:num>
  <w:num w:numId="5" w16cid:durableId="1963220248">
    <w:abstractNumId w:val="8"/>
  </w:num>
  <w:num w:numId="6" w16cid:durableId="87118465">
    <w:abstractNumId w:val="3"/>
  </w:num>
  <w:num w:numId="7" w16cid:durableId="844173229">
    <w:abstractNumId w:val="6"/>
  </w:num>
  <w:num w:numId="8" w16cid:durableId="1605310802">
    <w:abstractNumId w:val="0"/>
  </w:num>
  <w:num w:numId="9" w16cid:durableId="16682493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105"/>
    <w:rsid w:val="00001C62"/>
    <w:rsid w:val="0000523B"/>
    <w:rsid w:val="00005EC3"/>
    <w:rsid w:val="0000731E"/>
    <w:rsid w:val="000074F3"/>
    <w:rsid w:val="00012D54"/>
    <w:rsid w:val="000209A9"/>
    <w:rsid w:val="000225B2"/>
    <w:rsid w:val="00024E60"/>
    <w:rsid w:val="00032321"/>
    <w:rsid w:val="00043686"/>
    <w:rsid w:val="0004435A"/>
    <w:rsid w:val="00045293"/>
    <w:rsid w:val="000510C4"/>
    <w:rsid w:val="00052BE6"/>
    <w:rsid w:val="000539BC"/>
    <w:rsid w:val="00053D70"/>
    <w:rsid w:val="00054E46"/>
    <w:rsid w:val="00060308"/>
    <w:rsid w:val="000643D6"/>
    <w:rsid w:val="00073F22"/>
    <w:rsid w:val="000746B1"/>
    <w:rsid w:val="0007528C"/>
    <w:rsid w:val="0008458D"/>
    <w:rsid w:val="000871FB"/>
    <w:rsid w:val="00090E2A"/>
    <w:rsid w:val="0009371D"/>
    <w:rsid w:val="000A1700"/>
    <w:rsid w:val="000A21F5"/>
    <w:rsid w:val="000B62DD"/>
    <w:rsid w:val="000B6892"/>
    <w:rsid w:val="000D7C3B"/>
    <w:rsid w:val="000E2E18"/>
    <w:rsid w:val="000F440B"/>
    <w:rsid w:val="000F4F57"/>
    <w:rsid w:val="00101ABD"/>
    <w:rsid w:val="001108D1"/>
    <w:rsid w:val="00110D15"/>
    <w:rsid w:val="001172FA"/>
    <w:rsid w:val="001306EE"/>
    <w:rsid w:val="001410F7"/>
    <w:rsid w:val="00144DF4"/>
    <w:rsid w:val="0015363E"/>
    <w:rsid w:val="00154179"/>
    <w:rsid w:val="00160C8C"/>
    <w:rsid w:val="00163E09"/>
    <w:rsid w:val="0017022A"/>
    <w:rsid w:val="001705B3"/>
    <w:rsid w:val="00172D03"/>
    <w:rsid w:val="00173AE4"/>
    <w:rsid w:val="00177674"/>
    <w:rsid w:val="00182105"/>
    <w:rsid w:val="00182455"/>
    <w:rsid w:val="00186471"/>
    <w:rsid w:val="00192CA8"/>
    <w:rsid w:val="001975FC"/>
    <w:rsid w:val="001A4D10"/>
    <w:rsid w:val="001A7561"/>
    <w:rsid w:val="001C78D2"/>
    <w:rsid w:val="001D7D8C"/>
    <w:rsid w:val="001E47A4"/>
    <w:rsid w:val="001F0B4C"/>
    <w:rsid w:val="001F1514"/>
    <w:rsid w:val="001F1800"/>
    <w:rsid w:val="001F3E84"/>
    <w:rsid w:val="001F5ED7"/>
    <w:rsid w:val="00200AC5"/>
    <w:rsid w:val="0020594E"/>
    <w:rsid w:val="00210815"/>
    <w:rsid w:val="00220A96"/>
    <w:rsid w:val="00224AA6"/>
    <w:rsid w:val="002259B4"/>
    <w:rsid w:val="00225B6D"/>
    <w:rsid w:val="00226700"/>
    <w:rsid w:val="00240F1B"/>
    <w:rsid w:val="00245DD9"/>
    <w:rsid w:val="00246C0D"/>
    <w:rsid w:val="00254847"/>
    <w:rsid w:val="00254F69"/>
    <w:rsid w:val="00255882"/>
    <w:rsid w:val="00257624"/>
    <w:rsid w:val="00263A92"/>
    <w:rsid w:val="002B3FA0"/>
    <w:rsid w:val="002B71C6"/>
    <w:rsid w:val="002B7F9B"/>
    <w:rsid w:val="002C0FE2"/>
    <w:rsid w:val="002C2A3B"/>
    <w:rsid w:val="002D05E1"/>
    <w:rsid w:val="002D66C6"/>
    <w:rsid w:val="002F4D3C"/>
    <w:rsid w:val="00303DA0"/>
    <w:rsid w:val="00304B11"/>
    <w:rsid w:val="00306A5C"/>
    <w:rsid w:val="00310301"/>
    <w:rsid w:val="00323A03"/>
    <w:rsid w:val="003308C9"/>
    <w:rsid w:val="00331FA0"/>
    <w:rsid w:val="0033714D"/>
    <w:rsid w:val="00342733"/>
    <w:rsid w:val="00352E17"/>
    <w:rsid w:val="00363A6C"/>
    <w:rsid w:val="00366099"/>
    <w:rsid w:val="00373E2C"/>
    <w:rsid w:val="003768EE"/>
    <w:rsid w:val="003771B9"/>
    <w:rsid w:val="00382A14"/>
    <w:rsid w:val="00393EB3"/>
    <w:rsid w:val="003941E5"/>
    <w:rsid w:val="00396FCB"/>
    <w:rsid w:val="003977A1"/>
    <w:rsid w:val="003A6C72"/>
    <w:rsid w:val="003B6665"/>
    <w:rsid w:val="003C0233"/>
    <w:rsid w:val="003C30B5"/>
    <w:rsid w:val="003C3D45"/>
    <w:rsid w:val="003C613F"/>
    <w:rsid w:val="003D45E8"/>
    <w:rsid w:val="003D5823"/>
    <w:rsid w:val="003E20A8"/>
    <w:rsid w:val="003E24B1"/>
    <w:rsid w:val="003E3206"/>
    <w:rsid w:val="003E344A"/>
    <w:rsid w:val="003E5E26"/>
    <w:rsid w:val="003E7833"/>
    <w:rsid w:val="003E7F36"/>
    <w:rsid w:val="003F017D"/>
    <w:rsid w:val="003F3911"/>
    <w:rsid w:val="003F3EAB"/>
    <w:rsid w:val="004041DE"/>
    <w:rsid w:val="004117C6"/>
    <w:rsid w:val="004222ED"/>
    <w:rsid w:val="004235B0"/>
    <w:rsid w:val="00430DBE"/>
    <w:rsid w:val="004403AA"/>
    <w:rsid w:val="004423B3"/>
    <w:rsid w:val="00442F59"/>
    <w:rsid w:val="00446726"/>
    <w:rsid w:val="004515EE"/>
    <w:rsid w:val="00454483"/>
    <w:rsid w:val="004663DA"/>
    <w:rsid w:val="004803EE"/>
    <w:rsid w:val="0048114D"/>
    <w:rsid w:val="0049240A"/>
    <w:rsid w:val="00497ACA"/>
    <w:rsid w:val="004A2CA9"/>
    <w:rsid w:val="004A748A"/>
    <w:rsid w:val="004B18FF"/>
    <w:rsid w:val="004B230C"/>
    <w:rsid w:val="004B39DE"/>
    <w:rsid w:val="004B7D5E"/>
    <w:rsid w:val="004C07D5"/>
    <w:rsid w:val="004C51F5"/>
    <w:rsid w:val="004D2968"/>
    <w:rsid w:val="004D32CB"/>
    <w:rsid w:val="004E011F"/>
    <w:rsid w:val="004E30C8"/>
    <w:rsid w:val="004E610E"/>
    <w:rsid w:val="004F01DE"/>
    <w:rsid w:val="004F1C2A"/>
    <w:rsid w:val="00502D69"/>
    <w:rsid w:val="00505884"/>
    <w:rsid w:val="00523CFE"/>
    <w:rsid w:val="00537930"/>
    <w:rsid w:val="005442AB"/>
    <w:rsid w:val="00547BC1"/>
    <w:rsid w:val="00556CCE"/>
    <w:rsid w:val="00561C43"/>
    <w:rsid w:val="00561D43"/>
    <w:rsid w:val="0057314E"/>
    <w:rsid w:val="00573F31"/>
    <w:rsid w:val="00576AE8"/>
    <w:rsid w:val="00577A31"/>
    <w:rsid w:val="00582E53"/>
    <w:rsid w:val="00590E14"/>
    <w:rsid w:val="0059732D"/>
    <w:rsid w:val="00597A0A"/>
    <w:rsid w:val="005A2695"/>
    <w:rsid w:val="005C0BDA"/>
    <w:rsid w:val="005C39F3"/>
    <w:rsid w:val="005C6C08"/>
    <w:rsid w:val="005C6F3A"/>
    <w:rsid w:val="005D01DF"/>
    <w:rsid w:val="005D2658"/>
    <w:rsid w:val="005D3810"/>
    <w:rsid w:val="005D394F"/>
    <w:rsid w:val="005D5389"/>
    <w:rsid w:val="005D5917"/>
    <w:rsid w:val="005D746A"/>
    <w:rsid w:val="005F056B"/>
    <w:rsid w:val="006042D8"/>
    <w:rsid w:val="00606AEB"/>
    <w:rsid w:val="00611F43"/>
    <w:rsid w:val="00616F7F"/>
    <w:rsid w:val="006172CA"/>
    <w:rsid w:val="00621873"/>
    <w:rsid w:val="0063256F"/>
    <w:rsid w:val="00634BE5"/>
    <w:rsid w:val="0064462F"/>
    <w:rsid w:val="0064594D"/>
    <w:rsid w:val="006522EB"/>
    <w:rsid w:val="00655A3E"/>
    <w:rsid w:val="006562F2"/>
    <w:rsid w:val="0067220C"/>
    <w:rsid w:val="006759CE"/>
    <w:rsid w:val="00682B1F"/>
    <w:rsid w:val="00696654"/>
    <w:rsid w:val="006A06BC"/>
    <w:rsid w:val="006A485A"/>
    <w:rsid w:val="006B670A"/>
    <w:rsid w:val="006C1624"/>
    <w:rsid w:val="006C2C1F"/>
    <w:rsid w:val="006D0339"/>
    <w:rsid w:val="006D7183"/>
    <w:rsid w:val="006E2FF1"/>
    <w:rsid w:val="006F0404"/>
    <w:rsid w:val="006F6934"/>
    <w:rsid w:val="0070081B"/>
    <w:rsid w:val="0070100A"/>
    <w:rsid w:val="00701BDE"/>
    <w:rsid w:val="00702152"/>
    <w:rsid w:val="0070621E"/>
    <w:rsid w:val="007172E5"/>
    <w:rsid w:val="00721619"/>
    <w:rsid w:val="00724B34"/>
    <w:rsid w:val="0073448E"/>
    <w:rsid w:val="00734CFA"/>
    <w:rsid w:val="007362F4"/>
    <w:rsid w:val="00737DE2"/>
    <w:rsid w:val="007405DE"/>
    <w:rsid w:val="007458FA"/>
    <w:rsid w:val="00745E38"/>
    <w:rsid w:val="00746377"/>
    <w:rsid w:val="0075113C"/>
    <w:rsid w:val="00752C17"/>
    <w:rsid w:val="00752F33"/>
    <w:rsid w:val="00755806"/>
    <w:rsid w:val="0076009B"/>
    <w:rsid w:val="0076327B"/>
    <w:rsid w:val="00766608"/>
    <w:rsid w:val="0078675F"/>
    <w:rsid w:val="007A0121"/>
    <w:rsid w:val="007A6DB8"/>
    <w:rsid w:val="007B00FA"/>
    <w:rsid w:val="007B21C7"/>
    <w:rsid w:val="007B28DD"/>
    <w:rsid w:val="007B32DD"/>
    <w:rsid w:val="007B6305"/>
    <w:rsid w:val="007C387B"/>
    <w:rsid w:val="007D1415"/>
    <w:rsid w:val="007E5883"/>
    <w:rsid w:val="007F2BC5"/>
    <w:rsid w:val="008040CA"/>
    <w:rsid w:val="00805C91"/>
    <w:rsid w:val="00806482"/>
    <w:rsid w:val="00813872"/>
    <w:rsid w:val="00813ECA"/>
    <w:rsid w:val="00816BF7"/>
    <w:rsid w:val="0082176D"/>
    <w:rsid w:val="0083559A"/>
    <w:rsid w:val="008429BF"/>
    <w:rsid w:val="00843EDE"/>
    <w:rsid w:val="00850C3F"/>
    <w:rsid w:val="00865416"/>
    <w:rsid w:val="00870058"/>
    <w:rsid w:val="008716DB"/>
    <w:rsid w:val="008718E7"/>
    <w:rsid w:val="00874F92"/>
    <w:rsid w:val="00883AFD"/>
    <w:rsid w:val="00886154"/>
    <w:rsid w:val="00891195"/>
    <w:rsid w:val="008A31DA"/>
    <w:rsid w:val="008A471C"/>
    <w:rsid w:val="008B2291"/>
    <w:rsid w:val="008C2353"/>
    <w:rsid w:val="008C4D7B"/>
    <w:rsid w:val="008D00A6"/>
    <w:rsid w:val="008D1778"/>
    <w:rsid w:val="008D4996"/>
    <w:rsid w:val="008E0C7F"/>
    <w:rsid w:val="008F09D7"/>
    <w:rsid w:val="008F28B7"/>
    <w:rsid w:val="008F77D7"/>
    <w:rsid w:val="008F7E94"/>
    <w:rsid w:val="00915EE5"/>
    <w:rsid w:val="009251A0"/>
    <w:rsid w:val="00935AAC"/>
    <w:rsid w:val="00947EB3"/>
    <w:rsid w:val="00951E0D"/>
    <w:rsid w:val="00956B01"/>
    <w:rsid w:val="00965998"/>
    <w:rsid w:val="009733BA"/>
    <w:rsid w:val="0097554D"/>
    <w:rsid w:val="009758F4"/>
    <w:rsid w:val="00976295"/>
    <w:rsid w:val="009777CB"/>
    <w:rsid w:val="00980E30"/>
    <w:rsid w:val="00986B3E"/>
    <w:rsid w:val="00996C9A"/>
    <w:rsid w:val="009A1FEC"/>
    <w:rsid w:val="009B7743"/>
    <w:rsid w:val="009C0942"/>
    <w:rsid w:val="009C6E0D"/>
    <w:rsid w:val="009D20FB"/>
    <w:rsid w:val="009E265B"/>
    <w:rsid w:val="009E4948"/>
    <w:rsid w:val="009E55CE"/>
    <w:rsid w:val="009F6181"/>
    <w:rsid w:val="00A03A3A"/>
    <w:rsid w:val="00A10C07"/>
    <w:rsid w:val="00A130E0"/>
    <w:rsid w:val="00A151AB"/>
    <w:rsid w:val="00A272B3"/>
    <w:rsid w:val="00A33E1A"/>
    <w:rsid w:val="00A356CA"/>
    <w:rsid w:val="00A40007"/>
    <w:rsid w:val="00A56C91"/>
    <w:rsid w:val="00A60C95"/>
    <w:rsid w:val="00A6111F"/>
    <w:rsid w:val="00A6577A"/>
    <w:rsid w:val="00A65CD4"/>
    <w:rsid w:val="00A7629A"/>
    <w:rsid w:val="00A810BA"/>
    <w:rsid w:val="00A81C22"/>
    <w:rsid w:val="00A82842"/>
    <w:rsid w:val="00A97CC4"/>
    <w:rsid w:val="00AA2271"/>
    <w:rsid w:val="00AB1AD5"/>
    <w:rsid w:val="00AC5263"/>
    <w:rsid w:val="00AD152A"/>
    <w:rsid w:val="00AD7DE6"/>
    <w:rsid w:val="00AE1BD8"/>
    <w:rsid w:val="00AE3D5C"/>
    <w:rsid w:val="00AE3D94"/>
    <w:rsid w:val="00AE7AAB"/>
    <w:rsid w:val="00AF65BE"/>
    <w:rsid w:val="00B050DD"/>
    <w:rsid w:val="00B11A97"/>
    <w:rsid w:val="00B1681E"/>
    <w:rsid w:val="00B23088"/>
    <w:rsid w:val="00B26ABE"/>
    <w:rsid w:val="00B32CA6"/>
    <w:rsid w:val="00B341D3"/>
    <w:rsid w:val="00B42975"/>
    <w:rsid w:val="00B46ABB"/>
    <w:rsid w:val="00B4732E"/>
    <w:rsid w:val="00B51FCF"/>
    <w:rsid w:val="00B53173"/>
    <w:rsid w:val="00B56D62"/>
    <w:rsid w:val="00B5742C"/>
    <w:rsid w:val="00B63569"/>
    <w:rsid w:val="00B73BDA"/>
    <w:rsid w:val="00B7747A"/>
    <w:rsid w:val="00B84402"/>
    <w:rsid w:val="00B87558"/>
    <w:rsid w:val="00BB643E"/>
    <w:rsid w:val="00BD0836"/>
    <w:rsid w:val="00BD11B9"/>
    <w:rsid w:val="00BD7258"/>
    <w:rsid w:val="00BD7EBE"/>
    <w:rsid w:val="00BE1CC6"/>
    <w:rsid w:val="00BE66FF"/>
    <w:rsid w:val="00BE7933"/>
    <w:rsid w:val="00BF02F0"/>
    <w:rsid w:val="00BF22C9"/>
    <w:rsid w:val="00BF78AF"/>
    <w:rsid w:val="00C20E75"/>
    <w:rsid w:val="00C347DF"/>
    <w:rsid w:val="00C4261F"/>
    <w:rsid w:val="00C45F79"/>
    <w:rsid w:val="00C5055C"/>
    <w:rsid w:val="00C52ADB"/>
    <w:rsid w:val="00C54CB2"/>
    <w:rsid w:val="00C579DB"/>
    <w:rsid w:val="00C6056D"/>
    <w:rsid w:val="00C623F3"/>
    <w:rsid w:val="00C7449D"/>
    <w:rsid w:val="00C83876"/>
    <w:rsid w:val="00C84756"/>
    <w:rsid w:val="00C84912"/>
    <w:rsid w:val="00C872E1"/>
    <w:rsid w:val="00C94A2F"/>
    <w:rsid w:val="00C94C07"/>
    <w:rsid w:val="00C971D0"/>
    <w:rsid w:val="00CA437F"/>
    <w:rsid w:val="00CA4936"/>
    <w:rsid w:val="00CA7A67"/>
    <w:rsid w:val="00CB0C2F"/>
    <w:rsid w:val="00CB14AD"/>
    <w:rsid w:val="00CB1667"/>
    <w:rsid w:val="00CB5C37"/>
    <w:rsid w:val="00CC321A"/>
    <w:rsid w:val="00CC651C"/>
    <w:rsid w:val="00CD2B45"/>
    <w:rsid w:val="00CD30C6"/>
    <w:rsid w:val="00CD4FF2"/>
    <w:rsid w:val="00CD658A"/>
    <w:rsid w:val="00CD6D37"/>
    <w:rsid w:val="00CE06E5"/>
    <w:rsid w:val="00CF025E"/>
    <w:rsid w:val="00D1426F"/>
    <w:rsid w:val="00D329E5"/>
    <w:rsid w:val="00D35915"/>
    <w:rsid w:val="00D44F3F"/>
    <w:rsid w:val="00D57FF6"/>
    <w:rsid w:val="00D7064E"/>
    <w:rsid w:val="00D71BF9"/>
    <w:rsid w:val="00D71D01"/>
    <w:rsid w:val="00D74C13"/>
    <w:rsid w:val="00D81486"/>
    <w:rsid w:val="00D9477C"/>
    <w:rsid w:val="00D97DD7"/>
    <w:rsid w:val="00DA142B"/>
    <w:rsid w:val="00DA4220"/>
    <w:rsid w:val="00DA5EE0"/>
    <w:rsid w:val="00DA601E"/>
    <w:rsid w:val="00DB4064"/>
    <w:rsid w:val="00DC2C94"/>
    <w:rsid w:val="00DC57DD"/>
    <w:rsid w:val="00DC6963"/>
    <w:rsid w:val="00DC6BEA"/>
    <w:rsid w:val="00DD0718"/>
    <w:rsid w:val="00DD286D"/>
    <w:rsid w:val="00DE0B47"/>
    <w:rsid w:val="00DE401E"/>
    <w:rsid w:val="00DE5452"/>
    <w:rsid w:val="00DE62BA"/>
    <w:rsid w:val="00E022B8"/>
    <w:rsid w:val="00E0470B"/>
    <w:rsid w:val="00E102BB"/>
    <w:rsid w:val="00E1125C"/>
    <w:rsid w:val="00E143A8"/>
    <w:rsid w:val="00E14816"/>
    <w:rsid w:val="00E17C2E"/>
    <w:rsid w:val="00E220AD"/>
    <w:rsid w:val="00E26E4A"/>
    <w:rsid w:val="00E27710"/>
    <w:rsid w:val="00E2782E"/>
    <w:rsid w:val="00E31219"/>
    <w:rsid w:val="00E33183"/>
    <w:rsid w:val="00E352AB"/>
    <w:rsid w:val="00E547EA"/>
    <w:rsid w:val="00E647EF"/>
    <w:rsid w:val="00E75A12"/>
    <w:rsid w:val="00E77D1D"/>
    <w:rsid w:val="00E84576"/>
    <w:rsid w:val="00E91759"/>
    <w:rsid w:val="00E92D6E"/>
    <w:rsid w:val="00E93EE2"/>
    <w:rsid w:val="00EA4819"/>
    <w:rsid w:val="00EA4898"/>
    <w:rsid w:val="00EC2399"/>
    <w:rsid w:val="00EC78CA"/>
    <w:rsid w:val="00ED3212"/>
    <w:rsid w:val="00ED388D"/>
    <w:rsid w:val="00ED3DBF"/>
    <w:rsid w:val="00ED61FF"/>
    <w:rsid w:val="00EE1699"/>
    <w:rsid w:val="00EE1FB9"/>
    <w:rsid w:val="00EE2035"/>
    <w:rsid w:val="00EE279C"/>
    <w:rsid w:val="00EE46CA"/>
    <w:rsid w:val="00F009C0"/>
    <w:rsid w:val="00F02968"/>
    <w:rsid w:val="00F12415"/>
    <w:rsid w:val="00F131C4"/>
    <w:rsid w:val="00F14A0C"/>
    <w:rsid w:val="00F212D3"/>
    <w:rsid w:val="00F21A3E"/>
    <w:rsid w:val="00F3431E"/>
    <w:rsid w:val="00F35620"/>
    <w:rsid w:val="00F52010"/>
    <w:rsid w:val="00F55BBE"/>
    <w:rsid w:val="00F62DDD"/>
    <w:rsid w:val="00F63A46"/>
    <w:rsid w:val="00F72CAF"/>
    <w:rsid w:val="00F732F2"/>
    <w:rsid w:val="00F75F11"/>
    <w:rsid w:val="00F76B0D"/>
    <w:rsid w:val="00F83DB0"/>
    <w:rsid w:val="00F859E8"/>
    <w:rsid w:val="00F864ED"/>
    <w:rsid w:val="00F875BD"/>
    <w:rsid w:val="00F878BC"/>
    <w:rsid w:val="00F91BED"/>
    <w:rsid w:val="00F92C1F"/>
    <w:rsid w:val="00F95DA5"/>
    <w:rsid w:val="00F96A0E"/>
    <w:rsid w:val="00FA1E25"/>
    <w:rsid w:val="00FA35F3"/>
    <w:rsid w:val="00FB1A85"/>
    <w:rsid w:val="00FB6545"/>
    <w:rsid w:val="00FC324F"/>
    <w:rsid w:val="00FC3B26"/>
    <w:rsid w:val="00FD2D38"/>
    <w:rsid w:val="00FD63EE"/>
    <w:rsid w:val="00FE1A38"/>
    <w:rsid w:val="00FE1BC4"/>
    <w:rsid w:val="00FE2387"/>
    <w:rsid w:val="00FE41CA"/>
    <w:rsid w:val="00FE6ABE"/>
    <w:rsid w:val="00FF6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1F1D7A"/>
  <w15:chartTrackingRefBased/>
  <w15:docId w15:val="{9EFCDC2D-B7E8-4D45-BB14-B2206764D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21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21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21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21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21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21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21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21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21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1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21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21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21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21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21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21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21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2105"/>
    <w:rPr>
      <w:rFonts w:eastAsiaTheme="majorEastAsia" w:cstheme="majorBidi"/>
      <w:color w:val="272727" w:themeColor="text1" w:themeTint="D8"/>
    </w:rPr>
  </w:style>
  <w:style w:type="paragraph" w:styleId="Title">
    <w:name w:val="Title"/>
    <w:basedOn w:val="Normal"/>
    <w:next w:val="Normal"/>
    <w:link w:val="TitleChar"/>
    <w:uiPriority w:val="10"/>
    <w:qFormat/>
    <w:rsid w:val="001821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21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21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21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2105"/>
    <w:pPr>
      <w:spacing w:before="160"/>
      <w:jc w:val="center"/>
    </w:pPr>
    <w:rPr>
      <w:i/>
      <w:iCs/>
      <w:color w:val="404040" w:themeColor="text1" w:themeTint="BF"/>
    </w:rPr>
  </w:style>
  <w:style w:type="character" w:customStyle="1" w:styleId="QuoteChar">
    <w:name w:val="Quote Char"/>
    <w:basedOn w:val="DefaultParagraphFont"/>
    <w:link w:val="Quote"/>
    <w:uiPriority w:val="29"/>
    <w:rsid w:val="00182105"/>
    <w:rPr>
      <w:i/>
      <w:iCs/>
      <w:color w:val="404040" w:themeColor="text1" w:themeTint="BF"/>
    </w:rPr>
  </w:style>
  <w:style w:type="paragraph" w:styleId="ListParagraph">
    <w:name w:val="List Paragraph"/>
    <w:basedOn w:val="Normal"/>
    <w:uiPriority w:val="34"/>
    <w:qFormat/>
    <w:rsid w:val="00182105"/>
    <w:pPr>
      <w:ind w:left="720"/>
      <w:contextualSpacing/>
    </w:pPr>
  </w:style>
  <w:style w:type="character" w:styleId="IntenseEmphasis">
    <w:name w:val="Intense Emphasis"/>
    <w:basedOn w:val="DefaultParagraphFont"/>
    <w:uiPriority w:val="21"/>
    <w:qFormat/>
    <w:rsid w:val="00182105"/>
    <w:rPr>
      <w:i/>
      <w:iCs/>
      <w:color w:val="0F4761" w:themeColor="accent1" w:themeShade="BF"/>
    </w:rPr>
  </w:style>
  <w:style w:type="paragraph" w:styleId="IntenseQuote">
    <w:name w:val="Intense Quote"/>
    <w:basedOn w:val="Normal"/>
    <w:next w:val="Normal"/>
    <w:link w:val="IntenseQuoteChar"/>
    <w:uiPriority w:val="30"/>
    <w:qFormat/>
    <w:rsid w:val="001821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2105"/>
    <w:rPr>
      <w:i/>
      <w:iCs/>
      <w:color w:val="0F4761" w:themeColor="accent1" w:themeShade="BF"/>
    </w:rPr>
  </w:style>
  <w:style w:type="character" w:styleId="IntenseReference">
    <w:name w:val="Intense Reference"/>
    <w:basedOn w:val="DefaultParagraphFont"/>
    <w:uiPriority w:val="32"/>
    <w:qFormat/>
    <w:rsid w:val="00182105"/>
    <w:rPr>
      <w:b/>
      <w:bCs/>
      <w:smallCaps/>
      <w:color w:val="0F4761" w:themeColor="accent1" w:themeShade="BF"/>
      <w:spacing w:val="5"/>
    </w:rPr>
  </w:style>
  <w:style w:type="character" w:styleId="Hyperlink">
    <w:name w:val="Hyperlink"/>
    <w:basedOn w:val="DefaultParagraphFont"/>
    <w:uiPriority w:val="99"/>
    <w:unhideWhenUsed/>
    <w:rsid w:val="0073448E"/>
    <w:rPr>
      <w:color w:val="467886" w:themeColor="hyperlink"/>
      <w:u w:val="single"/>
    </w:rPr>
  </w:style>
  <w:style w:type="character" w:styleId="UnresolvedMention">
    <w:name w:val="Unresolved Mention"/>
    <w:basedOn w:val="DefaultParagraphFont"/>
    <w:uiPriority w:val="99"/>
    <w:semiHidden/>
    <w:unhideWhenUsed/>
    <w:rsid w:val="0073448E"/>
    <w:rPr>
      <w:color w:val="605E5C"/>
      <w:shd w:val="clear" w:color="auto" w:fill="E1DFDD"/>
    </w:rPr>
  </w:style>
  <w:style w:type="character" w:styleId="FollowedHyperlink">
    <w:name w:val="FollowedHyperlink"/>
    <w:basedOn w:val="DefaultParagraphFont"/>
    <w:uiPriority w:val="99"/>
    <w:semiHidden/>
    <w:unhideWhenUsed/>
    <w:rsid w:val="005F056B"/>
    <w:rPr>
      <w:color w:val="96607D" w:themeColor="followedHyperlink"/>
      <w:u w:val="single"/>
    </w:rPr>
  </w:style>
  <w:style w:type="table" w:customStyle="1" w:styleId="TableGrid1">
    <w:name w:val="Table Grid1"/>
    <w:basedOn w:val="TableNormal"/>
    <w:next w:val="TableGrid"/>
    <w:uiPriority w:val="39"/>
    <w:rsid w:val="0000731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073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303332">
      <w:bodyDiv w:val="1"/>
      <w:marLeft w:val="0"/>
      <w:marRight w:val="0"/>
      <w:marTop w:val="0"/>
      <w:marBottom w:val="0"/>
      <w:divBdr>
        <w:top w:val="none" w:sz="0" w:space="0" w:color="auto"/>
        <w:left w:val="none" w:sz="0" w:space="0" w:color="auto"/>
        <w:bottom w:val="none" w:sz="0" w:space="0" w:color="auto"/>
        <w:right w:val="none" w:sz="0" w:space="0" w:color="auto"/>
      </w:divBdr>
    </w:div>
    <w:div w:id="437874862">
      <w:bodyDiv w:val="1"/>
      <w:marLeft w:val="0"/>
      <w:marRight w:val="0"/>
      <w:marTop w:val="0"/>
      <w:marBottom w:val="0"/>
      <w:divBdr>
        <w:top w:val="none" w:sz="0" w:space="0" w:color="auto"/>
        <w:left w:val="none" w:sz="0" w:space="0" w:color="auto"/>
        <w:bottom w:val="none" w:sz="0" w:space="0" w:color="auto"/>
        <w:right w:val="none" w:sz="0" w:space="0" w:color="auto"/>
      </w:divBdr>
    </w:div>
    <w:div w:id="1036348243">
      <w:bodyDiv w:val="1"/>
      <w:marLeft w:val="0"/>
      <w:marRight w:val="0"/>
      <w:marTop w:val="0"/>
      <w:marBottom w:val="0"/>
      <w:divBdr>
        <w:top w:val="none" w:sz="0" w:space="0" w:color="auto"/>
        <w:left w:val="none" w:sz="0" w:space="0" w:color="auto"/>
        <w:bottom w:val="none" w:sz="0" w:space="0" w:color="auto"/>
        <w:right w:val="none" w:sz="0" w:space="0" w:color="auto"/>
      </w:divBdr>
      <w:divsChild>
        <w:div w:id="718167368">
          <w:marLeft w:val="0"/>
          <w:marRight w:val="0"/>
          <w:marTop w:val="0"/>
          <w:marBottom w:val="0"/>
          <w:divBdr>
            <w:top w:val="single" w:sz="2" w:space="0" w:color="auto"/>
            <w:left w:val="single" w:sz="2" w:space="0" w:color="auto"/>
            <w:bottom w:val="single" w:sz="2" w:space="0" w:color="auto"/>
            <w:right w:val="single" w:sz="2" w:space="0" w:color="auto"/>
          </w:divBdr>
        </w:div>
      </w:divsChild>
    </w:div>
    <w:div w:id="1431775215">
      <w:bodyDiv w:val="1"/>
      <w:marLeft w:val="0"/>
      <w:marRight w:val="0"/>
      <w:marTop w:val="0"/>
      <w:marBottom w:val="0"/>
      <w:divBdr>
        <w:top w:val="none" w:sz="0" w:space="0" w:color="auto"/>
        <w:left w:val="none" w:sz="0" w:space="0" w:color="auto"/>
        <w:bottom w:val="none" w:sz="0" w:space="0" w:color="auto"/>
        <w:right w:val="none" w:sz="0" w:space="0" w:color="auto"/>
      </w:divBdr>
    </w:div>
    <w:div w:id="1476484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rstliteracy.org/wp-content/uploads/2015/07/How-Learning-Works.pdf" TargetMode="External"/><Relationship Id="rId13" Type="http://schemas.openxmlformats.org/officeDocument/2006/relationships/hyperlink" Target="https://doi.org/10.1016/j.edurev.2017.10.001" TargetMode="External"/><Relationship Id="rId18" Type="http://schemas.openxmlformats.org/officeDocument/2006/relationships/hyperlink" Target="https://www.frontiersin.org/articles/10.3389/fpsyg.2022.821227"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journals.sagepub.com/doi/pdf/10.3102/0034654311421793?casa_token=MFzRt411MWYAAAAA:p9v5EhxjPxQXfNB6icwa7XbOZoktd9w3QyXUQph3lx_D50AsdA8VHtDfE3dmDX6wkW4fFa4AiGA" TargetMode="External"/><Relationship Id="rId7" Type="http://schemas.openxmlformats.org/officeDocument/2006/relationships/webSettings" Target="webSettings.xml"/><Relationship Id="rId12" Type="http://schemas.openxmlformats.org/officeDocument/2006/relationships/hyperlink" Target="https://www.routledge.com/Visible-Learning-for-Teachers-Maximizing-Impact-on-Learning/Hattie/p/book/9780415690157" TargetMode="External"/><Relationship Id="rId17" Type="http://schemas.openxmlformats.org/officeDocument/2006/relationships/hyperlink" Target="https://doi.org/10.37742/jela.v6i1.124" TargetMode="External"/><Relationship Id="rId25" Type="http://schemas.openxmlformats.org/officeDocument/2006/relationships/hyperlink" Target="https://hwb.gov.wales/api/storage/460a740a-7bf1-4c7b-b4ae-348ae380879b/professional-standards-further-education-teachers-work-based-learning-practitioners-wales.pdf" TargetMode="External"/><Relationship Id="rId2" Type="http://schemas.openxmlformats.org/officeDocument/2006/relationships/customXml" Target="../customXml/item2.xml"/><Relationship Id="rId16" Type="http://schemas.openxmlformats.org/officeDocument/2006/relationships/hyperlink" Target="https://www.jstor.org/stable/41824408" TargetMode="External"/><Relationship Id="rId20" Type="http://schemas.openxmlformats.org/officeDocument/2006/relationships/hyperlink" Target="https://www.sec-ed.co.uk/content/best-practice/get-out-from-behind-the-des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73/pnas.1319030111" TargetMode="External"/><Relationship Id="rId24" Type="http://schemas.openxmlformats.org/officeDocument/2006/relationships/hyperlink" Target="https://doi.org/10.1111/j.1467-9604.2008.00375.x" TargetMode="External"/><Relationship Id="rId5" Type="http://schemas.openxmlformats.org/officeDocument/2006/relationships/styles" Target="styles.xml"/><Relationship Id="rId15" Type="http://schemas.openxmlformats.org/officeDocument/2006/relationships/hyperlink" Target="https://dl.acm.org/doi/10.1145/2591708.2591739" TargetMode="External"/><Relationship Id="rId23" Type="http://schemas.openxmlformats.org/officeDocument/2006/relationships/hyperlink" Target="https://ijfans.org/uploads/paper/f5cd2bf04215b4c4d079d10ea19ed419.pdf" TargetMode="External"/><Relationship Id="rId10" Type="http://schemas.openxmlformats.org/officeDocument/2006/relationships/hyperlink" Target="https://doi.org/10.1073/pnas.1821936116" TargetMode="External"/><Relationship Id="rId19" Type="http://schemas.openxmlformats.org/officeDocument/2006/relationships/hyperlink" Target="http://libjournal.uncg.edu/jls/article/view/1286" TargetMode="External"/><Relationship Id="rId4" Type="http://schemas.openxmlformats.org/officeDocument/2006/relationships/numbering" Target="numbering.xml"/><Relationship Id="rId9" Type="http://schemas.openxmlformats.org/officeDocument/2006/relationships/hyperlink" Target="https://doi.org/10.1080/01443410.2020.1711872" TargetMode="External"/><Relationship Id="rId14" Type="http://schemas.openxmlformats.org/officeDocument/2006/relationships/hyperlink" Target="https://www.jstor.org/stable/1477405" TargetMode="External"/><Relationship Id="rId22" Type="http://schemas.openxmlformats.org/officeDocument/2006/relationships/hyperlink" Target="https://doi.org/10.1007/s10648-010-9127-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7" ma:contentTypeDescription="Create a new document." ma:contentTypeScope="" ma:versionID="1801f057e9dbf92d301abf324cad32c3">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05e796a1e4311106cacddfd97a69f6c8"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6b8f10f-f56e-4e87-af4a-2384ac144562" xsi:nil="true"/>
  </documentManagement>
</p:properties>
</file>

<file path=customXml/itemProps1.xml><?xml version="1.0" encoding="utf-8"?>
<ds:datastoreItem xmlns:ds="http://schemas.openxmlformats.org/officeDocument/2006/customXml" ds:itemID="{209497B1-BE1B-4775-A8C0-6973D75ABE5F}">
  <ds:schemaRefs>
    <ds:schemaRef ds:uri="http://schemas.microsoft.com/sharepoint/v3/contenttype/forms"/>
  </ds:schemaRefs>
</ds:datastoreItem>
</file>

<file path=customXml/itemProps2.xml><?xml version="1.0" encoding="utf-8"?>
<ds:datastoreItem xmlns:ds="http://schemas.openxmlformats.org/officeDocument/2006/customXml" ds:itemID="{92F309FE-FE7F-49F9-B181-BD51C77D9F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6BB1EA-040D-43FB-901E-78CBADA820EC}">
  <ds:schemaRefs>
    <ds:schemaRef ds:uri="http://schemas.microsoft.com/office/2006/documentManagement/types"/>
    <ds:schemaRef ds:uri="http://schemas.microsoft.com/office/2006/metadata/properties"/>
    <ds:schemaRef ds:uri="http://www.w3.org/XML/1998/namespace"/>
    <ds:schemaRef ds:uri="http://purl.org/dc/terms/"/>
    <ds:schemaRef ds:uri="http://purl.org/dc/dcmitype/"/>
    <ds:schemaRef ds:uri="http://purl.org/dc/elements/1.1/"/>
    <ds:schemaRef ds:uri="http://schemas.microsoft.com/office/infopath/2007/PartnerControls"/>
    <ds:schemaRef ds:uri="http://schemas.openxmlformats.org/package/2006/metadata/core-properties"/>
    <ds:schemaRef ds:uri="921765a0-fcf6-47d1-8ac4-5d670786d758"/>
    <ds:schemaRef ds:uri="46b8f10f-f56e-4e87-af4a-2384ac144562"/>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4114</Words>
  <Characters>23451</Characters>
  <Application>Microsoft Office Word</Application>
  <DocSecurity>0</DocSecurity>
  <Lines>195</Lines>
  <Paragraphs>55</Paragraphs>
  <ScaleCrop>false</ScaleCrop>
  <Company/>
  <LinksUpToDate>false</LinksUpToDate>
  <CharactersWithSpaces>27510</CharactersWithSpaces>
  <SharedDoc>false</SharedDoc>
  <HLinks>
    <vt:vector size="108" baseType="variant">
      <vt:variant>
        <vt:i4>2031687</vt:i4>
      </vt:variant>
      <vt:variant>
        <vt:i4>51</vt:i4>
      </vt:variant>
      <vt:variant>
        <vt:i4>0</vt:i4>
      </vt:variant>
      <vt:variant>
        <vt:i4>5</vt:i4>
      </vt:variant>
      <vt:variant>
        <vt:lpwstr>https://hwb.gov.wales/api/storage/460a740a-7bf1-4c7b-b4ae-348ae380879b/professional-standards-further-education-teachers-work-based-learning-practitioners-wales.pdf</vt:lpwstr>
      </vt:variant>
      <vt:variant>
        <vt:lpwstr/>
      </vt:variant>
      <vt:variant>
        <vt:i4>6160413</vt:i4>
      </vt:variant>
      <vt:variant>
        <vt:i4>48</vt:i4>
      </vt:variant>
      <vt:variant>
        <vt:i4>0</vt:i4>
      </vt:variant>
      <vt:variant>
        <vt:i4>5</vt:i4>
      </vt:variant>
      <vt:variant>
        <vt:lpwstr>https://doi.org/10.1111/j.1467-9604.2008.00375.x</vt:lpwstr>
      </vt:variant>
      <vt:variant>
        <vt:lpwstr/>
      </vt:variant>
      <vt:variant>
        <vt:i4>852061</vt:i4>
      </vt:variant>
      <vt:variant>
        <vt:i4>45</vt:i4>
      </vt:variant>
      <vt:variant>
        <vt:i4>0</vt:i4>
      </vt:variant>
      <vt:variant>
        <vt:i4>5</vt:i4>
      </vt:variant>
      <vt:variant>
        <vt:lpwstr>https://ijfans.org/uploads/paper/f5cd2bf04215b4c4d079d10ea19ed419.pdf</vt:lpwstr>
      </vt:variant>
      <vt:variant>
        <vt:lpwstr/>
      </vt:variant>
      <vt:variant>
        <vt:i4>655389</vt:i4>
      </vt:variant>
      <vt:variant>
        <vt:i4>42</vt:i4>
      </vt:variant>
      <vt:variant>
        <vt:i4>0</vt:i4>
      </vt:variant>
      <vt:variant>
        <vt:i4>5</vt:i4>
      </vt:variant>
      <vt:variant>
        <vt:lpwstr>https://doi.org/10.1007/s10648-010-9127-6</vt:lpwstr>
      </vt:variant>
      <vt:variant>
        <vt:lpwstr/>
      </vt:variant>
      <vt:variant>
        <vt:i4>5177414</vt:i4>
      </vt:variant>
      <vt:variant>
        <vt:i4>39</vt:i4>
      </vt:variant>
      <vt:variant>
        <vt:i4>0</vt:i4>
      </vt:variant>
      <vt:variant>
        <vt:i4>5</vt:i4>
      </vt:variant>
      <vt:variant>
        <vt:lpwstr>https://journals.sagepub.com/doi/pdf/10.3102/0034654311421793?casa_token=MFzRt411MWYAAAAA:p9v5EhxjPxQXfNB6icwa7XbOZoktd9w3QyXUQph3lx_D50AsdA8VHtDfE3dmDX6wkW4fFa4AiGA</vt:lpwstr>
      </vt:variant>
      <vt:variant>
        <vt:lpwstr/>
      </vt:variant>
      <vt:variant>
        <vt:i4>1179713</vt:i4>
      </vt:variant>
      <vt:variant>
        <vt:i4>36</vt:i4>
      </vt:variant>
      <vt:variant>
        <vt:i4>0</vt:i4>
      </vt:variant>
      <vt:variant>
        <vt:i4>5</vt:i4>
      </vt:variant>
      <vt:variant>
        <vt:lpwstr>https://www.sec-ed.co.uk/content/best-practice/get-out-from-behind-the-desk/</vt:lpwstr>
      </vt:variant>
      <vt:variant>
        <vt:lpwstr/>
      </vt:variant>
      <vt:variant>
        <vt:i4>6029314</vt:i4>
      </vt:variant>
      <vt:variant>
        <vt:i4>33</vt:i4>
      </vt:variant>
      <vt:variant>
        <vt:i4>0</vt:i4>
      </vt:variant>
      <vt:variant>
        <vt:i4>5</vt:i4>
      </vt:variant>
      <vt:variant>
        <vt:lpwstr>http://libjournal.uncg.edu/jls/article/view/1286</vt:lpwstr>
      </vt:variant>
      <vt:variant>
        <vt:lpwstr/>
      </vt:variant>
      <vt:variant>
        <vt:i4>3080315</vt:i4>
      </vt:variant>
      <vt:variant>
        <vt:i4>30</vt:i4>
      </vt:variant>
      <vt:variant>
        <vt:i4>0</vt:i4>
      </vt:variant>
      <vt:variant>
        <vt:i4>5</vt:i4>
      </vt:variant>
      <vt:variant>
        <vt:lpwstr>https://www.frontiersin.org/articles/10.3389/fpsyg.2022.821227</vt:lpwstr>
      </vt:variant>
      <vt:variant>
        <vt:lpwstr/>
      </vt:variant>
      <vt:variant>
        <vt:i4>2162801</vt:i4>
      </vt:variant>
      <vt:variant>
        <vt:i4>27</vt:i4>
      </vt:variant>
      <vt:variant>
        <vt:i4>0</vt:i4>
      </vt:variant>
      <vt:variant>
        <vt:i4>5</vt:i4>
      </vt:variant>
      <vt:variant>
        <vt:lpwstr>https://doi.org/10.37742/jela.v6i1.124</vt:lpwstr>
      </vt:variant>
      <vt:variant>
        <vt:lpwstr/>
      </vt:variant>
      <vt:variant>
        <vt:i4>6029378</vt:i4>
      </vt:variant>
      <vt:variant>
        <vt:i4>24</vt:i4>
      </vt:variant>
      <vt:variant>
        <vt:i4>0</vt:i4>
      </vt:variant>
      <vt:variant>
        <vt:i4>5</vt:i4>
      </vt:variant>
      <vt:variant>
        <vt:lpwstr>https://www.jstor.org/stable/41824408</vt:lpwstr>
      </vt:variant>
      <vt:variant>
        <vt:lpwstr/>
      </vt:variant>
      <vt:variant>
        <vt:i4>7209069</vt:i4>
      </vt:variant>
      <vt:variant>
        <vt:i4>21</vt:i4>
      </vt:variant>
      <vt:variant>
        <vt:i4>0</vt:i4>
      </vt:variant>
      <vt:variant>
        <vt:i4>5</vt:i4>
      </vt:variant>
      <vt:variant>
        <vt:lpwstr>https://dl.acm.org/doi/10.1145/2591708.2591739</vt:lpwstr>
      </vt:variant>
      <vt:variant>
        <vt:lpwstr/>
      </vt:variant>
      <vt:variant>
        <vt:i4>5439558</vt:i4>
      </vt:variant>
      <vt:variant>
        <vt:i4>18</vt:i4>
      </vt:variant>
      <vt:variant>
        <vt:i4>0</vt:i4>
      </vt:variant>
      <vt:variant>
        <vt:i4>5</vt:i4>
      </vt:variant>
      <vt:variant>
        <vt:lpwstr>https://www.jstor.org/stable/1477405</vt:lpwstr>
      </vt:variant>
      <vt:variant>
        <vt:lpwstr/>
      </vt:variant>
      <vt:variant>
        <vt:i4>4194373</vt:i4>
      </vt:variant>
      <vt:variant>
        <vt:i4>15</vt:i4>
      </vt:variant>
      <vt:variant>
        <vt:i4>0</vt:i4>
      </vt:variant>
      <vt:variant>
        <vt:i4>5</vt:i4>
      </vt:variant>
      <vt:variant>
        <vt:lpwstr>https://doi.org/10.1016/j.edurev.2017.10.001</vt:lpwstr>
      </vt:variant>
      <vt:variant>
        <vt:lpwstr/>
      </vt:variant>
      <vt:variant>
        <vt:i4>131151</vt:i4>
      </vt:variant>
      <vt:variant>
        <vt:i4>12</vt:i4>
      </vt:variant>
      <vt:variant>
        <vt:i4>0</vt:i4>
      </vt:variant>
      <vt:variant>
        <vt:i4>5</vt:i4>
      </vt:variant>
      <vt:variant>
        <vt:lpwstr>https://www.routledge.com/Visible-Learning-for-Teachers-Maximizing-Impact-on-Learning/Hattie/p/book/9780415690157</vt:lpwstr>
      </vt:variant>
      <vt:variant>
        <vt:lpwstr/>
      </vt:variant>
      <vt:variant>
        <vt:i4>3670126</vt:i4>
      </vt:variant>
      <vt:variant>
        <vt:i4>9</vt:i4>
      </vt:variant>
      <vt:variant>
        <vt:i4>0</vt:i4>
      </vt:variant>
      <vt:variant>
        <vt:i4>5</vt:i4>
      </vt:variant>
      <vt:variant>
        <vt:lpwstr>https://doi.org/10.1073/pnas.1319030111</vt:lpwstr>
      </vt:variant>
      <vt:variant>
        <vt:lpwstr/>
      </vt:variant>
      <vt:variant>
        <vt:i4>3407981</vt:i4>
      </vt:variant>
      <vt:variant>
        <vt:i4>6</vt:i4>
      </vt:variant>
      <vt:variant>
        <vt:i4>0</vt:i4>
      </vt:variant>
      <vt:variant>
        <vt:i4>5</vt:i4>
      </vt:variant>
      <vt:variant>
        <vt:lpwstr>https://doi.org/10.1073/pnas.1821936116</vt:lpwstr>
      </vt:variant>
      <vt:variant>
        <vt:lpwstr/>
      </vt:variant>
      <vt:variant>
        <vt:i4>327754</vt:i4>
      </vt:variant>
      <vt:variant>
        <vt:i4>3</vt:i4>
      </vt:variant>
      <vt:variant>
        <vt:i4>0</vt:i4>
      </vt:variant>
      <vt:variant>
        <vt:i4>5</vt:i4>
      </vt:variant>
      <vt:variant>
        <vt:lpwstr>https://doi.org/10.1080/01443410.2020.1711872</vt:lpwstr>
      </vt:variant>
      <vt:variant>
        <vt:lpwstr/>
      </vt:variant>
      <vt:variant>
        <vt:i4>8126511</vt:i4>
      </vt:variant>
      <vt:variant>
        <vt:i4>0</vt:i4>
      </vt:variant>
      <vt:variant>
        <vt:i4>0</vt:i4>
      </vt:variant>
      <vt:variant>
        <vt:i4>5</vt:i4>
      </vt:variant>
      <vt:variant>
        <vt:lpwstr>https://firstliteracy.org/wp-content/uploads/2015/07/How-Learning-Works.pdf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Linsey (1908007)</dc:creator>
  <cp:keywords/>
  <dc:description/>
  <cp:lastModifiedBy>Tracy Linsey (1908007)</cp:lastModifiedBy>
  <cp:revision>2</cp:revision>
  <dcterms:created xsi:type="dcterms:W3CDTF">2025-02-02T22:13:00Z</dcterms:created>
  <dcterms:modified xsi:type="dcterms:W3CDTF">2025-02-02T22:13:00Z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