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w:hAnsi="Calibri" w:eastAsia="Calibri" w:cs="Calibri"/>
          <w:b/>
          <w:b/>
          <w:bCs/>
          <w:sz w:val="24"/>
          <w:szCs w:val="24"/>
          <w:u w:val="single"/>
          <w:lang w:val="en-GB"/>
        </w:rPr>
      </w:pPr>
      <w:r>
        <w:rPr>
          <w:rFonts w:eastAsia="Calibri" w:cs="Calibri"/>
          <w:b/>
          <w:bCs/>
          <w:sz w:val="24"/>
          <w:szCs w:val="24"/>
          <w:u w:val="single"/>
          <w:lang w:val="en-GB"/>
        </w:rPr>
        <w:t>Using empirical evidence and a consideration of service users and survivors, critically discuss the extent to which stigma and discrimination towards individuals with a diagnosis of schizophrenia exists in today`s society and how we should seek to ameliorate this issue; for example, with the use of educational initiatives and interventions.</w:t>
      </w:r>
    </w:p>
    <w:p>
      <w:pPr>
        <w:pStyle w:val="Normal"/>
        <w:jc w:val="left"/>
        <w:rPr>
          <w:rFonts w:ascii="Calibri" w:hAnsi="Calibri" w:eastAsia="Calibri" w:cs="Calibri"/>
          <w:b/>
          <w:b/>
          <w:bCs/>
          <w:sz w:val="24"/>
          <w:szCs w:val="24"/>
          <w:u w:val="single"/>
          <w:lang w:val="en-GB"/>
        </w:rPr>
      </w:pPr>
      <w:r>
        <w:rPr>
          <w:rFonts w:eastAsia="Calibri" w:cs="Calibri"/>
          <w:b/>
          <w:bCs/>
          <w:sz w:val="24"/>
          <w:szCs w:val="24"/>
          <w:u w:val="single"/>
          <w:lang w:val="en-GB"/>
        </w:rPr>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212121"/>
          <w:sz w:val="24"/>
          <w:szCs w:val="24"/>
          <w:lang w:val="en-GB"/>
        </w:rPr>
      </w:pPr>
      <w:r>
        <w:rPr>
          <w:b w:val="false"/>
          <w:bCs w:val="false"/>
          <w:sz w:val="24"/>
          <w:szCs w:val="24"/>
          <w:u w:val="none"/>
        </w:rPr>
        <w:t xml:space="preserve">Stigma, as defined by the Cambridge Dictionary (2024), is “a strong feeling of disapproval that most people in a society have about something, especially when this is unfair”. Stigma consists of negative stereotypes held against others despite a potential lack of awareness and knowledge which makes stigma commonplace as </w:t>
      </w:r>
      <w:r>
        <w:rPr>
          <w:rFonts w:eastAsia="Calibri" w:cs="Calibri" w:cstheme="minorAscii" w:eastAsiaTheme="minorAscii"/>
          <w:b w:val="false"/>
          <w:bCs w:val="false"/>
          <w:sz w:val="24"/>
          <w:szCs w:val="24"/>
          <w:u w:val="none"/>
        </w:rPr>
        <w:t>“</w:t>
      </w:r>
      <w:r>
        <w:rPr>
          <w:rFonts w:eastAsia="Calibri" w:cs="Calibri" w:cstheme="minorAscii" w:eastAsiaTheme="minorAscii"/>
          <w:b w:val="false"/>
          <w:bCs w:val="false"/>
          <w:i w:val="false"/>
          <w:iCs w:val="false"/>
          <w:caps w:val="false"/>
          <w:smallCaps w:val="false"/>
          <w:color w:val="212121"/>
          <w:sz w:val="24"/>
          <w:szCs w:val="24"/>
          <w:lang w:val="en-GB"/>
        </w:rPr>
        <w:t>Stereotypes are the way in which humans categorize information about groups of people” (Corrigan and Rao, 2012)</w:t>
      </w:r>
      <w:r>
        <w:rPr>
          <w:rFonts w:eastAsia="Cambria" w:cs="Cambria" w:ascii="Cambria" w:hAnsi="Cambria"/>
          <w:b w:val="false"/>
          <w:bCs w:val="false"/>
          <w:i w:val="false"/>
          <w:iCs w:val="false"/>
          <w:caps w:val="false"/>
          <w:smallCaps w:val="false"/>
          <w:color w:val="212121"/>
          <w:sz w:val="30"/>
          <w:szCs w:val="30"/>
          <w:lang w:val="en-GB"/>
        </w:rPr>
        <w:t>.</w:t>
      </w:r>
      <w:r>
        <w:rPr>
          <w:rFonts w:eastAsia="Calibri" w:cs="Calibri"/>
          <w:sz w:val="24"/>
          <w:szCs w:val="24"/>
          <w:lang w:val="en-GB"/>
        </w:rPr>
        <w:t xml:space="preserve"> S</w:t>
      </w:r>
      <w:r>
        <w:rPr>
          <w:b w:val="false"/>
          <w:bCs w:val="false"/>
          <w:sz w:val="24"/>
          <w:szCs w:val="24"/>
          <w:u w:val="none"/>
        </w:rPr>
        <w:t>tigma can be separated into two main groups, public stigma and self-stigma.</w:t>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212121"/>
          <w:sz w:val="24"/>
          <w:szCs w:val="24"/>
          <w:lang w:val="en-GB"/>
        </w:rPr>
      </w:pPr>
      <w:r>
        <w:rPr>
          <w:b w:val="false"/>
          <w:bCs w:val="false"/>
          <w:sz w:val="24"/>
          <w:szCs w:val="24"/>
          <w:u w:val="none"/>
        </w:rPr>
        <w:t xml:space="preserve">Parcesepe and Cabassa (2014) define public stigma as </w:t>
      </w:r>
      <w:r>
        <w:rPr>
          <w:rFonts w:eastAsia="Calibri" w:cs="Calibri" w:cstheme="minorAscii" w:eastAsiaTheme="minorAscii"/>
          <w:b w:val="false"/>
          <w:bCs w:val="false"/>
          <w:sz w:val="24"/>
          <w:szCs w:val="24"/>
          <w:u w:val="none"/>
        </w:rPr>
        <w:t>“</w:t>
      </w:r>
      <w:r>
        <w:rPr>
          <w:rFonts w:eastAsia="Calibri" w:cs="Calibri" w:cstheme="minorAscii" w:eastAsiaTheme="minorAscii"/>
          <w:b w:val="false"/>
          <w:bCs w:val="false"/>
          <w:i w:val="false"/>
          <w:iCs w:val="false"/>
          <w:caps w:val="false"/>
          <w:smallCaps w:val="false"/>
          <w:color w:val="212121"/>
          <w:sz w:val="24"/>
          <w:szCs w:val="24"/>
          <w:lang w:val="en-GB"/>
        </w:rPr>
        <w:t>negative attitudes and beliefs” held by the public “that motivate individuals to fear, reject, avoid, and discriminate against people” and specifically, they mention “mental illness”.  Self-stigma is seen as the “endorsement of these [negative] stereotypes of the self, prejudice, and resulting self-discrimination” and further, “Once a person internalizes negative stereotypes, they may have negative emotional reactions” (Corrigan and Rao, 2012). Both examples of stigma will be further investigated in this essay and interventions will be explored to highlight the areas in which the lives of individuals diagnosed with schizophrenia in today’s society are affected by stigma of their diagnosis.</w:t>
      </w:r>
    </w:p>
    <w:p>
      <w:pPr>
        <w:pStyle w:val="Normal"/>
        <w:jc w:val="left"/>
        <w:rPr>
          <w:b w:val="false"/>
          <w:b w:val="false"/>
          <w:bCs w:val="false"/>
          <w:sz w:val="24"/>
          <w:szCs w:val="24"/>
          <w:u w:val="none"/>
        </w:rPr>
      </w:pPr>
      <w:r>
        <w:rPr>
          <w:b w:val="false"/>
          <w:bCs w:val="false"/>
          <w:sz w:val="24"/>
          <w:szCs w:val="24"/>
          <w:u w:val="none"/>
        </w:rPr>
      </w:r>
    </w:p>
    <w:p>
      <w:pPr>
        <w:pStyle w:val="Normal"/>
        <w:ind w:firstLine="720"/>
        <w:jc w:val="left"/>
        <w:rPr>
          <w:b w:val="false"/>
          <w:b w:val="false"/>
          <w:bCs w:val="false"/>
          <w:sz w:val="24"/>
          <w:szCs w:val="24"/>
          <w:u w:val="none"/>
        </w:rPr>
      </w:pPr>
      <w:r>
        <w:rPr>
          <w:b w:val="false"/>
          <w:bCs w:val="false"/>
          <w:sz w:val="24"/>
          <w:szCs w:val="24"/>
          <w:u w:val="none"/>
        </w:rPr>
        <w:t xml:space="preserve">Schizophrenia is a “long-term mental health condition” (NHS, 2023) that the World Health Organisation (WHO, 2022) define schizophrenia as causing “psychosis” and mention its association with “considerable disability”. WHO (2022) make note of the “stigma, discrimination and violation of human rights” that is unfortunately commonplace in the world of an individual diagnosed with schizophrenia which is supported by the research of Switaj et al (2009) who carried out “A series of surveys carried out on representative samples of the society over the last decade” and reported that said questionnaires “clearly” showed that negative stereotypes of those diagnosed with a mental illness are widespread in Poland, “similarly to other countries” and also noting that the  “level of social distance towards people with mental health problems remains rather high”. </w:t>
      </w:r>
    </w:p>
    <w:p>
      <w:pPr>
        <w:pStyle w:val="Normal"/>
        <w:ind w:firstLine="720"/>
        <w:jc w:val="left"/>
        <w:rPr>
          <w:b w:val="false"/>
          <w:b w:val="false"/>
          <w:bCs w:val="false"/>
          <w:sz w:val="24"/>
          <w:szCs w:val="24"/>
          <w:u w:val="none"/>
        </w:rPr>
      </w:pPr>
      <w:r>
        <w:rPr>
          <w:b w:val="false"/>
          <w:bCs w:val="false"/>
          <w:sz w:val="24"/>
          <w:szCs w:val="24"/>
          <w:u w:val="none"/>
        </w:rPr>
        <w:t>Norman et al (2012) conducted research into the difference in stigma between depression and schizophrenia. “The results of the current study support the conclusion that there is a greater preference for maintaining social distance towards an individual portrayed as having schizophrenia in comparison to someone with depression and that this preference is a general one across gender of the responder and the individual portrayed in the vignettes” highlighting the negativity associated with a diagnosis of schizophrenia, even when compared to other mental health disorders. They also learned through their research that “schizophrenia was seen as being associated with more socially inappropriate behaviour and having less continuity with normal behaviour”</w:t>
      </w:r>
    </w:p>
    <w:p>
      <w:pPr>
        <w:pStyle w:val="Normal"/>
        <w:ind w:firstLine="720"/>
        <w:jc w:val="left"/>
        <w:rPr>
          <w:b w:val="false"/>
          <w:b w:val="false"/>
          <w:bCs w:val="false"/>
          <w:sz w:val="24"/>
          <w:szCs w:val="24"/>
          <w:u w:val="none"/>
        </w:rPr>
      </w:pPr>
      <w:r>
        <w:rPr>
          <w:b w:val="false"/>
          <w:bCs w:val="false"/>
          <w:sz w:val="24"/>
          <w:szCs w:val="24"/>
          <w:u w:val="none"/>
        </w:rPr>
        <w:t>Another questionnaire carried out by Thornicroft et al (2009) investigated stigma in the diagnosis of schizophrenia with a focus on where in their lives individuals with the diagnosis are more likely to be a victim of said stigma. Out of their 729 participants, they found that 47% of participants had experienced negative stigma when making or keeping friends, 43% from family members 29% while job hunting and another 29% when trying to maintain a job and 27% while in an intimate or sexual relationship. In addition, they asked about positive experienced discrimination and reported that 64% experienced this in the workforce, training spaces and in the field of education and 55% experienced this while looking for an intimate relationship. They would later note that 72% of the participants felt the need to conceal their diagnosis as to avoid a difference in treatment due to the association. The key highlight in this research is the inclusion of positive experienced discrimination. Positive discrimination, as defined by the Equality and Diversity Office University of Dundee (2017), is a form of discrimination that acts in the opposite way of the more expected and traditional forms of discrimination as it favours the targeted individual due to their perceived difference.</w:t>
      </w:r>
    </w:p>
    <w:p>
      <w:pPr>
        <w:pStyle w:val="Normal"/>
        <w:ind w:firstLine="720"/>
        <w:jc w:val="left"/>
        <w:rPr>
          <w:b w:val="false"/>
          <w:b w:val="false"/>
          <w:bCs w:val="false"/>
          <w:sz w:val="24"/>
          <w:szCs w:val="24"/>
          <w:u w:val="none"/>
        </w:rPr>
      </w:pPr>
      <w:r>
        <w:rPr>
          <w:b w:val="false"/>
          <w:bCs w:val="false"/>
          <w:sz w:val="24"/>
          <w:szCs w:val="24"/>
          <w:u w:val="none"/>
        </w:rPr>
        <w:t>Park et al (2013) conducted a study into self-stigma regarding individuals diagnosed with schizophrenia and the correlation between dysfunctional attitudes and defeatist performance. Through their research, they would find that a negative self-stigma correlated to the individual also suffering from depression but showed no correlation with negative symptoms. However, they did find that internalised stigma had “significant” correlation with dysfunctional attitudes, associating internalised stigma with defeatist performance beliefs.</w:t>
      </w:r>
    </w:p>
    <w:p>
      <w:pPr>
        <w:pStyle w:val="Normal"/>
        <w:ind w:firstLine="720"/>
        <w:jc w:val="left"/>
        <w:rPr>
          <w:b w:val="false"/>
          <w:b w:val="false"/>
          <w:bCs w:val="false"/>
          <w:sz w:val="24"/>
          <w:szCs w:val="24"/>
          <w:u w:val="none"/>
        </w:rPr>
      </w:pPr>
      <w:r>
        <w:rPr>
          <w:b w:val="false"/>
          <w:bCs w:val="false"/>
          <w:sz w:val="24"/>
          <w:szCs w:val="24"/>
          <w:u w:val="none"/>
        </w:rPr>
      </w:r>
    </w:p>
    <w:p>
      <w:pPr>
        <w:pStyle w:val="Normal"/>
        <w:ind w:firstLine="720"/>
        <w:jc w:val="left"/>
        <w:rPr>
          <w:rFonts w:ascii="Calibri" w:hAnsi="Calibri" w:eastAsia="Calibri" w:cs="Calibri"/>
          <w:sz w:val="24"/>
          <w:szCs w:val="24"/>
          <w:lang w:val="en-GB"/>
        </w:rPr>
      </w:pPr>
      <w:r>
        <w:rPr>
          <w:b w:val="false"/>
          <w:bCs w:val="false"/>
          <w:sz w:val="24"/>
          <w:szCs w:val="24"/>
          <w:u w:val="none"/>
        </w:rPr>
        <w:t>It is not only a schizophrenia diagnosis in which a negative stigma has been curated, but in the more general scope of mental illness itself. According to the work of Busby Grant et al (2016), this stigma of any mental health diagnosis is due to a lack of “contact and knowledge” with mental illness as it was recorded in their research that “</w:t>
      </w:r>
      <w:r>
        <w:rPr>
          <w:rFonts w:eastAsia="Calibri" w:cs="Calibri"/>
          <w:sz w:val="24"/>
          <w:szCs w:val="24"/>
          <w:lang w:val="en-GB"/>
        </w:rPr>
        <w:t>Greater contact with, and knowledge of that illness predicted lower personal stigma for both anxiety and depression” highlighting the idea that stigma against mental illness is created due to the lack of awareness on the subject. This research also noted a difference in stigma between the sexes. It made note that females reported “higher perceived stigma towards depression” whereas their male counterparts “reported higher personal stigma for anxiety”.</w:t>
      </w:r>
    </w:p>
    <w:p>
      <w:pPr>
        <w:pStyle w:val="Normal"/>
        <w:ind w:firstLine="720"/>
        <w:jc w:val="left"/>
        <w:rPr>
          <w:rFonts w:ascii="Calibri" w:hAnsi="Calibri" w:eastAsia="Calibri" w:cs="Calibri"/>
          <w:sz w:val="24"/>
          <w:szCs w:val="24"/>
          <w:lang w:val="en-GB"/>
        </w:rPr>
      </w:pPr>
      <w:r>
        <w:rPr>
          <w:rFonts w:eastAsia="Calibri" w:cs="Calibri"/>
          <w:sz w:val="24"/>
          <w:szCs w:val="24"/>
          <w:lang w:val="en-GB"/>
        </w:rPr>
      </w:r>
    </w:p>
    <w:p>
      <w:pPr>
        <w:pStyle w:val="Normal"/>
        <w:ind w:firstLine="720"/>
        <w:jc w:val="left"/>
        <w:rPr>
          <w:rFonts w:ascii="Calibri" w:hAnsi="Calibri" w:eastAsia="Calibri" w:cs="Calibri"/>
          <w:sz w:val="24"/>
          <w:szCs w:val="24"/>
          <w:lang w:val="en-GB"/>
        </w:rPr>
      </w:pPr>
      <w:r>
        <w:rPr>
          <w:rFonts w:eastAsia="Calibri" w:cs="Calibri"/>
          <w:sz w:val="24"/>
          <w:szCs w:val="24"/>
          <w:lang w:val="en-GB"/>
        </w:rPr>
        <w:t>When looking at research such as those mentioned above, containing questionnaires to determine emotions involved with stigma, it must be acknowledged that it has its limitations. One of which was the possibility of researcher biases through the wording of the questions included as mentioned by Kopera et al (2014). Kopera et al make note of how using terms such as “illness” may cause the participant to lean more into one direction of thought that may not be of their initial belief. They are quoted in saying “</w:t>
      </w:r>
      <w:r>
        <w:rPr>
          <w:rFonts w:eastAsia="Calibri" w:cs="Calibri" w:cstheme="minorAscii" w:eastAsiaTheme="minorAscii"/>
          <w:b w:val="false"/>
          <w:bCs w:val="false"/>
          <w:i w:val="false"/>
          <w:iCs w:val="false"/>
          <w:caps w:val="false"/>
          <w:smallCaps w:val="false"/>
          <w:color w:val="212121"/>
          <w:sz w:val="24"/>
          <w:szCs w:val="24"/>
          <w:lang w:val="en-GB"/>
        </w:rPr>
        <w:t>it seems unlikely that people may associate “ill” with “good” attributes” and they further develop this theory by stating the term “illness”, in itself, is related to “suffering” and thus leads participants into a more negative train of thought and potentially altering the results, though not intentionally.</w:t>
      </w:r>
    </w:p>
    <w:p>
      <w:pPr>
        <w:pStyle w:val="Normal"/>
        <w:ind w:firstLine="720"/>
        <w:jc w:val="left"/>
        <w:rPr>
          <w:rFonts w:ascii="Calibri" w:hAnsi="Calibri" w:eastAsia="Calibri" w:cs="Calibri"/>
          <w:sz w:val="24"/>
          <w:szCs w:val="24"/>
          <w:lang w:val="en-GB"/>
        </w:rPr>
      </w:pPr>
      <w:r>
        <w:rPr>
          <w:rFonts w:eastAsia="Calibri" w:cs="Calibri"/>
          <w:sz w:val="24"/>
          <w:szCs w:val="24"/>
          <w:lang w:val="en-GB"/>
        </w:rPr>
        <w:t xml:space="preserve"> </w:t>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212121"/>
          <w:sz w:val="24"/>
          <w:szCs w:val="24"/>
          <w:lang w:val="en-GB"/>
        </w:rPr>
      </w:pPr>
      <w:r>
        <w:rPr>
          <w:b w:val="false"/>
          <w:bCs w:val="false"/>
          <w:sz w:val="24"/>
          <w:szCs w:val="24"/>
          <w:u w:val="none"/>
        </w:rPr>
        <w:t>Despite all previously mentioned about stigma, these viewpoints are not a permanent fixture as there are interventions to help combat these widespread, negative stereotypes. Many believe these stereotypes and prejudices are held against those diagnosed with schizophrenia due to a lack of knowledge on the subject matter along with minimal contact with individuals due to a taught fear. Busby Grant et al (2016) spoke of mental health literacy, describing it as “</w:t>
      </w:r>
      <w:r>
        <w:rPr>
          <w:rFonts w:eastAsia="Calibri" w:cs="Calibri"/>
          <w:sz w:val="24"/>
          <w:szCs w:val="24"/>
          <w:lang w:val="en-GB"/>
        </w:rPr>
        <w:t>an individual’s knowledge of mental illness, is an awareness of typical symptoms, risk factors and treatments for that mental disorder”.</w:t>
      </w:r>
      <w:r>
        <w:rPr>
          <w:b w:val="false"/>
          <w:bCs w:val="false"/>
          <w:sz w:val="24"/>
          <w:szCs w:val="24"/>
          <w:u w:val="none"/>
        </w:rPr>
        <w:t xml:space="preserve"> Through their research claimed that their findings helped prove that interventions involved with knowledge of and contact with mental illness showed a</w:t>
      </w:r>
      <w:r>
        <w:rPr>
          <w:rFonts w:eastAsia="Calibri" w:cs="Calibri"/>
          <w:sz w:val="24"/>
          <w:szCs w:val="24"/>
          <w:lang w:val="en-GB"/>
        </w:rPr>
        <w:t xml:space="preserve"> “decline in personal stigma”, showing the importance of mental health literacy which is further supported when it was stated that “Prior history of a mental illness or exposure to individuals diagnosed as mentally ill are also associated with lower personal stigma” showing a higher presence of mental health literacy through experienced learning. Kopera et al (2014) studied “</w:t>
      </w:r>
      <w:r>
        <w:rPr>
          <w:rFonts w:eastAsia="Calibri" w:cs="Calibri" w:cstheme="minorAscii" w:eastAsiaTheme="minorAscii"/>
          <w:b w:val="false"/>
          <w:bCs w:val="false"/>
          <w:i w:val="false"/>
          <w:iCs w:val="false"/>
          <w:caps w:val="false"/>
          <w:smallCaps w:val="false"/>
          <w:color w:val="212121"/>
          <w:sz w:val="24"/>
          <w:szCs w:val="24"/>
          <w:lang w:val="en-GB"/>
        </w:rPr>
        <w:t xml:space="preserve">long-term professional contact with patients with mental illness” and whether it influenced the stigma held by the participants against those with mental illness. They found that “both groups self-reported positive explicit attitudes towards individuals with mental illness” after experiencing long-term contact with MI patients. It was noted how “informational and educational campaigns and programs to reduce stigma related to mental illness introduced in Poland in the recent years have been successful” which accredits knowledge to the improvement of attitudes and the reduction of stigma. All of the above highlights how the inclusion of service users and survivors of schizophrenia, and other MIs, helps to improve the issues of stigma against their diagnosis directly. </w:t>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1F1F1F"/>
          <w:sz w:val="24"/>
          <w:szCs w:val="24"/>
          <w:lang w:val="en-GB"/>
        </w:rPr>
      </w:pPr>
      <w:r>
        <w:rPr>
          <w:rFonts w:eastAsia="Calibri" w:cs="Calibri" w:cstheme="minorAscii" w:eastAsiaTheme="minorAscii"/>
          <w:b w:val="false"/>
          <w:bCs w:val="false"/>
          <w:i w:val="false"/>
          <w:iCs w:val="false"/>
          <w:caps w:val="false"/>
          <w:smallCaps w:val="false"/>
          <w:color w:val="212121"/>
          <w:sz w:val="24"/>
          <w:szCs w:val="24"/>
          <w:lang w:val="en-GB"/>
        </w:rPr>
        <w:t xml:space="preserve">It must also be noted however that not all research has shown great success in terms of contact intervention, as Morgan </w:t>
      </w:r>
      <w:r>
        <w:rPr>
          <w:rFonts w:eastAsia="Calibri" w:cs="Calibri" w:cstheme="minorAscii" w:eastAsiaTheme="minorAscii"/>
          <w:b w:val="false"/>
          <w:bCs w:val="false"/>
          <w:i w:val="false"/>
          <w:iCs w:val="false"/>
          <w:caps w:val="false"/>
          <w:smallCaps w:val="false"/>
          <w:color w:val="auto"/>
          <w:sz w:val="24"/>
          <w:szCs w:val="24"/>
          <w:lang w:val="en-GB"/>
        </w:rPr>
        <w:t xml:space="preserve">et al </w:t>
      </w:r>
      <w:r>
        <w:rPr>
          <w:rFonts w:eastAsia="Calibri" w:cs="Calibri" w:cstheme="minorAscii" w:eastAsiaTheme="minorAscii"/>
          <w:b w:val="false"/>
          <w:bCs w:val="false"/>
          <w:i w:val="false"/>
          <w:iCs w:val="false"/>
          <w:caps w:val="false"/>
          <w:smallCaps w:val="false"/>
          <w:color w:val="212121"/>
          <w:sz w:val="24"/>
          <w:szCs w:val="24"/>
          <w:lang w:val="en-GB"/>
        </w:rPr>
        <w:t>(2018) reported that “</w:t>
      </w:r>
      <w:r>
        <w:rPr>
          <w:rFonts w:eastAsia="Calibri" w:cs="Calibri" w:cstheme="minorAscii" w:eastAsiaTheme="minorAscii"/>
          <w:b w:val="false"/>
          <w:bCs w:val="false"/>
          <w:i w:val="false"/>
          <w:iCs w:val="false"/>
          <w:caps w:val="false"/>
          <w:smallCaps w:val="false"/>
          <w:color w:val="1F1F1F"/>
          <w:sz w:val="24"/>
          <w:szCs w:val="24"/>
          <w:lang w:val="en-GB"/>
        </w:rPr>
        <w:t xml:space="preserve">effects of contact interventions were most widely evaluated and led to small-to-medium reductions in stigmatising attitudes and desire for social distance” showing some success but not to the degree that would push this as a forerunner of interventional practice. The same was however noted for education as “Educational programs also demonstrated small-to-medium improvements in stigmatising attitudes and desire for social distance” but it was taken one step further when mentioned that “There was little evidence that reductions in stigmatising attitudes persisted up to six months later” which must bring its longevity and effectiveness into question. It was later stated however that “small improvements in social distance appeared to persist” showing that there was still some impact of the educational courses in altering the behaviours linked to stigma. </w:t>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1F1F1F"/>
          <w:sz w:val="24"/>
          <w:szCs w:val="24"/>
          <w:lang w:val="en-GB"/>
        </w:rPr>
      </w:pPr>
      <w:r>
        <w:rPr>
          <w:rFonts w:eastAsia="Calibri" w:cs="Calibri" w:cstheme="minorAscii" w:eastAsiaTheme="minorAscii"/>
          <w:b w:val="false"/>
          <w:bCs w:val="false"/>
          <w:i w:val="false"/>
          <w:iCs w:val="false"/>
          <w:caps w:val="false"/>
          <w:smallCaps w:val="false"/>
          <w:color w:val="212121"/>
          <w:sz w:val="24"/>
          <w:szCs w:val="24"/>
          <w:lang w:val="en-GB"/>
        </w:rPr>
        <w:t>Another stigma reducing intervention is the changing of language, specifically replacing “</w:t>
      </w:r>
      <w:r>
        <w:rPr>
          <w:rFonts w:eastAsia="Calibri" w:cs="Calibri" w:cstheme="minorAscii" w:eastAsiaTheme="minorAscii"/>
          <w:b w:val="false"/>
          <w:bCs w:val="false"/>
          <w:i w:val="false"/>
          <w:iCs w:val="false"/>
          <w:caps w:val="false"/>
          <w:smallCaps w:val="false"/>
          <w:color w:val="1F1F1F"/>
          <w:sz w:val="24"/>
          <w:szCs w:val="24"/>
          <w:lang w:val="en-GB"/>
        </w:rPr>
        <w:t>destigmatizing labels associated with individual diagnosis” (Javed et al, 2021). This is being pushed as an intervention based on the observation that specific terms are associated with certain, undesirable, stereotypes (e.g. schizophrenia with aggression and violent tendencies). To further this, it would be ideal to involve service users and survivors to help identify what terms they feel come under fire the most and cause them to experience the most stigma and use their voice to identify what those words and terms should be replaced with.</w:t>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auto"/>
          <w:sz w:val="24"/>
          <w:szCs w:val="24"/>
          <w:lang w:val="en-GB"/>
        </w:rPr>
      </w:pPr>
      <w:r>
        <w:rPr>
          <w:rFonts w:eastAsia="Calibri" w:cs="Calibri" w:cstheme="minorAscii" w:eastAsiaTheme="minorAscii"/>
          <w:b w:val="false"/>
          <w:bCs w:val="false"/>
          <w:i w:val="false"/>
          <w:iCs w:val="false"/>
          <w:caps w:val="false"/>
          <w:smallCaps w:val="false"/>
          <w:color w:val="212121"/>
          <w:sz w:val="24"/>
          <w:szCs w:val="24"/>
          <w:lang w:val="en-GB"/>
        </w:rPr>
        <w:t xml:space="preserve">Interventions for self-stigma in MI however are a more complicated and difficult affair. Mills et al (2020) conducted a literature review on the topic and found that </w:t>
      </w:r>
      <w:r>
        <w:rPr>
          <w:rFonts w:eastAsia="Calibri" w:cs="Calibri" w:cstheme="minorAscii" w:eastAsiaTheme="minorAscii"/>
          <w:b w:val="false"/>
          <w:bCs w:val="false"/>
          <w:i w:val="false"/>
          <w:iCs w:val="false"/>
          <w:caps w:val="false"/>
          <w:smallCaps w:val="false"/>
          <w:color w:val="auto"/>
          <w:sz w:val="24"/>
          <w:szCs w:val="24"/>
          <w:lang w:val="en-GB"/>
        </w:rPr>
        <w:t>“Of the identified studies, only one assessed a self-help intervention for self-stigma, three reported self-help interventions that addressed psychological flexibility through ACT approaches, while the remaining four studies reported psychoeducation-based self-help interventions addressing personal stigma”, highlighting the lack of research and support of self-stigma interventional practices. This lack of evidence and statistical validity is supported by McCullock and Scrivano (2023) whose research provided “inconclusive support as to which specific strategies were most effective for achieving various outcomes”.</w:t>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auto"/>
          <w:sz w:val="24"/>
          <w:szCs w:val="24"/>
          <w:lang w:val="en-GB"/>
        </w:rPr>
      </w:pPr>
      <w:r>
        <w:rPr>
          <w:rFonts w:eastAsia="Calibri" w:cs="Calibri" w:cstheme="minorAscii" w:eastAsiaTheme="minorAscii"/>
          <w:b w:val="false"/>
          <w:bCs w:val="false"/>
          <w:i w:val="false"/>
          <w:iCs w:val="false"/>
          <w:caps w:val="false"/>
          <w:smallCaps w:val="false"/>
          <w:color w:val="auto"/>
          <w:sz w:val="24"/>
          <w:szCs w:val="24"/>
          <w:lang w:val="en-GB"/>
        </w:rPr>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auto"/>
          <w:sz w:val="24"/>
          <w:szCs w:val="24"/>
          <w:lang w:val="en-GB"/>
        </w:rPr>
      </w:pPr>
      <w:r>
        <w:rPr>
          <w:rFonts w:eastAsia="Calibri" w:cs="Calibri" w:cstheme="minorAscii" w:eastAsiaTheme="minorAscii"/>
          <w:b w:val="false"/>
          <w:bCs w:val="false"/>
          <w:i w:val="false"/>
          <w:iCs w:val="false"/>
          <w:caps w:val="false"/>
          <w:smallCaps w:val="false"/>
          <w:color w:val="auto"/>
          <w:sz w:val="24"/>
          <w:szCs w:val="24"/>
          <w:lang w:val="en-GB"/>
        </w:rPr>
        <w:t>In conclusion, stigma still maintains its high presence in the everyday lives of those with a diagnosis of schizophrenia and other mental illnesses. The work of Switaj et al (2009) highlights the worldwide stigma of those with a diagnosed mental illness that is still upheld through actions such as social distance. Schizophrenia also appears to be further stigmatised when compared to other mental illnesses such as depression as was observed by Norman et al (2012) due to the beliefs held by the public that schizophrenia has “</w:t>
      </w:r>
      <w:r>
        <w:rPr>
          <w:b w:val="false"/>
          <w:bCs w:val="false"/>
          <w:sz w:val="24"/>
          <w:szCs w:val="24"/>
          <w:u w:val="none"/>
        </w:rPr>
        <w:t xml:space="preserve">less continuity with normal behaviour”. Thornicroft et al (2009) provided evidence that the stigma associated with a diagnosis of schizophrenia has ramifications in many different aspects of life including social, education, work and intimacy leading many individuals to conceal their diagnosis to avoid these stigmatising behaviours. Self-stigma is also ever present in those diagnosed with schizophrenia, particularly in those who simultaneously have been diagnosed with depression and is linked to a defeatist performance belief (Park et al, 2013). Many believe this stigma of MI to be derived from a lack of education on and a lack of contact with those who have been diagnosed with a diagnosed schizophrenia patient, such as Busby Grant et al (2016) who spoke of “mental health literacy” and how it was observed that an increase in education and contact regarding mental illness directly correlated with a decrease in personal stigma and Kopera et al (2014) whose study in “long term </w:t>
      </w:r>
      <w:r>
        <w:rPr>
          <w:rFonts w:eastAsia="Calibri" w:cs="Calibri" w:cstheme="minorAscii" w:eastAsiaTheme="minorAscii"/>
          <w:b w:val="false"/>
          <w:bCs w:val="false"/>
          <w:i w:val="false"/>
          <w:iCs w:val="false"/>
          <w:caps w:val="false"/>
          <w:smallCaps w:val="false"/>
          <w:color w:val="212121"/>
          <w:sz w:val="24"/>
          <w:szCs w:val="24"/>
          <w:lang w:val="en-GB"/>
        </w:rPr>
        <w:t>professional contact with patients with mental illness” caused the participants to show “positive explicit attitudes towards individuals with mental illness” after long-term exposure and contact. Studies like the one carried out by Morgan et al (2018) however argue against the success of these interventions and through their studies found only “small to medium” improvement in stigma towards the mentally ill. Other interventions such as creating “</w:t>
      </w:r>
      <w:r>
        <w:rPr>
          <w:rFonts w:eastAsia="Calibri" w:cs="Calibri" w:cstheme="minorAscii" w:eastAsiaTheme="minorAscii"/>
          <w:b w:val="false"/>
          <w:bCs w:val="false"/>
          <w:i w:val="false"/>
          <w:iCs w:val="false"/>
          <w:caps w:val="false"/>
          <w:smallCaps w:val="false"/>
          <w:color w:val="1F1F1F"/>
          <w:sz w:val="24"/>
          <w:szCs w:val="24"/>
          <w:lang w:val="en-GB"/>
        </w:rPr>
        <w:t>destigmatizing labels” to replace current labels that are associate with negative behaviours however there is a lack of any research to support this particular intervention. Self-stigma interventions also lack any statistical validity as Mills et al (2020) point out that there is a lack of research to pull from and in terms of what research is available, such as that by McCullock and Scrivano (2023), there is a lack of any conclusive support “</w:t>
      </w:r>
      <w:r>
        <w:rPr>
          <w:rFonts w:eastAsia="Calibri" w:cs="Calibri" w:cstheme="minorAscii" w:eastAsiaTheme="minorAscii"/>
          <w:b w:val="false"/>
          <w:bCs w:val="false"/>
          <w:i w:val="false"/>
          <w:iCs w:val="false"/>
          <w:caps w:val="false"/>
          <w:smallCaps w:val="false"/>
          <w:color w:val="auto"/>
          <w:sz w:val="24"/>
          <w:szCs w:val="24"/>
          <w:lang w:val="en-GB"/>
        </w:rPr>
        <w:t>as to which specific strategies were most effective for achieving various outcomes”.</w:t>
      </w:r>
    </w:p>
    <w:p>
      <w:pPr>
        <w:pStyle w:val="Normal"/>
        <w:ind w:firstLine="720"/>
        <w:jc w:val="left"/>
        <w:rPr>
          <w:rFonts w:ascii="Calibri" w:hAnsi="Calibri" w:eastAsia="Calibri" w:cs="Calibri"/>
          <w:sz w:val="24"/>
          <w:szCs w:val="24"/>
          <w:lang w:val="en-GB"/>
        </w:rPr>
      </w:pPr>
      <w:r>
        <w:rPr>
          <w:rFonts w:eastAsia="Calibri" w:cs="Calibri"/>
          <w:sz w:val="24"/>
          <w:szCs w:val="24"/>
          <w:lang w:val="en-GB"/>
        </w:rPr>
      </w:r>
    </w:p>
    <w:p>
      <w:pPr>
        <w:pStyle w:val="Normal"/>
        <w:jc w:val="left"/>
        <w:rPr>
          <w:b w:val="false"/>
          <w:b w:val="false"/>
          <w:bCs w:val="false"/>
          <w:sz w:val="24"/>
          <w:szCs w:val="24"/>
          <w:u w:val="none"/>
        </w:rPr>
      </w:pPr>
      <w:r>
        <w:rPr>
          <w:b w:val="false"/>
          <w:bCs w:val="false"/>
          <w:sz w:val="24"/>
          <w:szCs w:val="24"/>
          <w:u w:val="none"/>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r>
    </w:p>
    <w:p>
      <w:pPr>
        <w:pStyle w:val="Normal"/>
        <w:jc w:val="left"/>
        <w:rPr>
          <w:b/>
          <w:b/>
          <w:bCs/>
          <w:sz w:val="24"/>
          <w:szCs w:val="24"/>
          <w:u w:val="single"/>
        </w:rPr>
      </w:pPr>
      <w:r>
        <w:rPr>
          <w:b/>
          <w:bCs/>
          <w:sz w:val="24"/>
          <w:szCs w:val="24"/>
          <w:u w:val="single"/>
        </w:rPr>
        <w:t>References</w:t>
      </w:r>
    </w:p>
    <w:p>
      <w:pPr>
        <w:pStyle w:val="Normal"/>
        <w:ind w:firstLine="720"/>
        <w:jc w:val="left"/>
        <w:rPr/>
      </w:pPr>
      <w:r>
        <w:rPr>
          <w:b w:val="false"/>
          <w:bCs w:val="false"/>
          <w:sz w:val="24"/>
          <w:szCs w:val="24"/>
          <w:u w:val="none"/>
        </w:rPr>
        <w:t>Cambridge Dictionary</w:t>
      </w:r>
      <w:r>
        <w:rPr>
          <w:b w:val="false"/>
          <w:bCs w:val="false"/>
          <w:i/>
          <w:iCs/>
          <w:sz w:val="24"/>
          <w:szCs w:val="24"/>
          <w:u w:val="none"/>
        </w:rPr>
        <w:t xml:space="preserve"> </w:t>
      </w:r>
      <w:r>
        <w:rPr>
          <w:b w:val="false"/>
          <w:bCs w:val="false"/>
          <w:i w:val="false"/>
          <w:iCs w:val="false"/>
          <w:sz w:val="24"/>
          <w:szCs w:val="24"/>
          <w:u w:val="none"/>
        </w:rPr>
        <w:t>(2024)</w:t>
      </w:r>
      <w:r>
        <w:rPr>
          <w:b w:val="false"/>
          <w:bCs w:val="false"/>
          <w:i/>
          <w:iCs/>
          <w:sz w:val="24"/>
          <w:szCs w:val="24"/>
          <w:u w:val="none"/>
        </w:rPr>
        <w:t>. ‘STIGMA’</w:t>
      </w:r>
      <w:r>
        <w:rPr>
          <w:b w:val="false"/>
          <w:bCs w:val="false"/>
          <w:sz w:val="24"/>
          <w:szCs w:val="24"/>
          <w:u w:val="none"/>
        </w:rPr>
        <w:t>. Available at:</w:t>
      </w:r>
      <w:r>
        <w:rPr>
          <w:b w:val="false"/>
          <w:bCs w:val="false"/>
          <w:sz w:val="24"/>
          <w:szCs w:val="24"/>
          <w:u w:val="none"/>
          <w:vertAlign w:val="superscript"/>
        </w:rPr>
        <w:t xml:space="preserve"> </w:t>
      </w:r>
      <w:hyperlink r:id="rId2">
        <w:r>
          <w:rPr>
            <w:rStyle w:val="InternetLink"/>
            <w:b w:val="false"/>
            <w:bCs w:val="false"/>
            <w:sz w:val="24"/>
            <w:szCs w:val="24"/>
          </w:rPr>
          <w:t>https://dictionary.cambridge.org/dictionary/english/stigma</w:t>
        </w:r>
      </w:hyperlink>
      <w:r>
        <w:rPr>
          <w:b w:val="false"/>
          <w:bCs w:val="false"/>
          <w:sz w:val="24"/>
          <w:szCs w:val="24"/>
          <w:u w:val="none"/>
        </w:rPr>
        <w:t xml:space="preserve"> Accessed on February 19</w:t>
      </w:r>
      <w:r>
        <w:rPr>
          <w:b w:val="false"/>
          <w:bCs w:val="false"/>
          <w:sz w:val="24"/>
          <w:szCs w:val="24"/>
          <w:u w:val="none"/>
          <w:vertAlign w:val="superscript"/>
        </w:rPr>
        <w:t>th</w:t>
      </w:r>
      <w:r>
        <w:rPr>
          <w:b w:val="false"/>
          <w:bCs w:val="false"/>
          <w:sz w:val="24"/>
          <w:szCs w:val="24"/>
          <w:u w:val="none"/>
        </w:rPr>
        <w:t>,</w:t>
      </w:r>
    </w:p>
    <w:p>
      <w:pPr>
        <w:pStyle w:val="Normal"/>
        <w:ind w:hanging="0"/>
        <w:jc w:val="left"/>
        <w:rPr>
          <w:b w:val="false"/>
          <w:b w:val="false"/>
          <w:bCs w:val="false"/>
          <w:sz w:val="24"/>
          <w:szCs w:val="24"/>
          <w:u w:val="none"/>
        </w:rPr>
      </w:pPr>
      <w:r>
        <w:rPr>
          <w:b w:val="false"/>
          <w:bCs w:val="false"/>
          <w:sz w:val="24"/>
          <w:szCs w:val="24"/>
          <w:u w:val="none"/>
        </w:rPr>
        <w:t xml:space="preserve"> </w:t>
      </w:r>
      <w:r>
        <w:rPr>
          <w:b w:val="false"/>
          <w:bCs w:val="false"/>
          <w:sz w:val="24"/>
          <w:szCs w:val="24"/>
          <w:u w:val="none"/>
        </w:rPr>
        <w:t>2024.</w:t>
      </w:r>
    </w:p>
    <w:p>
      <w:pPr>
        <w:pStyle w:val="Normal"/>
        <w:ind w:hanging="0"/>
        <w:jc w:val="left"/>
        <w:rPr>
          <w:b w:val="false"/>
          <w:b w:val="false"/>
          <w:bCs w:val="false"/>
          <w:sz w:val="24"/>
          <w:szCs w:val="24"/>
          <w:u w:val="none"/>
        </w:rPr>
      </w:pPr>
      <w:r>
        <w:rPr>
          <w:b w:val="false"/>
          <w:bCs w:val="false"/>
          <w:sz w:val="24"/>
          <w:szCs w:val="24"/>
          <w:u w:val="none"/>
        </w:rPr>
      </w:r>
    </w:p>
    <w:p>
      <w:pPr>
        <w:pStyle w:val="Normal"/>
        <w:ind w:hanging="0"/>
        <w:jc w:val="left"/>
        <w:rPr>
          <w:b w:val="false"/>
          <w:b w:val="false"/>
          <w:bCs w:val="false"/>
          <w:sz w:val="24"/>
          <w:szCs w:val="24"/>
          <w:u w:val="none"/>
        </w:rPr>
      </w:pPr>
      <w:r>
        <w:rPr>
          <w:rFonts w:eastAsia="Calibri" w:cs="Calibri" w:cstheme="minorAscii" w:eastAsiaTheme="minorAscii"/>
          <w:b w:val="false"/>
          <w:bCs w:val="false"/>
          <w:i w:val="false"/>
          <w:iCs w:val="false"/>
          <w:caps w:val="false"/>
          <w:smallCaps w:val="false"/>
          <w:color w:val="auto"/>
          <w:sz w:val="24"/>
          <w:szCs w:val="24"/>
          <w:u w:val="none"/>
          <w:lang w:val="en-GB"/>
        </w:rPr>
        <w:tab/>
        <w:t>Corrigan PW, Rao D (2012). ‘</w:t>
      </w:r>
      <w:r>
        <w:rPr>
          <w:rFonts w:eastAsia="Calibri" w:cs="Calibri" w:cstheme="minorAscii" w:eastAsiaTheme="minorAscii"/>
          <w:b w:val="false"/>
          <w:bCs w:val="false"/>
          <w:i/>
          <w:iCs/>
          <w:caps w:val="false"/>
          <w:smallCaps w:val="false"/>
          <w:color w:val="auto"/>
          <w:sz w:val="24"/>
          <w:szCs w:val="24"/>
          <w:u w:val="none"/>
          <w:lang w:val="en-GB"/>
        </w:rPr>
        <w:t>On the self-stigma of mental illness: stages, disclosure, and strategies for change</w:t>
      </w:r>
      <w:r>
        <w:rPr>
          <w:rFonts w:eastAsia="Calibri" w:cs="Calibri" w:cstheme="minorAscii" w:eastAsiaTheme="minorAscii"/>
          <w:b w:val="false"/>
          <w:bCs w:val="false"/>
          <w:i w:val="false"/>
          <w:iCs w:val="false"/>
          <w:caps w:val="false"/>
          <w:smallCaps w:val="false"/>
          <w:color w:val="auto"/>
          <w:sz w:val="24"/>
          <w:szCs w:val="24"/>
          <w:u w:val="none"/>
          <w:lang w:val="en-GB"/>
        </w:rPr>
        <w:t xml:space="preserve">’. Can J Psychiatry. 2012 Aug;57(8):464-9. Available at: </w:t>
      </w:r>
      <w:hyperlink r:id="rId3">
        <w:r>
          <w:rPr>
            <w:rStyle w:val="InternetLink"/>
            <w:rFonts w:eastAsia="Calibri" w:cs="Calibri" w:cstheme="minorAscii" w:eastAsiaTheme="minorAscii"/>
            <w:b w:val="false"/>
            <w:bCs w:val="false"/>
            <w:i w:val="false"/>
            <w:iCs w:val="false"/>
            <w:caps w:val="false"/>
            <w:smallCaps w:val="false"/>
            <w:sz w:val="24"/>
            <w:szCs w:val="24"/>
            <w:lang w:val="en-GB"/>
          </w:rPr>
          <w:t>https://www.ncbi.nlm.nih.gov/pmc/articles/PMC3610943/</w:t>
        </w:r>
      </w:hyperlink>
      <w:r>
        <w:rPr>
          <w:rFonts w:eastAsia="Calibri" w:cs="Calibri" w:cstheme="minorAscii" w:eastAsiaTheme="minorAscii"/>
          <w:b w:val="false"/>
          <w:bCs w:val="false"/>
          <w:i w:val="false"/>
          <w:iCs w:val="false"/>
          <w:caps w:val="false"/>
          <w:smallCaps w:val="false"/>
          <w:color w:val="auto"/>
          <w:sz w:val="24"/>
          <w:szCs w:val="24"/>
          <w:u w:val="none"/>
          <w:lang w:val="en-GB"/>
        </w:rPr>
        <w:t xml:space="preserve"> Accessed on February 21</w:t>
      </w:r>
      <w:r>
        <w:rPr>
          <w:rFonts w:eastAsia="Calibri" w:cs="Calibri" w:cstheme="minorAscii" w:eastAsiaTheme="minorAscii"/>
          <w:b w:val="false"/>
          <w:bCs w:val="false"/>
          <w:i w:val="false"/>
          <w:iCs w:val="false"/>
          <w:caps w:val="false"/>
          <w:smallCaps w:val="false"/>
          <w:color w:val="auto"/>
          <w:sz w:val="24"/>
          <w:szCs w:val="24"/>
          <w:u w:val="none"/>
          <w:vertAlign w:val="superscript"/>
          <w:lang w:val="en-GB"/>
        </w:rPr>
        <w:t>st</w:t>
      </w:r>
      <w:r>
        <w:rPr>
          <w:rFonts w:eastAsia="Calibri" w:cs="Calibri" w:cstheme="minorAscii" w:eastAsiaTheme="minorAscii"/>
          <w:b w:val="false"/>
          <w:bCs w:val="false"/>
          <w:i w:val="false"/>
          <w:iCs w:val="false"/>
          <w:caps w:val="false"/>
          <w:smallCaps w:val="false"/>
          <w:color w:val="auto"/>
          <w:sz w:val="24"/>
          <w:szCs w:val="24"/>
          <w:u w:val="none"/>
          <w:lang w:val="en-GB"/>
        </w:rPr>
        <w:t>, 2024.</w:t>
      </w:r>
    </w:p>
    <w:p>
      <w:pPr>
        <w:pStyle w:val="Normal"/>
        <w:ind w:hanging="0"/>
        <w:jc w:val="left"/>
        <w:rPr>
          <w:b w:val="false"/>
          <w:b w:val="false"/>
          <w:bCs w:val="false"/>
          <w:sz w:val="24"/>
          <w:szCs w:val="24"/>
          <w:u w:val="none"/>
        </w:rPr>
      </w:pPr>
      <w:r>
        <w:rPr>
          <w:b w:val="false"/>
          <w:bCs w:val="false"/>
          <w:sz w:val="24"/>
          <w:szCs w:val="24"/>
          <w:u w:val="none"/>
        </w:rPr>
      </w:r>
    </w:p>
    <w:p>
      <w:pPr>
        <w:pStyle w:val="Normal"/>
        <w:ind w:hanging="0"/>
        <w:jc w:val="left"/>
        <w:rPr>
          <w:b w:val="false"/>
          <w:b w:val="false"/>
          <w:bCs w:val="false"/>
          <w:sz w:val="24"/>
          <w:szCs w:val="24"/>
          <w:u w:val="none"/>
        </w:rPr>
      </w:pPr>
      <w:r>
        <w:rPr>
          <w:b w:val="false"/>
          <w:bCs w:val="false"/>
          <w:sz w:val="24"/>
          <w:szCs w:val="24"/>
          <w:u w:val="none"/>
        </w:rPr>
        <w:tab/>
        <w:t xml:space="preserve">Equality and Diversity Office (2017). </w:t>
      </w:r>
      <w:r>
        <w:rPr>
          <w:b w:val="false"/>
          <w:bCs w:val="false"/>
          <w:i/>
          <w:iCs/>
          <w:sz w:val="24"/>
          <w:szCs w:val="24"/>
          <w:u w:val="none"/>
        </w:rPr>
        <w:t>‘Positive Action or Discrimination’</w:t>
      </w:r>
      <w:r>
        <w:rPr>
          <w:b w:val="false"/>
          <w:bCs w:val="false"/>
          <w:sz w:val="24"/>
          <w:szCs w:val="24"/>
          <w:u w:val="none"/>
        </w:rPr>
        <w:t xml:space="preserve">. University of Dundee. Available at: </w:t>
      </w:r>
      <w:hyperlink r:id="rId4">
        <w:r>
          <w:rPr>
            <w:rStyle w:val="InternetLink"/>
            <w:b w:val="false"/>
            <w:bCs w:val="false"/>
            <w:sz w:val="24"/>
            <w:szCs w:val="24"/>
          </w:rPr>
          <w:t>https://www.dundee.ac.uk/corporate-information/positive-action-or-positive-discrimination</w:t>
        </w:r>
      </w:hyperlink>
      <w:r>
        <w:rPr>
          <w:b w:val="false"/>
          <w:bCs w:val="false"/>
          <w:sz w:val="24"/>
          <w:szCs w:val="24"/>
          <w:u w:val="none"/>
        </w:rPr>
        <w:t xml:space="preserve"> Accessed on February 20</w:t>
      </w:r>
      <w:r>
        <w:rPr>
          <w:b w:val="false"/>
          <w:bCs w:val="false"/>
          <w:sz w:val="24"/>
          <w:szCs w:val="24"/>
          <w:u w:val="none"/>
          <w:vertAlign w:val="superscript"/>
        </w:rPr>
        <w:t>th</w:t>
      </w:r>
      <w:r>
        <w:rPr>
          <w:b w:val="false"/>
          <w:bCs w:val="false"/>
          <w:sz w:val="24"/>
          <w:szCs w:val="24"/>
          <w:u w:val="none"/>
        </w:rPr>
        <w:t>, 2024.</w:t>
      </w:r>
    </w:p>
    <w:p>
      <w:pPr>
        <w:pStyle w:val="Normal"/>
        <w:ind w:hanging="0"/>
        <w:jc w:val="left"/>
        <w:rPr>
          <w:b w:val="false"/>
          <w:b w:val="false"/>
          <w:bCs w:val="false"/>
          <w:sz w:val="24"/>
          <w:szCs w:val="24"/>
          <w:u w:val="none"/>
        </w:rPr>
      </w:pPr>
      <w:r>
        <w:rPr>
          <w:b w:val="false"/>
          <w:bCs w:val="false"/>
          <w:sz w:val="24"/>
          <w:szCs w:val="24"/>
          <w:u w:val="none"/>
        </w:rPr>
      </w:r>
    </w:p>
    <w:p>
      <w:pPr>
        <w:pStyle w:val="Heading1"/>
        <w:spacing w:beforeAutospacing="0" w:before="240" w:afterAutospacing="0" w:after="240"/>
        <w:ind w:hanging="0"/>
        <w:jc w:val="left"/>
        <w:rPr>
          <w:b w:val="false"/>
          <w:b w:val="false"/>
          <w:bCs w:val="false"/>
          <w:sz w:val="24"/>
          <w:szCs w:val="24"/>
          <w:u w:val="none"/>
        </w:rPr>
      </w:pPr>
      <w:r>
        <w:rPr>
          <w:rFonts w:eastAsia="Calibri" w:cs="Calibri" w:ascii="Calibri" w:hAnsi="Calibri" w:asciiTheme="minorAscii" w:cstheme="minorAscii" w:eastAsiaTheme="minorAscii" w:hAnsiTheme="minorAscii"/>
          <w:b w:val="false"/>
          <w:bCs w:val="false"/>
          <w:color w:val="auto"/>
          <w:sz w:val="24"/>
          <w:szCs w:val="24"/>
          <w:u w:val="none"/>
          <w:lang w:val="en-GB"/>
        </w:rPr>
        <w:tab/>
        <w:t xml:space="preserve">Javed et al (2021). </w:t>
      </w:r>
      <w:r>
        <w:rPr>
          <w:rFonts w:eastAsia="Calibri" w:cs="Calibri" w:ascii="Calibri" w:hAnsi="Calibri" w:asciiTheme="minorAscii" w:cstheme="minorAscii" w:eastAsiaTheme="minorAscii" w:hAnsiTheme="minorAscii"/>
          <w:b w:val="false"/>
          <w:bCs w:val="false"/>
          <w:i/>
          <w:iCs/>
          <w:color w:val="auto"/>
          <w:sz w:val="24"/>
          <w:szCs w:val="24"/>
          <w:u w:val="none"/>
          <w:lang w:val="en-GB"/>
        </w:rPr>
        <w:t xml:space="preserve">‘Reducing the stigma of mental health disorders with a focus on low- and middle-income countries’. </w:t>
      </w:r>
      <w:r>
        <w:rPr>
          <w:rFonts w:eastAsia="Calibri" w:cs="Calibri" w:ascii="Calibri" w:hAnsi="Calibri" w:asciiTheme="minorAscii" w:cstheme="minorAscii" w:eastAsiaTheme="minorAscii" w:hAnsiTheme="minorAscii"/>
          <w:b w:val="false"/>
          <w:bCs w:val="false"/>
          <w:i w:val="false"/>
          <w:iCs w:val="false"/>
          <w:color w:val="auto"/>
          <w:sz w:val="24"/>
          <w:szCs w:val="24"/>
          <w:u w:val="none"/>
          <w:lang w:val="en-GB"/>
        </w:rPr>
        <w:t xml:space="preserve">Asian Journal of Psychiatry, Volume 58, 102601. Available at: </w:t>
      </w:r>
      <w:hyperlink r:id="rId5">
        <w:r>
          <w:rPr>
            <w:rStyle w:val="InternetLink"/>
            <w:rFonts w:eastAsia="Calibri" w:cs="Calibri" w:ascii="Calibri" w:hAnsi="Calibri" w:asciiTheme="minorAscii" w:cstheme="minorAscii" w:eastAsiaTheme="minorAscii" w:hAnsiTheme="minorAscii"/>
            <w:b w:val="false"/>
            <w:bCs w:val="false"/>
            <w:i w:val="false"/>
            <w:iCs w:val="false"/>
            <w:sz w:val="24"/>
            <w:szCs w:val="24"/>
            <w:lang w:val="en-GB"/>
          </w:rPr>
          <w:t>https://www.sciencedirect.com/science/article/pii/S1876201821000575</w:t>
        </w:r>
      </w:hyperlink>
      <w:r>
        <w:rPr>
          <w:rFonts w:eastAsia="Calibri" w:cs="Calibri" w:ascii="Calibri" w:hAnsi="Calibri" w:asciiTheme="minorAscii" w:cstheme="minorAscii" w:eastAsiaTheme="minorAscii" w:hAnsiTheme="minorAscii"/>
          <w:b w:val="false"/>
          <w:bCs w:val="false"/>
          <w:i w:val="false"/>
          <w:iCs w:val="false"/>
          <w:color w:val="auto"/>
          <w:sz w:val="24"/>
          <w:szCs w:val="24"/>
          <w:u w:val="none"/>
          <w:lang w:val="en-GB"/>
        </w:rPr>
        <w:t xml:space="preserve"> Accessed on February 22</w:t>
      </w:r>
      <w:r>
        <w:rPr>
          <w:rFonts w:eastAsia="Calibri" w:cs="Calibri" w:ascii="Calibri" w:hAnsi="Calibri" w:asciiTheme="minorAscii" w:cstheme="minorAscii" w:eastAsiaTheme="minorAscii" w:hAnsiTheme="minorAscii"/>
          <w:b w:val="false"/>
          <w:bCs w:val="false"/>
          <w:i w:val="false"/>
          <w:iCs w:val="false"/>
          <w:color w:val="auto"/>
          <w:sz w:val="24"/>
          <w:szCs w:val="24"/>
          <w:u w:val="none"/>
          <w:vertAlign w:val="superscript"/>
          <w:lang w:val="en-GB"/>
        </w:rPr>
        <w:t>nd</w:t>
      </w:r>
      <w:r>
        <w:rPr>
          <w:rFonts w:eastAsia="Calibri" w:cs="Calibri" w:ascii="Calibri" w:hAnsi="Calibri" w:asciiTheme="minorAscii" w:cstheme="minorAscii" w:eastAsiaTheme="minorAscii" w:hAnsiTheme="minorAscii"/>
          <w:b w:val="false"/>
          <w:bCs w:val="false"/>
          <w:i w:val="false"/>
          <w:iCs w:val="false"/>
          <w:color w:val="auto"/>
          <w:sz w:val="24"/>
          <w:szCs w:val="24"/>
          <w:u w:val="none"/>
          <w:lang w:val="en-GB"/>
        </w:rPr>
        <w:t>, 2024.</w:t>
      </w:r>
    </w:p>
    <w:p>
      <w:pPr>
        <w:pStyle w:val="Normal"/>
        <w:ind w:hanging="0"/>
        <w:jc w:val="left"/>
        <w:rPr>
          <w:b w:val="false"/>
          <w:b w:val="false"/>
          <w:bCs w:val="false"/>
          <w:sz w:val="24"/>
          <w:szCs w:val="24"/>
          <w:u w:val="none"/>
        </w:rPr>
      </w:pPr>
      <w:r>
        <w:rPr>
          <w:b w:val="false"/>
          <w:bCs w:val="false"/>
          <w:sz w:val="24"/>
          <w:szCs w:val="24"/>
          <w:u w:val="none"/>
        </w:rPr>
      </w:r>
    </w:p>
    <w:p>
      <w:pPr>
        <w:pStyle w:val="Normal"/>
        <w:ind w:firstLine="720"/>
        <w:jc w:val="left"/>
        <w:rPr>
          <w:b w:val="false"/>
          <w:b w:val="false"/>
          <w:bCs w:val="false"/>
          <w:sz w:val="24"/>
          <w:szCs w:val="24"/>
          <w:u w:val="none"/>
        </w:rPr>
      </w:pPr>
      <w:r>
        <w:rPr>
          <w:rFonts w:eastAsia="Calibri" w:cs="Calibri" w:cstheme="minorAscii" w:eastAsiaTheme="minorAscii"/>
          <w:b w:val="false"/>
          <w:bCs w:val="false"/>
          <w:color w:val="auto"/>
          <w:sz w:val="24"/>
          <w:szCs w:val="24"/>
          <w:u w:val="none"/>
        </w:rPr>
        <w:t xml:space="preserve">Kopera (2014). </w:t>
      </w:r>
      <w:r>
        <w:rPr>
          <w:rFonts w:eastAsia="Calibri" w:cs="Calibri" w:cstheme="minorAscii" w:eastAsiaTheme="minorAscii"/>
          <w:b w:val="false"/>
          <w:bCs w:val="false"/>
          <w:i/>
          <w:iCs/>
          <w:color w:val="auto"/>
          <w:sz w:val="24"/>
          <w:szCs w:val="24"/>
          <w:u w:val="none"/>
        </w:rPr>
        <w:t>‘</w:t>
      </w:r>
      <w:r>
        <w:rPr>
          <w:rFonts w:eastAsia="Calibri" w:cs="Calibri" w:cstheme="minorAscii" w:eastAsiaTheme="minorAscii"/>
          <w:b w:val="false"/>
          <w:bCs w:val="false"/>
          <w:i/>
          <w:iCs/>
          <w:caps w:val="false"/>
          <w:smallCaps w:val="false"/>
          <w:color w:val="auto"/>
          <w:sz w:val="24"/>
          <w:szCs w:val="24"/>
          <w:u w:val="none"/>
          <w:lang w:val="en-GB"/>
        </w:rPr>
        <w:t>Evaluating Explicit and Implicit Stigma of Mental Illness in Mental Health Professionals and Medical Students</w:t>
      </w:r>
      <w:r>
        <w:rPr>
          <w:rFonts w:eastAsia="Calibri" w:cs="Calibri" w:cstheme="minorAscii" w:eastAsiaTheme="minorAscii"/>
          <w:b w:val="false"/>
          <w:bCs w:val="false"/>
          <w:i/>
          <w:iCs/>
          <w:color w:val="auto"/>
          <w:sz w:val="24"/>
          <w:szCs w:val="24"/>
          <w:u w:val="none"/>
        </w:rPr>
        <w:t>’</w:t>
      </w:r>
      <w:r>
        <w:rPr>
          <w:b w:val="false"/>
          <w:bCs w:val="false"/>
          <w:sz w:val="24"/>
          <w:szCs w:val="24"/>
          <w:u w:val="none"/>
        </w:rPr>
        <w:t>.</w:t>
      </w:r>
      <w:r>
        <w:rPr>
          <w:rFonts w:eastAsia="Calibri" w:cs="Calibri" w:cstheme="minorAscii" w:eastAsiaTheme="minorAscii"/>
          <w:b w:val="false"/>
          <w:bCs w:val="false"/>
          <w:sz w:val="22"/>
          <w:szCs w:val="22"/>
          <w:u w:val="none"/>
        </w:rPr>
        <w:t xml:space="preserve"> </w:t>
      </w:r>
      <w:r>
        <w:rPr>
          <w:rFonts w:eastAsia="Calibri" w:cs="Calibri" w:cstheme="minorAscii" w:eastAsiaTheme="minorAscii"/>
          <w:b w:val="false"/>
          <w:bCs w:val="false"/>
          <w:i w:val="false"/>
          <w:iCs w:val="false"/>
          <w:caps w:val="false"/>
          <w:smallCaps w:val="false"/>
          <w:color w:val="auto"/>
          <w:sz w:val="24"/>
          <w:szCs w:val="24"/>
          <w:u w:val="none"/>
          <w:lang w:val="en-GB"/>
        </w:rPr>
        <w:t xml:space="preserve">Community Ment Health J. 2015 Jul;51(5):628-34. Available at: </w:t>
      </w:r>
      <w:hyperlink r:id="rId6">
        <w:r>
          <w:rPr>
            <w:rStyle w:val="InternetLink"/>
            <w:rFonts w:eastAsia="Calibri" w:cs="Calibri" w:cstheme="minorAscii" w:eastAsiaTheme="minorAscii"/>
            <w:b w:val="false"/>
            <w:bCs w:val="false"/>
            <w:i w:val="false"/>
            <w:iCs w:val="false"/>
            <w:caps w:val="false"/>
            <w:smallCaps w:val="false"/>
            <w:sz w:val="24"/>
            <w:szCs w:val="24"/>
            <w:lang w:val="en-GB"/>
          </w:rPr>
          <w:t>https://www.ncbi.nlm.nih.gov/pmc/articles/PMC4475542/</w:t>
        </w:r>
      </w:hyperlink>
      <w:r>
        <w:rPr>
          <w:rFonts w:eastAsia="Calibri" w:cs="Calibri" w:cstheme="minorAscii" w:eastAsiaTheme="minorAscii"/>
          <w:b w:val="false"/>
          <w:bCs w:val="false"/>
          <w:i w:val="false"/>
          <w:iCs w:val="false"/>
          <w:caps w:val="false"/>
          <w:smallCaps w:val="false"/>
          <w:sz w:val="24"/>
          <w:szCs w:val="24"/>
          <w:u w:val="none"/>
          <w:lang w:val="en-GB"/>
        </w:rPr>
        <w:t xml:space="preserve"> </w:t>
      </w:r>
      <w:r>
        <w:rPr>
          <w:rFonts w:eastAsia="Calibri" w:cs="Calibri" w:cstheme="minorAscii" w:eastAsiaTheme="minorAscii"/>
          <w:b w:val="false"/>
          <w:bCs w:val="false"/>
          <w:i w:val="false"/>
          <w:iCs w:val="false"/>
          <w:caps w:val="false"/>
          <w:smallCaps w:val="false"/>
          <w:color w:val="auto"/>
          <w:sz w:val="24"/>
          <w:szCs w:val="24"/>
          <w:u w:val="none"/>
          <w:lang w:val="en-GB"/>
        </w:rPr>
        <w:t>Accessed on February 22</w:t>
      </w:r>
      <w:r>
        <w:rPr>
          <w:rFonts w:eastAsia="Calibri" w:cs="Calibri" w:cstheme="minorAscii" w:eastAsiaTheme="minorAscii"/>
          <w:b w:val="false"/>
          <w:bCs w:val="false"/>
          <w:i w:val="false"/>
          <w:iCs w:val="false"/>
          <w:caps w:val="false"/>
          <w:smallCaps w:val="false"/>
          <w:color w:val="auto"/>
          <w:sz w:val="24"/>
          <w:szCs w:val="24"/>
          <w:u w:val="none"/>
          <w:vertAlign w:val="superscript"/>
          <w:lang w:val="en-GB"/>
        </w:rPr>
        <w:t>nd</w:t>
      </w:r>
      <w:r>
        <w:rPr>
          <w:rFonts w:eastAsia="Calibri" w:cs="Calibri" w:cstheme="minorAscii" w:eastAsiaTheme="minorAscii"/>
          <w:b w:val="false"/>
          <w:bCs w:val="false"/>
          <w:i w:val="false"/>
          <w:iCs w:val="false"/>
          <w:caps w:val="false"/>
          <w:smallCaps w:val="false"/>
          <w:color w:val="auto"/>
          <w:sz w:val="24"/>
          <w:szCs w:val="24"/>
          <w:u w:val="none"/>
          <w:lang w:val="en-GB"/>
        </w:rPr>
        <w:t>, 2024.</w:t>
      </w:r>
    </w:p>
    <w:p>
      <w:pPr>
        <w:pStyle w:val="Normal"/>
        <w:ind w:hanging="0"/>
        <w:jc w:val="left"/>
        <w:rPr>
          <w:b w:val="false"/>
          <w:b w:val="false"/>
          <w:bCs w:val="false"/>
          <w:sz w:val="24"/>
          <w:szCs w:val="24"/>
          <w:u w:val="none"/>
        </w:rPr>
      </w:pPr>
      <w:r>
        <w:rPr>
          <w:b w:val="false"/>
          <w:bCs w:val="false"/>
          <w:sz w:val="24"/>
          <w:szCs w:val="24"/>
          <w:u w:val="none"/>
        </w:rPr>
      </w:r>
    </w:p>
    <w:p>
      <w:pPr>
        <w:pStyle w:val="Heading1"/>
        <w:spacing w:beforeAutospacing="0" w:before="240" w:afterAutospacing="0" w:after="240"/>
        <w:ind w:hanging="0"/>
        <w:jc w:val="left"/>
        <w:rPr>
          <w:b w:val="false"/>
          <w:b w:val="false"/>
          <w:bCs w:val="false"/>
          <w:sz w:val="24"/>
          <w:szCs w:val="24"/>
          <w:u w:val="none"/>
        </w:rPr>
      </w:pPr>
      <w:r>
        <w:rPr>
          <w:rFonts w:eastAsia="Calibri" w:cs="Calibri" w:ascii="Calibri" w:hAnsi="Calibri" w:asciiTheme="minorAscii" w:cstheme="minorAscii" w:eastAsiaTheme="minorAscii" w:hAnsiTheme="minorAscii"/>
          <w:b w:val="false"/>
          <w:bCs w:val="false"/>
          <w:i w:val="false"/>
          <w:iCs w:val="false"/>
          <w:caps w:val="false"/>
          <w:smallCaps w:val="false"/>
          <w:color w:val="212121"/>
          <w:sz w:val="24"/>
          <w:szCs w:val="24"/>
          <w:u w:val="none"/>
          <w:lang w:val="en-GB"/>
        </w:rPr>
        <w:tab/>
        <w:t xml:space="preserve">McCullock and Scrivano (2023). </w:t>
      </w:r>
      <w:r>
        <w:rPr>
          <w:rFonts w:eastAsia="Calibri" w:cs="Calibri" w:ascii="Calibri" w:hAnsi="Calibri" w:asciiTheme="minorAscii" w:cstheme="minorAscii" w:eastAsiaTheme="minorAscii" w:hAnsiTheme="minorAscii"/>
          <w:b w:val="false"/>
          <w:bCs w:val="false"/>
          <w:i/>
          <w:iCs/>
          <w:caps w:val="false"/>
          <w:smallCaps w:val="false"/>
          <w:color w:val="212121"/>
          <w:sz w:val="24"/>
          <w:szCs w:val="24"/>
          <w:u w:val="none"/>
          <w:lang w:val="en-GB"/>
        </w:rPr>
        <w:t>‘</w:t>
      </w:r>
      <w:r>
        <w:rPr>
          <w:rFonts w:eastAsia="Calibri" w:cs="Calibri" w:ascii="Calibri" w:hAnsi="Calibri" w:asciiTheme="minorAscii" w:cstheme="minorAscii" w:eastAsiaTheme="minorAscii" w:hAnsiTheme="minorAscii"/>
          <w:b w:val="false"/>
          <w:bCs w:val="false"/>
          <w:i/>
          <w:iCs/>
          <w:caps w:val="false"/>
          <w:smallCaps w:val="false"/>
          <w:color w:val="auto"/>
          <w:sz w:val="24"/>
          <w:szCs w:val="24"/>
          <w:u w:val="none"/>
          <w:lang w:val="en-GB"/>
        </w:rPr>
        <w:t>The effectiveness of mental illness stigma-reduction interventions: A systematic meta-review of meta-analyses</w:t>
      </w:r>
      <w:r>
        <w:rPr>
          <w:rFonts w:eastAsia="Calibri" w:cs="Calibri" w:ascii="Calibri" w:hAnsi="Calibri" w:asciiTheme="minorAscii" w:cstheme="minorAscii" w:eastAsiaTheme="minorAscii" w:hAnsiTheme="minorAscii"/>
          <w:b w:val="false"/>
          <w:bCs w:val="false"/>
          <w:i/>
          <w:iCs/>
          <w:caps w:val="false"/>
          <w:smallCaps w:val="false"/>
          <w:color w:val="212121"/>
          <w:sz w:val="24"/>
          <w:szCs w:val="24"/>
          <w:u w:val="none"/>
          <w:lang w:val="en-GB"/>
        </w:rPr>
        <w:t>’</w:t>
      </w:r>
      <w:r>
        <w:rPr>
          <w:rFonts w:eastAsia="Calibri" w:cs="Calibri" w:ascii="Calibri" w:hAnsi="Calibri" w:asciiTheme="minorAscii" w:cstheme="minorAscii" w:eastAsiaTheme="minorAscii" w:hAnsiTheme="minorAscii"/>
          <w:b w:val="false"/>
          <w:bCs w:val="false"/>
          <w:i w:val="false"/>
          <w:iCs w:val="false"/>
          <w:caps w:val="false"/>
          <w:smallCaps w:val="false"/>
          <w:color w:val="212121"/>
          <w:sz w:val="24"/>
          <w:szCs w:val="24"/>
          <w:u w:val="none"/>
          <w:lang w:val="en-GB"/>
        </w:rPr>
        <w:t xml:space="preserve">. Clinical Psychology Review, Volume 100, 102242. Available at: </w:t>
      </w:r>
      <w:hyperlink r:id="rId7">
        <w:r>
          <w:rPr>
            <w:rStyle w:val="InternetLink"/>
            <w:rFonts w:eastAsia="Calibri" w:cs="Calibri" w:ascii="Calibri" w:hAnsi="Calibri" w:asciiTheme="minorAscii" w:cstheme="minorAscii" w:eastAsiaTheme="minorAscii" w:hAnsiTheme="minorAscii"/>
            <w:b w:val="false"/>
            <w:bCs w:val="false"/>
            <w:i w:val="false"/>
            <w:iCs w:val="false"/>
            <w:caps w:val="false"/>
            <w:smallCaps w:val="false"/>
            <w:sz w:val="24"/>
            <w:szCs w:val="24"/>
            <w:lang w:val="en-GB"/>
          </w:rPr>
          <w:t>https://www.sciencedirect.com/science/article/pii/S0272735822001271</w:t>
        </w:r>
      </w:hyperlink>
      <w:r>
        <w:rPr>
          <w:rFonts w:eastAsia="Calibri" w:cs="Calibri" w:ascii="Calibri" w:hAnsi="Calibri" w:asciiTheme="minorAscii" w:cstheme="minorAscii" w:eastAsiaTheme="minorAscii" w:hAnsiTheme="minorAscii"/>
          <w:b w:val="false"/>
          <w:bCs w:val="false"/>
          <w:i w:val="false"/>
          <w:iCs w:val="false"/>
          <w:caps w:val="false"/>
          <w:smallCaps w:val="false"/>
          <w:color w:val="212121"/>
          <w:sz w:val="24"/>
          <w:szCs w:val="24"/>
          <w:u w:val="none"/>
          <w:lang w:val="en-GB"/>
        </w:rPr>
        <w:t xml:space="preserve"> Accessed on February 21</w:t>
      </w:r>
      <w:r>
        <w:rPr>
          <w:rFonts w:eastAsia="Calibri" w:cs="Calibri" w:ascii="Calibri" w:hAnsi="Calibri" w:asciiTheme="minorAscii" w:cstheme="minorAscii" w:eastAsiaTheme="minorAscii" w:hAnsiTheme="minorAscii"/>
          <w:b w:val="false"/>
          <w:bCs w:val="false"/>
          <w:i w:val="false"/>
          <w:iCs w:val="false"/>
          <w:caps w:val="false"/>
          <w:smallCaps w:val="false"/>
          <w:color w:val="212121"/>
          <w:sz w:val="24"/>
          <w:szCs w:val="24"/>
          <w:u w:val="none"/>
          <w:vertAlign w:val="superscript"/>
          <w:lang w:val="en-GB"/>
        </w:rPr>
        <w:t>st</w:t>
      </w:r>
      <w:r>
        <w:rPr>
          <w:rFonts w:eastAsia="Calibri" w:cs="Calibri" w:ascii="Calibri" w:hAnsi="Calibri" w:asciiTheme="minorAscii" w:cstheme="minorAscii" w:eastAsiaTheme="minorAscii" w:hAnsiTheme="minorAscii"/>
          <w:b w:val="false"/>
          <w:bCs w:val="false"/>
          <w:i w:val="false"/>
          <w:iCs w:val="false"/>
          <w:caps w:val="false"/>
          <w:smallCaps w:val="false"/>
          <w:color w:val="212121"/>
          <w:sz w:val="24"/>
          <w:szCs w:val="24"/>
          <w:u w:val="none"/>
          <w:lang w:val="en-GB"/>
        </w:rPr>
        <w:t>, 2024.</w:t>
      </w:r>
    </w:p>
    <w:p>
      <w:pPr>
        <w:pStyle w:val="Normal"/>
        <w:ind w:hanging="0"/>
        <w:jc w:val="left"/>
        <w:rPr>
          <w:rFonts w:ascii="Calibri" w:hAnsi="Calibri" w:eastAsia="Calibri" w:cs="Calibri" w:asciiTheme="minorAscii" w:cstheme="minorAscii" w:eastAsiaTheme="minorAscii" w:hAnsiTheme="minorAscii"/>
          <w:i w:val="false"/>
          <w:i w:val="false"/>
          <w:iCs w:val="false"/>
          <w:caps w:val="false"/>
          <w:smallCaps w:val="false"/>
          <w:color w:val="auto"/>
          <w:lang w:val="en-GB"/>
        </w:rPr>
      </w:pPr>
      <w:r>
        <w:rPr>
          <w:b w:val="false"/>
          <w:bCs w:val="false"/>
          <w:sz w:val="24"/>
          <w:szCs w:val="24"/>
          <w:u w:val="none"/>
        </w:rPr>
      </w:r>
    </w:p>
    <w:p>
      <w:pPr>
        <w:pStyle w:val="Heading1"/>
        <w:spacing w:beforeAutospacing="0" w:before="240" w:afterAutospacing="0" w:after="240"/>
        <w:ind w:firstLine="720"/>
        <w:jc w:val="left"/>
        <w:rPr>
          <w:b w:val="false"/>
          <w:b w:val="false"/>
          <w:bCs w:val="false"/>
          <w:sz w:val="24"/>
          <w:szCs w:val="24"/>
          <w:u w:val="none"/>
        </w:rPr>
      </w:pPr>
      <w:r>
        <w:rPr>
          <w:rFonts w:eastAsia="Calibri" w:cs="Calibri" w:ascii="Calibri" w:hAnsi="Calibri" w:asciiTheme="minorAscii" w:cstheme="minorAscii" w:eastAsiaTheme="minorAscii" w:hAnsiTheme="minorAscii"/>
          <w:b w:val="false"/>
          <w:bCs w:val="false"/>
          <w:i w:val="false"/>
          <w:iCs w:val="false"/>
          <w:caps w:val="false"/>
          <w:smallCaps w:val="false"/>
          <w:color w:val="auto"/>
          <w:sz w:val="24"/>
          <w:szCs w:val="24"/>
          <w:u w:val="none"/>
          <w:lang w:val="en-GB"/>
        </w:rPr>
        <w:t>Mills et al (2020). ‘</w:t>
      </w:r>
      <w:r>
        <w:rPr>
          <w:rFonts w:eastAsia="Calibri" w:cs="Calibri" w:ascii="Calibri" w:hAnsi="Calibri" w:asciiTheme="minorAscii" w:cstheme="minorAscii" w:eastAsiaTheme="minorAscii" w:hAnsiTheme="minorAscii"/>
          <w:b w:val="false"/>
          <w:bCs w:val="false"/>
          <w:i/>
          <w:iCs/>
          <w:caps w:val="false"/>
          <w:smallCaps w:val="false"/>
          <w:color w:val="auto"/>
          <w:sz w:val="24"/>
          <w:szCs w:val="24"/>
          <w:u w:val="none"/>
          <w:lang w:val="en-GB"/>
        </w:rPr>
        <w:t>Self-help interventions to reduce self-stigma in people with mental health problems: A systematic literature review</w:t>
      </w:r>
      <w:r>
        <w:rPr>
          <w:rFonts w:eastAsia="Calibri" w:cs="Calibri" w:ascii="Calibri" w:hAnsi="Calibri" w:asciiTheme="minorAscii" w:cstheme="minorAscii" w:eastAsiaTheme="minorAscii" w:hAnsiTheme="minorAscii"/>
          <w:b w:val="false"/>
          <w:bCs w:val="false"/>
          <w:i w:val="false"/>
          <w:iCs w:val="false"/>
          <w:caps w:val="false"/>
          <w:smallCaps w:val="false"/>
          <w:color w:val="auto"/>
          <w:sz w:val="24"/>
          <w:szCs w:val="24"/>
          <w:u w:val="none"/>
          <w:lang w:val="en-GB"/>
        </w:rPr>
        <w:t xml:space="preserve">’. Psychiatry Research, Volume 284, 112702. Available at: </w:t>
      </w:r>
      <w:hyperlink r:id="rId8">
        <w:r>
          <w:rPr>
            <w:rStyle w:val="InternetLink"/>
            <w:rFonts w:eastAsia="Calibri" w:cs="Calibri" w:ascii="Calibri" w:hAnsi="Calibri" w:asciiTheme="minorAscii" w:cstheme="minorAscii" w:eastAsiaTheme="minorAscii" w:hAnsiTheme="minorAscii"/>
            <w:b w:val="false"/>
            <w:bCs w:val="false"/>
            <w:i w:val="false"/>
            <w:iCs w:val="false"/>
            <w:caps w:val="false"/>
            <w:smallCaps w:val="false"/>
            <w:sz w:val="24"/>
            <w:szCs w:val="24"/>
            <w:lang w:val="en-GB"/>
          </w:rPr>
          <w:t>https://www.sciencedirect.com/science/article/pii/S0165178119316312</w:t>
        </w:r>
      </w:hyperlink>
      <w:r>
        <w:rPr>
          <w:rFonts w:eastAsia="Calibri" w:cs="Calibri" w:ascii="Calibri" w:hAnsi="Calibri" w:asciiTheme="minorAscii" w:cstheme="minorAscii" w:eastAsiaTheme="minorAscii" w:hAnsiTheme="minorAscii"/>
          <w:b w:val="false"/>
          <w:bCs w:val="false"/>
          <w:i w:val="false"/>
          <w:iCs w:val="false"/>
          <w:caps w:val="false"/>
          <w:smallCaps w:val="false"/>
          <w:color w:val="auto"/>
          <w:sz w:val="24"/>
          <w:szCs w:val="24"/>
          <w:u w:val="none"/>
          <w:lang w:val="en-GB"/>
        </w:rPr>
        <w:t xml:space="preserve"> Accessed on February 21</w:t>
      </w:r>
      <w:r>
        <w:rPr>
          <w:rFonts w:eastAsia="Calibri" w:cs="Calibri" w:ascii="Calibri" w:hAnsi="Calibri" w:asciiTheme="minorAscii" w:cstheme="minorAscii" w:eastAsiaTheme="minorAscii" w:hAnsiTheme="minorAscii"/>
          <w:b w:val="false"/>
          <w:bCs w:val="false"/>
          <w:i w:val="false"/>
          <w:iCs w:val="false"/>
          <w:caps w:val="false"/>
          <w:smallCaps w:val="false"/>
          <w:color w:val="auto"/>
          <w:sz w:val="24"/>
          <w:szCs w:val="24"/>
          <w:u w:val="none"/>
          <w:vertAlign w:val="superscript"/>
          <w:lang w:val="en-GB"/>
        </w:rPr>
        <w:t>st</w:t>
      </w:r>
      <w:r>
        <w:rPr>
          <w:rFonts w:eastAsia="Calibri" w:cs="Calibri" w:ascii="Calibri" w:hAnsi="Calibri" w:asciiTheme="minorAscii" w:cstheme="minorAscii" w:eastAsiaTheme="minorAscii" w:hAnsiTheme="minorAscii"/>
          <w:b w:val="false"/>
          <w:bCs w:val="false"/>
          <w:i w:val="false"/>
          <w:iCs w:val="false"/>
          <w:caps w:val="false"/>
          <w:smallCaps w:val="false"/>
          <w:color w:val="auto"/>
          <w:sz w:val="24"/>
          <w:szCs w:val="24"/>
          <w:u w:val="none"/>
          <w:lang w:val="en-GB"/>
        </w:rPr>
        <w:t>, 2024.</w:t>
      </w:r>
    </w:p>
    <w:p>
      <w:pPr>
        <w:pStyle w:val="Normal"/>
        <w:ind w:hanging="0"/>
        <w:jc w:val="left"/>
        <w:rPr>
          <w:b w:val="false"/>
          <w:b w:val="false"/>
          <w:bCs w:val="false"/>
          <w:sz w:val="24"/>
          <w:szCs w:val="24"/>
          <w:u w:val="none"/>
        </w:rPr>
      </w:pPr>
      <w:r>
        <w:rPr>
          <w:b w:val="false"/>
          <w:bCs w:val="false"/>
          <w:sz w:val="24"/>
          <w:szCs w:val="24"/>
          <w:u w:val="none"/>
        </w:rPr>
      </w:r>
    </w:p>
    <w:p>
      <w:pPr>
        <w:pStyle w:val="Normal"/>
        <w:ind w:firstLine="720"/>
        <w:jc w:val="left"/>
        <w:rPr/>
      </w:pPr>
      <w:r>
        <w:rPr>
          <w:b w:val="false"/>
          <w:bCs w:val="false"/>
          <w:sz w:val="24"/>
          <w:szCs w:val="24"/>
          <w:u w:val="none"/>
        </w:rPr>
        <w:t xml:space="preserve">NHS (2023). </w:t>
      </w:r>
      <w:r>
        <w:rPr>
          <w:b w:val="false"/>
          <w:bCs w:val="false"/>
          <w:i/>
          <w:iCs/>
          <w:sz w:val="24"/>
          <w:szCs w:val="24"/>
          <w:u w:val="none"/>
        </w:rPr>
        <w:t>‘Overview-Schizophrenia’</w:t>
      </w:r>
      <w:r>
        <w:rPr>
          <w:b w:val="false"/>
          <w:bCs w:val="false"/>
          <w:sz w:val="24"/>
          <w:szCs w:val="24"/>
          <w:u w:val="none"/>
        </w:rPr>
        <w:t xml:space="preserve">. Available at: </w:t>
      </w:r>
      <w:hyperlink r:id="rId9">
        <w:r>
          <w:rPr>
            <w:rStyle w:val="InternetLink"/>
            <w:b w:val="false"/>
            <w:bCs w:val="false"/>
            <w:sz w:val="24"/>
            <w:szCs w:val="24"/>
          </w:rPr>
          <w:t>https://www.nhs.uk/mental-health/conditions/schizophrenia/overview/</w:t>
        </w:r>
      </w:hyperlink>
      <w:r>
        <w:rPr>
          <w:b w:val="false"/>
          <w:bCs w:val="false"/>
          <w:sz w:val="24"/>
          <w:szCs w:val="24"/>
          <w:u w:val="none"/>
        </w:rPr>
        <w:t xml:space="preserve"> Accessed on February 19</w:t>
      </w:r>
      <w:r>
        <w:rPr>
          <w:b w:val="false"/>
          <w:bCs w:val="false"/>
          <w:sz w:val="24"/>
          <w:szCs w:val="24"/>
          <w:u w:val="none"/>
          <w:vertAlign w:val="superscript"/>
        </w:rPr>
        <w:t>th</w:t>
      </w:r>
      <w:r>
        <w:rPr>
          <w:b w:val="false"/>
          <w:bCs w:val="false"/>
          <w:sz w:val="24"/>
          <w:szCs w:val="24"/>
          <w:u w:val="none"/>
        </w:rPr>
        <w:t>, 2024.</w:t>
      </w:r>
    </w:p>
    <w:p>
      <w:pPr>
        <w:pStyle w:val="Normal"/>
        <w:ind w:firstLine="720"/>
        <w:jc w:val="left"/>
        <w:rPr>
          <w:b w:val="false"/>
          <w:b w:val="false"/>
          <w:bCs w:val="false"/>
          <w:sz w:val="24"/>
          <w:szCs w:val="24"/>
          <w:u w:val="none"/>
        </w:rPr>
      </w:pPr>
      <w:r>
        <w:rPr>
          <w:b w:val="false"/>
          <w:bCs w:val="false"/>
          <w:sz w:val="24"/>
          <w:szCs w:val="24"/>
          <w:u w:val="none"/>
        </w:rPr>
      </w:r>
    </w:p>
    <w:p>
      <w:pPr>
        <w:pStyle w:val="Normal"/>
        <w:ind w:firstLine="720"/>
        <w:jc w:val="left"/>
        <w:rPr>
          <w:b w:val="false"/>
          <w:b w:val="false"/>
          <w:bCs w:val="false"/>
          <w:sz w:val="24"/>
          <w:szCs w:val="24"/>
          <w:u w:val="none"/>
        </w:rPr>
      </w:pPr>
      <w:r>
        <w:rPr>
          <w:rFonts w:eastAsia="Calibri" w:cs="Calibri" w:cstheme="minorAscii" w:eastAsiaTheme="minorAscii"/>
          <w:b w:val="false"/>
          <w:bCs w:val="false"/>
          <w:i w:val="false"/>
          <w:iCs w:val="false"/>
          <w:caps w:val="false"/>
          <w:smallCaps w:val="false"/>
          <w:color w:val="212121"/>
          <w:sz w:val="24"/>
          <w:szCs w:val="24"/>
          <w:u w:val="none"/>
          <w:lang w:val="en-GB"/>
        </w:rPr>
        <w:t>Parcesepe AM, Cabassa LJ (2013). ‘</w:t>
      </w:r>
      <w:r>
        <w:rPr>
          <w:rFonts w:eastAsia="Calibri" w:cs="Calibri" w:cstheme="minorAscii" w:eastAsiaTheme="minorAscii"/>
          <w:b w:val="false"/>
          <w:bCs w:val="false"/>
          <w:i/>
          <w:iCs/>
          <w:caps w:val="false"/>
          <w:smallCaps w:val="false"/>
          <w:color w:val="212121"/>
          <w:sz w:val="24"/>
          <w:szCs w:val="24"/>
          <w:u w:val="none"/>
          <w:lang w:val="en-GB"/>
        </w:rPr>
        <w:t>Public stigma of mental illness in the United States: a systematic literature review</w:t>
      </w:r>
      <w:r>
        <w:rPr>
          <w:rFonts w:eastAsia="Calibri" w:cs="Calibri" w:cstheme="minorAscii" w:eastAsiaTheme="minorAscii"/>
          <w:b w:val="false"/>
          <w:bCs w:val="false"/>
          <w:i w:val="false"/>
          <w:iCs w:val="false"/>
          <w:caps w:val="false"/>
          <w:smallCaps w:val="false"/>
          <w:color w:val="212121"/>
          <w:sz w:val="24"/>
          <w:szCs w:val="24"/>
          <w:u w:val="none"/>
          <w:lang w:val="en-GB"/>
        </w:rPr>
        <w:t xml:space="preserve">’. Adm Policy Ment Health. 2013 Sep;40(5):384-99. Available at: </w:t>
      </w:r>
      <w:hyperlink r:id="rId10">
        <w:r>
          <w:rPr>
            <w:rStyle w:val="InternetLink"/>
            <w:rFonts w:eastAsia="Calibri" w:cs="Calibri" w:cstheme="minorAscii" w:eastAsiaTheme="minorAscii"/>
            <w:b w:val="false"/>
            <w:bCs w:val="false"/>
            <w:i w:val="false"/>
            <w:iCs w:val="false"/>
            <w:caps w:val="false"/>
            <w:smallCaps w:val="false"/>
            <w:sz w:val="24"/>
            <w:szCs w:val="24"/>
            <w:lang w:val="en-GB"/>
          </w:rPr>
          <w:t>https://www.ncbi.nlm.nih.gov/pmc/articles/PMC3835659/</w:t>
        </w:r>
      </w:hyperlink>
      <w:r>
        <w:rPr>
          <w:rFonts w:eastAsia="Calibri" w:cs="Calibri" w:cstheme="minorAscii" w:eastAsiaTheme="minorAscii"/>
          <w:b w:val="false"/>
          <w:bCs w:val="false"/>
          <w:i w:val="false"/>
          <w:iCs w:val="false"/>
          <w:caps w:val="false"/>
          <w:smallCaps w:val="false"/>
          <w:color w:val="212121"/>
          <w:sz w:val="24"/>
          <w:szCs w:val="24"/>
          <w:u w:val="none"/>
          <w:lang w:val="en-GB"/>
        </w:rPr>
        <w:t xml:space="preserve"> Accessed on February 21</w:t>
      </w:r>
      <w:r>
        <w:rPr>
          <w:rFonts w:eastAsia="Calibri" w:cs="Calibri" w:cstheme="minorAscii" w:eastAsiaTheme="minorAscii"/>
          <w:b w:val="false"/>
          <w:bCs w:val="false"/>
          <w:i w:val="false"/>
          <w:iCs w:val="false"/>
          <w:caps w:val="false"/>
          <w:smallCaps w:val="false"/>
          <w:color w:val="212121"/>
          <w:sz w:val="24"/>
          <w:szCs w:val="24"/>
          <w:u w:val="none"/>
          <w:vertAlign w:val="superscript"/>
          <w:lang w:val="en-GB"/>
        </w:rPr>
        <w:t>st</w:t>
      </w:r>
      <w:r>
        <w:rPr>
          <w:rFonts w:eastAsia="Calibri" w:cs="Calibri" w:cstheme="minorAscii" w:eastAsiaTheme="minorAscii"/>
          <w:b w:val="false"/>
          <w:bCs w:val="false"/>
          <w:i w:val="false"/>
          <w:iCs w:val="false"/>
          <w:caps w:val="false"/>
          <w:smallCaps w:val="false"/>
          <w:color w:val="212121"/>
          <w:sz w:val="24"/>
          <w:szCs w:val="24"/>
          <w:u w:val="none"/>
          <w:lang w:val="en-GB"/>
        </w:rPr>
        <w:t>, 2024.</w:t>
      </w:r>
    </w:p>
    <w:p>
      <w:pPr>
        <w:pStyle w:val="Normal"/>
        <w:ind w:firstLine="720"/>
        <w:jc w:val="left"/>
        <w:rPr>
          <w:b w:val="false"/>
          <w:b w:val="false"/>
          <w:bCs w:val="false"/>
          <w:sz w:val="24"/>
          <w:szCs w:val="24"/>
          <w:u w:val="none"/>
        </w:rPr>
      </w:pPr>
      <w:r>
        <w:rPr>
          <w:b w:val="false"/>
          <w:bCs w:val="false"/>
          <w:sz w:val="24"/>
          <w:szCs w:val="24"/>
          <w:u w:val="none"/>
        </w:rPr>
      </w:r>
    </w:p>
    <w:p>
      <w:pPr>
        <w:pStyle w:val="Normal"/>
        <w:ind w:firstLine="720"/>
        <w:jc w:val="left"/>
        <w:rPr>
          <w:b w:val="false"/>
          <w:b w:val="false"/>
          <w:bCs w:val="false"/>
          <w:sz w:val="24"/>
          <w:szCs w:val="24"/>
          <w:u w:val="none"/>
        </w:rPr>
      </w:pPr>
      <w:r>
        <w:rPr>
          <w:b w:val="false"/>
          <w:bCs w:val="false"/>
          <w:sz w:val="24"/>
          <w:szCs w:val="24"/>
          <w:u w:val="none"/>
        </w:rPr>
        <w:t xml:space="preserve">Park et al (2013). </w:t>
      </w:r>
      <w:r>
        <w:rPr>
          <w:b w:val="false"/>
          <w:bCs w:val="false"/>
          <w:i/>
          <w:iCs/>
          <w:sz w:val="24"/>
          <w:szCs w:val="24"/>
          <w:u w:val="none"/>
        </w:rPr>
        <w:t>‘Internalised Stigma in Schizophrenia: Relations with Dysfunctional Attitudes, Symptoms, and Quality of Life’</w:t>
      </w:r>
      <w:r>
        <w:rPr>
          <w:b w:val="false"/>
          <w:bCs w:val="false"/>
          <w:sz w:val="24"/>
          <w:szCs w:val="24"/>
          <w:u w:val="none"/>
        </w:rPr>
        <w:t>. Psychiatry Research 205 pg43-47. Department of Psychology, University of Maryland, College Park, USA. Accessed on February 19</w:t>
      </w:r>
      <w:r>
        <w:rPr>
          <w:b w:val="false"/>
          <w:bCs w:val="false"/>
          <w:sz w:val="24"/>
          <w:szCs w:val="24"/>
          <w:u w:val="none"/>
          <w:vertAlign w:val="superscript"/>
        </w:rPr>
        <w:t>th</w:t>
      </w:r>
      <w:r>
        <w:rPr>
          <w:b w:val="false"/>
          <w:bCs w:val="false"/>
          <w:sz w:val="24"/>
          <w:szCs w:val="24"/>
          <w:u w:val="none"/>
        </w:rPr>
        <w:t>, 2024.</w:t>
      </w:r>
    </w:p>
    <w:p>
      <w:pPr>
        <w:pStyle w:val="Normal"/>
        <w:ind w:firstLine="720"/>
        <w:jc w:val="left"/>
        <w:rPr>
          <w:b w:val="false"/>
          <w:b w:val="false"/>
          <w:bCs w:val="false"/>
          <w:sz w:val="24"/>
          <w:szCs w:val="24"/>
          <w:u w:val="none"/>
        </w:rPr>
      </w:pPr>
      <w:r>
        <w:rPr>
          <w:b w:val="false"/>
          <w:bCs w:val="false"/>
          <w:sz w:val="24"/>
          <w:szCs w:val="24"/>
          <w:u w:val="none"/>
        </w:rPr>
      </w:r>
    </w:p>
    <w:p>
      <w:pPr>
        <w:pStyle w:val="Normal"/>
        <w:ind w:hanging="0"/>
        <w:jc w:val="left"/>
        <w:rPr>
          <w:b w:val="false"/>
          <w:b w:val="false"/>
          <w:bCs w:val="false"/>
          <w:sz w:val="24"/>
          <w:szCs w:val="24"/>
          <w:u w:val="none"/>
        </w:rPr>
      </w:pPr>
      <w:r>
        <w:rPr>
          <w:rFonts w:eastAsia="Calibri" w:cs="Calibri" w:cstheme="minorAscii" w:eastAsiaTheme="minorAscii"/>
          <w:b w:val="false"/>
          <w:bCs w:val="false"/>
          <w:i w:val="false"/>
          <w:iCs w:val="false"/>
          <w:caps w:val="false"/>
          <w:smallCaps w:val="false"/>
          <w:color w:val="auto"/>
          <w:sz w:val="24"/>
          <w:szCs w:val="24"/>
          <w:u w:val="none"/>
          <w:lang w:val="en-GB"/>
        </w:rPr>
        <w:tab/>
        <w:t xml:space="preserve">Ross M.G. Norman et al (2012). </w:t>
      </w:r>
      <w:r>
        <w:rPr>
          <w:rFonts w:eastAsia="Calibri" w:cs="Calibri" w:cstheme="minorAscii" w:eastAsiaTheme="minorAscii"/>
          <w:b w:val="false"/>
          <w:bCs w:val="false"/>
          <w:i/>
          <w:iCs/>
          <w:caps w:val="false"/>
          <w:smallCaps w:val="false"/>
          <w:color w:val="auto"/>
          <w:sz w:val="24"/>
          <w:szCs w:val="24"/>
          <w:u w:val="none"/>
          <w:lang w:val="en-GB"/>
        </w:rPr>
        <w:t>‘Examining differences in the stigma of depression and schizophrenia’</w:t>
      </w:r>
      <w:r>
        <w:rPr>
          <w:rFonts w:eastAsia="Calibri" w:cs="Calibri" w:cstheme="minorAscii" w:eastAsiaTheme="minorAscii"/>
          <w:b w:val="false"/>
          <w:bCs w:val="false"/>
          <w:i w:val="false"/>
          <w:iCs w:val="false"/>
          <w:caps w:val="false"/>
          <w:smallCaps w:val="false"/>
          <w:color w:val="auto"/>
          <w:sz w:val="24"/>
          <w:szCs w:val="24"/>
          <w:u w:val="none"/>
          <w:lang w:val="en-GB"/>
        </w:rPr>
        <w:t xml:space="preserve">. International Journal of Social Psychiatry 2012 58:1, 69-78. Available at: </w:t>
      </w:r>
      <w:hyperlink r:id="rId11">
        <w:r>
          <w:rPr>
            <w:rStyle w:val="InternetLink"/>
            <w:rFonts w:eastAsia="Calibri" w:cs="Calibri" w:cstheme="minorAscii" w:eastAsiaTheme="minorAscii"/>
            <w:b w:val="false"/>
            <w:bCs w:val="false"/>
            <w:i w:val="false"/>
            <w:iCs w:val="false"/>
            <w:caps w:val="false"/>
            <w:smallCaps w:val="false"/>
            <w:sz w:val="24"/>
            <w:szCs w:val="24"/>
            <w:lang w:val="en-GB"/>
          </w:rPr>
          <w:t>https://journals.sagepub.com/doi/epdf/10.1177/0020764010387062</w:t>
        </w:r>
      </w:hyperlink>
      <w:r>
        <w:rPr>
          <w:rFonts w:eastAsia="Calibri" w:cs="Calibri" w:cstheme="minorAscii" w:eastAsiaTheme="minorAscii"/>
          <w:b w:val="false"/>
          <w:bCs w:val="false"/>
          <w:i w:val="false"/>
          <w:iCs w:val="false"/>
          <w:caps w:val="false"/>
          <w:smallCaps w:val="false"/>
          <w:color w:val="auto"/>
          <w:sz w:val="24"/>
          <w:szCs w:val="24"/>
          <w:u w:val="none"/>
          <w:lang w:val="en-GB"/>
        </w:rPr>
        <w:t xml:space="preserve"> Accessed on February 22</w:t>
      </w:r>
      <w:r>
        <w:rPr>
          <w:rFonts w:eastAsia="Calibri" w:cs="Calibri" w:cstheme="minorAscii" w:eastAsiaTheme="minorAscii"/>
          <w:b w:val="false"/>
          <w:bCs w:val="false"/>
          <w:i w:val="false"/>
          <w:iCs w:val="false"/>
          <w:caps w:val="false"/>
          <w:smallCaps w:val="false"/>
          <w:color w:val="auto"/>
          <w:sz w:val="24"/>
          <w:szCs w:val="24"/>
          <w:u w:val="none"/>
          <w:vertAlign w:val="superscript"/>
          <w:lang w:val="en-GB"/>
        </w:rPr>
        <w:t>nd</w:t>
      </w:r>
      <w:r>
        <w:rPr>
          <w:rFonts w:eastAsia="Calibri" w:cs="Calibri" w:cstheme="minorAscii" w:eastAsiaTheme="minorAscii"/>
          <w:b w:val="false"/>
          <w:bCs w:val="false"/>
          <w:i w:val="false"/>
          <w:iCs w:val="false"/>
          <w:caps w:val="false"/>
          <w:smallCaps w:val="false"/>
          <w:color w:val="auto"/>
          <w:sz w:val="24"/>
          <w:szCs w:val="24"/>
          <w:u w:val="none"/>
          <w:lang w:val="en-GB"/>
        </w:rPr>
        <w:t>, 2024.</w:t>
      </w:r>
    </w:p>
    <w:p>
      <w:pPr>
        <w:pStyle w:val="Normal"/>
        <w:ind w:firstLine="720"/>
        <w:jc w:val="left"/>
        <w:rPr>
          <w:b w:val="false"/>
          <w:b w:val="false"/>
          <w:bCs w:val="false"/>
          <w:sz w:val="24"/>
          <w:szCs w:val="24"/>
          <w:u w:val="none"/>
        </w:rPr>
      </w:pPr>
      <w:r>
        <w:rPr>
          <w:b w:val="false"/>
          <w:bCs w:val="false"/>
          <w:sz w:val="24"/>
          <w:szCs w:val="24"/>
          <w:u w:val="none"/>
        </w:rPr>
      </w:r>
    </w:p>
    <w:p>
      <w:pPr>
        <w:pStyle w:val="Normal"/>
        <w:ind w:firstLine="720"/>
        <w:jc w:val="left"/>
        <w:rPr>
          <w:b w:val="false"/>
          <w:b w:val="false"/>
          <w:bCs w:val="false"/>
          <w:sz w:val="24"/>
          <w:szCs w:val="24"/>
          <w:u w:val="none"/>
        </w:rPr>
      </w:pPr>
      <w:r>
        <w:rPr>
          <w:b w:val="false"/>
          <w:bCs w:val="false"/>
          <w:sz w:val="24"/>
          <w:szCs w:val="24"/>
          <w:u w:val="none"/>
        </w:rPr>
        <w:t>Switaj et al (2009). ‘</w:t>
      </w:r>
      <w:r>
        <w:rPr>
          <w:rFonts w:eastAsia="Calibri" w:cs="Calibri"/>
          <w:b w:val="false"/>
          <w:bCs w:val="false"/>
          <w:i/>
          <w:iCs/>
          <w:sz w:val="24"/>
          <w:szCs w:val="24"/>
          <w:u w:val="none"/>
          <w:lang w:val="en-GB"/>
        </w:rPr>
        <w:t>Extent and predictors of stigma experienced by patients with schizophrenia</w:t>
      </w:r>
      <w:r>
        <w:rPr>
          <w:b w:val="false"/>
          <w:bCs w:val="false"/>
          <w:sz w:val="24"/>
          <w:szCs w:val="24"/>
          <w:u w:val="none"/>
        </w:rPr>
        <w:t>’. European Psychiatry 24, 513-520. Accessed on February 19</w:t>
      </w:r>
      <w:r>
        <w:rPr>
          <w:b w:val="false"/>
          <w:bCs w:val="false"/>
          <w:sz w:val="24"/>
          <w:szCs w:val="24"/>
          <w:u w:val="none"/>
          <w:vertAlign w:val="superscript"/>
        </w:rPr>
        <w:t>th</w:t>
      </w:r>
      <w:r>
        <w:rPr>
          <w:b w:val="false"/>
          <w:bCs w:val="false"/>
          <w:sz w:val="24"/>
          <w:szCs w:val="24"/>
          <w:u w:val="none"/>
        </w:rPr>
        <w:t>, 2024.</w:t>
      </w:r>
    </w:p>
    <w:p>
      <w:pPr>
        <w:pStyle w:val="Normal"/>
        <w:ind w:firstLine="720"/>
        <w:jc w:val="left"/>
        <w:rPr>
          <w:b w:val="false"/>
          <w:b w:val="false"/>
          <w:bCs w:val="false"/>
          <w:sz w:val="24"/>
          <w:szCs w:val="24"/>
          <w:u w:val="none"/>
        </w:rPr>
      </w:pPr>
      <w:r>
        <w:rPr>
          <w:b w:val="false"/>
          <w:bCs w:val="false"/>
          <w:sz w:val="24"/>
          <w:szCs w:val="24"/>
          <w:u w:val="none"/>
        </w:rPr>
      </w:r>
    </w:p>
    <w:p>
      <w:pPr>
        <w:pStyle w:val="Normal"/>
        <w:ind w:firstLine="720"/>
        <w:jc w:val="left"/>
        <w:rPr>
          <w:b w:val="false"/>
          <w:b w:val="false"/>
          <w:bCs w:val="false"/>
          <w:sz w:val="24"/>
          <w:szCs w:val="24"/>
          <w:u w:val="none"/>
        </w:rPr>
      </w:pPr>
      <w:r>
        <w:rPr>
          <w:b w:val="false"/>
          <w:bCs w:val="false"/>
          <w:sz w:val="24"/>
          <w:szCs w:val="24"/>
          <w:u w:val="none"/>
        </w:rPr>
        <w:t>Thornicroft et al (2009). ‘</w:t>
      </w:r>
      <w:r>
        <w:rPr>
          <w:rFonts w:eastAsia="Calibri" w:cs="Calibri"/>
          <w:b w:val="false"/>
          <w:bCs w:val="false"/>
          <w:i/>
          <w:iCs/>
          <w:sz w:val="24"/>
          <w:szCs w:val="24"/>
          <w:u w:val="none"/>
          <w:lang w:val="en-GB"/>
        </w:rPr>
        <w:t>Global pattern of experienced and anticipated discrimination against people with schizophrenia: a cross-sectional survey</w:t>
      </w:r>
      <w:r>
        <w:rPr>
          <w:b w:val="false"/>
          <w:bCs w:val="false"/>
          <w:i/>
          <w:iCs/>
          <w:sz w:val="24"/>
          <w:szCs w:val="24"/>
          <w:u w:val="none"/>
        </w:rPr>
        <w:t>’</w:t>
      </w:r>
      <w:r>
        <w:rPr>
          <w:b w:val="false"/>
          <w:bCs w:val="false"/>
          <w:sz w:val="24"/>
          <w:szCs w:val="24"/>
          <w:u w:val="none"/>
        </w:rPr>
        <w:t xml:space="preserve">. Lancet 2009; 373: 408-15. Available at: </w:t>
      </w:r>
      <w:r>
        <w:rPr>
          <w:rFonts w:eastAsia="Calibri" w:cs="Calibri"/>
          <w:b w:val="false"/>
          <w:bCs w:val="false"/>
          <w:sz w:val="24"/>
          <w:szCs w:val="24"/>
          <w:u w:val="none"/>
          <w:lang w:val="en-GB"/>
        </w:rPr>
        <w:t xml:space="preserve">DOI:10.1016/S0140- 6736(08)61817-6. </w:t>
      </w:r>
      <w:r>
        <w:rPr>
          <w:b w:val="false"/>
          <w:bCs w:val="false"/>
          <w:sz w:val="24"/>
          <w:szCs w:val="24"/>
          <w:u w:val="none"/>
        </w:rPr>
        <w:t>Accessed on February 20</w:t>
      </w:r>
      <w:r>
        <w:rPr>
          <w:b w:val="false"/>
          <w:bCs w:val="false"/>
          <w:sz w:val="24"/>
          <w:szCs w:val="24"/>
          <w:u w:val="none"/>
          <w:vertAlign w:val="superscript"/>
        </w:rPr>
        <w:t>th</w:t>
      </w:r>
      <w:r>
        <w:rPr>
          <w:b w:val="false"/>
          <w:bCs w:val="false"/>
          <w:sz w:val="24"/>
          <w:szCs w:val="24"/>
          <w:u w:val="none"/>
        </w:rPr>
        <w:t>, 2024.</w:t>
      </w:r>
    </w:p>
    <w:p>
      <w:pPr>
        <w:pStyle w:val="Normal"/>
        <w:ind w:firstLine="720"/>
        <w:jc w:val="left"/>
        <w:rPr>
          <w:b w:val="false"/>
          <w:b w:val="false"/>
          <w:bCs w:val="false"/>
          <w:sz w:val="24"/>
          <w:szCs w:val="24"/>
          <w:u w:val="none"/>
        </w:rPr>
      </w:pPr>
      <w:r>
        <w:rPr>
          <w:b w:val="false"/>
          <w:bCs w:val="false"/>
          <w:sz w:val="24"/>
          <w:szCs w:val="24"/>
          <w:u w:val="none"/>
        </w:rPr>
      </w:r>
    </w:p>
    <w:p>
      <w:pPr>
        <w:pStyle w:val="Normal"/>
        <w:ind w:firstLine="720"/>
        <w:jc w:val="left"/>
        <w:rPr/>
      </w:pPr>
      <w:r>
        <w:rPr>
          <w:b w:val="false"/>
          <w:bCs w:val="false"/>
          <w:sz w:val="24"/>
          <w:szCs w:val="24"/>
          <w:u w:val="none"/>
        </w:rPr>
        <w:t xml:space="preserve">World Health Organisation (2022). </w:t>
      </w:r>
      <w:r>
        <w:rPr>
          <w:b w:val="false"/>
          <w:bCs w:val="false"/>
          <w:i/>
          <w:iCs/>
          <w:sz w:val="24"/>
          <w:szCs w:val="24"/>
          <w:u w:val="none"/>
        </w:rPr>
        <w:t>‘Schizophrenia’</w:t>
      </w:r>
      <w:r>
        <w:rPr>
          <w:b w:val="false"/>
          <w:bCs w:val="false"/>
          <w:sz w:val="24"/>
          <w:szCs w:val="24"/>
          <w:u w:val="none"/>
        </w:rPr>
        <w:t xml:space="preserve">. Available at: </w:t>
      </w:r>
      <w:hyperlink r:id="rId12">
        <w:r>
          <w:rPr>
            <w:rStyle w:val="InternetLink"/>
            <w:b w:val="false"/>
            <w:bCs w:val="false"/>
            <w:sz w:val="24"/>
            <w:szCs w:val="24"/>
          </w:rPr>
          <w:t>https://www.who.int/news-room/fact-sheets/detail/schizophrenia</w:t>
        </w:r>
      </w:hyperlink>
      <w:r>
        <w:rPr>
          <w:b w:val="false"/>
          <w:bCs w:val="false"/>
          <w:sz w:val="24"/>
          <w:szCs w:val="24"/>
          <w:u w:val="none"/>
        </w:rPr>
        <w:t xml:space="preserve"> Accessed on February 19</w:t>
      </w:r>
      <w:r>
        <w:rPr>
          <w:b w:val="false"/>
          <w:bCs w:val="false"/>
          <w:sz w:val="24"/>
          <w:szCs w:val="24"/>
          <w:u w:val="none"/>
          <w:vertAlign w:val="superscript"/>
        </w:rPr>
        <w:t>th</w:t>
      </w:r>
      <w:r>
        <w:rPr>
          <w:b w:val="false"/>
          <w:bCs w:val="false"/>
          <w:sz w:val="24"/>
          <w:szCs w:val="24"/>
          <w:u w:val="none"/>
        </w:rPr>
        <w:t>, 2024.</w:t>
      </w:r>
    </w:p>
    <w:p>
      <w:pPr>
        <w:pStyle w:val="Normal"/>
        <w:ind w:firstLine="720"/>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auto"/>
          <w:sz w:val="24"/>
          <w:szCs w:val="24"/>
          <w:lang w:val="en-GB"/>
        </w:rPr>
      </w:pPr>
      <w:r>
        <w:rPr>
          <w:rFonts w:eastAsia="Calibri" w:cs="Calibri" w:cstheme="minorAscii" w:eastAsiaTheme="minorAscii"/>
          <w:b w:val="false"/>
          <w:bCs w:val="false"/>
          <w:i w:val="false"/>
          <w:iCs w:val="false"/>
          <w:caps w:val="false"/>
          <w:smallCaps w:val="false"/>
          <w:color w:val="auto"/>
          <w:sz w:val="24"/>
          <w:szCs w:val="24"/>
          <w:lang w:val="en-GB"/>
        </w:rPr>
      </w:r>
    </w:p>
    <w:p>
      <w:pPr>
        <w:pStyle w:val="Heading1"/>
        <w:spacing w:beforeAutospacing="0" w:before="240" w:afterAutospacing="0" w:after="240"/>
        <w:ind w:firstLine="720"/>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auto"/>
          <w:sz w:val="24"/>
          <w:szCs w:val="24"/>
          <w:lang w:val="en-GB"/>
        </w:rPr>
      </w:pPr>
      <w:r>
        <w:rPr/>
      </w:r>
    </w:p>
    <w:sectPr>
      <w:headerReference w:type="default" r:id="rId13"/>
      <w:footerReference w:type="default" r:id="rId14"/>
      <w:type w:val="nextPage"/>
      <w:pgSz w:w="11906" w:h="16838"/>
      <w:pgMar w:left="1440" w:right="1440" w:header="72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Cambr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014" w:type="dxa"/>
      <w:jc w:val="left"/>
      <w:tblInd w:w="0" w:type="dxa"/>
      <w:tblCellMar>
        <w:top w:w="0" w:type="dxa"/>
        <w:left w:w="108" w:type="dxa"/>
        <w:bottom w:w="0" w:type="dxa"/>
        <w:right w:w="108" w:type="dxa"/>
      </w:tblCellMar>
      <w:tblLook w:firstRow="1" w:noVBand="1" w:lastRow="0" w:firstColumn="1" w:lastColumn="0" w:noHBand="1" w:val="06a0"/>
    </w:tblPr>
    <w:tblGrid>
      <w:gridCol w:w="3004"/>
      <w:gridCol w:w="3005"/>
      <w:gridCol w:w="3005"/>
    </w:tblGrid>
    <w:tr>
      <w:trPr>
        <w:trHeight w:val="300" w:hRule="atLeast"/>
      </w:trPr>
      <w:tc>
        <w:tcPr>
          <w:tcW w:w="3004" w:type="dxa"/>
          <w:tcBorders/>
          <w:shd w:fill="auto" w:val="clear"/>
        </w:tcPr>
        <w:p>
          <w:pPr>
            <w:pStyle w:val="Header"/>
            <w:bidi w:val="0"/>
            <w:ind w:left="-115" w:hanging="0"/>
            <w:jc w:val="left"/>
            <w:rPr/>
          </w:pPr>
          <w:r>
            <w:rPr/>
          </w:r>
        </w:p>
      </w:tc>
      <w:tc>
        <w:tcPr>
          <w:tcW w:w="3005" w:type="dxa"/>
          <w:tcBorders/>
          <w:shd w:fill="auto" w:val="clear"/>
        </w:tcPr>
        <w:p>
          <w:pPr>
            <w:pStyle w:val="Header"/>
            <w:bidi w:val="0"/>
            <w:jc w:val="center"/>
            <w:rPr/>
          </w:pPr>
          <w:r>
            <w:rPr/>
          </w:r>
        </w:p>
      </w:tc>
      <w:tc>
        <w:tcPr>
          <w:tcW w:w="3005" w:type="dxa"/>
          <w:tcBorders/>
          <w:shd w:fill="auto" w:val="clear"/>
        </w:tcPr>
        <w:p>
          <w:pPr>
            <w:pStyle w:val="Header"/>
            <w:bidi w:val="0"/>
            <w:ind w:right="-115" w:hanging="0"/>
            <w:jc w:val="right"/>
            <w:rPr/>
          </w:pPr>
          <w:r>
            <w:rPr/>
          </w:r>
        </w:p>
      </w:tc>
    </w:tr>
  </w:tbl>
  <w:p>
    <w:pPr>
      <w:pStyle w:val="Footer"/>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014" w:type="dxa"/>
      <w:jc w:val="left"/>
      <w:tblInd w:w="0" w:type="dxa"/>
      <w:tblCellMar>
        <w:top w:w="0" w:type="dxa"/>
        <w:left w:w="108" w:type="dxa"/>
        <w:bottom w:w="0" w:type="dxa"/>
        <w:right w:w="108" w:type="dxa"/>
      </w:tblCellMar>
      <w:tblLook w:firstRow="1" w:noVBand="1" w:lastRow="0" w:firstColumn="1" w:lastColumn="0" w:noHBand="1" w:val="06a0"/>
    </w:tblPr>
    <w:tblGrid>
      <w:gridCol w:w="3004"/>
      <w:gridCol w:w="3005"/>
      <w:gridCol w:w="3005"/>
    </w:tblGrid>
    <w:tr>
      <w:trPr>
        <w:trHeight w:val="300" w:hRule="atLeast"/>
      </w:trPr>
      <w:tc>
        <w:tcPr>
          <w:tcW w:w="3004" w:type="dxa"/>
          <w:tcBorders/>
          <w:shd w:fill="auto" w:val="clear"/>
        </w:tcPr>
        <w:p>
          <w:pPr>
            <w:pStyle w:val="Header"/>
            <w:bidi w:val="0"/>
            <w:ind w:left="-115" w:hanging="0"/>
            <w:jc w:val="left"/>
            <w:rPr/>
          </w:pPr>
          <w:r>
            <w:rPr/>
          </w:r>
        </w:p>
      </w:tc>
      <w:tc>
        <w:tcPr>
          <w:tcW w:w="3005" w:type="dxa"/>
          <w:tcBorders/>
          <w:shd w:fill="auto" w:val="clear"/>
        </w:tcPr>
        <w:p>
          <w:pPr>
            <w:pStyle w:val="Header"/>
            <w:bidi w:val="0"/>
            <w:jc w:val="center"/>
            <w:rPr/>
          </w:pPr>
          <w:r>
            <w:rPr/>
          </w:r>
        </w:p>
      </w:tc>
      <w:tc>
        <w:tcPr>
          <w:tcW w:w="3005" w:type="dxa"/>
          <w:tcBorders/>
          <w:shd w:fill="auto" w:val="clear"/>
        </w:tcPr>
        <w:p>
          <w:pPr>
            <w:pStyle w:val="Header"/>
            <w:bidi w:val="0"/>
            <w:ind w:right="-115" w:hanging="0"/>
            <w:jc w:val="right"/>
            <w:rPr/>
          </w:pPr>
          <w:r>
            <w:rPr/>
            <w:t>Ethan Dowey-Wadham</w:t>
          </w:r>
        </w:p>
        <w:p>
          <w:pPr>
            <w:pStyle w:val="Header"/>
            <w:bidi w:val="0"/>
            <w:ind w:right="-115" w:hanging="0"/>
            <w:jc w:val="right"/>
            <w:rPr/>
          </w:pPr>
          <w:r>
            <w:rPr/>
            <w:t>2104467</w:t>
          </w:r>
        </w:p>
        <w:p>
          <w:pPr>
            <w:pStyle w:val="Header"/>
            <w:bidi w:val="0"/>
            <w:ind w:right="-115" w:hanging="0"/>
            <w:jc w:val="right"/>
            <w:rPr/>
          </w:pPr>
          <w:r>
            <w:rPr/>
            <w:t>Level 6</w:t>
          </w:r>
        </w:p>
      </w:tc>
    </w:tr>
  </w:tbl>
  <w:p>
    <w:pPr>
      <w:pStyle w:val="Header"/>
      <w:bidi w:val="0"/>
      <w:rPr/>
    </w:pPr>
    <w:r>
      <w:rPr/>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qFormat/>
    <w:rPr>
      <w:rFonts w:ascii="Calibri Light" w:hAnsi="Calibri Light" w:eastAsia="" w:cs="" w:asciiTheme="majorHAnsi" w:cstheme="majorBidi" w:eastAsiaTheme="majorEastAsia" w:hAnsiTheme="majorHAnsi"/>
      <w:color w:val="2E74B5" w:themeColor="accent1" w:themeShade="bf"/>
      <w:sz w:val="32"/>
      <w:szCs w:val="32"/>
    </w:rPr>
  </w:style>
  <w:style w:type="character" w:styleId="HeaderChar" w:customStyle="1">
    <w:name w:val="Header Char"/>
    <w:basedOn w:val="DefaultParagraphFont"/>
    <w:link w:val="Header"/>
    <w:uiPriority w:val="99"/>
    <w:qFormat/>
    <w:rPr/>
  </w:style>
  <w:style w:type="character" w:styleId="FooterChar" w:customStyle="1">
    <w:name w:val="Footer Char"/>
    <w:basedOn w:val="DefaultParagraphFont"/>
    <w:link w:val="Footer"/>
    <w:uiPriority w:val="99"/>
    <w:qFormat/>
    <w:rPr/>
  </w:style>
  <w:style w:type="character" w:styleId="ListLabel1">
    <w:name w:val="ListLabel 1"/>
    <w:qFormat/>
    <w:rPr>
      <w:b w:val="false"/>
      <w:bCs w:val="false"/>
      <w:sz w:val="24"/>
      <w:szCs w:val="24"/>
    </w:rPr>
  </w:style>
  <w:style w:type="character" w:styleId="ListLabel2">
    <w:name w:val="ListLabel 2"/>
    <w:qFormat/>
    <w:rPr>
      <w:rFonts w:ascii="Calibri" w:hAnsi="Calibri" w:eastAsia="Calibri" w:cs="Calibri" w:asciiTheme="minorAscii" w:cstheme="minorAscii" w:eastAsiaTheme="minorAscii" w:hAnsiTheme="minorAscii"/>
      <w:b w:val="false"/>
      <w:bCs w:val="false"/>
      <w:i w:val="false"/>
      <w:iCs w:val="false"/>
      <w:caps w:val="false"/>
      <w:smallCaps w:val="false"/>
      <w:sz w:val="24"/>
      <w:szCs w:val="24"/>
      <w:lang w:val="en-GB"/>
    </w:rPr>
  </w:style>
  <w:style w:type="character" w:styleId="ListLabel3">
    <w:name w:val="ListLabel 3"/>
    <w:qFormat/>
    <w:rPr>
      <w:rFonts w:ascii="Calibri" w:hAnsi="Calibri" w:eastAsia="Calibri" w:cs="Calibri" w:asciiTheme="minorAscii" w:cstheme="minorAscii" w:eastAsiaTheme="minorAscii" w:hAnsiTheme="minorAscii"/>
      <w:i w:val="false"/>
      <w:iCs w:val="false"/>
      <w:sz w:val="24"/>
      <w:szCs w:val="24"/>
      <w:lang w:val="en-GB"/>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ictionary.cambridge.org/dictionary/english/stigma" TargetMode="External"/><Relationship Id="rId3" Type="http://schemas.openxmlformats.org/officeDocument/2006/relationships/hyperlink" Target="https://www.ncbi.nlm.nih.gov/pmc/articles/PMC3610943/" TargetMode="External"/><Relationship Id="rId4" Type="http://schemas.openxmlformats.org/officeDocument/2006/relationships/hyperlink" Target="https://www.dundee.ac.uk/corporate-information/positive-action-or-positive-discrimination" TargetMode="External"/><Relationship Id="rId5" Type="http://schemas.openxmlformats.org/officeDocument/2006/relationships/hyperlink" Target="https://www.sciencedirect.com/science/article/pii/S1876201821000575" TargetMode="External"/><Relationship Id="rId6" Type="http://schemas.openxmlformats.org/officeDocument/2006/relationships/hyperlink" Target="https://www.ncbi.nlm.nih.gov/pmc/articles/PMC4475542/" TargetMode="External"/><Relationship Id="rId7" Type="http://schemas.openxmlformats.org/officeDocument/2006/relationships/hyperlink" Target="https://www.sciencedirect.com/science/article/pii/S0272735822001271" TargetMode="External"/><Relationship Id="rId8" Type="http://schemas.openxmlformats.org/officeDocument/2006/relationships/hyperlink" Target="https://www.sciencedirect.com/science/article/pii/S0165178119316312" TargetMode="External"/><Relationship Id="rId9" Type="http://schemas.openxmlformats.org/officeDocument/2006/relationships/hyperlink" Target="https://www.nhs.uk/mental-health/conditions/schizophrenia/overview/" TargetMode="External"/><Relationship Id="rId10" Type="http://schemas.openxmlformats.org/officeDocument/2006/relationships/hyperlink" Target="https://www.ncbi.nlm.nih.gov/pmc/articles/PMC3835659/" TargetMode="External"/><Relationship Id="rId11" Type="http://schemas.openxmlformats.org/officeDocument/2006/relationships/hyperlink" Target="https://journals.sagepub.com/doi/epdf/10.1177/0020764010387062" TargetMode="External"/><Relationship Id="rId12" Type="http://schemas.openxmlformats.org/officeDocument/2006/relationships/hyperlink" Target="https://www.who.int/news-room/fact-sheets/detail/schizophrenia"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Application>Neat_Office/6.2.8.2$Windows_x86 LibreOffice_project/</Application>
  <Pages>7</Pages>
  <Words>2404</Words>
  <Characters>14487</Characters>
  <CharactersWithSpaces>16870</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2024-02-21T12:16:47Z</dcterms:created>
  <dc:creator>Ethan Dowey-Wadham (2104467)</dc:creator>
  <dc:description/>
  <dc:language>en-GB</dc:language>
  <cp:lastModifiedBy/>
  <dcterms:modified xsi:type="dcterms:W3CDTF">2024-02-26T18:32:29Z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