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9599D" w:rsidRPr="003B1DE0" w:rsidRDefault="0079599D">
      <w:pPr>
        <w:jc w:val="center"/>
        <w:rPr>
          <w:b/>
          <w:sz w:val="32"/>
          <w:szCs w:val="32"/>
          <w:highlight w:val="white"/>
        </w:rPr>
      </w:pPr>
    </w:p>
    <w:p w14:paraId="3BF8F836" w14:textId="09A86F1F" w:rsidR="00FA361E" w:rsidRPr="00FA361E" w:rsidRDefault="00FA361E" w:rsidP="00FA361E">
      <w:pPr>
        <w:spacing w:after="0" w:line="240" w:lineRule="auto"/>
        <w:jc w:val="center"/>
        <w:rPr>
          <w:lang w:eastAsia="en-GB"/>
        </w:rPr>
      </w:pPr>
      <w:r w:rsidRPr="00FA361E">
        <w:rPr>
          <w:lang w:eastAsia="en-GB"/>
        </w:rPr>
        <w:fldChar w:fldCharType="begin"/>
      </w:r>
      <w:r w:rsidRPr="00FA361E">
        <w:rPr>
          <w:lang w:eastAsia="en-GB"/>
        </w:rPr>
        <w:instrText xml:space="preserve"> INCLUDEPICTURE "/var/folders/n5/64c3yn0n4svdswx9ryn7969m0000gn/T/com.microsoft.Word/WebArchiveCopyPasteTempFiles/page1image53854416" \* MERGEFORMATINET </w:instrText>
      </w:r>
      <w:r w:rsidRPr="00FA361E">
        <w:rPr>
          <w:lang w:eastAsia="en-GB"/>
        </w:rPr>
        <w:fldChar w:fldCharType="separate"/>
      </w:r>
      <w:r w:rsidRPr="00FA361E">
        <w:rPr>
          <w:noProof/>
          <w:lang w:eastAsia="en-GB"/>
        </w:rPr>
        <w:drawing>
          <wp:inline distT="0" distB="0" distL="0" distR="0" wp14:anchorId="3D31D659" wp14:editId="5EEB7305">
            <wp:extent cx="1804670" cy="721995"/>
            <wp:effectExtent l="0" t="0" r="0" b="0"/>
            <wp:docPr id="1" name="Picture 1" descr="page1image5385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8544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A361E">
        <w:rPr>
          <w:lang w:eastAsia="en-GB"/>
        </w:rPr>
        <w:fldChar w:fldCharType="end"/>
      </w:r>
    </w:p>
    <w:p w14:paraId="00000002" w14:textId="77777777" w:rsidR="0079599D" w:rsidRPr="003B1DE0" w:rsidRDefault="0079599D">
      <w:pPr>
        <w:jc w:val="center"/>
        <w:rPr>
          <w:b/>
          <w:sz w:val="32"/>
          <w:szCs w:val="32"/>
          <w:highlight w:val="white"/>
        </w:rPr>
      </w:pPr>
    </w:p>
    <w:p w14:paraId="00000004" w14:textId="77777777" w:rsidR="0079599D" w:rsidRPr="003B1DE0" w:rsidRDefault="0079599D" w:rsidP="00FA361E">
      <w:pPr>
        <w:rPr>
          <w:b/>
          <w:sz w:val="32"/>
          <w:szCs w:val="32"/>
          <w:highlight w:val="white"/>
        </w:rPr>
      </w:pPr>
    </w:p>
    <w:p w14:paraId="00000005" w14:textId="77777777" w:rsidR="0079599D" w:rsidRPr="003B1DE0" w:rsidRDefault="0079599D">
      <w:pPr>
        <w:jc w:val="center"/>
        <w:rPr>
          <w:b/>
          <w:sz w:val="32"/>
          <w:szCs w:val="32"/>
          <w:highlight w:val="white"/>
        </w:rPr>
      </w:pPr>
    </w:p>
    <w:p w14:paraId="00000006" w14:textId="77777777" w:rsidR="0079599D" w:rsidRPr="003B1DE0" w:rsidRDefault="0079599D">
      <w:pPr>
        <w:jc w:val="center"/>
        <w:rPr>
          <w:b/>
          <w:sz w:val="32"/>
          <w:szCs w:val="32"/>
          <w:highlight w:val="white"/>
        </w:rPr>
      </w:pPr>
    </w:p>
    <w:p w14:paraId="00000007" w14:textId="77777777" w:rsidR="0079599D" w:rsidRPr="003B1DE0" w:rsidRDefault="0079599D">
      <w:pPr>
        <w:jc w:val="center"/>
        <w:rPr>
          <w:b/>
          <w:sz w:val="32"/>
          <w:szCs w:val="32"/>
          <w:highlight w:val="white"/>
        </w:rPr>
      </w:pPr>
    </w:p>
    <w:p w14:paraId="21B12227" w14:textId="77777777" w:rsidR="00FA361E" w:rsidRDefault="00A2402C">
      <w:pPr>
        <w:jc w:val="center"/>
        <w:rPr>
          <w:b/>
          <w:sz w:val="32"/>
          <w:szCs w:val="32"/>
        </w:rPr>
      </w:pPr>
      <w:r w:rsidRPr="003B1DE0">
        <w:rPr>
          <w:b/>
          <w:sz w:val="32"/>
          <w:szCs w:val="32"/>
          <w:highlight w:val="white"/>
        </w:rPr>
        <w:t>INTERNATIONAL FINANCIAL MANAGEMENT</w:t>
      </w:r>
    </w:p>
    <w:p w14:paraId="0269B037" w14:textId="1DBBA5BF" w:rsidR="00FA361E" w:rsidRDefault="00FA361E">
      <w:pPr>
        <w:jc w:val="center"/>
        <w:rPr>
          <w:b/>
          <w:sz w:val="32"/>
          <w:szCs w:val="32"/>
        </w:rPr>
      </w:pPr>
      <w:r>
        <w:rPr>
          <w:b/>
          <w:sz w:val="32"/>
          <w:szCs w:val="32"/>
        </w:rPr>
        <w:t>Assessment 1</w:t>
      </w:r>
    </w:p>
    <w:p w14:paraId="42D24DAE" w14:textId="18FAD605" w:rsidR="00FA361E" w:rsidRDefault="00FA361E">
      <w:pPr>
        <w:jc w:val="center"/>
        <w:rPr>
          <w:b/>
          <w:sz w:val="32"/>
          <w:szCs w:val="32"/>
        </w:rPr>
      </w:pPr>
    </w:p>
    <w:p w14:paraId="69F12E11" w14:textId="77777777" w:rsidR="00FA361E" w:rsidRDefault="00FA361E">
      <w:pPr>
        <w:jc w:val="center"/>
        <w:rPr>
          <w:b/>
          <w:sz w:val="32"/>
          <w:szCs w:val="32"/>
        </w:rPr>
      </w:pPr>
    </w:p>
    <w:p w14:paraId="7ACB85B7" w14:textId="77777777" w:rsidR="00FA361E" w:rsidRDefault="00FA361E" w:rsidP="00FA361E">
      <w:pPr>
        <w:jc w:val="right"/>
        <w:rPr>
          <w:b/>
          <w:sz w:val="32"/>
          <w:szCs w:val="32"/>
        </w:rPr>
      </w:pPr>
      <w:r>
        <w:rPr>
          <w:b/>
          <w:sz w:val="32"/>
          <w:szCs w:val="32"/>
        </w:rPr>
        <w:t>Student name: Oana Balaban (1911819)</w:t>
      </w:r>
    </w:p>
    <w:p w14:paraId="4DB9D676" w14:textId="77777777" w:rsidR="00FA361E" w:rsidRDefault="00FA361E" w:rsidP="00FA361E">
      <w:pPr>
        <w:jc w:val="right"/>
      </w:pPr>
    </w:p>
    <w:p w14:paraId="62EE8D0F" w14:textId="77777777" w:rsidR="00FA361E" w:rsidRDefault="00FA361E" w:rsidP="00FA361E">
      <w:pPr>
        <w:jc w:val="right"/>
      </w:pPr>
    </w:p>
    <w:p w14:paraId="2FE881EE" w14:textId="77777777" w:rsidR="00FA361E" w:rsidRDefault="00FA361E" w:rsidP="00FA361E">
      <w:pPr>
        <w:jc w:val="right"/>
      </w:pPr>
    </w:p>
    <w:p w14:paraId="30D03307" w14:textId="77777777" w:rsidR="00FA361E" w:rsidRDefault="00FA361E" w:rsidP="00FA361E">
      <w:pPr>
        <w:jc w:val="right"/>
      </w:pPr>
    </w:p>
    <w:p w14:paraId="00000008" w14:textId="34A0B1C0" w:rsidR="0079599D" w:rsidRPr="00FA361E" w:rsidRDefault="000106FE" w:rsidP="00FA361E">
      <w:pPr>
        <w:jc w:val="center"/>
        <w:rPr>
          <w:b/>
          <w:bCs/>
          <w:sz w:val="32"/>
          <w:szCs w:val="32"/>
        </w:rPr>
      </w:pPr>
      <w:r>
        <w:rPr>
          <w:b/>
          <w:bCs/>
          <w:sz w:val="32"/>
          <w:szCs w:val="32"/>
        </w:rPr>
        <w:t>May</w:t>
      </w:r>
      <w:r w:rsidR="00FA361E" w:rsidRPr="00FA361E">
        <w:rPr>
          <w:b/>
          <w:bCs/>
          <w:sz w:val="32"/>
          <w:szCs w:val="32"/>
        </w:rPr>
        <w:t xml:space="preserve"> 2022</w:t>
      </w:r>
      <w:r w:rsidR="00A2402C" w:rsidRPr="00FA361E">
        <w:rPr>
          <w:b/>
          <w:bCs/>
          <w:sz w:val="32"/>
          <w:szCs w:val="32"/>
        </w:rPr>
        <w:br w:type="page"/>
      </w:r>
    </w:p>
    <w:bookmarkStart w:id="0" w:name="_9jn71bsov7r6"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798821947"/>
        <w:docPartObj>
          <w:docPartGallery w:val="Table of Contents"/>
          <w:docPartUnique/>
        </w:docPartObj>
      </w:sdtPr>
      <w:sdtEndPr>
        <w:rPr>
          <w:b/>
          <w:bCs/>
          <w:noProof/>
        </w:rPr>
      </w:sdtEndPr>
      <w:sdtContent>
        <w:p w14:paraId="1D47BA30" w14:textId="75A4B29A" w:rsidR="00D21546" w:rsidRPr="003B1DE0" w:rsidRDefault="00D21546" w:rsidP="00D21546">
          <w:pPr>
            <w:pStyle w:val="TOCHeading"/>
            <w:spacing w:after="240" w:line="360" w:lineRule="auto"/>
            <w:jc w:val="center"/>
            <w:rPr>
              <w:rFonts w:ascii="Times New Roman" w:hAnsi="Times New Roman" w:cs="Times New Roman"/>
              <w:b/>
              <w:bCs/>
              <w:color w:val="auto"/>
              <w:sz w:val="28"/>
              <w:szCs w:val="28"/>
            </w:rPr>
          </w:pPr>
          <w:r w:rsidRPr="003B1DE0">
            <w:rPr>
              <w:rFonts w:ascii="Times New Roman" w:hAnsi="Times New Roman" w:cs="Times New Roman"/>
              <w:b/>
              <w:bCs/>
              <w:color w:val="auto"/>
              <w:sz w:val="28"/>
              <w:szCs w:val="28"/>
            </w:rPr>
            <w:t>Table of Contents</w:t>
          </w:r>
        </w:p>
        <w:p w14:paraId="39E108D1" w14:textId="0C972901" w:rsidR="00D21546" w:rsidRPr="003B1DE0" w:rsidRDefault="00D21546">
          <w:pPr>
            <w:pStyle w:val="TOC1"/>
            <w:tabs>
              <w:tab w:val="right" w:leader="dot" w:pos="9350"/>
            </w:tabs>
            <w:rPr>
              <w:noProof/>
            </w:rPr>
          </w:pPr>
          <w:r w:rsidRPr="003B1DE0">
            <w:fldChar w:fldCharType="begin"/>
          </w:r>
          <w:r w:rsidRPr="003B1DE0">
            <w:instrText xml:space="preserve"> TOC \o "1-3" \h \z \u </w:instrText>
          </w:r>
          <w:r w:rsidRPr="003B1DE0">
            <w:fldChar w:fldCharType="separate"/>
          </w:r>
          <w:hyperlink w:anchor="_Toc101376145" w:history="1">
            <w:r w:rsidRPr="003B1DE0">
              <w:rPr>
                <w:rStyle w:val="Hyperlink"/>
                <w:noProof/>
                <w:color w:val="auto"/>
              </w:rPr>
              <w:t>Introduction</w:t>
            </w:r>
            <w:r w:rsidRPr="003B1DE0">
              <w:rPr>
                <w:noProof/>
                <w:webHidden/>
              </w:rPr>
              <w:tab/>
            </w:r>
            <w:r w:rsidRPr="003B1DE0">
              <w:rPr>
                <w:noProof/>
                <w:webHidden/>
              </w:rPr>
              <w:fldChar w:fldCharType="begin"/>
            </w:r>
            <w:r w:rsidRPr="003B1DE0">
              <w:rPr>
                <w:noProof/>
                <w:webHidden/>
              </w:rPr>
              <w:instrText xml:space="preserve"> PAGEREF _Toc101376145 \h </w:instrText>
            </w:r>
            <w:r w:rsidRPr="003B1DE0">
              <w:rPr>
                <w:noProof/>
                <w:webHidden/>
              </w:rPr>
            </w:r>
            <w:r w:rsidRPr="003B1DE0">
              <w:rPr>
                <w:noProof/>
                <w:webHidden/>
              </w:rPr>
              <w:fldChar w:fldCharType="separate"/>
            </w:r>
            <w:r w:rsidR="009348C9">
              <w:rPr>
                <w:noProof/>
                <w:webHidden/>
              </w:rPr>
              <w:t>2</w:t>
            </w:r>
            <w:r w:rsidRPr="003B1DE0">
              <w:rPr>
                <w:noProof/>
                <w:webHidden/>
              </w:rPr>
              <w:fldChar w:fldCharType="end"/>
            </w:r>
          </w:hyperlink>
        </w:p>
        <w:p w14:paraId="091BF9FE" w14:textId="7B7A5C4C" w:rsidR="00D21546" w:rsidRPr="003B1DE0" w:rsidRDefault="00114A94">
          <w:pPr>
            <w:pStyle w:val="TOC1"/>
            <w:tabs>
              <w:tab w:val="right" w:leader="dot" w:pos="9350"/>
            </w:tabs>
            <w:rPr>
              <w:noProof/>
            </w:rPr>
          </w:pPr>
          <w:hyperlink w:anchor="_Toc101376146" w:history="1">
            <w:r w:rsidR="00D21546" w:rsidRPr="003B1DE0">
              <w:rPr>
                <w:rStyle w:val="Hyperlink"/>
                <w:noProof/>
                <w:color w:val="auto"/>
              </w:rPr>
              <w:t>“Critically analyse and evaluate the importance of international financial management (IFM) to the corporation”</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_Toc101376146 \h </w:instrText>
            </w:r>
            <w:r w:rsidR="00D21546" w:rsidRPr="003B1DE0">
              <w:rPr>
                <w:noProof/>
                <w:webHidden/>
              </w:rPr>
            </w:r>
            <w:r w:rsidR="00D21546" w:rsidRPr="003B1DE0">
              <w:rPr>
                <w:noProof/>
                <w:webHidden/>
              </w:rPr>
              <w:fldChar w:fldCharType="separate"/>
            </w:r>
            <w:r w:rsidR="009348C9">
              <w:rPr>
                <w:noProof/>
                <w:webHidden/>
              </w:rPr>
              <w:t>2</w:t>
            </w:r>
            <w:r w:rsidR="00D21546" w:rsidRPr="003B1DE0">
              <w:rPr>
                <w:noProof/>
                <w:webHidden/>
              </w:rPr>
              <w:fldChar w:fldCharType="end"/>
            </w:r>
          </w:hyperlink>
        </w:p>
        <w:p w14:paraId="1152445E" w14:textId="6987AE0D" w:rsidR="00D21546" w:rsidRPr="003B1DE0" w:rsidRDefault="00114A94">
          <w:pPr>
            <w:pStyle w:val="TOC1"/>
            <w:tabs>
              <w:tab w:val="right" w:leader="dot" w:pos="9350"/>
            </w:tabs>
            <w:rPr>
              <w:noProof/>
            </w:rPr>
          </w:pPr>
          <w:hyperlink w:anchor="_Toc101376147" w:history="1">
            <w:r w:rsidR="00D21546" w:rsidRPr="003B1DE0">
              <w:rPr>
                <w:rStyle w:val="Hyperlink"/>
                <w:noProof/>
                <w:color w:val="auto"/>
              </w:rPr>
              <w:t>“Challenges that the corporation may be experiencing in different international financial markets”</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_Toc101376147 \h </w:instrText>
            </w:r>
            <w:r w:rsidR="00D21546" w:rsidRPr="003B1DE0">
              <w:rPr>
                <w:noProof/>
                <w:webHidden/>
              </w:rPr>
            </w:r>
            <w:r w:rsidR="00D21546" w:rsidRPr="003B1DE0">
              <w:rPr>
                <w:noProof/>
                <w:webHidden/>
              </w:rPr>
              <w:fldChar w:fldCharType="separate"/>
            </w:r>
            <w:r w:rsidR="009348C9">
              <w:rPr>
                <w:noProof/>
                <w:webHidden/>
              </w:rPr>
              <w:t>3</w:t>
            </w:r>
            <w:r w:rsidR="00D21546" w:rsidRPr="003B1DE0">
              <w:rPr>
                <w:noProof/>
                <w:webHidden/>
              </w:rPr>
              <w:fldChar w:fldCharType="end"/>
            </w:r>
          </w:hyperlink>
        </w:p>
        <w:p w14:paraId="1C157B61" w14:textId="12ED09B5" w:rsidR="00D21546" w:rsidRPr="003B1DE0" w:rsidRDefault="00114A94">
          <w:pPr>
            <w:pStyle w:val="TOC1"/>
            <w:tabs>
              <w:tab w:val="right" w:leader="dot" w:pos="9350"/>
            </w:tabs>
            <w:rPr>
              <w:noProof/>
            </w:rPr>
          </w:pPr>
          <w:hyperlink w:anchor="_Toc101376148" w:history="1">
            <w:r w:rsidR="00D21546" w:rsidRPr="003B1DE0">
              <w:rPr>
                <w:rStyle w:val="Hyperlink"/>
                <w:noProof/>
                <w:color w:val="auto"/>
              </w:rPr>
              <w:t>“Critically analyse and evaluate your chosen multinational corporation’s dividend distribution policy”</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_Toc101376148 \h </w:instrText>
            </w:r>
            <w:r w:rsidR="00D21546" w:rsidRPr="003B1DE0">
              <w:rPr>
                <w:noProof/>
                <w:webHidden/>
              </w:rPr>
            </w:r>
            <w:r w:rsidR="00D21546" w:rsidRPr="003B1DE0">
              <w:rPr>
                <w:noProof/>
                <w:webHidden/>
              </w:rPr>
              <w:fldChar w:fldCharType="separate"/>
            </w:r>
            <w:r w:rsidR="009348C9">
              <w:rPr>
                <w:noProof/>
                <w:webHidden/>
              </w:rPr>
              <w:t>3</w:t>
            </w:r>
            <w:r w:rsidR="00D21546" w:rsidRPr="003B1DE0">
              <w:rPr>
                <w:noProof/>
                <w:webHidden/>
              </w:rPr>
              <w:fldChar w:fldCharType="end"/>
            </w:r>
          </w:hyperlink>
        </w:p>
        <w:p w14:paraId="7F2AF8AC" w14:textId="1C11E522" w:rsidR="00D21546" w:rsidRPr="003B1DE0" w:rsidRDefault="00114A94">
          <w:pPr>
            <w:pStyle w:val="TOC1"/>
            <w:tabs>
              <w:tab w:val="right" w:leader="dot" w:pos="9350"/>
            </w:tabs>
            <w:rPr>
              <w:noProof/>
            </w:rPr>
          </w:pPr>
          <w:hyperlink w:anchor="_Toc101376149" w:history="1">
            <w:r w:rsidR="00D21546" w:rsidRPr="003B1DE0">
              <w:rPr>
                <w:rStyle w:val="Hyperlink"/>
                <w:noProof/>
                <w:color w:val="auto"/>
              </w:rPr>
              <w:t>“Critically analyse the efficient market hypothesis theory in the context of your chosen multinational corporation’s operations”</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_Toc101376149 \h </w:instrText>
            </w:r>
            <w:r w:rsidR="00D21546" w:rsidRPr="003B1DE0">
              <w:rPr>
                <w:noProof/>
                <w:webHidden/>
              </w:rPr>
            </w:r>
            <w:r w:rsidR="00D21546" w:rsidRPr="003B1DE0">
              <w:rPr>
                <w:noProof/>
                <w:webHidden/>
              </w:rPr>
              <w:fldChar w:fldCharType="separate"/>
            </w:r>
            <w:r w:rsidR="009348C9">
              <w:rPr>
                <w:noProof/>
                <w:webHidden/>
              </w:rPr>
              <w:t>4</w:t>
            </w:r>
            <w:r w:rsidR="00D21546" w:rsidRPr="003B1DE0">
              <w:rPr>
                <w:noProof/>
                <w:webHidden/>
              </w:rPr>
              <w:fldChar w:fldCharType="end"/>
            </w:r>
          </w:hyperlink>
        </w:p>
        <w:p w14:paraId="2E92E6C8" w14:textId="07A2EBCF" w:rsidR="00D21546" w:rsidRPr="003B1DE0" w:rsidRDefault="00114A94">
          <w:pPr>
            <w:pStyle w:val="TOC1"/>
            <w:tabs>
              <w:tab w:val="right" w:leader="dot" w:pos="9350"/>
            </w:tabs>
            <w:rPr>
              <w:noProof/>
            </w:rPr>
          </w:pPr>
          <w:hyperlink w:anchor="_Toc101376150" w:history="1">
            <w:r w:rsidR="00D21546" w:rsidRPr="003B1DE0">
              <w:rPr>
                <w:rStyle w:val="Hyperlink"/>
                <w:noProof/>
                <w:color w:val="auto"/>
              </w:rPr>
              <w:t>“Critically analyse and evaluate your chosen multinational corporation’s methods of appraising projects”</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_Toc101376150 \h </w:instrText>
            </w:r>
            <w:r w:rsidR="00D21546" w:rsidRPr="003B1DE0">
              <w:rPr>
                <w:noProof/>
                <w:webHidden/>
              </w:rPr>
            </w:r>
            <w:r w:rsidR="00D21546" w:rsidRPr="003B1DE0">
              <w:rPr>
                <w:noProof/>
                <w:webHidden/>
              </w:rPr>
              <w:fldChar w:fldCharType="separate"/>
            </w:r>
            <w:r w:rsidR="009348C9">
              <w:rPr>
                <w:noProof/>
                <w:webHidden/>
              </w:rPr>
              <w:t>5</w:t>
            </w:r>
            <w:r w:rsidR="00D21546" w:rsidRPr="003B1DE0">
              <w:rPr>
                <w:noProof/>
                <w:webHidden/>
              </w:rPr>
              <w:fldChar w:fldCharType="end"/>
            </w:r>
          </w:hyperlink>
        </w:p>
        <w:p w14:paraId="54AC49B7" w14:textId="722F48E2" w:rsidR="00D21546" w:rsidRPr="003B1DE0" w:rsidRDefault="00114A94">
          <w:pPr>
            <w:pStyle w:val="TOC1"/>
            <w:tabs>
              <w:tab w:val="right" w:leader="dot" w:pos="9350"/>
            </w:tabs>
            <w:rPr>
              <w:noProof/>
            </w:rPr>
          </w:pPr>
          <w:hyperlink w:anchor="_Toc101376151" w:history="1">
            <w:r w:rsidR="00D21546" w:rsidRPr="003B1DE0">
              <w:rPr>
                <w:rStyle w:val="Hyperlink"/>
                <w:noProof/>
                <w:color w:val="auto"/>
              </w:rPr>
              <w:t>Conclusion</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_Toc101376151 \h </w:instrText>
            </w:r>
            <w:r w:rsidR="00D21546" w:rsidRPr="003B1DE0">
              <w:rPr>
                <w:noProof/>
                <w:webHidden/>
              </w:rPr>
            </w:r>
            <w:r w:rsidR="00D21546" w:rsidRPr="003B1DE0">
              <w:rPr>
                <w:noProof/>
                <w:webHidden/>
              </w:rPr>
              <w:fldChar w:fldCharType="separate"/>
            </w:r>
            <w:r w:rsidR="009348C9">
              <w:rPr>
                <w:noProof/>
                <w:webHidden/>
              </w:rPr>
              <w:t>5</w:t>
            </w:r>
            <w:r w:rsidR="00D21546" w:rsidRPr="003B1DE0">
              <w:rPr>
                <w:noProof/>
                <w:webHidden/>
              </w:rPr>
              <w:fldChar w:fldCharType="end"/>
            </w:r>
          </w:hyperlink>
        </w:p>
        <w:p w14:paraId="7094E11F" w14:textId="610365C9" w:rsidR="00D21546" w:rsidRPr="003B1DE0" w:rsidRDefault="00114A94">
          <w:pPr>
            <w:pStyle w:val="TOC1"/>
            <w:tabs>
              <w:tab w:val="right" w:leader="dot" w:pos="9350"/>
            </w:tabs>
            <w:rPr>
              <w:noProof/>
            </w:rPr>
          </w:pPr>
          <w:hyperlink w:anchor="_Toc101376152" w:history="1">
            <w:r w:rsidR="00D21546" w:rsidRPr="003B1DE0">
              <w:rPr>
                <w:rStyle w:val="Hyperlink"/>
                <w:noProof/>
                <w:color w:val="auto"/>
              </w:rPr>
              <w:t>References</w:t>
            </w:r>
            <w:r w:rsidR="00D21546" w:rsidRPr="003B1DE0">
              <w:rPr>
                <w:noProof/>
                <w:webHidden/>
              </w:rPr>
              <w:tab/>
            </w:r>
            <w:r w:rsidR="00D21546" w:rsidRPr="003B1DE0">
              <w:rPr>
                <w:noProof/>
                <w:webHidden/>
              </w:rPr>
              <w:fldChar w:fldCharType="begin"/>
            </w:r>
            <w:r w:rsidR="00D21546" w:rsidRPr="003B1DE0">
              <w:rPr>
                <w:noProof/>
                <w:webHidden/>
              </w:rPr>
              <w:instrText xml:space="preserve"> PAGEREF _Toc101376152 \h </w:instrText>
            </w:r>
            <w:r w:rsidR="00D21546" w:rsidRPr="003B1DE0">
              <w:rPr>
                <w:noProof/>
                <w:webHidden/>
              </w:rPr>
            </w:r>
            <w:r w:rsidR="00D21546" w:rsidRPr="003B1DE0">
              <w:rPr>
                <w:noProof/>
                <w:webHidden/>
              </w:rPr>
              <w:fldChar w:fldCharType="separate"/>
            </w:r>
            <w:r w:rsidR="009348C9">
              <w:rPr>
                <w:noProof/>
                <w:webHidden/>
              </w:rPr>
              <w:t>7</w:t>
            </w:r>
            <w:r w:rsidR="00D21546" w:rsidRPr="003B1DE0">
              <w:rPr>
                <w:noProof/>
                <w:webHidden/>
              </w:rPr>
              <w:fldChar w:fldCharType="end"/>
            </w:r>
          </w:hyperlink>
        </w:p>
        <w:p w14:paraId="63BE79C2" w14:textId="0293A81B" w:rsidR="00D21546" w:rsidRPr="003B1DE0" w:rsidRDefault="00D21546">
          <w:r w:rsidRPr="003B1DE0">
            <w:rPr>
              <w:b/>
              <w:bCs/>
              <w:noProof/>
            </w:rPr>
            <w:fldChar w:fldCharType="end"/>
          </w:r>
        </w:p>
      </w:sdtContent>
    </w:sdt>
    <w:p w14:paraId="10C1BE9E" w14:textId="7AECA184" w:rsidR="00D21546" w:rsidRPr="003B1DE0" w:rsidRDefault="00D21546">
      <w:pPr>
        <w:rPr>
          <w:b/>
          <w:sz w:val="28"/>
          <w:szCs w:val="28"/>
        </w:rPr>
      </w:pPr>
      <w:r w:rsidRPr="003B1DE0">
        <w:br w:type="page"/>
      </w:r>
    </w:p>
    <w:p w14:paraId="00000009" w14:textId="57818D8A" w:rsidR="0079599D" w:rsidRPr="003B1DE0" w:rsidRDefault="00A2402C" w:rsidP="0079450A">
      <w:pPr>
        <w:pStyle w:val="Heading1"/>
        <w:jc w:val="center"/>
      </w:pPr>
      <w:bookmarkStart w:id="1" w:name="_Toc101376145"/>
      <w:r w:rsidRPr="003B1DE0">
        <w:lastRenderedPageBreak/>
        <w:t>Introduction</w:t>
      </w:r>
      <w:bookmarkEnd w:id="1"/>
    </w:p>
    <w:p w14:paraId="0000000A" w14:textId="77777777" w:rsidR="0079599D" w:rsidRPr="003B1DE0" w:rsidRDefault="00A2402C" w:rsidP="0079450A">
      <w:pPr>
        <w:ind w:firstLine="720"/>
      </w:pPr>
      <w:r w:rsidRPr="003B1DE0">
        <w:t xml:space="preserve">International financial management (IFM) refers to the management of finance of a business firm in an international business environment in terms of operating the business and making a profit through earning foreign currency. This essay is going to critically evaluate and analyse the importance of IFM in Sainsbury’s along with discussing potential challenges that the chosen organisation is facing in various international financial markets. Moreover, this essay will critically evaluate the dividend distribution policy of the selected business firm. In addition to that, this essay will analyse efficient market hypothesis theories and project appraisal methods in the context of the chosen organisation. </w:t>
      </w:r>
    </w:p>
    <w:p w14:paraId="0000000B" w14:textId="201FD175" w:rsidR="0079599D" w:rsidRPr="003B1DE0" w:rsidRDefault="00A2402C" w:rsidP="0079450A">
      <w:pPr>
        <w:pStyle w:val="Heading1"/>
        <w:spacing w:before="240" w:after="240"/>
        <w:jc w:val="center"/>
      </w:pPr>
      <w:bookmarkStart w:id="2" w:name="_czx5el3sh16x" w:colFirst="0" w:colLast="0"/>
      <w:bookmarkStart w:id="3" w:name="_Toc101376146"/>
      <w:bookmarkEnd w:id="2"/>
      <w:r w:rsidRPr="003B1DE0">
        <w:t>“Critically analyse and evaluate the importance of international financial management (IFM) to the corporation”</w:t>
      </w:r>
      <w:bookmarkEnd w:id="3"/>
    </w:p>
    <w:p w14:paraId="0000000C" w14:textId="77777777" w:rsidR="0079599D" w:rsidRPr="003B1DE0" w:rsidRDefault="00A2402C" w:rsidP="0079450A">
      <w:pPr>
        <w:ind w:firstLine="720"/>
      </w:pPr>
      <w:r w:rsidRPr="003B1DE0">
        <w:t xml:space="preserve">International financial management (IFM) is important to be understood thoroughly by the business operators in a business firm as it plays a pivotal role in overseas business practices in terms of sharing resources, goods and services among different countries. International finance helps Sainsbury's </w:t>
      </w:r>
      <w:r w:rsidRPr="003B1DE0">
        <w:rPr>
          <w:b/>
          <w:i/>
        </w:rPr>
        <w:t xml:space="preserve">to calculate the exchange rates of different currencies </w:t>
      </w:r>
      <w:r w:rsidRPr="003B1DE0">
        <w:t xml:space="preserve">used in various countries as well as to figure out the worth of these nations in terms of respective currencies. Activities of international finance management help this business firm to involve international dealings with overseas stakeholders such as suppliers, customers etc. (Madura, 2020). The IFM is also effective in the </w:t>
      </w:r>
      <w:r w:rsidRPr="003B1DE0">
        <w:rPr>
          <w:b/>
          <w:i/>
        </w:rPr>
        <w:t xml:space="preserve">comparison process of the inflation rates </w:t>
      </w:r>
      <w:r w:rsidRPr="003B1DE0">
        <w:t>in various countries to get an understanding of the risk or profitability factors for</w:t>
      </w:r>
      <w:r w:rsidRPr="003B1DE0">
        <w:rPr>
          <w:b/>
          <w:i/>
        </w:rPr>
        <w:t xml:space="preserve"> investing in various “international debt securities”</w:t>
      </w:r>
      <w:r w:rsidRPr="003B1DE0">
        <w:t xml:space="preserve">. This understanding helps Sainsbury's ascertain the economic status of different countries so that it can judge the foreign market in terms of seeking a competitive advantage or profitability scopes before or during conducting international trading. Sainsbury's has been able to </w:t>
      </w:r>
      <w:r w:rsidRPr="003B1DE0">
        <w:rPr>
          <w:b/>
          <w:i/>
        </w:rPr>
        <w:t xml:space="preserve">earn 2904.8 crores GBP </w:t>
      </w:r>
      <w:r w:rsidRPr="003B1DE0">
        <w:t xml:space="preserve">from international trading which is </w:t>
      </w:r>
      <w:r w:rsidRPr="003B1DE0">
        <w:rPr>
          <w:b/>
          <w:i/>
        </w:rPr>
        <w:t xml:space="preserve">5.3% up accounting for 15.7 billion British pounds </w:t>
      </w:r>
      <w:r w:rsidRPr="003B1DE0">
        <w:t>in 2021 (Williams-Grut, 2021). IFM also helps this business firm to compare the financial statements of different countries through “</w:t>
      </w:r>
      <w:r w:rsidRPr="003B1DE0">
        <w:rPr>
          <w:b/>
          <w:i/>
        </w:rPr>
        <w:t>International Financing Reporting Systems (IFRS)”</w:t>
      </w:r>
      <w:r w:rsidRPr="003B1DE0">
        <w:t xml:space="preserve">. As illustrated by Malo-Alain </w:t>
      </w:r>
      <w:r w:rsidRPr="003B1DE0">
        <w:rPr>
          <w:i/>
        </w:rPr>
        <w:t xml:space="preserve">et al. </w:t>
      </w:r>
      <w:r w:rsidRPr="003B1DE0">
        <w:t xml:space="preserve">(2021), these IFRS also help in improving the efficiency of business decisions regarding investment as it is connected to both liquidity and profit quality in a business.   </w:t>
      </w:r>
    </w:p>
    <w:p w14:paraId="0000000D" w14:textId="7FB345AC" w:rsidR="0079599D" w:rsidRPr="003B1DE0" w:rsidRDefault="00A2402C" w:rsidP="0079450A">
      <w:pPr>
        <w:pStyle w:val="Heading1"/>
        <w:spacing w:before="240" w:after="240"/>
        <w:jc w:val="center"/>
      </w:pPr>
      <w:bookmarkStart w:id="4" w:name="_1soigdesve97" w:colFirst="0" w:colLast="0"/>
      <w:bookmarkStart w:id="5" w:name="_Toc101376147"/>
      <w:bookmarkEnd w:id="4"/>
      <w:r w:rsidRPr="003B1DE0">
        <w:lastRenderedPageBreak/>
        <w:t>“Challenges that the corporation may be experiencing in different international financial markets”</w:t>
      </w:r>
      <w:bookmarkEnd w:id="5"/>
    </w:p>
    <w:p w14:paraId="0000000E" w14:textId="77777777" w:rsidR="0079599D" w:rsidRPr="003B1DE0" w:rsidRDefault="00A2402C" w:rsidP="0079450A">
      <w:pPr>
        <w:ind w:firstLine="720"/>
      </w:pPr>
      <w:r w:rsidRPr="003B1DE0">
        <w:t xml:space="preserve">The international market mainly focuses on the activities related to the marketing that mainly focuses on the business which is across the globe (Hashemkhani Zolfani </w:t>
      </w:r>
      <w:r w:rsidRPr="003B1DE0">
        <w:rPr>
          <w:i/>
        </w:rPr>
        <w:t>et al.</w:t>
      </w:r>
      <w:r w:rsidRPr="003B1DE0">
        <w:t xml:space="preserve"> 2021).  The activities that are included in the international market includes issues in finance, export and licencing. In this analysis, the market of the finance will be evaluated for the company Sainsbury. The use of the relevant application has been provided and through it, the analysis can be done in a more proper way. </w:t>
      </w:r>
    </w:p>
    <w:p w14:paraId="0000000F" w14:textId="3AD30AAF" w:rsidR="0079599D" w:rsidRPr="003B1DE0" w:rsidRDefault="00A2402C" w:rsidP="0079450A">
      <w:pPr>
        <w:ind w:firstLine="720"/>
      </w:pPr>
      <w:r w:rsidRPr="003B1DE0">
        <w:rPr>
          <w:b/>
          <w:i/>
        </w:rPr>
        <w:t xml:space="preserve">Protection regarding natural resources: </w:t>
      </w:r>
      <w:r w:rsidRPr="003B1DE0">
        <w:t xml:space="preserve">The enhancement of finance in the international market leads to problems with resources (Bouw, 2021).  As a result, a company may face a huge problem with the control of the collection of resources. The sustainability of the company will decrease leading to a huge disadvantage and in this case, Sainsbury may face a problem. The presence of the resources in the finance includes the aspect of investing and other sources which are necessary for making the stock market </w:t>
      </w:r>
      <w:r w:rsidR="00CE03BB" w:rsidRPr="003B1DE0">
        <w:t>stronger</w:t>
      </w:r>
      <w:r w:rsidRPr="003B1DE0">
        <w:t xml:space="preserve">. Hence, the challenge that Sainsbury can face is regarding the loss of resources leading to a major loss for the company. </w:t>
      </w:r>
    </w:p>
    <w:p w14:paraId="00000010" w14:textId="77777777" w:rsidR="0079599D" w:rsidRPr="003B1DE0" w:rsidRDefault="00A2402C" w:rsidP="0079450A">
      <w:pPr>
        <w:ind w:firstLine="720"/>
      </w:pPr>
      <w:r w:rsidRPr="003B1DE0">
        <w:rPr>
          <w:b/>
          <w:i/>
        </w:rPr>
        <w:t xml:space="preserve">Currencies: </w:t>
      </w:r>
      <w:r w:rsidRPr="003B1DE0">
        <w:t xml:space="preserve">The value of the money decreases with time through which the capital of the market can drop leading to a major loss for a company (Basri </w:t>
      </w:r>
      <w:r w:rsidRPr="003B1DE0">
        <w:rPr>
          <w:i/>
        </w:rPr>
        <w:t>et al.</w:t>
      </w:r>
      <w:r w:rsidRPr="003B1DE0">
        <w:t xml:space="preserve"> 2019).  As a result, if the company Sainsbury invests in another country and if the value of the money decreases for the country it will lead to an economic loss for the company Sainsbury. </w:t>
      </w:r>
    </w:p>
    <w:p w14:paraId="00000011" w14:textId="1B84E554" w:rsidR="0079599D" w:rsidRPr="003B1DE0" w:rsidRDefault="00A2402C" w:rsidP="0079450A">
      <w:pPr>
        <w:pStyle w:val="Heading1"/>
        <w:spacing w:before="240" w:after="240"/>
        <w:jc w:val="center"/>
      </w:pPr>
      <w:bookmarkStart w:id="6" w:name="_75bfzgd4ijbl" w:colFirst="0" w:colLast="0"/>
      <w:bookmarkStart w:id="7" w:name="_Toc101376148"/>
      <w:bookmarkEnd w:id="6"/>
      <w:r w:rsidRPr="003B1DE0">
        <w:t>“Critically analyse and evaluate your chosen multinational corporation’s dividend distribution policy”</w:t>
      </w:r>
      <w:bookmarkEnd w:id="7"/>
    </w:p>
    <w:p w14:paraId="00000012" w14:textId="748955F7" w:rsidR="0079599D" w:rsidRPr="003B1DE0" w:rsidRDefault="00A2402C" w:rsidP="0079450A">
      <w:pPr>
        <w:ind w:firstLine="720"/>
      </w:pPr>
      <w:r w:rsidRPr="003B1DE0">
        <w:t xml:space="preserve">The dividend distribution policy of Sainsbury's is determined and managed by distributing company profits among various shareholders in form of dividends. The Board of directors in Sainsbury's decide the amount and frequency per share of dividend payments (Sainsbury, 2022). An interim dividend is generally paid by this business firm in December of each year and a final dividend of one year is paid in July of the next financial year. This business firm has </w:t>
      </w:r>
      <w:r w:rsidRPr="003B1DE0">
        <w:rPr>
          <w:b/>
          <w:i/>
        </w:rPr>
        <w:t xml:space="preserve">paid 3.20 GBP as a half-yearly dividend on 17 December 2021 and 7.40 GBP as an annual dividend </w:t>
      </w:r>
      <w:r w:rsidRPr="003B1DE0">
        <w:t xml:space="preserve">on 16th July 2021 (Sainsbury, 2022). This organisation has developed a </w:t>
      </w:r>
      <w:r w:rsidRPr="003B1DE0">
        <w:rPr>
          <w:b/>
          <w:i/>
        </w:rPr>
        <w:t xml:space="preserve">“Dividend Reinvestment </w:t>
      </w:r>
      <w:r w:rsidRPr="003B1DE0">
        <w:rPr>
          <w:b/>
          <w:i/>
        </w:rPr>
        <w:lastRenderedPageBreak/>
        <w:t xml:space="preserve">Plan (DRIP)” </w:t>
      </w:r>
      <w:r w:rsidRPr="003B1DE0">
        <w:t xml:space="preserve">that allows its various stakeholders to reinvest their dividend cash in the company shares. A specially arranged share dealing service buys these shares in the market instantly. The </w:t>
      </w:r>
      <w:r w:rsidRPr="003B1DE0">
        <w:rPr>
          <w:b/>
          <w:i/>
        </w:rPr>
        <w:t>payment method of these dividends</w:t>
      </w:r>
      <w:r w:rsidRPr="003B1DE0">
        <w:t xml:space="preserve"> was through cheques earlier, however, the company has announced that no dividends will be paid through cheques after December 2021, rather, they will be allocated </w:t>
      </w:r>
      <w:r w:rsidRPr="003B1DE0">
        <w:rPr>
          <w:b/>
          <w:i/>
        </w:rPr>
        <w:t xml:space="preserve">directly to the building society accounts or bank accounts </w:t>
      </w:r>
      <w:r w:rsidRPr="003B1DE0">
        <w:t>of the shareholders. The reinvestment price as per the DRIP rate was</w:t>
      </w:r>
      <w:r w:rsidRPr="003B1DE0">
        <w:rPr>
          <w:b/>
          <w:i/>
        </w:rPr>
        <w:t xml:space="preserve"> 2.854175 British pounds on 16th July 2021</w:t>
      </w:r>
      <w:r w:rsidRPr="003B1DE0">
        <w:t xml:space="preserve"> (Sainsbury, 2022). Sainsbury's warns its employees to ensure the reinvestment of dividends is restricted to one company only and profit or risk factors of reinvesting their shares as the value and price of any investment may fluctuate at any time. They also suggest consulting independent authorised financial advisors before investing their shares. This business firm also sends out an </w:t>
      </w:r>
      <w:r w:rsidRPr="003B1DE0">
        <w:rPr>
          <w:b/>
          <w:i/>
        </w:rPr>
        <w:t>Annual Dividend Confirmation (ADC)</w:t>
      </w:r>
      <w:r w:rsidRPr="003B1DE0">
        <w:t xml:space="preserve"> once a year on the process of dividend payments including details of all payments that are made throughout that year (Sainsbury, 2022). </w:t>
      </w:r>
    </w:p>
    <w:p w14:paraId="00000013" w14:textId="545E7525" w:rsidR="0079599D" w:rsidRPr="003B1DE0" w:rsidRDefault="00A2402C" w:rsidP="0079450A">
      <w:pPr>
        <w:pStyle w:val="Heading1"/>
        <w:spacing w:before="240" w:after="240"/>
        <w:jc w:val="center"/>
      </w:pPr>
      <w:bookmarkStart w:id="8" w:name="_8er0yhryijis" w:colFirst="0" w:colLast="0"/>
      <w:bookmarkStart w:id="9" w:name="_Toc101376149"/>
      <w:bookmarkEnd w:id="8"/>
      <w:r w:rsidRPr="003B1DE0">
        <w:t>“Critically analyse the efficient market hypothesis theory in the context of your chosen multinational corporation’s operations”</w:t>
      </w:r>
      <w:bookmarkEnd w:id="9"/>
    </w:p>
    <w:p w14:paraId="00000014" w14:textId="1F9760D7" w:rsidR="0079599D" w:rsidRPr="003B1DE0" w:rsidRDefault="00A2402C" w:rsidP="0079450A">
      <w:pPr>
        <w:ind w:firstLine="720"/>
      </w:pPr>
      <w:r w:rsidRPr="003B1DE0">
        <w:t xml:space="preserve">Efficient Market hypothesis Theory (EMH), which is commonly known as the efficient market theory is a hypothesis that illustrates that the share prices cannot reflect all information. As per this theory, stocks are always being traded as per the fair exchange values making selling stocks at inflated prices or purchasing undervalued stocks for the market investors. The EMH hypothesis illustrates that investors are benefitted from a passive portfolio in which they get a profit by investing at a lower cost (Rossi and Gunardi, 2018). However, this framework is disputed and thus highly controversial. As financial </w:t>
      </w:r>
      <w:r w:rsidR="00CE03BB" w:rsidRPr="003B1DE0">
        <w:t>specialists’</w:t>
      </w:r>
      <w:r w:rsidRPr="003B1DE0">
        <w:t xml:space="preserve"> comment that it is impossible to predict market trends in terms of guessing the timing of value rise or to find out undervalued stocks. This theory indicates that it is impossible for the finance professionals as well as all employees who reinvest their dividends in the market share of this particular firm to predict the market trend. This reveals a high chance of potential risks for getting lower values in return for their investments.</w:t>
      </w:r>
    </w:p>
    <w:p w14:paraId="00000015" w14:textId="77777777" w:rsidR="0079599D" w:rsidRPr="003B1DE0" w:rsidRDefault="00A2402C" w:rsidP="0079450A">
      <w:pPr>
        <w:ind w:firstLine="720"/>
      </w:pPr>
      <w:r w:rsidRPr="003B1DE0">
        <w:t xml:space="preserve">The </w:t>
      </w:r>
      <w:r w:rsidRPr="003B1DE0">
        <w:rPr>
          <w:b/>
          <w:i/>
        </w:rPr>
        <w:t>Purchasing Power Parity theory (PPP)</w:t>
      </w:r>
      <w:r w:rsidRPr="003B1DE0">
        <w:t xml:space="preserve"> is another efficient finance theory on international trading that can be aligned with this chosen business organisation. This theory illustrates that the exchange rate between the currencies of different nations remains in equilibrium in the cases of having the equal purchasing power of those two countries. This indicates that </w:t>
      </w:r>
      <w:r w:rsidRPr="003B1DE0">
        <w:lastRenderedPageBreak/>
        <w:t xml:space="preserve">Sainsbury's needs to consider the price levels and purchasing powers of the countries with whom it operates overseas business deals. As opined by Ang </w:t>
      </w:r>
      <w:r w:rsidRPr="003B1DE0">
        <w:rPr>
          <w:i/>
        </w:rPr>
        <w:t xml:space="preserve">et al. </w:t>
      </w:r>
      <w:r w:rsidRPr="003B1DE0">
        <w:t xml:space="preserve">(2021), this PPP theory is based on the </w:t>
      </w:r>
      <w:r w:rsidRPr="003B1DE0">
        <w:rPr>
          <w:b/>
          <w:i/>
        </w:rPr>
        <w:t>“law of one price</w:t>
      </w:r>
      <w:r w:rsidRPr="003B1DE0">
        <w:t xml:space="preserve">” that determines reducing the exchange rates when a country faces inflation or the domestic price level increases. </w:t>
      </w:r>
    </w:p>
    <w:p w14:paraId="00000016" w14:textId="46C0FE08" w:rsidR="0079599D" w:rsidRPr="003B1DE0" w:rsidRDefault="00A2402C" w:rsidP="0079450A">
      <w:pPr>
        <w:pStyle w:val="Heading1"/>
        <w:spacing w:before="240" w:after="240"/>
        <w:jc w:val="center"/>
      </w:pPr>
      <w:bookmarkStart w:id="10" w:name="_ui0e7vh8q5i9" w:colFirst="0" w:colLast="0"/>
      <w:bookmarkStart w:id="11" w:name="_Toc101376150"/>
      <w:bookmarkEnd w:id="10"/>
      <w:r w:rsidRPr="003B1DE0">
        <w:t>“Critically analyse and evaluate your chosen multinational corporation’s methods of appraising projects”</w:t>
      </w:r>
      <w:bookmarkEnd w:id="11"/>
    </w:p>
    <w:p w14:paraId="00000017" w14:textId="378425FE" w:rsidR="0079599D" w:rsidRPr="003B1DE0" w:rsidRDefault="00A2402C" w:rsidP="0079450A">
      <w:pPr>
        <w:ind w:firstLine="720"/>
      </w:pPr>
      <w:r w:rsidRPr="003B1DE0">
        <w:t xml:space="preserve">The method of appraisal used by Sainsbury includes the application of cost-benefit analysis, capital project appraisal, and Net present value (Sainsbury, 2021). These are the main factors that are included in the company and they will be evaluated in this part. </w:t>
      </w:r>
    </w:p>
    <w:p w14:paraId="00000018" w14:textId="5583DFA0" w:rsidR="0079599D" w:rsidRPr="003B1DE0" w:rsidRDefault="00A2402C" w:rsidP="000106FE">
      <w:pPr>
        <w:ind w:firstLine="720"/>
      </w:pPr>
      <w:r w:rsidRPr="003B1DE0">
        <w:rPr>
          <w:b/>
          <w:i/>
        </w:rPr>
        <w:t>Cost-benefit analysis:</w:t>
      </w:r>
      <w:r w:rsidRPr="003B1DE0">
        <w:t xml:space="preserve"> The main importance of the cost-benefit analysis is that the benefits and issues can be identified and through it, the extra costs can be rectified (Turečková and Nevima, 2020) This method is used by the company Sainsbury through which the company has also become </w:t>
      </w:r>
      <w:r w:rsidR="00CE03BB" w:rsidRPr="003B1DE0">
        <w:t>stronger</w:t>
      </w:r>
      <w:r w:rsidRPr="003B1DE0">
        <w:t xml:space="preserve"> and the unnecessary costs have also been evaluated.</w:t>
      </w:r>
    </w:p>
    <w:p w14:paraId="00000019" w14:textId="77777777" w:rsidR="0079599D" w:rsidRPr="003B1DE0" w:rsidRDefault="00A2402C" w:rsidP="000106FE">
      <w:pPr>
        <w:ind w:firstLine="720"/>
      </w:pPr>
      <w:r w:rsidRPr="003B1DE0">
        <w:rPr>
          <w:b/>
          <w:i/>
        </w:rPr>
        <w:t xml:space="preserve">Capital project appraisal: </w:t>
      </w:r>
      <w:r w:rsidRPr="003B1DE0">
        <w:t xml:space="preserve">The capital project appraisal is a type of budgeting made by the organization through which the investment can be done. Sainsbury through the use of the application has achieved the goals set up by them and hence it has also been a major factor in its success. </w:t>
      </w:r>
    </w:p>
    <w:p w14:paraId="0000001A" w14:textId="77777777" w:rsidR="0079599D" w:rsidRPr="003B1DE0" w:rsidRDefault="00A2402C" w:rsidP="000106FE">
      <w:pPr>
        <w:ind w:firstLine="720"/>
      </w:pPr>
      <w:r w:rsidRPr="003B1DE0">
        <w:t xml:space="preserve">Cost-benefit analysis has been the best method as it has the ability to make an analysis of the extra costs of the company. On the other hand, the cost-benefit analysis doesn't have the ability to evaluate the inflation rates. </w:t>
      </w:r>
    </w:p>
    <w:p w14:paraId="572BB2C8" w14:textId="13CFD3DE" w:rsidR="0079450A" w:rsidRDefault="0079450A" w:rsidP="000106FE">
      <w:pPr>
        <w:pStyle w:val="Heading1"/>
      </w:pPr>
      <w:bookmarkStart w:id="12" w:name="_jx48sv6k8h22" w:colFirst="0" w:colLast="0"/>
      <w:bookmarkStart w:id="13" w:name="_Toc101376151"/>
      <w:bookmarkEnd w:id="12"/>
    </w:p>
    <w:p w14:paraId="26FF9935" w14:textId="77777777" w:rsidR="000106FE" w:rsidRPr="000106FE" w:rsidRDefault="000106FE" w:rsidP="000106FE"/>
    <w:p w14:paraId="5A7E18AC" w14:textId="77777777" w:rsidR="0079450A" w:rsidRDefault="0079450A" w:rsidP="0079450A">
      <w:pPr>
        <w:pStyle w:val="Heading1"/>
        <w:jc w:val="center"/>
      </w:pPr>
    </w:p>
    <w:p w14:paraId="0000001B" w14:textId="32856B6E" w:rsidR="0079599D" w:rsidRPr="003B1DE0" w:rsidRDefault="00A2402C" w:rsidP="0079450A">
      <w:pPr>
        <w:pStyle w:val="Heading1"/>
        <w:jc w:val="center"/>
      </w:pPr>
      <w:r w:rsidRPr="003B1DE0">
        <w:t>Conclusion</w:t>
      </w:r>
      <w:bookmarkEnd w:id="13"/>
    </w:p>
    <w:p w14:paraId="0000001C" w14:textId="4AAF1D1A" w:rsidR="0079599D" w:rsidRPr="003B1DE0" w:rsidRDefault="00A2402C" w:rsidP="0079450A">
      <w:pPr>
        <w:ind w:firstLine="720"/>
      </w:pPr>
      <w:r w:rsidRPr="003B1DE0">
        <w:t xml:space="preserve">This essay has critically evaluated and analysed the importance of IFM in Sainsbury’s along with discussing potential challenges that the chosen organisation is facing in various international financial markets. Moreover, this essay has critically evaluated the dividend distribution policy of the selected business firm. In addition to that, this essay has critically analysed efficient market hypothesis theories and project appraisal methods in the context of the chosen organisation. </w:t>
      </w:r>
      <w:r w:rsidR="00CE03BB" w:rsidRPr="003B1DE0">
        <w:t>Thus,</w:t>
      </w:r>
      <w:r w:rsidRPr="003B1DE0">
        <w:t xml:space="preserve"> it can be concluded that the International financial management (IFM) is beneficial for Sainsbury's in terms of understanding the international market scenario for attaining profits from overseas trading. </w:t>
      </w:r>
    </w:p>
    <w:p w14:paraId="0000001D" w14:textId="77777777" w:rsidR="0079599D" w:rsidRPr="003B1DE0" w:rsidRDefault="00A2402C">
      <w:pPr>
        <w:pStyle w:val="Heading1"/>
      </w:pPr>
      <w:bookmarkStart w:id="14" w:name="_h5lpt9y8ztn" w:colFirst="0" w:colLast="0"/>
      <w:bookmarkEnd w:id="14"/>
      <w:r w:rsidRPr="003B1DE0">
        <w:br w:type="page"/>
      </w:r>
    </w:p>
    <w:p w14:paraId="0000001E" w14:textId="4FCCA729" w:rsidR="0079599D" w:rsidRPr="003B1DE0" w:rsidRDefault="00A2402C" w:rsidP="0079450A">
      <w:pPr>
        <w:pStyle w:val="Heading1"/>
        <w:jc w:val="center"/>
      </w:pPr>
      <w:bookmarkStart w:id="15" w:name="_vb65h3a5bnvm" w:colFirst="0" w:colLast="0"/>
      <w:bookmarkStart w:id="16" w:name="_Toc101376152"/>
      <w:bookmarkEnd w:id="15"/>
      <w:r w:rsidRPr="003B1DE0">
        <w:lastRenderedPageBreak/>
        <w:t>References</w:t>
      </w:r>
      <w:bookmarkEnd w:id="16"/>
    </w:p>
    <w:p w14:paraId="4945CF39" w14:textId="77777777" w:rsidR="008643AF" w:rsidRPr="003B1DE0" w:rsidRDefault="008643AF" w:rsidP="00556091">
      <w:pPr>
        <w:spacing w:before="240" w:after="240"/>
      </w:pPr>
      <w:r w:rsidRPr="003B1DE0">
        <w:t xml:space="preserve">Ang, A.L., </w:t>
      </w:r>
      <w:proofErr w:type="spellStart"/>
      <w:r w:rsidRPr="003B1DE0">
        <w:t>Thum</w:t>
      </w:r>
      <w:proofErr w:type="spellEnd"/>
      <w:r w:rsidRPr="003B1DE0">
        <w:t xml:space="preserve">, Y.T. and </w:t>
      </w:r>
      <w:proofErr w:type="spellStart"/>
      <w:r w:rsidRPr="003B1DE0">
        <w:t>Sek</w:t>
      </w:r>
      <w:proofErr w:type="spellEnd"/>
      <w:r w:rsidRPr="003B1DE0">
        <w:t xml:space="preserve">, S.K., 2021, July. Does trade openness explain the deviation of purchasing power parity and exchange rate </w:t>
      </w:r>
      <w:proofErr w:type="gramStart"/>
      <w:r w:rsidRPr="003B1DE0">
        <w:t>movement?.</w:t>
      </w:r>
      <w:proofErr w:type="gramEnd"/>
      <w:r w:rsidRPr="003B1DE0">
        <w:t xml:space="preserve"> In </w:t>
      </w:r>
      <w:r w:rsidRPr="003B1DE0">
        <w:rPr>
          <w:i/>
        </w:rPr>
        <w:t>Journal of Physics: Conference Series</w:t>
      </w:r>
      <w:r w:rsidRPr="003B1DE0">
        <w:t xml:space="preserve"> (Vol. 1988, No. 1, p. 012087). IOP Publishing.</w:t>
      </w:r>
    </w:p>
    <w:p w14:paraId="162B9E38" w14:textId="77777777" w:rsidR="008643AF" w:rsidRPr="003B1DE0" w:rsidRDefault="008643AF" w:rsidP="00556091">
      <w:pPr>
        <w:spacing w:before="240" w:after="240"/>
      </w:pPr>
      <w:r w:rsidRPr="003B1DE0">
        <w:t xml:space="preserve">Basri, B., </w:t>
      </w:r>
      <w:proofErr w:type="spellStart"/>
      <w:r w:rsidRPr="003B1DE0">
        <w:t>Harnaji</w:t>
      </w:r>
      <w:proofErr w:type="spellEnd"/>
      <w:r w:rsidRPr="003B1DE0">
        <w:t xml:space="preserve">, B. and </w:t>
      </w:r>
      <w:proofErr w:type="spellStart"/>
      <w:r w:rsidRPr="003B1DE0">
        <w:t>Kartinah</w:t>
      </w:r>
      <w:proofErr w:type="spellEnd"/>
      <w:r w:rsidRPr="003B1DE0">
        <w:t xml:space="preserve">, K., 2019, July. </w:t>
      </w:r>
      <w:r w:rsidRPr="003B1DE0">
        <w:rPr>
          <w:i/>
        </w:rPr>
        <w:t>The effect of inflation rate and rupiah currency exchange rate fluctuation toward stock risk at Indonesia capital market. In International Conference on Banking, Accounting, Management, and Economics (ICOBAME 2018)</w:t>
      </w:r>
      <w:r w:rsidRPr="003B1DE0">
        <w:t xml:space="preserve"> (pp. 273-276). Atlantis Press.</w:t>
      </w:r>
    </w:p>
    <w:p w14:paraId="22617C06" w14:textId="5EB93ADB" w:rsidR="008643AF" w:rsidRPr="003B1DE0" w:rsidRDefault="008643AF" w:rsidP="00556091">
      <w:pPr>
        <w:spacing w:before="240" w:after="240"/>
      </w:pPr>
      <w:r w:rsidRPr="003B1DE0">
        <w:t xml:space="preserve">Bouw, M., 2021. IN1986, experts. </w:t>
      </w:r>
      <w:r w:rsidRPr="003B1DE0">
        <w:rPr>
          <w:i/>
        </w:rPr>
        <w:t>A Blueprint for Coastal Adaptation: Uniting Design, Economics, and Policy</w:t>
      </w:r>
      <w:r w:rsidRPr="003B1DE0">
        <w:t>,</w:t>
      </w:r>
      <w:r w:rsidR="00A454FF">
        <w:t xml:space="preserve"> </w:t>
      </w:r>
      <w:r w:rsidR="00A454FF">
        <w:rPr>
          <w:i/>
          <w:iCs/>
        </w:rPr>
        <w:t>8,</w:t>
      </w:r>
      <w:r w:rsidRPr="003B1DE0">
        <w:t xml:space="preserve"> p.29.</w:t>
      </w:r>
    </w:p>
    <w:p w14:paraId="10DFB611" w14:textId="77777777" w:rsidR="008643AF" w:rsidRPr="003B1DE0" w:rsidRDefault="008643AF" w:rsidP="00556091">
      <w:pPr>
        <w:spacing w:before="240" w:after="240"/>
      </w:pPr>
      <w:r w:rsidRPr="003B1DE0">
        <w:t xml:space="preserve">Hashemkhani Zolfani, S., </w:t>
      </w:r>
      <w:proofErr w:type="spellStart"/>
      <w:r w:rsidRPr="003B1DE0">
        <w:t>Ebadi</w:t>
      </w:r>
      <w:proofErr w:type="spellEnd"/>
      <w:r w:rsidRPr="003B1DE0">
        <w:t xml:space="preserve"> </w:t>
      </w:r>
      <w:proofErr w:type="spellStart"/>
      <w:r w:rsidRPr="003B1DE0">
        <w:t>Torkayesh</w:t>
      </w:r>
      <w:proofErr w:type="spellEnd"/>
      <w:r w:rsidRPr="003B1DE0">
        <w:t xml:space="preserve">, A., </w:t>
      </w:r>
      <w:proofErr w:type="spellStart"/>
      <w:r w:rsidRPr="003B1DE0">
        <w:t>Ecer</w:t>
      </w:r>
      <w:proofErr w:type="spellEnd"/>
      <w:r w:rsidRPr="003B1DE0">
        <w:t xml:space="preserve">, F., </w:t>
      </w:r>
      <w:proofErr w:type="spellStart"/>
      <w:r w:rsidRPr="003B1DE0">
        <w:t>Turskis</w:t>
      </w:r>
      <w:proofErr w:type="spellEnd"/>
      <w:r w:rsidRPr="003B1DE0">
        <w:t xml:space="preserve">, Z. and </w:t>
      </w:r>
      <w:proofErr w:type="spellStart"/>
      <w:r w:rsidRPr="003B1DE0">
        <w:t>Šaparauskas</w:t>
      </w:r>
      <w:proofErr w:type="spellEnd"/>
      <w:r w:rsidRPr="003B1DE0">
        <w:t xml:space="preserve">, J., 2021. </w:t>
      </w:r>
      <w:r w:rsidRPr="003B1DE0">
        <w:rPr>
          <w:i/>
        </w:rPr>
        <w:t xml:space="preserve">International market selection: a MABA based EDAS analysis framework. </w:t>
      </w:r>
      <w:proofErr w:type="spellStart"/>
      <w:r w:rsidRPr="003B1DE0">
        <w:rPr>
          <w:i/>
        </w:rPr>
        <w:t>Oeconomia</w:t>
      </w:r>
      <w:proofErr w:type="spellEnd"/>
      <w:r w:rsidRPr="003B1DE0">
        <w:rPr>
          <w:i/>
        </w:rPr>
        <w:t xml:space="preserve"> </w:t>
      </w:r>
      <w:proofErr w:type="spellStart"/>
      <w:r w:rsidRPr="003B1DE0">
        <w:rPr>
          <w:i/>
        </w:rPr>
        <w:t>Copernicana</w:t>
      </w:r>
      <w:proofErr w:type="spellEnd"/>
      <w:r w:rsidRPr="003B1DE0">
        <w:rPr>
          <w:i/>
        </w:rPr>
        <w:t>, 12(1)</w:t>
      </w:r>
      <w:r w:rsidRPr="003B1DE0">
        <w:t>, pp.99-124.</w:t>
      </w:r>
    </w:p>
    <w:p w14:paraId="71587361" w14:textId="77777777" w:rsidR="008643AF" w:rsidRPr="003B1DE0" w:rsidRDefault="008643AF" w:rsidP="00556091">
      <w:pPr>
        <w:spacing w:before="240" w:after="240"/>
      </w:pPr>
      <w:r w:rsidRPr="003B1DE0">
        <w:t xml:space="preserve">Madura, J., 2020. </w:t>
      </w:r>
      <w:r w:rsidRPr="003B1DE0">
        <w:rPr>
          <w:i/>
        </w:rPr>
        <w:t>International financial management</w:t>
      </w:r>
      <w:r w:rsidRPr="003B1DE0">
        <w:t>. Cengage Learning.</w:t>
      </w:r>
    </w:p>
    <w:p w14:paraId="694F3BD5" w14:textId="5A44B365" w:rsidR="008643AF" w:rsidRPr="003B1DE0" w:rsidRDefault="008643AF" w:rsidP="00556091">
      <w:pPr>
        <w:spacing w:before="240" w:after="240"/>
      </w:pPr>
      <w:r w:rsidRPr="003B1DE0">
        <w:t xml:space="preserve">Malo-Alain, A., </w:t>
      </w:r>
      <w:proofErr w:type="spellStart"/>
      <w:r w:rsidRPr="003B1DE0">
        <w:t>Aldoseri</w:t>
      </w:r>
      <w:proofErr w:type="spellEnd"/>
      <w:r w:rsidRPr="003B1DE0">
        <w:t xml:space="preserve">, M. and </w:t>
      </w:r>
      <w:proofErr w:type="spellStart"/>
      <w:r w:rsidRPr="003B1DE0">
        <w:t>Melegy</w:t>
      </w:r>
      <w:proofErr w:type="spellEnd"/>
      <w:r w:rsidRPr="003B1DE0">
        <w:t xml:space="preserve">, M., 2021. Measuring the effect of international financial reporting standards on quality of accounting performance and efficiency of investment decisions. </w:t>
      </w:r>
      <w:r w:rsidRPr="003B1DE0">
        <w:rPr>
          <w:i/>
        </w:rPr>
        <w:t>Accounting</w:t>
      </w:r>
      <w:r w:rsidRPr="003B1DE0">
        <w:t xml:space="preserve">, </w:t>
      </w:r>
      <w:r w:rsidRPr="003B1DE0">
        <w:rPr>
          <w:i/>
        </w:rPr>
        <w:t>7</w:t>
      </w:r>
      <w:r w:rsidRPr="003B1DE0">
        <w:t>(1), pp.249-256.</w:t>
      </w:r>
    </w:p>
    <w:p w14:paraId="1FB7544A" w14:textId="77777777" w:rsidR="008643AF" w:rsidRPr="003B1DE0" w:rsidRDefault="008643AF" w:rsidP="00556091">
      <w:pPr>
        <w:spacing w:before="240" w:after="240"/>
      </w:pPr>
      <w:r w:rsidRPr="003B1DE0">
        <w:t xml:space="preserve">Rossi, M. and Gunardi, A., 2018. Efficient market hypothesis and stock market anomalies: Empirical evidence in four European countries. </w:t>
      </w:r>
      <w:r w:rsidRPr="003B1DE0">
        <w:rPr>
          <w:i/>
        </w:rPr>
        <w:t>Journal of Applied Business Research (JABR)</w:t>
      </w:r>
      <w:r w:rsidRPr="003B1DE0">
        <w:t xml:space="preserve">, </w:t>
      </w:r>
      <w:r w:rsidRPr="003B1DE0">
        <w:rPr>
          <w:i/>
        </w:rPr>
        <w:t>34</w:t>
      </w:r>
      <w:r w:rsidRPr="003B1DE0">
        <w:t>(1), pp.183-192.</w:t>
      </w:r>
    </w:p>
    <w:p w14:paraId="572962AA" w14:textId="33DBDF2E" w:rsidR="008643AF" w:rsidRPr="003B1DE0" w:rsidRDefault="008643AF" w:rsidP="00556091">
      <w:pPr>
        <w:spacing w:before="240" w:after="240"/>
      </w:pPr>
      <w:r w:rsidRPr="003B1DE0">
        <w:t xml:space="preserve">Sainsbury, 2022. </w:t>
      </w:r>
      <w:r w:rsidRPr="003B1DE0">
        <w:rPr>
          <w:i/>
        </w:rPr>
        <w:t>Dividends</w:t>
      </w:r>
      <w:r w:rsidRPr="003B1DE0">
        <w:t>. [online] About.sainsburys.co.uk. Available at: &lt;https://www.about.sainsburys.co.uk/investors/shareholder-information/dividends&gt; [Accessed 17 April 2022].</w:t>
      </w:r>
    </w:p>
    <w:p w14:paraId="69BAEE0B" w14:textId="150DBDBB" w:rsidR="008643AF" w:rsidRPr="003B1DE0" w:rsidRDefault="008643AF" w:rsidP="00556091">
      <w:pPr>
        <w:spacing w:before="240" w:after="240"/>
      </w:pPr>
      <w:r w:rsidRPr="003B1DE0">
        <w:t xml:space="preserve">Sainsbury, 2021. </w:t>
      </w:r>
      <w:r w:rsidRPr="003B1DE0">
        <w:rPr>
          <w:i/>
        </w:rPr>
        <w:t xml:space="preserve">Annual report. </w:t>
      </w:r>
      <w:r w:rsidRPr="003B1DE0">
        <w:t>[online] Available at: &lt;https://about.sainsburys.co.uk/investors/results-reports-and-presentations/2021&gt; [Accessed on 18 April 2022]</w:t>
      </w:r>
    </w:p>
    <w:p w14:paraId="434B177A" w14:textId="757DC95A" w:rsidR="008643AF" w:rsidRPr="003B1DE0" w:rsidRDefault="008643AF" w:rsidP="00556091">
      <w:pPr>
        <w:spacing w:before="240" w:after="240"/>
      </w:pPr>
      <w:r w:rsidRPr="003B1DE0">
        <w:lastRenderedPageBreak/>
        <w:t xml:space="preserve">Turečková, K. and Nevima, J., 2020. </w:t>
      </w:r>
      <w:r w:rsidRPr="003B1DE0">
        <w:rPr>
          <w:i/>
        </w:rPr>
        <w:t xml:space="preserve">The cost benefit analysis for the concept of a smart city: How to measure the efficiency of smart </w:t>
      </w:r>
      <w:r w:rsidR="00A454FF" w:rsidRPr="003B1DE0">
        <w:rPr>
          <w:i/>
        </w:rPr>
        <w:t>solutions?</w:t>
      </w:r>
      <w:r w:rsidRPr="003B1DE0">
        <w:rPr>
          <w:i/>
        </w:rPr>
        <w:t xml:space="preserve"> Sustainability, 12(7),</w:t>
      </w:r>
      <w:r w:rsidRPr="003B1DE0">
        <w:t xml:space="preserve"> p.2663.</w:t>
      </w:r>
    </w:p>
    <w:p w14:paraId="32D08A59" w14:textId="77777777" w:rsidR="008643AF" w:rsidRPr="003B1DE0" w:rsidRDefault="008643AF" w:rsidP="00556091">
      <w:pPr>
        <w:spacing w:before="240" w:after="240"/>
      </w:pPr>
      <w:r w:rsidRPr="003B1DE0">
        <w:t xml:space="preserve">Williams-Grut, O., 2021. </w:t>
      </w:r>
      <w:r w:rsidRPr="003B1DE0">
        <w:rPr>
          <w:i/>
        </w:rPr>
        <w:t>Sainsbury’s profits and sales rise as it says it’s ready for Christmas</w:t>
      </w:r>
      <w:r w:rsidRPr="003B1DE0">
        <w:t>. [online] Evening Standard. Available at: &lt;https://www.standard.co.uk/business/sainsburys-interim-results-profit-sales-market-share-christmas-supply-chains-labour-shortage-b964294.html&gt; [Accessed 15 April 2022].</w:t>
      </w:r>
    </w:p>
    <w:p w14:paraId="0000002A" w14:textId="77777777" w:rsidR="0079599D" w:rsidRPr="003B1DE0" w:rsidRDefault="0079599D" w:rsidP="00556091">
      <w:pPr>
        <w:spacing w:before="240" w:after="240"/>
      </w:pPr>
    </w:p>
    <w:p w14:paraId="0000002B" w14:textId="77777777" w:rsidR="0079599D" w:rsidRPr="003B1DE0" w:rsidRDefault="0079599D" w:rsidP="00556091"/>
    <w:sectPr w:rsidR="0079599D" w:rsidRPr="003B1DE0" w:rsidSect="003B1DE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EC7FE" w14:textId="77777777" w:rsidR="00114A94" w:rsidRDefault="00114A94" w:rsidP="00B60582">
      <w:pPr>
        <w:spacing w:after="0" w:line="240" w:lineRule="auto"/>
      </w:pPr>
      <w:r>
        <w:separator/>
      </w:r>
    </w:p>
  </w:endnote>
  <w:endnote w:type="continuationSeparator" w:id="0">
    <w:p w14:paraId="616E409E" w14:textId="77777777" w:rsidR="00114A94" w:rsidRDefault="00114A94" w:rsidP="00B60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463875"/>
      <w:docPartObj>
        <w:docPartGallery w:val="Page Numbers (Bottom of Page)"/>
        <w:docPartUnique/>
      </w:docPartObj>
    </w:sdtPr>
    <w:sdtEndPr>
      <w:rPr>
        <w:noProof/>
        <w:sz w:val="20"/>
        <w:szCs w:val="20"/>
      </w:rPr>
    </w:sdtEndPr>
    <w:sdtContent>
      <w:p w14:paraId="3F94743D" w14:textId="494430E7" w:rsidR="00B60582" w:rsidRPr="00B60582" w:rsidRDefault="00B60582">
        <w:pPr>
          <w:pStyle w:val="Footer"/>
          <w:jc w:val="right"/>
          <w:rPr>
            <w:sz w:val="20"/>
            <w:szCs w:val="20"/>
          </w:rPr>
        </w:pPr>
        <w:r w:rsidRPr="00B60582">
          <w:rPr>
            <w:sz w:val="20"/>
            <w:szCs w:val="20"/>
          </w:rPr>
          <w:fldChar w:fldCharType="begin"/>
        </w:r>
        <w:r w:rsidRPr="00B60582">
          <w:rPr>
            <w:sz w:val="20"/>
            <w:szCs w:val="20"/>
          </w:rPr>
          <w:instrText xml:space="preserve"> PAGE   \* MERGEFORMAT </w:instrText>
        </w:r>
        <w:r w:rsidRPr="00B60582">
          <w:rPr>
            <w:sz w:val="20"/>
            <w:szCs w:val="20"/>
          </w:rPr>
          <w:fldChar w:fldCharType="separate"/>
        </w:r>
        <w:r w:rsidRPr="00B60582">
          <w:rPr>
            <w:noProof/>
            <w:sz w:val="20"/>
            <w:szCs w:val="20"/>
          </w:rPr>
          <w:t>2</w:t>
        </w:r>
        <w:r w:rsidRPr="00B60582">
          <w:rPr>
            <w:noProof/>
            <w:sz w:val="20"/>
            <w:szCs w:val="20"/>
          </w:rPr>
          <w:fldChar w:fldCharType="end"/>
        </w:r>
      </w:p>
    </w:sdtContent>
  </w:sdt>
  <w:p w14:paraId="2072935F" w14:textId="77777777" w:rsidR="00B60582" w:rsidRDefault="00B605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F7832" w14:textId="77777777" w:rsidR="00114A94" w:rsidRDefault="00114A94" w:rsidP="00B60582">
      <w:pPr>
        <w:spacing w:after="0" w:line="240" w:lineRule="auto"/>
      </w:pPr>
      <w:r>
        <w:separator/>
      </w:r>
    </w:p>
  </w:footnote>
  <w:footnote w:type="continuationSeparator" w:id="0">
    <w:p w14:paraId="0BFD0806" w14:textId="77777777" w:rsidR="00114A94" w:rsidRDefault="00114A94" w:rsidP="00B605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99D"/>
    <w:rsid w:val="000106FE"/>
    <w:rsid w:val="00114A94"/>
    <w:rsid w:val="003B1DE0"/>
    <w:rsid w:val="00556091"/>
    <w:rsid w:val="0079450A"/>
    <w:rsid w:val="0079599D"/>
    <w:rsid w:val="008643AF"/>
    <w:rsid w:val="009348C9"/>
    <w:rsid w:val="00A176F2"/>
    <w:rsid w:val="00A2402C"/>
    <w:rsid w:val="00A454FF"/>
    <w:rsid w:val="00A532CE"/>
    <w:rsid w:val="00B60582"/>
    <w:rsid w:val="00CB4369"/>
    <w:rsid w:val="00CE03BB"/>
    <w:rsid w:val="00D21546"/>
    <w:rsid w:val="00FA36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87D54"/>
  <w15:docId w15:val="{C7F1FA7D-E3CE-4BEC-A25C-4C51C960F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D215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1546"/>
    <w:pPr>
      <w:spacing w:after="100"/>
    </w:pPr>
  </w:style>
  <w:style w:type="character" w:styleId="Hyperlink">
    <w:name w:val="Hyperlink"/>
    <w:basedOn w:val="DefaultParagraphFont"/>
    <w:uiPriority w:val="99"/>
    <w:unhideWhenUsed/>
    <w:rsid w:val="00D21546"/>
    <w:rPr>
      <w:color w:val="0000FF" w:themeColor="hyperlink"/>
      <w:u w:val="single"/>
    </w:rPr>
  </w:style>
  <w:style w:type="paragraph" w:styleId="Header">
    <w:name w:val="header"/>
    <w:basedOn w:val="Normal"/>
    <w:link w:val="HeaderChar"/>
    <w:uiPriority w:val="99"/>
    <w:unhideWhenUsed/>
    <w:rsid w:val="00B60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582"/>
  </w:style>
  <w:style w:type="paragraph" w:styleId="Footer">
    <w:name w:val="footer"/>
    <w:basedOn w:val="Normal"/>
    <w:link w:val="FooterChar"/>
    <w:uiPriority w:val="99"/>
    <w:unhideWhenUsed/>
    <w:rsid w:val="00B60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587707">
      <w:bodyDiv w:val="1"/>
      <w:marLeft w:val="0"/>
      <w:marRight w:val="0"/>
      <w:marTop w:val="0"/>
      <w:marBottom w:val="0"/>
      <w:divBdr>
        <w:top w:val="none" w:sz="0" w:space="0" w:color="auto"/>
        <w:left w:val="none" w:sz="0" w:space="0" w:color="auto"/>
        <w:bottom w:val="none" w:sz="0" w:space="0" w:color="auto"/>
        <w:right w:val="none" w:sz="0" w:space="0" w:color="auto"/>
      </w:divBdr>
      <w:divsChild>
        <w:div w:id="61460227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EC0BB2-D278-42FD-8D6A-390339B40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16</cp:revision>
  <dcterms:created xsi:type="dcterms:W3CDTF">2022-04-20T14:11:00Z</dcterms:created>
  <dcterms:modified xsi:type="dcterms:W3CDTF">2022-05-02T16:42:00Z</dcterms:modified>
</cp:coreProperties>
</file>