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02A8E" w14:textId="77777777" w:rsidR="0050327E" w:rsidRPr="0050327E" w:rsidRDefault="0050327E" w:rsidP="0050327E">
      <w:pPr>
        <w:pStyle w:val="ListParagraph"/>
        <w:numPr>
          <w:ilvl w:val="0"/>
          <w:numId w:val="3"/>
        </w:numPr>
        <w:jc w:val="center"/>
        <w:rPr>
          <w:rFonts w:ascii="Arial" w:hAnsi="Arial" w:cs="Arial"/>
          <w:sz w:val="24"/>
          <w:szCs w:val="24"/>
        </w:rPr>
      </w:pPr>
      <w:r w:rsidRPr="0050327E">
        <w:rPr>
          <w:rFonts w:ascii="Arial" w:hAnsi="Arial" w:cs="Arial"/>
          <w:sz w:val="24"/>
          <w:szCs w:val="24"/>
          <w:lang w:val="cy-GB"/>
        </w:rPr>
        <w:t>Aseiniad ECAD6008:</w:t>
      </w:r>
      <w:r w:rsidRPr="0050327E">
        <w:rPr>
          <w:rFonts w:ascii="Arial" w:hAnsi="Arial" w:cs="Arial"/>
          <w:sz w:val="24"/>
          <w:szCs w:val="24"/>
        </w:rPr>
        <w:t xml:space="preserve"> </w:t>
      </w:r>
      <w:r w:rsidRPr="0050327E">
        <w:rPr>
          <w:rFonts w:ascii="Arial" w:hAnsi="Arial" w:cs="Arial"/>
          <w:sz w:val="24"/>
          <w:szCs w:val="24"/>
          <w:lang w:val="cy-GB"/>
        </w:rPr>
        <w:t>Rhan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50327E" w:rsidRPr="00CC12A4" w14:paraId="5474E352" w14:textId="77777777" w:rsidTr="00793223">
        <w:tc>
          <w:tcPr>
            <w:tcW w:w="2689" w:type="dxa"/>
          </w:tcPr>
          <w:p w14:paraId="230D4FA5" w14:textId="77777777" w:rsidR="0050327E" w:rsidRPr="00CC12A4" w:rsidRDefault="0050327E" w:rsidP="00793223">
            <w:pPr>
              <w:pStyle w:val="Heading2"/>
              <w:jc w:val="center"/>
              <w:outlineLvl w:val="1"/>
              <w:rPr>
                <w:rFonts w:ascii="Arial" w:hAnsi="Arial" w:cs="Arial"/>
                <w:sz w:val="24"/>
                <w:szCs w:val="24"/>
              </w:rPr>
            </w:pPr>
            <w:r w:rsidRPr="00CC12A4">
              <w:rPr>
                <w:rFonts w:ascii="Arial" w:hAnsi="Arial" w:cs="Arial"/>
                <w:sz w:val="24"/>
                <w:szCs w:val="24"/>
                <w:lang w:val="cy-GB"/>
              </w:rPr>
              <w:t>Templed Profiad Proffesiynol 1:</w:t>
            </w:r>
          </w:p>
        </w:tc>
        <w:tc>
          <w:tcPr>
            <w:tcW w:w="6327" w:type="dxa"/>
          </w:tcPr>
          <w:p w14:paraId="50B54069" w14:textId="77777777" w:rsidR="0050327E" w:rsidRPr="00CC12A4" w:rsidRDefault="0050327E" w:rsidP="00793223">
            <w:pPr>
              <w:rPr>
                <w:rFonts w:ascii="Arial" w:hAnsi="Arial" w:cs="Arial"/>
                <w:sz w:val="24"/>
                <w:szCs w:val="24"/>
              </w:rPr>
            </w:pPr>
          </w:p>
        </w:tc>
      </w:tr>
      <w:tr w:rsidR="0050327E" w:rsidRPr="00CC12A4" w14:paraId="3D660D9D" w14:textId="77777777" w:rsidTr="00793223">
        <w:tc>
          <w:tcPr>
            <w:tcW w:w="2689" w:type="dxa"/>
          </w:tcPr>
          <w:p w14:paraId="23419F33" w14:textId="77777777" w:rsidR="0050327E" w:rsidRPr="00CC12A4" w:rsidRDefault="0050327E" w:rsidP="00793223">
            <w:pPr>
              <w:pStyle w:val="Heading2"/>
              <w:jc w:val="center"/>
              <w:outlineLvl w:val="1"/>
              <w:rPr>
                <w:rFonts w:ascii="Arial" w:hAnsi="Arial" w:cs="Arial"/>
                <w:sz w:val="24"/>
                <w:szCs w:val="24"/>
              </w:rPr>
            </w:pPr>
            <w:r w:rsidRPr="00CC12A4">
              <w:rPr>
                <w:rFonts w:ascii="Arial" w:hAnsi="Arial" w:cs="Arial"/>
                <w:sz w:val="24"/>
                <w:szCs w:val="24"/>
                <w:lang w:val="cy-GB"/>
              </w:rPr>
              <w:t>Safon Addysgeg</w:t>
            </w:r>
          </w:p>
        </w:tc>
        <w:tc>
          <w:tcPr>
            <w:tcW w:w="6327" w:type="dxa"/>
          </w:tcPr>
          <w:p w14:paraId="27853C46" w14:textId="77777777" w:rsidR="0050327E" w:rsidRPr="00CC12A4" w:rsidRDefault="0050327E" w:rsidP="00793223">
            <w:pPr>
              <w:rPr>
                <w:rFonts w:ascii="Arial" w:hAnsi="Arial" w:cs="Arial"/>
                <w:color w:val="2F5496" w:themeColor="accent1" w:themeShade="BF"/>
                <w:sz w:val="24"/>
                <w:szCs w:val="24"/>
              </w:rPr>
            </w:pPr>
            <w:r w:rsidRPr="00CC12A4">
              <w:rPr>
                <w:rFonts w:ascii="Arial" w:hAnsi="Arial" w:cs="Arial"/>
                <w:color w:val="2F5496" w:themeColor="accent1" w:themeShade="BF"/>
                <w:sz w:val="24"/>
                <w:szCs w:val="24"/>
                <w:lang w:val="cy-GB"/>
              </w:rPr>
              <w:t>Asesu ar gyfer dysgu</w:t>
            </w:r>
          </w:p>
        </w:tc>
      </w:tr>
      <w:tr w:rsidR="0050327E" w:rsidRPr="00CC12A4" w14:paraId="6074BB63" w14:textId="77777777" w:rsidTr="00793223">
        <w:tc>
          <w:tcPr>
            <w:tcW w:w="2689" w:type="dxa"/>
          </w:tcPr>
          <w:p w14:paraId="0F25251E"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t>Beth wnaethoch chi a pham?</w:t>
            </w:r>
          </w:p>
          <w:p w14:paraId="1F0DA4A6" w14:textId="77777777" w:rsidR="0050327E" w:rsidRPr="00CC12A4" w:rsidRDefault="0050327E" w:rsidP="00793223">
            <w:pPr>
              <w:jc w:val="center"/>
              <w:rPr>
                <w:rFonts w:ascii="Arial" w:hAnsi="Arial" w:cs="Arial"/>
                <w:sz w:val="24"/>
                <w:szCs w:val="24"/>
              </w:rPr>
            </w:pPr>
          </w:p>
        </w:tc>
        <w:tc>
          <w:tcPr>
            <w:tcW w:w="6327" w:type="dxa"/>
          </w:tcPr>
          <w:p w14:paraId="69724959" w14:textId="77777777" w:rsidR="0050327E" w:rsidRPr="00CC12A4" w:rsidRDefault="0050327E" w:rsidP="00793223">
            <w:pPr>
              <w:rPr>
                <w:rFonts w:ascii="Arial" w:hAnsi="Arial" w:cs="Arial"/>
                <w:sz w:val="24"/>
                <w:szCs w:val="24"/>
              </w:rPr>
            </w:pPr>
            <w:r w:rsidRPr="00CC12A4">
              <w:rPr>
                <w:rFonts w:ascii="Arial" w:hAnsi="Arial" w:cs="Arial"/>
                <w:sz w:val="24"/>
                <w:szCs w:val="24"/>
              </w:rPr>
              <w:t>Trwy gydol PAP 1, fe ddefnyddiais lawer o wahanol fathau o asesu ar gyfer dysgu trwy gydol fy nysgu. Yn bennaf, yn ystod addysgu’r disgyblion roeddwn i wedi defnyddio taflenni asesu er mwyn i’r disgyblion i asesu ei gwaith. Yn atodol i hyn, roedd y taflenni asesu yn amrywio o’r pedwar diben, goleuadau traffig, hwynebau, ac yn hytrach ag defnyddio’r taflenni yma, ar gyfer ysgrifennu hir roeddwn i wedi creu taflenni meini prawf llwyddiant ar gyfer y disgyblion ac roedd y taflenni yma yn berthnasol i bob lefel gallu’r disgyblion. Hynny yw, lefel triongl (lefel isaf), lefel sgwâr (lefel canolog, ac yn olaf y lefel pentagon sef y lefel hiraf. Roeddwn i wedi penderfynu defnyddio’r ffordd yma o asesu oherwydd roedd e’n buddio i mi ac i’r disgyblion i ddarganfod ei chynnydd. Yn bennaf, roedd y ffordd hon o asesu yn effeithiol i mi i ddarganfod pa ddisgyblion oedd wedi cael mwy o drafferth gyda’r gwahanol dasgau, ac roedd hyn yn hanfodol i mi i ddarganfod beth gallaf gwneud i roi mwy o gymorth i’r disgyblion mewn pwnc penodol.</w:t>
            </w:r>
          </w:p>
        </w:tc>
      </w:tr>
      <w:tr w:rsidR="0050327E" w:rsidRPr="00CC12A4" w14:paraId="5626BF3F" w14:textId="77777777" w:rsidTr="00793223">
        <w:tc>
          <w:tcPr>
            <w:tcW w:w="2689" w:type="dxa"/>
          </w:tcPr>
          <w:p w14:paraId="7945BFEB"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t>Beth rydych chi wedi’i ddysgu?</w:t>
            </w:r>
          </w:p>
          <w:p w14:paraId="03E09D5A" w14:textId="77777777" w:rsidR="0050327E" w:rsidRPr="00CC12A4" w:rsidRDefault="0050327E" w:rsidP="00793223">
            <w:pPr>
              <w:jc w:val="center"/>
              <w:rPr>
                <w:rFonts w:ascii="Arial" w:hAnsi="Arial" w:cs="Arial"/>
                <w:sz w:val="24"/>
                <w:szCs w:val="24"/>
              </w:rPr>
            </w:pPr>
          </w:p>
        </w:tc>
        <w:tc>
          <w:tcPr>
            <w:tcW w:w="6327" w:type="dxa"/>
          </w:tcPr>
          <w:p w14:paraId="5B01264A" w14:textId="77777777" w:rsidR="0050327E" w:rsidRPr="00CC12A4" w:rsidRDefault="0050327E" w:rsidP="00793223">
            <w:pPr>
              <w:rPr>
                <w:rFonts w:ascii="Arial" w:hAnsi="Arial" w:cs="Arial"/>
                <w:sz w:val="24"/>
                <w:szCs w:val="24"/>
              </w:rPr>
            </w:pPr>
            <w:r w:rsidRPr="00CC12A4">
              <w:rPr>
                <w:rFonts w:ascii="Arial" w:hAnsi="Arial" w:cs="Arial"/>
                <w:sz w:val="24"/>
                <w:szCs w:val="24"/>
              </w:rPr>
              <w:t>Trwy asesu roeddwn i wedi darganfod beth mae asesu ar gyfer dysgu yn ei meddwl. Yn bennaf, roeddwn i wedi dysgu bod asesu ar gyfer dysgu ydy’r proses er mwyn i wella perfformiadau disgyblion, yn ogystal mae’r disgyblion hefyd yn chwarae rhan yn y broses o ddysgu ac o hyn maent yn datblygu hyder trwy fod yn ymwybodol o’r hyn mae disgwyl iddyn nhw i ddysgu ac i ba safon mae disgwyl iddyn nhw i berfformio. O ganlyniad, fe ddysgais fod gwahanol daflenni asesu yn berthnasol i wahanol dasgau. At hynny, wrth gyfeirio at ysgrifennu hir fe ddysgais fod taflenni meini prawf yn gallu bod yn hanfodol i’r disgyblion oherwydd roedd e’n hawdd iddyn nhw i ddeall beth roeddwn i’n disgwyl iddyn nhw i gynnwys yn ei ysgrifennu. Er enghraifft, roedd disgwyl i mi i ddysgu’r disgyblion y nodweddion ar gyfer araith, felly'r meini prawf ar gyfer yr araith oedd cynnwys rhai o’r nodweddion ‘AFOREST’ yn ei ysgrifennu. Ond er hynny, roedd gan bob lefel gallu gwahanol daflenni meini prawf i ddilyn.</w:t>
            </w:r>
          </w:p>
        </w:tc>
      </w:tr>
      <w:tr w:rsidR="0050327E" w:rsidRPr="00CC12A4" w14:paraId="46B85651" w14:textId="77777777" w:rsidTr="00793223">
        <w:tc>
          <w:tcPr>
            <w:tcW w:w="2689" w:type="dxa"/>
          </w:tcPr>
          <w:p w14:paraId="2783AFFA"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t>Beth nesaf?</w:t>
            </w:r>
          </w:p>
          <w:p w14:paraId="0202C65E" w14:textId="77777777" w:rsidR="0050327E" w:rsidRPr="00CC12A4" w:rsidRDefault="0050327E" w:rsidP="00793223">
            <w:pPr>
              <w:jc w:val="center"/>
              <w:rPr>
                <w:rFonts w:ascii="Arial" w:hAnsi="Arial" w:cs="Arial"/>
                <w:sz w:val="24"/>
                <w:szCs w:val="24"/>
              </w:rPr>
            </w:pPr>
          </w:p>
        </w:tc>
        <w:tc>
          <w:tcPr>
            <w:tcW w:w="6327" w:type="dxa"/>
          </w:tcPr>
          <w:p w14:paraId="3F80AEA2" w14:textId="77777777" w:rsidR="0050327E" w:rsidRPr="00CC12A4" w:rsidRDefault="0050327E" w:rsidP="00793223">
            <w:pPr>
              <w:rPr>
                <w:rFonts w:ascii="Arial" w:hAnsi="Arial" w:cs="Arial"/>
                <w:sz w:val="24"/>
                <w:szCs w:val="24"/>
              </w:rPr>
            </w:pPr>
            <w:r w:rsidRPr="00CC12A4">
              <w:rPr>
                <w:rFonts w:ascii="Arial" w:hAnsi="Arial" w:cs="Arial"/>
                <w:sz w:val="24"/>
                <w:szCs w:val="24"/>
              </w:rPr>
              <w:t xml:space="preserve">Ar gyfer cynnydd, hoffwn i, i ddod o hyd i ffyrdd gwahanol o asesu’r disgyblion. Felly yn ystod PAP2, byddaf yn ymchwilio i mewn i ffyrdd gwahanol o asesu a byddaf yn treialu nhw yn ystod fy nysgu. Ar ôl hyn, byddaf yn </w:t>
            </w:r>
            <w:r w:rsidRPr="00CC12A4">
              <w:rPr>
                <w:rFonts w:ascii="Arial" w:hAnsi="Arial" w:cs="Arial"/>
                <w:sz w:val="24"/>
                <w:szCs w:val="24"/>
              </w:rPr>
              <w:lastRenderedPageBreak/>
              <w:t>gwerthuso beth aeth yn dda, a beth sydd rhaid i mi i newid. Yna, byddaf yn defnyddio map ffordd ar gyfer pob unigolyn er mwyn i symud ei ddysgu ymlaen. Yn bennaf, gall pob unigolyn symud ymlaen ar raddfa wahanol, ond trwy asesu ei waith byddaf yn sicrhau bod pob disgybl yn cael y cyfle i wneud yr un tasgau er mwyn i sicrhau bod bron pob disgybl yn datblygu sgiliau newydd ym mhob tasg ac yn bennaf mewn pynciau penodol. I grynhoi, wrth i mi i asesu’r gwaith y disgyblion byddaf yn defnyddio’r camau cynnydd yn fy nghynlluniau er mwyn i wneud penderfyniadau ar sut i ddatblygu’r disgyblion ymhellach.</w:t>
            </w:r>
          </w:p>
        </w:tc>
      </w:tr>
    </w:tbl>
    <w:p w14:paraId="28D44DA0" w14:textId="77777777" w:rsidR="0050327E" w:rsidRPr="0050327E" w:rsidRDefault="0050327E" w:rsidP="0050327E">
      <w:pPr>
        <w:pStyle w:val="ListParagraph"/>
        <w:numPr>
          <w:ilvl w:val="0"/>
          <w:numId w:val="3"/>
        </w:numPr>
        <w:jc w:val="center"/>
        <w:rPr>
          <w:rFonts w:ascii="Arial" w:hAnsi="Arial" w:cs="Arial"/>
          <w:sz w:val="24"/>
          <w:szCs w:val="24"/>
        </w:rPr>
      </w:pPr>
    </w:p>
    <w:tbl>
      <w:tblPr>
        <w:tblStyle w:val="TableGrid"/>
        <w:tblW w:w="0" w:type="auto"/>
        <w:tblLayout w:type="fixed"/>
        <w:tblLook w:val="04A0" w:firstRow="1" w:lastRow="0" w:firstColumn="1" w:lastColumn="0" w:noHBand="0" w:noVBand="1"/>
      </w:tblPr>
      <w:tblGrid>
        <w:gridCol w:w="2689"/>
        <w:gridCol w:w="6327"/>
      </w:tblGrid>
      <w:tr w:rsidR="0050327E" w:rsidRPr="00CC12A4" w14:paraId="21B445C2" w14:textId="77777777" w:rsidTr="00793223">
        <w:tc>
          <w:tcPr>
            <w:tcW w:w="2689" w:type="dxa"/>
          </w:tcPr>
          <w:p w14:paraId="73B2B1B0" w14:textId="77777777" w:rsidR="0050327E" w:rsidRPr="00CC12A4" w:rsidRDefault="0050327E" w:rsidP="00793223">
            <w:pPr>
              <w:pStyle w:val="Heading2"/>
              <w:jc w:val="center"/>
              <w:outlineLvl w:val="1"/>
              <w:rPr>
                <w:rFonts w:ascii="Arial" w:hAnsi="Arial" w:cs="Arial"/>
                <w:sz w:val="24"/>
                <w:szCs w:val="24"/>
              </w:rPr>
            </w:pPr>
            <w:bookmarkStart w:id="0" w:name="tblHere"/>
            <w:r w:rsidRPr="00CC12A4">
              <w:rPr>
                <w:rFonts w:ascii="Arial" w:hAnsi="Arial" w:cs="Arial"/>
                <w:sz w:val="24"/>
                <w:szCs w:val="24"/>
                <w:lang w:val="cy-GB"/>
              </w:rPr>
              <w:t>Templed Profiad Proffesiynol 2:</w:t>
            </w:r>
          </w:p>
        </w:tc>
        <w:tc>
          <w:tcPr>
            <w:tcW w:w="6327" w:type="dxa"/>
          </w:tcPr>
          <w:p w14:paraId="2957A07B" w14:textId="77777777" w:rsidR="0050327E" w:rsidRPr="00CC12A4" w:rsidRDefault="0050327E" w:rsidP="00793223">
            <w:pPr>
              <w:rPr>
                <w:rFonts w:ascii="Arial" w:hAnsi="Arial" w:cs="Arial"/>
                <w:sz w:val="24"/>
                <w:szCs w:val="24"/>
              </w:rPr>
            </w:pPr>
          </w:p>
        </w:tc>
      </w:tr>
      <w:tr w:rsidR="0050327E" w:rsidRPr="00CC12A4" w14:paraId="1AE532E3" w14:textId="77777777" w:rsidTr="00793223">
        <w:tc>
          <w:tcPr>
            <w:tcW w:w="2689" w:type="dxa"/>
          </w:tcPr>
          <w:p w14:paraId="1BE4EA5C" w14:textId="77777777" w:rsidR="0050327E" w:rsidRPr="00CC12A4" w:rsidRDefault="0050327E" w:rsidP="00793223">
            <w:pPr>
              <w:pStyle w:val="Heading2"/>
              <w:jc w:val="center"/>
              <w:outlineLvl w:val="1"/>
              <w:rPr>
                <w:rFonts w:ascii="Arial" w:hAnsi="Arial" w:cs="Arial"/>
                <w:sz w:val="24"/>
                <w:szCs w:val="24"/>
              </w:rPr>
            </w:pPr>
            <w:r w:rsidRPr="00CC12A4">
              <w:rPr>
                <w:rFonts w:ascii="Arial" w:hAnsi="Arial" w:cs="Arial"/>
                <w:sz w:val="24"/>
                <w:szCs w:val="24"/>
                <w:lang w:val="cy-GB"/>
              </w:rPr>
              <w:t>Safon Addysgeg</w:t>
            </w:r>
          </w:p>
        </w:tc>
        <w:tc>
          <w:tcPr>
            <w:tcW w:w="6327" w:type="dxa"/>
          </w:tcPr>
          <w:p w14:paraId="37FF9ED1" w14:textId="77777777" w:rsidR="0050327E" w:rsidRPr="00CC12A4" w:rsidRDefault="0050327E" w:rsidP="00793223">
            <w:pPr>
              <w:rPr>
                <w:rFonts w:ascii="Arial" w:hAnsi="Arial" w:cs="Arial"/>
                <w:b/>
                <w:color w:val="2F5496" w:themeColor="accent1" w:themeShade="BF"/>
                <w:sz w:val="24"/>
                <w:szCs w:val="24"/>
              </w:rPr>
            </w:pPr>
            <w:r w:rsidRPr="00CC12A4">
              <w:rPr>
                <w:rFonts w:ascii="Arial" w:hAnsi="Arial" w:cs="Arial"/>
                <w:b/>
                <w:color w:val="2F5496" w:themeColor="accent1" w:themeShade="BF"/>
                <w:sz w:val="24"/>
                <w:szCs w:val="24"/>
                <w:lang w:val="cy-GB"/>
              </w:rPr>
              <w:t>Profiadau dysgu cyfunol</w:t>
            </w:r>
          </w:p>
          <w:p w14:paraId="647C9822" w14:textId="77777777" w:rsidR="0050327E" w:rsidRPr="00CC12A4" w:rsidRDefault="0050327E" w:rsidP="00793223">
            <w:pPr>
              <w:rPr>
                <w:rFonts w:ascii="Arial" w:hAnsi="Arial" w:cs="Arial"/>
                <w:color w:val="2F5496" w:themeColor="accent1" w:themeShade="BF"/>
                <w:sz w:val="24"/>
                <w:szCs w:val="24"/>
              </w:rPr>
            </w:pPr>
          </w:p>
        </w:tc>
      </w:tr>
      <w:tr w:rsidR="0050327E" w:rsidRPr="00CC12A4" w14:paraId="40E70E81" w14:textId="77777777" w:rsidTr="00793223">
        <w:tc>
          <w:tcPr>
            <w:tcW w:w="2689" w:type="dxa"/>
          </w:tcPr>
          <w:p w14:paraId="65DDDC78"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t>Beth wnaethoch chi a pham?</w:t>
            </w:r>
          </w:p>
          <w:p w14:paraId="0B5FD5AB" w14:textId="77777777" w:rsidR="0050327E" w:rsidRPr="00CC12A4" w:rsidRDefault="0050327E" w:rsidP="00793223">
            <w:pPr>
              <w:jc w:val="center"/>
              <w:rPr>
                <w:rFonts w:ascii="Arial" w:hAnsi="Arial" w:cs="Arial"/>
                <w:sz w:val="24"/>
                <w:szCs w:val="24"/>
              </w:rPr>
            </w:pPr>
          </w:p>
        </w:tc>
        <w:tc>
          <w:tcPr>
            <w:tcW w:w="6327" w:type="dxa"/>
          </w:tcPr>
          <w:p w14:paraId="7694AE13" w14:textId="77777777" w:rsidR="0050327E" w:rsidRPr="00CC12A4" w:rsidRDefault="0050327E" w:rsidP="00793223">
            <w:pPr>
              <w:rPr>
                <w:rFonts w:ascii="Arial" w:hAnsi="Arial" w:cs="Arial"/>
                <w:sz w:val="24"/>
                <w:szCs w:val="24"/>
              </w:rPr>
            </w:pPr>
            <w:r w:rsidRPr="00CC12A4">
              <w:rPr>
                <w:rFonts w:ascii="Arial" w:hAnsi="Arial" w:cs="Arial"/>
                <w:sz w:val="24"/>
                <w:szCs w:val="24"/>
              </w:rPr>
              <w:t>Wrth edrych ar brofiadau dysgu cyfunol, mae’r defnydd o ar-lein wedi cael ei ddefnyddio trwy gydol fy amser ar leoliad. Yn bennaf, defnyddiais lawer o ddosbarth gwgl wrth baratoi gwersi ar gyfer y disgyblion, a ddefnyddiais ddosbarth gwgl trwy drosglwyddo pwyntiau pŵer ac adnoddau ag bydd o werth i’r disgyblion yn ystod y wers. Yn hytrach â defnyddio dosbarth gwgl, roeddwn i wedi creu adnoddau ar gyfer y disgyblion hefyd. Er enghraifft creu taflenni gwaith i’r disgyblion. Yn ogystal, roedd dosbarth gwgl yn fwy effeithiol i wahanol bynciau, megis celfyddydau mynegiannol. Yn ychwanegol, roedd gan y disgyblion y cyfle i ddefnyddio gliniaduron hefyd trwy wneud pwynt pŵer ar wrth-fwlio.</w:t>
            </w:r>
          </w:p>
        </w:tc>
      </w:tr>
      <w:tr w:rsidR="0050327E" w:rsidRPr="00CC12A4" w14:paraId="5B36D5BB" w14:textId="77777777" w:rsidTr="00793223">
        <w:tc>
          <w:tcPr>
            <w:tcW w:w="2689" w:type="dxa"/>
          </w:tcPr>
          <w:p w14:paraId="7B245196"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t>Beth rydych chi wedi’i ddysgu?</w:t>
            </w:r>
          </w:p>
          <w:p w14:paraId="3B5AE8D2" w14:textId="77777777" w:rsidR="0050327E" w:rsidRPr="00CC12A4" w:rsidRDefault="0050327E" w:rsidP="00793223">
            <w:pPr>
              <w:jc w:val="center"/>
              <w:rPr>
                <w:rFonts w:ascii="Arial" w:hAnsi="Arial" w:cs="Arial"/>
                <w:sz w:val="24"/>
                <w:szCs w:val="24"/>
              </w:rPr>
            </w:pPr>
          </w:p>
        </w:tc>
        <w:tc>
          <w:tcPr>
            <w:tcW w:w="6327" w:type="dxa"/>
          </w:tcPr>
          <w:p w14:paraId="29A2878C" w14:textId="77777777" w:rsidR="0050327E" w:rsidRPr="00CC12A4" w:rsidRDefault="0050327E" w:rsidP="00793223">
            <w:pPr>
              <w:rPr>
                <w:rFonts w:ascii="Arial" w:hAnsi="Arial" w:cs="Arial"/>
                <w:sz w:val="24"/>
                <w:szCs w:val="24"/>
              </w:rPr>
            </w:pPr>
            <w:r w:rsidRPr="00CC12A4">
              <w:rPr>
                <w:rFonts w:ascii="Arial" w:hAnsi="Arial" w:cs="Arial"/>
                <w:sz w:val="24"/>
                <w:szCs w:val="24"/>
              </w:rPr>
              <w:t>Rydw i wedi dysgu bod ar-lein yn gallu cael effaith positif ar y disgyblion i ddatblygu ei sgiliau cyfrifiaduron. Yn bennaf, dysgais hefyd bod y defnydd o ar-lein hefyd yn gallu datblygu sgiliau ymchwilio’r disgyblion.</w:t>
            </w:r>
          </w:p>
        </w:tc>
      </w:tr>
      <w:tr w:rsidR="0050327E" w:rsidRPr="00CC12A4" w14:paraId="527210C2" w14:textId="77777777" w:rsidTr="00793223">
        <w:trPr>
          <w:trHeight w:val="228"/>
        </w:trPr>
        <w:tc>
          <w:tcPr>
            <w:tcW w:w="2689" w:type="dxa"/>
          </w:tcPr>
          <w:p w14:paraId="61B258E6"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t>Beth nesaf?</w:t>
            </w:r>
          </w:p>
          <w:p w14:paraId="120953F6" w14:textId="77777777" w:rsidR="0050327E" w:rsidRPr="00CC12A4" w:rsidRDefault="0050327E" w:rsidP="00793223">
            <w:pPr>
              <w:jc w:val="center"/>
              <w:rPr>
                <w:rFonts w:ascii="Arial" w:hAnsi="Arial" w:cs="Arial"/>
                <w:sz w:val="24"/>
                <w:szCs w:val="24"/>
              </w:rPr>
            </w:pPr>
          </w:p>
        </w:tc>
        <w:tc>
          <w:tcPr>
            <w:tcW w:w="6327" w:type="dxa"/>
          </w:tcPr>
          <w:p w14:paraId="0AE6C722" w14:textId="77777777" w:rsidR="0050327E" w:rsidRPr="00CC12A4" w:rsidRDefault="0050327E" w:rsidP="00793223">
            <w:pPr>
              <w:rPr>
                <w:rFonts w:ascii="Arial" w:hAnsi="Arial" w:cs="Arial"/>
                <w:sz w:val="24"/>
                <w:szCs w:val="24"/>
              </w:rPr>
            </w:pPr>
            <w:r w:rsidRPr="00CC12A4">
              <w:rPr>
                <w:rFonts w:ascii="Arial" w:hAnsi="Arial" w:cs="Arial"/>
                <w:sz w:val="24"/>
                <w:szCs w:val="24"/>
              </w:rPr>
              <w:t>Ar gyfer y dyfodol byddaf yn parhau i ddefnyddio’r defnydd o gliniaduron ar gyfer y disgyblion oherwydd mae’n gallu cael effaith positif ar ddisgyblion trwy sicrhau bod y wersi yn ddiddorol ac yn hwylus.Byddaf hefyd yn ymchwilio I fewn i sut gallaf ddefnyddio’r dull o ar-lein yn fwy yn fy nysgu.</w:t>
            </w:r>
          </w:p>
        </w:tc>
      </w:tr>
      <w:bookmarkEnd w:id="0"/>
    </w:tbl>
    <w:p w14:paraId="7CF9BF29" w14:textId="77777777" w:rsidR="0050327E" w:rsidRPr="0050327E" w:rsidRDefault="0050327E" w:rsidP="0050327E">
      <w:pPr>
        <w:pStyle w:val="ListParagraph"/>
        <w:numPr>
          <w:ilvl w:val="0"/>
          <w:numId w:val="3"/>
        </w:numPr>
        <w:rPr>
          <w:rFonts w:ascii="Arial" w:hAnsi="Arial" w:cs="Arial"/>
          <w:sz w:val="24"/>
          <w:szCs w:val="24"/>
        </w:rPr>
      </w:pPr>
    </w:p>
    <w:p w14:paraId="14277C30" w14:textId="77777777" w:rsidR="0050327E" w:rsidRPr="0050327E" w:rsidRDefault="0050327E" w:rsidP="0050327E">
      <w:pPr>
        <w:pStyle w:val="ListParagraph"/>
        <w:numPr>
          <w:ilvl w:val="0"/>
          <w:numId w:val="3"/>
        </w:numPr>
        <w:rPr>
          <w:rFonts w:ascii="Arial" w:hAnsi="Arial" w:cs="Arial"/>
          <w:sz w:val="24"/>
          <w:szCs w:val="24"/>
        </w:rPr>
      </w:pPr>
    </w:p>
    <w:tbl>
      <w:tblPr>
        <w:tblStyle w:val="TableGrid"/>
        <w:tblW w:w="0" w:type="auto"/>
        <w:tblLook w:val="04A0" w:firstRow="1" w:lastRow="0" w:firstColumn="1" w:lastColumn="0" w:noHBand="0" w:noVBand="1"/>
      </w:tblPr>
      <w:tblGrid>
        <w:gridCol w:w="2689"/>
        <w:gridCol w:w="6327"/>
      </w:tblGrid>
      <w:tr w:rsidR="0050327E" w:rsidRPr="00CC12A4" w14:paraId="697B9BD9" w14:textId="77777777" w:rsidTr="00793223">
        <w:tc>
          <w:tcPr>
            <w:tcW w:w="2689" w:type="dxa"/>
          </w:tcPr>
          <w:p w14:paraId="49D3ED51" w14:textId="77777777" w:rsidR="0050327E" w:rsidRPr="00CC12A4" w:rsidRDefault="0050327E" w:rsidP="00793223">
            <w:pPr>
              <w:pStyle w:val="Heading2"/>
              <w:jc w:val="center"/>
              <w:outlineLvl w:val="1"/>
              <w:rPr>
                <w:rFonts w:ascii="Arial" w:hAnsi="Arial" w:cs="Arial"/>
                <w:sz w:val="24"/>
                <w:szCs w:val="24"/>
              </w:rPr>
            </w:pPr>
            <w:r w:rsidRPr="00CC12A4">
              <w:rPr>
                <w:rFonts w:ascii="Arial" w:hAnsi="Arial" w:cs="Arial"/>
                <w:sz w:val="24"/>
                <w:szCs w:val="24"/>
                <w:lang w:val="cy-GB"/>
              </w:rPr>
              <w:lastRenderedPageBreak/>
              <w:t>Templed Profiad Proffesiynol 3</w:t>
            </w:r>
          </w:p>
        </w:tc>
        <w:tc>
          <w:tcPr>
            <w:tcW w:w="6327" w:type="dxa"/>
          </w:tcPr>
          <w:p w14:paraId="624418E3" w14:textId="77777777" w:rsidR="0050327E" w:rsidRPr="00CC12A4" w:rsidRDefault="0050327E" w:rsidP="00793223">
            <w:pPr>
              <w:rPr>
                <w:rFonts w:ascii="Arial" w:hAnsi="Arial" w:cs="Arial"/>
                <w:sz w:val="24"/>
                <w:szCs w:val="24"/>
              </w:rPr>
            </w:pPr>
          </w:p>
        </w:tc>
      </w:tr>
      <w:tr w:rsidR="0050327E" w:rsidRPr="00CC12A4" w14:paraId="22F1A7D6" w14:textId="77777777" w:rsidTr="00793223">
        <w:tc>
          <w:tcPr>
            <w:tcW w:w="2689" w:type="dxa"/>
          </w:tcPr>
          <w:p w14:paraId="4616B670" w14:textId="77777777" w:rsidR="0050327E" w:rsidRPr="00CC12A4" w:rsidRDefault="0050327E" w:rsidP="00793223">
            <w:pPr>
              <w:pStyle w:val="Heading2"/>
              <w:jc w:val="center"/>
              <w:outlineLvl w:val="1"/>
              <w:rPr>
                <w:rFonts w:ascii="Arial" w:hAnsi="Arial" w:cs="Arial"/>
                <w:sz w:val="24"/>
                <w:szCs w:val="24"/>
              </w:rPr>
            </w:pPr>
            <w:r w:rsidRPr="00CC12A4">
              <w:rPr>
                <w:rFonts w:ascii="Arial" w:hAnsi="Arial" w:cs="Arial"/>
                <w:sz w:val="24"/>
                <w:szCs w:val="24"/>
                <w:lang w:val="cy-GB"/>
              </w:rPr>
              <w:t>Safon Addysgeg</w:t>
            </w:r>
          </w:p>
        </w:tc>
        <w:tc>
          <w:tcPr>
            <w:tcW w:w="6327" w:type="dxa"/>
          </w:tcPr>
          <w:p w14:paraId="7061C206" w14:textId="77777777" w:rsidR="0050327E" w:rsidRPr="00CC12A4" w:rsidRDefault="0050327E" w:rsidP="00793223">
            <w:pPr>
              <w:rPr>
                <w:rFonts w:ascii="Arial" w:hAnsi="Arial" w:cs="Arial"/>
                <w:b/>
                <w:color w:val="2F5496" w:themeColor="accent1" w:themeShade="BF"/>
                <w:sz w:val="24"/>
                <w:szCs w:val="24"/>
              </w:rPr>
            </w:pPr>
            <w:r w:rsidRPr="00CC12A4">
              <w:rPr>
                <w:rFonts w:ascii="Arial" w:hAnsi="Arial" w:cs="Arial"/>
                <w:b/>
                <w:color w:val="2F5496" w:themeColor="accent1" w:themeShade="BF"/>
                <w:sz w:val="24"/>
                <w:szCs w:val="24"/>
                <w:lang w:val="cy-GB"/>
              </w:rPr>
              <w:t>Cyd-destunau dilys bywyd go iawn</w:t>
            </w:r>
          </w:p>
          <w:p w14:paraId="715D4A20" w14:textId="77777777" w:rsidR="0050327E" w:rsidRPr="00CC12A4" w:rsidRDefault="0050327E" w:rsidP="00793223">
            <w:pPr>
              <w:rPr>
                <w:rFonts w:ascii="Arial" w:hAnsi="Arial" w:cs="Arial"/>
                <w:sz w:val="24"/>
                <w:szCs w:val="24"/>
              </w:rPr>
            </w:pPr>
          </w:p>
        </w:tc>
      </w:tr>
      <w:tr w:rsidR="0050327E" w:rsidRPr="00CC12A4" w14:paraId="5A1C8775" w14:textId="77777777" w:rsidTr="00793223">
        <w:tc>
          <w:tcPr>
            <w:tcW w:w="2689" w:type="dxa"/>
          </w:tcPr>
          <w:p w14:paraId="2BC07A1C"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t>Beth wnaethoch chi a pham?</w:t>
            </w:r>
          </w:p>
          <w:p w14:paraId="121954F3" w14:textId="77777777" w:rsidR="0050327E" w:rsidRPr="00CC12A4" w:rsidRDefault="0050327E" w:rsidP="00793223">
            <w:pPr>
              <w:jc w:val="center"/>
              <w:rPr>
                <w:rFonts w:ascii="Arial" w:hAnsi="Arial" w:cs="Arial"/>
                <w:sz w:val="24"/>
                <w:szCs w:val="24"/>
              </w:rPr>
            </w:pPr>
          </w:p>
        </w:tc>
        <w:tc>
          <w:tcPr>
            <w:tcW w:w="6327" w:type="dxa"/>
          </w:tcPr>
          <w:p w14:paraId="70DC9A68" w14:textId="77777777" w:rsidR="0050327E" w:rsidRPr="00CC12A4" w:rsidRDefault="0050327E" w:rsidP="00793223">
            <w:pPr>
              <w:rPr>
                <w:rFonts w:ascii="Arial" w:hAnsi="Arial" w:cs="Arial"/>
                <w:sz w:val="24"/>
                <w:szCs w:val="24"/>
              </w:rPr>
            </w:pPr>
            <w:r w:rsidRPr="00CC12A4">
              <w:rPr>
                <w:rFonts w:ascii="Arial" w:hAnsi="Arial" w:cs="Arial"/>
                <w:sz w:val="24"/>
                <w:szCs w:val="24"/>
              </w:rPr>
              <w:t xml:space="preserve">Yn ystod fy amser ym mlwyddyn 6, roedd gan y dosbarth thema ar gyfer ei ddysgu sef sut mae’r byd yn newid. At hynny, o ran dysgu’r disgyblion am sut mae’r byd yn newid roedd yn syniad da i ddysgu nhw am yr hyn sydd yn digwydd yn y byd ar hyn y byd sef newid hinsawdd. O ganlyniad i hyn, roedd gan y disgyblion i hybu’r ddysgu trwy roi cymorth i mi ac i’r athrawes o’r hyn yr oeddent eisiau i ddysgu. Y rheswm dros roi’r cyfle i’r disgyblion i hybu’r dysgu oherwydd roedd e’n ffordd effeithiol o ddatblygu dealltwriaeth y plant o’r pedwar diben. Yn bennaf, yn ystod y prosiect roedd gan y disgyblion y cyfle i ddatblygu llawer o sgiliau Newydd ar draws y cwricwlwm. Er enghraifft, roedd y disgyblion wedi datblygu'r sgil o ymchwilio i mewn i dymereddau gwahanol wledydd ar draws y byd. Nid yn unig wnaeth y disgyblion tasgau bach ar gyfer ddatblygu sgiliau ond hefyd roedd gan y disgyblion y cyfle o wneud ‘Big Write’. Megis ysgrifennu araith ac ymson. Yn ogystal, cyn i’r disgyblion i ysgrifennu’r araith a’r ymson, roeddwn nhw wedi datblygu ei ddealltwriaeth o wahanol dechnegau ac ar ôl iddyn nhw i ddysgu’r technegau roedd hyn yn sicrhau bod nhw’n hyderus i ychwanegu’r technegau yn ei ysgrifennu.  </w:t>
            </w:r>
          </w:p>
        </w:tc>
      </w:tr>
      <w:tr w:rsidR="0050327E" w:rsidRPr="00CC12A4" w14:paraId="1B6FD3DA" w14:textId="77777777" w:rsidTr="00793223">
        <w:tc>
          <w:tcPr>
            <w:tcW w:w="2689" w:type="dxa"/>
          </w:tcPr>
          <w:p w14:paraId="13858121"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t>Beth rydych chi wedi’i ddysgu?</w:t>
            </w:r>
          </w:p>
          <w:p w14:paraId="03B77881" w14:textId="77777777" w:rsidR="0050327E" w:rsidRPr="00CC12A4" w:rsidRDefault="0050327E" w:rsidP="00793223">
            <w:pPr>
              <w:jc w:val="center"/>
              <w:rPr>
                <w:rFonts w:ascii="Arial" w:hAnsi="Arial" w:cs="Arial"/>
                <w:sz w:val="24"/>
                <w:szCs w:val="24"/>
              </w:rPr>
            </w:pPr>
          </w:p>
        </w:tc>
        <w:tc>
          <w:tcPr>
            <w:tcW w:w="6327" w:type="dxa"/>
          </w:tcPr>
          <w:p w14:paraId="3096921B" w14:textId="77777777" w:rsidR="0050327E" w:rsidRPr="00CC12A4" w:rsidRDefault="0050327E" w:rsidP="00793223">
            <w:pPr>
              <w:rPr>
                <w:rFonts w:ascii="Arial" w:hAnsi="Arial" w:cs="Arial"/>
                <w:sz w:val="24"/>
                <w:szCs w:val="24"/>
              </w:rPr>
            </w:pPr>
            <w:r w:rsidRPr="00CC12A4">
              <w:rPr>
                <w:rFonts w:ascii="Arial" w:hAnsi="Arial" w:cs="Arial"/>
                <w:sz w:val="24"/>
                <w:szCs w:val="24"/>
              </w:rPr>
              <w:t>Yn ystod Pap 1 roeddwn i wedi ddysgu llawer am sut a pham mae’n bwysig i ddefnyddio prosiect i hybu’r ddysgu. Trwy ddefnyddio prosiect fe ddysgais bod e’n hawdd i ddatblygu’r sgiliau’r plant mewn ffordd hawdd ac yn ffordd sydd yn hwylus i’r disgyblion. Ymhellach, y reswm dros hyn yw oherwydd cafodd y disgyblion y cyfle o gael ei llais wedi clywed, trwy rhannu ei syniadau cyn iddyn nhw i ddysgu’r prosiect.  Yn ystod fy nysgu, roeddwn i hefyd wedi ddatblygu fy nealltwriaeth o sut i gynnwys y pedwar diben yn fy nysgu, a sut gallaf ddatblygu dealltwriaeth y disgyblion am bob diben. Fodd bynnag, erbyn diwedd y prosiect roedd bron pob disgybl yn gallu ddweud sut roeddwn nhw wedi ddefnyddio’r pedwar diben yn ei waith. Yn ogystal â hynny, wrth weithio ar brosiect fe ddysgais bod myfyrwyr yn gallu dysgu sut i rheoli rhwystrau yn fwy effeithion, ac yn aml yn dysgu fethiant ac yn gwneud addasiadau nes eu bod yn hapus gyda’I gwaith. O ganlyniad, fe gwelais hyn yn ddigwydd tra bod y disgyblion yn ysgrifennu araith.</w:t>
            </w:r>
          </w:p>
        </w:tc>
      </w:tr>
      <w:tr w:rsidR="0050327E" w:rsidRPr="00CC12A4" w14:paraId="4CCAA153" w14:textId="77777777" w:rsidTr="00793223">
        <w:tc>
          <w:tcPr>
            <w:tcW w:w="2689" w:type="dxa"/>
          </w:tcPr>
          <w:p w14:paraId="2C1F14F5"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lastRenderedPageBreak/>
              <w:t>Beth nesaf?</w:t>
            </w:r>
          </w:p>
          <w:p w14:paraId="3F73CEC6" w14:textId="77777777" w:rsidR="0050327E" w:rsidRPr="00CC12A4" w:rsidRDefault="0050327E" w:rsidP="00793223">
            <w:pPr>
              <w:jc w:val="center"/>
              <w:rPr>
                <w:rFonts w:ascii="Arial" w:hAnsi="Arial" w:cs="Arial"/>
                <w:sz w:val="24"/>
                <w:szCs w:val="24"/>
              </w:rPr>
            </w:pPr>
          </w:p>
        </w:tc>
        <w:tc>
          <w:tcPr>
            <w:tcW w:w="6327" w:type="dxa"/>
          </w:tcPr>
          <w:p w14:paraId="58D05E9D" w14:textId="77777777" w:rsidR="0050327E" w:rsidRPr="00CC12A4" w:rsidRDefault="0050327E" w:rsidP="00793223">
            <w:pPr>
              <w:rPr>
                <w:rFonts w:ascii="Arial" w:hAnsi="Arial" w:cs="Arial"/>
                <w:sz w:val="24"/>
                <w:szCs w:val="24"/>
              </w:rPr>
            </w:pPr>
            <w:r w:rsidRPr="00CC12A4">
              <w:rPr>
                <w:rFonts w:ascii="Arial" w:hAnsi="Arial" w:cs="Arial"/>
                <w:sz w:val="24"/>
                <w:szCs w:val="24"/>
              </w:rPr>
              <w:t xml:space="preserve">Ar gyfer cynnydd, byddaf yn parhau i ddefnyddio gwahanol brosiectau yn fy addysgu trwy ddefnyddio’r prosiect sydd wedi cael ei ddewis gan yr ysgol. Yn bennaf, byddaf yn sicrhau bod gan y disgyblion y cyfle i fynegi ei barn am yr hyn maen nhw eisiau ei ddysgu, a byddaf yn sicrhau fy mod i’n cynnwys rhai o’r syniadau yn fy nysgu. Ond er hynny, mae angen i mi i ddatblygu fy nysgu trwy gynnwys mwy o’r pedwar diben yn fy nysgu a sicrhau fy mod i’n parhau i ddatblygu fy nealltwriaeth a’r ddealltwriaeth y disgyblion am y gwahanol ddiben. Wrth i mi i wneud y cynnydd yma, byddaf yn gallu datblygu mwy o sgiliau yn fy nysgu trwy ddefnyddio mwy o nodweddion. </w:t>
            </w:r>
          </w:p>
        </w:tc>
      </w:tr>
    </w:tbl>
    <w:p w14:paraId="149BC366" w14:textId="77777777" w:rsidR="0050327E" w:rsidRPr="0050327E" w:rsidRDefault="0050327E" w:rsidP="0050327E">
      <w:pPr>
        <w:pStyle w:val="ListParagraph"/>
        <w:numPr>
          <w:ilvl w:val="0"/>
          <w:numId w:val="3"/>
        </w:numPr>
        <w:rPr>
          <w:rFonts w:ascii="Arial" w:hAnsi="Arial" w:cs="Arial"/>
          <w:sz w:val="24"/>
          <w:szCs w:val="24"/>
        </w:rPr>
      </w:pPr>
    </w:p>
    <w:p w14:paraId="36A3D627" w14:textId="77777777" w:rsidR="0050327E" w:rsidRPr="0050327E" w:rsidRDefault="0050327E" w:rsidP="0050327E">
      <w:pPr>
        <w:pStyle w:val="ListParagraph"/>
        <w:numPr>
          <w:ilvl w:val="0"/>
          <w:numId w:val="3"/>
        </w:numPr>
        <w:rPr>
          <w:rFonts w:ascii="Arial" w:hAnsi="Arial" w:cs="Arial"/>
          <w:sz w:val="24"/>
          <w:szCs w:val="24"/>
        </w:rPr>
      </w:pPr>
    </w:p>
    <w:tbl>
      <w:tblPr>
        <w:tblStyle w:val="TableGrid"/>
        <w:tblW w:w="0" w:type="auto"/>
        <w:tblLook w:val="04A0" w:firstRow="1" w:lastRow="0" w:firstColumn="1" w:lastColumn="0" w:noHBand="0" w:noVBand="1"/>
      </w:tblPr>
      <w:tblGrid>
        <w:gridCol w:w="2689"/>
        <w:gridCol w:w="6327"/>
      </w:tblGrid>
      <w:tr w:rsidR="0050327E" w:rsidRPr="00CC12A4" w14:paraId="1129945B" w14:textId="77777777" w:rsidTr="00793223">
        <w:tc>
          <w:tcPr>
            <w:tcW w:w="2689" w:type="dxa"/>
          </w:tcPr>
          <w:p w14:paraId="465B758D" w14:textId="77777777" w:rsidR="0050327E" w:rsidRPr="00CC12A4" w:rsidRDefault="0050327E" w:rsidP="00793223">
            <w:pPr>
              <w:pStyle w:val="Heading2"/>
              <w:jc w:val="center"/>
              <w:outlineLvl w:val="1"/>
              <w:rPr>
                <w:rFonts w:ascii="Arial" w:hAnsi="Arial" w:cs="Arial"/>
                <w:sz w:val="24"/>
                <w:szCs w:val="24"/>
              </w:rPr>
            </w:pPr>
            <w:r w:rsidRPr="00CC12A4">
              <w:rPr>
                <w:rFonts w:ascii="Arial" w:hAnsi="Arial" w:cs="Arial"/>
                <w:sz w:val="24"/>
                <w:szCs w:val="24"/>
                <w:lang w:val="cy-GB"/>
              </w:rPr>
              <w:lastRenderedPageBreak/>
              <w:t>Templed Profiad Proffesiynol 4</w:t>
            </w:r>
          </w:p>
        </w:tc>
        <w:tc>
          <w:tcPr>
            <w:tcW w:w="6327" w:type="dxa"/>
          </w:tcPr>
          <w:p w14:paraId="3DB984D4" w14:textId="77777777" w:rsidR="0050327E" w:rsidRPr="00CC12A4" w:rsidRDefault="0050327E" w:rsidP="00793223">
            <w:pPr>
              <w:rPr>
                <w:rFonts w:ascii="Arial" w:hAnsi="Arial" w:cs="Arial"/>
                <w:sz w:val="24"/>
                <w:szCs w:val="24"/>
              </w:rPr>
            </w:pPr>
          </w:p>
        </w:tc>
      </w:tr>
      <w:tr w:rsidR="0050327E" w:rsidRPr="00CC12A4" w14:paraId="32CC3AF3" w14:textId="77777777" w:rsidTr="00793223">
        <w:tc>
          <w:tcPr>
            <w:tcW w:w="2689" w:type="dxa"/>
          </w:tcPr>
          <w:p w14:paraId="032D2AA6" w14:textId="77777777" w:rsidR="0050327E" w:rsidRPr="00CC12A4" w:rsidRDefault="0050327E" w:rsidP="00793223">
            <w:pPr>
              <w:pStyle w:val="Heading2"/>
              <w:jc w:val="center"/>
              <w:outlineLvl w:val="1"/>
              <w:rPr>
                <w:rFonts w:ascii="Arial" w:hAnsi="Arial" w:cs="Arial"/>
                <w:sz w:val="24"/>
                <w:szCs w:val="24"/>
              </w:rPr>
            </w:pPr>
            <w:r w:rsidRPr="00CC12A4">
              <w:rPr>
                <w:rFonts w:ascii="Arial" w:hAnsi="Arial" w:cs="Arial"/>
                <w:sz w:val="24"/>
                <w:szCs w:val="24"/>
                <w:lang w:val="cy-GB"/>
              </w:rPr>
              <w:t>Safon Addysgeg</w:t>
            </w:r>
          </w:p>
        </w:tc>
        <w:tc>
          <w:tcPr>
            <w:tcW w:w="6327" w:type="dxa"/>
          </w:tcPr>
          <w:p w14:paraId="76C9CFA2" w14:textId="77777777" w:rsidR="0050327E" w:rsidRPr="00CC12A4" w:rsidRDefault="0050327E" w:rsidP="00793223">
            <w:pPr>
              <w:rPr>
                <w:rFonts w:ascii="Arial" w:hAnsi="Arial" w:cs="Arial"/>
                <w:b/>
                <w:color w:val="2F5496" w:themeColor="accent1" w:themeShade="BF"/>
                <w:sz w:val="24"/>
                <w:szCs w:val="24"/>
              </w:rPr>
            </w:pPr>
            <w:r w:rsidRPr="00CC12A4">
              <w:rPr>
                <w:rFonts w:ascii="Arial" w:hAnsi="Arial" w:cs="Arial"/>
                <w:b/>
                <w:color w:val="2F5496" w:themeColor="accent1" w:themeShade="BF"/>
                <w:sz w:val="24"/>
                <w:szCs w:val="24"/>
                <w:lang w:val="cy-GB"/>
              </w:rPr>
              <w:t>Themâu traws-gwricwlaidd</w:t>
            </w:r>
          </w:p>
          <w:p w14:paraId="372F75F0" w14:textId="77777777" w:rsidR="0050327E" w:rsidRPr="00CC12A4" w:rsidRDefault="0050327E" w:rsidP="00793223">
            <w:pPr>
              <w:rPr>
                <w:rFonts w:ascii="Arial" w:hAnsi="Arial" w:cs="Arial"/>
                <w:sz w:val="24"/>
                <w:szCs w:val="24"/>
              </w:rPr>
            </w:pPr>
          </w:p>
        </w:tc>
      </w:tr>
      <w:tr w:rsidR="0050327E" w:rsidRPr="00CC12A4" w14:paraId="4100F9C3" w14:textId="77777777" w:rsidTr="00793223">
        <w:tc>
          <w:tcPr>
            <w:tcW w:w="2689" w:type="dxa"/>
          </w:tcPr>
          <w:p w14:paraId="5FFE500C"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t>Beth wnaethoch chi a pham?</w:t>
            </w:r>
          </w:p>
          <w:p w14:paraId="3A51B90C" w14:textId="77777777" w:rsidR="0050327E" w:rsidRPr="00CC12A4" w:rsidRDefault="0050327E" w:rsidP="00793223">
            <w:pPr>
              <w:jc w:val="center"/>
              <w:rPr>
                <w:rFonts w:ascii="Arial" w:hAnsi="Arial" w:cs="Arial"/>
                <w:sz w:val="24"/>
                <w:szCs w:val="24"/>
              </w:rPr>
            </w:pPr>
          </w:p>
        </w:tc>
        <w:tc>
          <w:tcPr>
            <w:tcW w:w="6327" w:type="dxa"/>
          </w:tcPr>
          <w:p w14:paraId="6C34CF48" w14:textId="77777777" w:rsidR="0050327E" w:rsidRPr="00CC12A4" w:rsidRDefault="0050327E" w:rsidP="00793223">
            <w:pPr>
              <w:rPr>
                <w:rFonts w:ascii="Arial" w:hAnsi="Arial" w:cs="Arial"/>
                <w:sz w:val="24"/>
                <w:szCs w:val="24"/>
              </w:rPr>
            </w:pPr>
            <w:r w:rsidRPr="00CC12A4">
              <w:rPr>
                <w:rFonts w:ascii="Arial" w:hAnsi="Arial" w:cs="Arial"/>
                <w:sz w:val="24"/>
                <w:szCs w:val="24"/>
              </w:rPr>
              <w:t>Wrth edrych ar ganllawiau Hwb ar gyfer traws cwricwlwm, mae rhifedd, llythrennedd, a chymhwysedd digidol yn sgiliau sydd yn hanfodol ar draws pob maes dysgu a phrofiad ac yn bennaf, bydd yn bwysig ar gyfer cynllunio’r cwricwlwm. Felly wrth edrych ar yr agwedd yma o addysgu, roeddwn i wedi sicrhau fy mod i’n cynnwys pob maes dysgu a phrofiad yn fy nysgu. Wrth edrych ar enghreifftiau o hyn, mae’n amlwg fy mod i wedi cynnwys sgiliau rhifedd o fewn gwers addysg gorfforol. Yn y wers yma, tasg y disgyblion oedd gwneud cylched ffitrwydd, ac ymhellach trwy gydol y wers yma roedd rhaid i’r disgyblion i ddefnyddio sgiliau rhifedd wrth iddyn nhw i gyfrifo amser a sawl ‘rep’ yr oedden nhw wedi cwblhau o fewn amser penodol. Y rheswm, fe benderfynwyd defnyddio sgiliau rhifedd o fewn y wers yma oedd oherwydd roedd e’n ffordd hwylus i'r disgyblion i ddatblygu sgiliau ymhellach. Yn ychwanegol i hyn, roedd gan y disgyblion y cyfle i ddatblygu sgiliau rhifedd a llythrennedd trwy wneud arbrawf gwyddonol. Eto roedd hyn yn ffordd hwylus i’r disgyblion i ddatblygu'r sgiliau yma. Yn ystod yr arbrawf roedd y disgyblion wedi datblygu’r sgiliau  rhifedd trwy fesur y cynhwysion, ac yn hytrach ag datblygu sgiliau rhifedd, roedd y disgyblion hefyd wedi datblygu sgiliau llythrennedd trwy gyfathrebu gyda’i gilydd.</w:t>
            </w:r>
          </w:p>
        </w:tc>
      </w:tr>
      <w:tr w:rsidR="0050327E" w:rsidRPr="00CC12A4" w14:paraId="56B7194C" w14:textId="77777777" w:rsidTr="00793223">
        <w:tc>
          <w:tcPr>
            <w:tcW w:w="2689" w:type="dxa"/>
          </w:tcPr>
          <w:p w14:paraId="5D7A8A60"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lastRenderedPageBreak/>
              <w:t>Beth rydych chi wedi’i ddysgu?</w:t>
            </w:r>
          </w:p>
          <w:p w14:paraId="411B6B3A" w14:textId="77777777" w:rsidR="0050327E" w:rsidRPr="00CC12A4" w:rsidRDefault="0050327E" w:rsidP="00793223">
            <w:pPr>
              <w:jc w:val="center"/>
              <w:rPr>
                <w:rFonts w:ascii="Arial" w:hAnsi="Arial" w:cs="Arial"/>
                <w:sz w:val="24"/>
                <w:szCs w:val="24"/>
              </w:rPr>
            </w:pPr>
          </w:p>
        </w:tc>
        <w:tc>
          <w:tcPr>
            <w:tcW w:w="6327" w:type="dxa"/>
          </w:tcPr>
          <w:p w14:paraId="53ED6E8E" w14:textId="77777777" w:rsidR="0050327E" w:rsidRPr="00CC12A4" w:rsidRDefault="0050327E" w:rsidP="00793223">
            <w:pPr>
              <w:rPr>
                <w:rFonts w:ascii="Arial" w:hAnsi="Arial" w:cs="Arial"/>
                <w:sz w:val="24"/>
                <w:szCs w:val="24"/>
              </w:rPr>
            </w:pPr>
            <w:r w:rsidRPr="00CC12A4">
              <w:rPr>
                <w:rFonts w:ascii="Arial" w:hAnsi="Arial" w:cs="Arial"/>
                <w:sz w:val="24"/>
                <w:szCs w:val="24"/>
              </w:rPr>
              <w:t>Trwy gydol PAP1, rydw i wedi dysgu bod gan ddisgyblion i ddatblygu sgiliau trawsgwricwlaidd mewn sawl maes dysgu a phrofiad.  Yn gyntaf, doeddwn i ddim yn sicr o sut gallaf roi’r cyfle i ddisgyblion i ddatblygu sgiliau rhifedd, llythrennedd a chymhwysedd digidol yn gwahanol bynciau. Ond er hynny, wrth werthuso ar yr hyn roeddwn i wedi dysgu i’r disgyblion roeddwn i wedi sylweddoli fy mod yn rhoi’r cyfle i’r disgyblion i ddatblygu’r sgiliau yma mewn modd naturiol. At hynny, wrth i mi i barhau i ddysgu roeddwn i wedi sicrhau fy mod i’n cynnwys y sgiliau yma trwy gydol fy nysgu. Nid yn unig dysgais y bod hwn yn gallu datblygu sgiliau rhifedd, llythrennedd a chymhwysedd digidol, ond hefyd dysgais fod hyn yn gynnig ffordd greadigol o ddatblygu gwybodaeth, dealltwriaeth a sgiliau ymarferol trwy astudio pynciau cysylltiedig. Y casgliad felly yw bod themâu trawsgwricwlaidd yn golygu bod addysgu trawsgwricwlaidd, neu gyfarwyddyd sy'n fwriadol yn cymhwyso disgyblaethau academaidd lluosog ar yr un pryd, yn ffordd effeithiol o ddysgu sgiliau datrys problemau trosglwyddadwy i fyfyrwyr, rhoi ystyr byd go iawn i aseiniadau ysgol, a chynyddu ymgysylltiad a thrylwyredd. Felly wrth edrych ar y datganiad yma, fe ddysgais fod themâu trawsgwricwlaidd yn ffordd hwylus ac yn ffordd hawdd i ddisgyblion i ddatblygu sgiliau gwahanol bynciau mewn ffordd naturiol ar draws pob maes dysgu a phrofiad.</w:t>
            </w:r>
          </w:p>
        </w:tc>
      </w:tr>
      <w:tr w:rsidR="0050327E" w:rsidRPr="00CC12A4" w14:paraId="181051FD" w14:textId="77777777" w:rsidTr="00793223">
        <w:tc>
          <w:tcPr>
            <w:tcW w:w="2689" w:type="dxa"/>
          </w:tcPr>
          <w:p w14:paraId="49525F09" w14:textId="77777777" w:rsidR="0050327E" w:rsidRPr="00CC12A4" w:rsidRDefault="0050327E" w:rsidP="00793223">
            <w:pPr>
              <w:pStyle w:val="Heading3"/>
              <w:jc w:val="center"/>
              <w:outlineLvl w:val="2"/>
              <w:rPr>
                <w:rFonts w:ascii="Arial" w:hAnsi="Arial" w:cs="Arial"/>
              </w:rPr>
            </w:pPr>
            <w:r w:rsidRPr="00CC12A4">
              <w:rPr>
                <w:rFonts w:ascii="Arial" w:hAnsi="Arial" w:cs="Arial"/>
                <w:lang w:val="cy-GB"/>
              </w:rPr>
              <w:t>Beth nesaf?</w:t>
            </w:r>
          </w:p>
          <w:p w14:paraId="7814C1B8" w14:textId="77777777" w:rsidR="0050327E" w:rsidRPr="00CC12A4" w:rsidRDefault="0050327E" w:rsidP="00793223">
            <w:pPr>
              <w:jc w:val="center"/>
              <w:rPr>
                <w:rFonts w:ascii="Arial" w:hAnsi="Arial" w:cs="Arial"/>
                <w:sz w:val="24"/>
                <w:szCs w:val="24"/>
              </w:rPr>
            </w:pPr>
          </w:p>
        </w:tc>
        <w:tc>
          <w:tcPr>
            <w:tcW w:w="6327" w:type="dxa"/>
          </w:tcPr>
          <w:p w14:paraId="4F58ADCC" w14:textId="77777777" w:rsidR="0050327E" w:rsidRPr="00CC12A4" w:rsidRDefault="0050327E" w:rsidP="00793223">
            <w:pPr>
              <w:rPr>
                <w:rFonts w:ascii="Arial" w:hAnsi="Arial" w:cs="Arial"/>
                <w:sz w:val="24"/>
                <w:szCs w:val="24"/>
              </w:rPr>
            </w:pPr>
            <w:r w:rsidRPr="00CC12A4">
              <w:rPr>
                <w:rFonts w:ascii="Arial" w:hAnsi="Arial" w:cs="Arial"/>
                <w:sz w:val="24"/>
                <w:szCs w:val="24"/>
              </w:rPr>
              <w:t xml:space="preserve">Ar gyfer cynnydd, byddaf yn sicrhau fy mod i’r parhau i ddefnyddio themâu traws-gwricwlaidd yn fy nysgu trwy gynnwys sgiliau rhifedd, llythrennedd a chymhwysedd digidol ar draws fy nysgu. Ymhellach, byddaf yn barhau i ddefnyddio gwahanol syniadau yr roeddwn i wedi ddatblygu a ddefnyddio yn ystod PAP1 ac yna byddaf yn asesu fy nysgu er mwyn i ddarganfod sut gallaf ddatblygu fy nysgu ymhellach. </w:t>
            </w:r>
          </w:p>
        </w:tc>
      </w:tr>
    </w:tbl>
    <w:p w14:paraId="4F97A715" w14:textId="47A2FCF8" w:rsidR="00D30946" w:rsidRPr="000954E4" w:rsidRDefault="00D30946" w:rsidP="0050327E">
      <w:pPr>
        <w:pStyle w:val="ListParagraph"/>
        <w:numPr>
          <w:ilvl w:val="0"/>
          <w:numId w:val="4"/>
        </w:numPr>
        <w:spacing w:line="360" w:lineRule="auto"/>
        <w:rPr>
          <w:rFonts w:ascii="Arial" w:eastAsiaTheme="minorEastAsia" w:hAnsi="Arial" w:cs="Arial"/>
          <w:b/>
          <w:bCs/>
          <w:color w:val="000000" w:themeColor="text1"/>
          <w:sz w:val="24"/>
          <w:szCs w:val="24"/>
        </w:rPr>
      </w:pPr>
      <w:r w:rsidRPr="000954E4">
        <w:rPr>
          <w:rFonts w:ascii="Arial" w:eastAsiaTheme="minorEastAsia" w:hAnsi="Arial" w:cs="Arial"/>
          <w:b/>
          <w:bCs/>
          <w:color w:val="000000" w:themeColor="text1"/>
          <w:sz w:val="24"/>
          <w:szCs w:val="24"/>
        </w:rPr>
        <w:t>Cyflwyniad:</w:t>
      </w:r>
    </w:p>
    <w:p w14:paraId="58AAC8CE" w14:textId="1C38F18E" w:rsidR="003E3487" w:rsidRPr="00307A44" w:rsidRDefault="003E3487" w:rsidP="006608F5">
      <w:pPr>
        <w:spacing w:line="360" w:lineRule="auto"/>
        <w:rPr>
          <w:rFonts w:ascii="Arial" w:eastAsiaTheme="minorEastAsia" w:hAnsi="Arial" w:cs="Arial"/>
          <w:color w:val="000000" w:themeColor="text1"/>
          <w:sz w:val="24"/>
          <w:szCs w:val="24"/>
        </w:rPr>
      </w:pPr>
      <w:r w:rsidRPr="00307A44">
        <w:rPr>
          <w:rFonts w:ascii="Arial" w:eastAsiaTheme="minorEastAsia" w:hAnsi="Arial" w:cs="Arial"/>
          <w:color w:val="000000" w:themeColor="text1"/>
          <w:sz w:val="24"/>
          <w:szCs w:val="24"/>
        </w:rPr>
        <w:t xml:space="preserve">Wrth gyfeirio at deitl yr aseiniad a rhan 1 o’r aseiniad, mae’n amlwg bod e’n hanfodol i mi i ddatblygu fy nealltwriaeth o asesu ar gyfer dysgu. Yn bennaf, ar gyfer ddatblygu’r egwyddorion yma, byddaf yn datblygu fy nealltwriaeth trwy wneud adolygiad llenyddiaeth ag bydd yn gynnwys amrywiaeth o wybodaeth am bwysigrwydd asesu ar gyfer dysgu ac yn hytrach byddaf hefyd yn cyfeirio at wybodaeth eraill hefyd. Megis, cefndir asesu ar gyfer dysgu, y bylchau ac ati. Yn ychwanegol i hyn, mae’n bwysig fy mod i’n sicrhau bod fy llenyddiaeth yn effeithiol sydd yn arwain y darllenydd i’r pwyntiau allweddol, ac yna byddaf yn gynnwys safbwyntiau tebyg neu a wahanol ac yna byddaf yn sicrhau fy mod i’n bodoli’r </w:t>
      </w:r>
      <w:r w:rsidRPr="00307A44">
        <w:rPr>
          <w:rFonts w:ascii="Arial" w:eastAsiaTheme="minorEastAsia" w:hAnsi="Arial" w:cs="Arial"/>
          <w:color w:val="000000" w:themeColor="text1"/>
          <w:sz w:val="24"/>
          <w:szCs w:val="24"/>
        </w:rPr>
        <w:lastRenderedPageBreak/>
        <w:t>pwyntiau allweddol. Ar y llaw arall, yn hytrach â chynnwys safbwyntiau tebyg, mae’n hefyd yn bwysig i ddangos fy meddwl am yr hyn rydw i’n darllen mewn ffordd feirniadol.</w:t>
      </w:r>
    </w:p>
    <w:p w14:paraId="2EAACB0E" w14:textId="693CA389" w:rsidR="006608F5" w:rsidRDefault="00744932" w:rsidP="006608F5">
      <w:pPr>
        <w:spacing w:line="360" w:lineRule="auto"/>
        <w:rPr>
          <w:rFonts w:ascii="Arial" w:eastAsia="Times New Roman" w:hAnsi="Arial" w:cs="Arial"/>
          <w:color w:val="000000"/>
          <w:sz w:val="24"/>
          <w:szCs w:val="24"/>
          <w:lang w:eastAsia="en-GB"/>
        </w:rPr>
      </w:pPr>
      <w:r w:rsidRPr="00307A44">
        <w:rPr>
          <w:rFonts w:ascii="Arial" w:eastAsiaTheme="minorEastAsia" w:hAnsi="Arial" w:cs="Arial"/>
          <w:color w:val="000000" w:themeColor="text1"/>
          <w:sz w:val="24"/>
          <w:szCs w:val="24"/>
        </w:rPr>
        <w:t>Cafodd y term ‘asesu ar gyfer dysgu’ ei ddefnyddio yn gyntaf gan Mary James mewn cynhadledd yn 1992. Yn yr un modd, cafodd y term ei ddefnyddio gan Gipps (1994) er mwyn i rhoi eglurhad model asesiad oedd yn gynnwys “checking whether the information had been received”.  Serch hynny, er bod Stiggins (2002) yn egluro</w:t>
      </w:r>
      <w:r w:rsidR="00C76753" w:rsidRPr="00307A44">
        <w:rPr>
          <w:rFonts w:ascii="Arial" w:eastAsiaTheme="minorEastAsia" w:hAnsi="Arial" w:cs="Arial"/>
          <w:color w:val="000000" w:themeColor="text1"/>
          <w:sz w:val="24"/>
          <w:szCs w:val="24"/>
        </w:rPr>
        <w:t xml:space="preserve"> bod asesu ar gyfer dysgu y gallu gwella dysgu’r disgyblion. Efallai bod y diffiniad gan </w:t>
      </w:r>
      <w:r w:rsidR="00C76753" w:rsidRPr="00307A44">
        <w:rPr>
          <w:rFonts w:ascii="Arial" w:eastAsia="Times New Roman" w:hAnsi="Arial" w:cs="Arial"/>
          <w:color w:val="000000"/>
          <w:sz w:val="24"/>
          <w:szCs w:val="24"/>
          <w:shd w:val="clear" w:color="auto" w:fill="FFFFFF"/>
          <w:lang w:eastAsia="en-GB"/>
        </w:rPr>
        <w:t>Black a Wiliam (1998a)</w:t>
      </w:r>
      <w:r w:rsidR="00C76753" w:rsidRPr="00307A44">
        <w:rPr>
          <w:rFonts w:ascii="Arial" w:eastAsia="Times New Roman" w:hAnsi="Arial" w:cs="Arial"/>
          <w:color w:val="000000"/>
          <w:sz w:val="24"/>
          <w:szCs w:val="24"/>
          <w:shd w:val="clear" w:color="auto" w:fill="FFFFFF"/>
          <w:lang w:eastAsia="en-GB"/>
        </w:rPr>
        <w:t xml:space="preserve"> yn cael ei ddefnyddio mwy aml. </w:t>
      </w:r>
      <w:r w:rsidR="00C76753" w:rsidRPr="00307A44">
        <w:rPr>
          <w:rFonts w:ascii="Arial" w:eastAsia="Times New Roman" w:hAnsi="Arial" w:cs="Arial"/>
          <w:color w:val="000000"/>
          <w:sz w:val="24"/>
          <w:szCs w:val="24"/>
          <w:shd w:val="clear" w:color="auto" w:fill="FFFFFF"/>
          <w:lang w:eastAsia="en-GB"/>
        </w:rPr>
        <w:t>Mae Black a Wiliam (1998a, t. 2) yn ystyried AfL fel</w:t>
      </w:r>
      <w:r w:rsidR="00C76753" w:rsidRPr="00307A44">
        <w:rPr>
          <w:rFonts w:ascii="Arial" w:eastAsia="Times New Roman" w:hAnsi="Arial" w:cs="Arial"/>
          <w:color w:val="000000"/>
          <w:sz w:val="24"/>
          <w:szCs w:val="24"/>
          <w:shd w:val="clear" w:color="auto" w:fill="FFFFFF"/>
          <w:lang w:eastAsia="en-GB"/>
        </w:rPr>
        <w:t xml:space="preserve"> “ all</w:t>
      </w:r>
      <w:r w:rsidR="006608F5">
        <w:rPr>
          <w:rFonts w:ascii="Arial" w:eastAsia="Times New Roman" w:hAnsi="Arial" w:cs="Arial"/>
          <w:color w:val="000000"/>
          <w:sz w:val="24"/>
          <w:szCs w:val="24"/>
          <w:shd w:val="clear" w:color="auto" w:fill="FFFFFF"/>
          <w:lang w:eastAsia="en-GB"/>
        </w:rPr>
        <w:t xml:space="preserve"> </w:t>
      </w:r>
      <w:r w:rsidR="00C76753" w:rsidRPr="00307A44">
        <w:rPr>
          <w:rFonts w:ascii="Arial" w:eastAsia="Times New Roman" w:hAnsi="Arial" w:cs="Arial"/>
          <w:color w:val="000000"/>
          <w:sz w:val="24"/>
          <w:szCs w:val="24"/>
          <w:lang w:eastAsia="en-GB"/>
        </w:rPr>
        <w:t>activities  teachers  and  their  students  undertake  in</w:t>
      </w:r>
      <w:r w:rsidR="00C76753" w:rsidRPr="00307A44">
        <w:rPr>
          <w:rFonts w:ascii="Arial" w:eastAsia="Times New Roman" w:hAnsi="Arial" w:cs="Arial"/>
          <w:color w:val="000000"/>
          <w:sz w:val="24"/>
          <w:szCs w:val="24"/>
          <w:lang w:eastAsia="en-GB"/>
        </w:rPr>
        <w:t xml:space="preserve"> </w:t>
      </w:r>
      <w:r w:rsidR="00C76753" w:rsidRPr="00C76753">
        <w:rPr>
          <w:rFonts w:ascii="Arial" w:eastAsia="Times New Roman" w:hAnsi="Arial" w:cs="Arial"/>
          <w:color w:val="000000"/>
          <w:sz w:val="24"/>
          <w:szCs w:val="24"/>
          <w:lang w:eastAsia="en-GB"/>
        </w:rPr>
        <w:t>assessing themselves,  to get information  that can be used as feedback to modify the teaching and learning</w:t>
      </w:r>
      <w:r w:rsidR="00C76753" w:rsidRPr="00307A44">
        <w:rPr>
          <w:rFonts w:ascii="Arial" w:eastAsia="Times New Roman" w:hAnsi="Arial" w:cs="Arial"/>
          <w:color w:val="000000"/>
          <w:sz w:val="24"/>
          <w:szCs w:val="24"/>
          <w:lang w:eastAsia="en-GB"/>
        </w:rPr>
        <w:t xml:space="preserve"> in which they are engaged”. </w:t>
      </w:r>
      <w:r w:rsidR="00C76753" w:rsidRPr="00C76753">
        <w:rPr>
          <w:rFonts w:ascii="Arial" w:eastAsia="Times New Roman" w:hAnsi="Arial" w:cs="Arial"/>
          <w:color w:val="000000"/>
          <w:sz w:val="24"/>
          <w:szCs w:val="24"/>
          <w:lang w:eastAsia="en-GB"/>
        </w:rPr>
        <w:t xml:space="preserve"> </w:t>
      </w:r>
      <w:r w:rsidR="00C76753" w:rsidRPr="00307A44">
        <w:rPr>
          <w:rFonts w:ascii="Arial" w:eastAsia="Times New Roman" w:hAnsi="Arial" w:cs="Arial"/>
          <w:color w:val="000000"/>
          <w:sz w:val="24"/>
          <w:szCs w:val="24"/>
          <w:lang w:eastAsia="en-GB"/>
        </w:rPr>
        <w:t>Yn yr un modd, mae awduron eraill wedi cynnig diffiniadau culach.</w:t>
      </w:r>
      <w:r w:rsidR="00C76753" w:rsidRPr="00307A44">
        <w:rPr>
          <w:rFonts w:ascii="Arial" w:eastAsia="Times New Roman" w:hAnsi="Arial" w:cs="Arial"/>
          <w:color w:val="000000"/>
          <w:sz w:val="24"/>
          <w:szCs w:val="24"/>
          <w:lang w:eastAsia="en-GB"/>
        </w:rPr>
        <w:t xml:space="preserve"> </w:t>
      </w:r>
      <w:r w:rsidR="00C76753" w:rsidRPr="00307A44">
        <w:rPr>
          <w:rFonts w:ascii="Arial" w:eastAsia="Times New Roman" w:hAnsi="Arial" w:cs="Arial"/>
          <w:color w:val="000000"/>
          <w:sz w:val="24"/>
          <w:szCs w:val="24"/>
          <w:lang w:eastAsia="en-GB"/>
        </w:rPr>
        <w:t xml:space="preserve">Er enghraifft, mae'r </w:t>
      </w:r>
      <w:r w:rsidR="00307A44" w:rsidRPr="00307A44">
        <w:rPr>
          <w:rFonts w:ascii="Arial" w:eastAsia="Times New Roman" w:hAnsi="Arial" w:cs="Arial"/>
          <w:color w:val="000000"/>
          <w:sz w:val="24"/>
          <w:szCs w:val="24"/>
          <w:lang w:eastAsia="en-GB"/>
        </w:rPr>
        <w:t xml:space="preserve">Assessment reform group </w:t>
      </w:r>
      <w:r w:rsidR="00C76753" w:rsidRPr="00307A44">
        <w:rPr>
          <w:rFonts w:ascii="Arial" w:eastAsia="Times New Roman" w:hAnsi="Arial" w:cs="Arial"/>
          <w:color w:val="000000"/>
          <w:sz w:val="24"/>
          <w:szCs w:val="24"/>
          <w:lang w:eastAsia="en-GB"/>
        </w:rPr>
        <w:t>(2002</w:t>
      </w:r>
      <w:r w:rsidR="00307A44" w:rsidRPr="00307A44">
        <w:rPr>
          <w:rFonts w:ascii="Arial" w:eastAsia="Times New Roman" w:hAnsi="Arial" w:cs="Arial"/>
          <w:color w:val="000000"/>
          <w:sz w:val="24"/>
          <w:szCs w:val="24"/>
          <w:lang w:eastAsia="en-GB"/>
        </w:rPr>
        <w:t>, p.2)</w:t>
      </w:r>
      <w:r w:rsidR="00C76753" w:rsidRPr="00307A44">
        <w:rPr>
          <w:rFonts w:ascii="Arial" w:eastAsia="Times New Roman" w:hAnsi="Arial" w:cs="Arial"/>
          <w:color w:val="000000"/>
          <w:sz w:val="24"/>
          <w:szCs w:val="24"/>
          <w:lang w:eastAsia="en-GB"/>
        </w:rPr>
        <w:t xml:space="preserve"> yn egluro AfL fel</w:t>
      </w:r>
      <w:r w:rsidR="00307A44" w:rsidRPr="00307A44">
        <w:rPr>
          <w:rFonts w:ascii="Arial" w:eastAsia="Times New Roman" w:hAnsi="Arial" w:cs="Arial"/>
          <w:color w:val="000000"/>
          <w:sz w:val="24"/>
          <w:szCs w:val="24"/>
          <w:lang w:eastAsia="en-GB"/>
        </w:rPr>
        <w:t xml:space="preserve"> “the process of seeking and interpreting evidence for use by learners and their teachers to decide where the learners are in their learning, where they need to go and how best to get there.”</w:t>
      </w:r>
      <w:r w:rsidR="00307A44">
        <w:rPr>
          <w:rFonts w:ascii="Arial" w:eastAsia="Times New Roman" w:hAnsi="Arial" w:cs="Arial"/>
          <w:color w:val="000000"/>
          <w:sz w:val="24"/>
          <w:szCs w:val="24"/>
          <w:lang w:eastAsia="en-GB"/>
        </w:rPr>
        <w:t xml:space="preserve"> </w:t>
      </w:r>
    </w:p>
    <w:p w14:paraId="17B6C6D3" w14:textId="0F223729" w:rsidR="00C76753" w:rsidRPr="00C76753" w:rsidRDefault="006608F5" w:rsidP="006608F5">
      <w:pPr>
        <w:spacing w:line="360" w:lineRule="auto"/>
        <w:rPr>
          <w:rFonts w:ascii="Arial" w:eastAsia="Times New Roman" w:hAnsi="Arial" w:cs="Arial"/>
          <w:color w:val="000000"/>
          <w:sz w:val="24"/>
          <w:szCs w:val="24"/>
          <w:lang w:eastAsia="en-GB"/>
        </w:rPr>
      </w:pPr>
      <w:r w:rsidRPr="006608F5">
        <w:rPr>
          <w:rFonts w:ascii="Arial" w:eastAsia="Times New Roman" w:hAnsi="Arial" w:cs="Arial"/>
          <w:color w:val="000000"/>
          <w:sz w:val="24"/>
          <w:szCs w:val="24"/>
          <w:lang w:eastAsia="en-GB"/>
        </w:rPr>
        <w:t>Mae'r diffiniadau a grybwyllwyd uchod yn dangos cydrannau pwysicaf A</w:t>
      </w:r>
      <w:r>
        <w:rPr>
          <w:rFonts w:ascii="Arial" w:eastAsia="Times New Roman" w:hAnsi="Arial" w:cs="Arial"/>
          <w:color w:val="000000"/>
          <w:sz w:val="24"/>
          <w:szCs w:val="24"/>
          <w:lang w:eastAsia="en-GB"/>
        </w:rPr>
        <w:t>AGD</w:t>
      </w:r>
      <w:r w:rsidRPr="006608F5">
        <w:rPr>
          <w:rFonts w:ascii="Arial" w:eastAsia="Times New Roman" w:hAnsi="Arial" w:cs="Arial"/>
          <w:color w:val="000000"/>
          <w:sz w:val="24"/>
          <w:szCs w:val="24"/>
          <w:lang w:eastAsia="en-GB"/>
        </w:rPr>
        <w:t>, megis cydweithredu athrawon a myfyrwyr wrth drafod a chwestiynu yn yr ystafell ddosbarth; diffinio a rhannu bwriadau a meini prawf dysgu ar gyfer llwyddiant; adborth ffurfiannol; yn ogystal â hunanasesu cymheiriaid a hunanasesu.</w:t>
      </w:r>
      <w:r>
        <w:rPr>
          <w:rFonts w:ascii="Arial" w:eastAsia="Times New Roman" w:hAnsi="Arial" w:cs="Arial"/>
          <w:color w:val="000000"/>
          <w:sz w:val="24"/>
          <w:szCs w:val="24"/>
          <w:lang w:eastAsia="en-GB"/>
        </w:rPr>
        <w:t xml:space="preserve"> </w:t>
      </w:r>
      <w:r w:rsidRPr="006608F5">
        <w:rPr>
          <w:rFonts w:ascii="Arial" w:eastAsia="Times New Roman" w:hAnsi="Arial" w:cs="Arial"/>
          <w:color w:val="000000"/>
          <w:sz w:val="24"/>
          <w:szCs w:val="24"/>
          <w:lang w:eastAsia="en-GB"/>
        </w:rPr>
        <w:t xml:space="preserve">Mae'r strategaethau </w:t>
      </w:r>
      <w:r>
        <w:rPr>
          <w:rFonts w:ascii="Arial" w:eastAsia="Times New Roman" w:hAnsi="Arial" w:cs="Arial"/>
          <w:color w:val="000000"/>
          <w:sz w:val="24"/>
          <w:szCs w:val="24"/>
          <w:lang w:eastAsia="en-GB"/>
        </w:rPr>
        <w:t>yma</w:t>
      </w:r>
      <w:r w:rsidRPr="006608F5">
        <w:rPr>
          <w:rFonts w:ascii="Arial" w:eastAsia="Times New Roman" w:hAnsi="Arial" w:cs="Arial"/>
          <w:color w:val="000000"/>
          <w:sz w:val="24"/>
          <w:szCs w:val="24"/>
          <w:lang w:eastAsia="en-GB"/>
        </w:rPr>
        <w:t xml:space="preserve"> yn lleihau'r pellter rhwng lefel gyfredol myfyrwyr a'r nodau a ddymunir a hefyd yn helpu myfyrwyr i fonitro eu proses ddysgu eu hunain (Sadler,</w:t>
      </w:r>
      <w:r>
        <w:rPr>
          <w:rFonts w:ascii="Arial" w:eastAsia="Times New Roman" w:hAnsi="Arial" w:cs="Arial"/>
          <w:color w:val="000000"/>
          <w:sz w:val="24"/>
          <w:szCs w:val="24"/>
          <w:lang w:eastAsia="en-GB"/>
        </w:rPr>
        <w:t xml:space="preserve"> 1989). </w:t>
      </w:r>
    </w:p>
    <w:p w14:paraId="0290F106" w14:textId="683E885D" w:rsidR="00E95734" w:rsidRDefault="003E3487" w:rsidP="006608F5">
      <w:pPr>
        <w:spacing w:line="360" w:lineRule="auto"/>
        <w:rPr>
          <w:rFonts w:ascii="Arial" w:eastAsiaTheme="minorEastAsia" w:hAnsi="Arial" w:cs="Arial"/>
          <w:color w:val="000000" w:themeColor="text1"/>
          <w:sz w:val="24"/>
          <w:szCs w:val="24"/>
        </w:rPr>
      </w:pPr>
      <w:r w:rsidRPr="00307A44">
        <w:rPr>
          <w:rFonts w:ascii="Arial" w:eastAsiaTheme="minorEastAsia" w:hAnsi="Arial" w:cs="Arial"/>
          <w:color w:val="000000" w:themeColor="text1"/>
          <w:sz w:val="24"/>
          <w:szCs w:val="24"/>
        </w:rPr>
        <w:t>I grynhoi, yn ystod fy adolygiad lenyddiaeth byddaf yn rhoi gwybodaeth am asesu ar gyfer dysgu mewn ffordd amrywiol. Serch hynny, yn gyntaf byddaf yn rhoi gwybodaeth ar sut wnaeth asesu ar gyfer dysgu cael ei ffurfio a pham, yna byddaf yn rhoi gwybodaeth ar ddilyniant ar gyfer dysgu gan gyfeirio at wybodaeth sydd yn cyfleu ar sut mae disgwyl i ddisgyblion i ddatblygu. Ar ôl hynny, byddaf yn cyfeirio at feini prawf llwyddiant ac yn bennaf, byddaf yn esbonio beth mae meini prawf llwyddiant yn ei olygu. Ymhellach, trwy gydol yr adolygiad llenyddiaeth, byddaf yn adnabod y bylchau ar gyfer asesu ar gyfer dysgu. Ond nid yn unig byddaf yn adnabod y bylchau, ond hefyd byddaf yn cyfeirio at rhai goblygiadau hefyd a sut gall ysgolion osgoi</w:t>
      </w:r>
      <w:r w:rsidR="00C116D8">
        <w:rPr>
          <w:rFonts w:ascii="Arial" w:eastAsiaTheme="minorEastAsia" w:hAnsi="Arial" w:cs="Arial"/>
          <w:color w:val="000000" w:themeColor="text1"/>
          <w:sz w:val="24"/>
          <w:szCs w:val="24"/>
        </w:rPr>
        <w:t>’r</w:t>
      </w:r>
      <w:r w:rsidRPr="00307A44">
        <w:rPr>
          <w:rFonts w:ascii="Arial" w:eastAsiaTheme="minorEastAsia" w:hAnsi="Arial" w:cs="Arial"/>
          <w:color w:val="000000" w:themeColor="text1"/>
          <w:sz w:val="24"/>
          <w:szCs w:val="24"/>
        </w:rPr>
        <w:t xml:space="preserve"> goblygiadau.</w:t>
      </w:r>
    </w:p>
    <w:p w14:paraId="444222E5" w14:textId="38417DB0" w:rsidR="000954E4" w:rsidRDefault="000954E4" w:rsidP="006608F5">
      <w:pPr>
        <w:spacing w:line="360" w:lineRule="auto"/>
        <w:rPr>
          <w:rFonts w:ascii="Arial" w:eastAsiaTheme="minorEastAsia" w:hAnsi="Arial" w:cs="Arial"/>
          <w:color w:val="000000" w:themeColor="text1"/>
          <w:sz w:val="24"/>
          <w:szCs w:val="24"/>
        </w:rPr>
      </w:pPr>
    </w:p>
    <w:p w14:paraId="437FA241" w14:textId="60AB33FF" w:rsidR="000954E4" w:rsidRDefault="00C54BFF" w:rsidP="0050327E">
      <w:pPr>
        <w:pStyle w:val="ListParagraph"/>
        <w:numPr>
          <w:ilvl w:val="0"/>
          <w:numId w:val="4"/>
        </w:numPr>
        <w:spacing w:line="360" w:lineRule="auto"/>
        <w:rPr>
          <w:rFonts w:ascii="Arial" w:eastAsiaTheme="minorEastAsia" w:hAnsi="Arial" w:cs="Arial"/>
          <w:b/>
          <w:bCs/>
          <w:color w:val="000000" w:themeColor="text1"/>
          <w:sz w:val="24"/>
          <w:szCs w:val="24"/>
        </w:rPr>
      </w:pPr>
      <w:r w:rsidRPr="00C54BFF">
        <w:rPr>
          <w:rFonts w:ascii="Arial" w:eastAsiaTheme="minorEastAsia" w:hAnsi="Arial" w:cs="Arial"/>
          <w:b/>
          <w:bCs/>
          <w:color w:val="000000" w:themeColor="text1"/>
          <w:sz w:val="24"/>
          <w:szCs w:val="24"/>
        </w:rPr>
        <w:t>Adolygiad Llenyddiaeth:</w:t>
      </w:r>
    </w:p>
    <w:p w14:paraId="22F6ADBB" w14:textId="2EE6E408" w:rsidR="00FC4E0C" w:rsidRDefault="00FC4E0C" w:rsidP="00FC4E0C">
      <w:pPr>
        <w:spacing w:line="360" w:lineRule="auto"/>
        <w:rPr>
          <w:rFonts w:ascii="Arial" w:eastAsiaTheme="minorEastAsia" w:hAnsi="Arial" w:cs="Arial"/>
          <w:b/>
          <w:bCs/>
          <w:color w:val="000000" w:themeColor="text1"/>
          <w:sz w:val="24"/>
          <w:szCs w:val="24"/>
        </w:rPr>
      </w:pPr>
      <w:r>
        <w:rPr>
          <w:rFonts w:ascii="Arial" w:eastAsiaTheme="minorEastAsia" w:hAnsi="Arial" w:cs="Arial"/>
          <w:b/>
          <w:bCs/>
          <w:color w:val="000000" w:themeColor="text1"/>
          <w:sz w:val="24"/>
          <w:szCs w:val="24"/>
        </w:rPr>
        <w:t xml:space="preserve">Cefndir: </w:t>
      </w:r>
    </w:p>
    <w:p w14:paraId="6AC6E444" w14:textId="48A2376D" w:rsidR="00FC4E0C" w:rsidRDefault="00341A0B" w:rsidP="00FC4E0C">
      <w:pPr>
        <w:spacing w:line="360" w:lineRule="auto"/>
        <w:rPr>
          <w:rFonts w:ascii="Arial" w:eastAsiaTheme="minorEastAsia" w:hAnsi="Arial" w:cs="Arial"/>
          <w:color w:val="000000" w:themeColor="text1"/>
          <w:sz w:val="24"/>
          <w:szCs w:val="24"/>
        </w:rPr>
      </w:pPr>
      <w:r w:rsidRPr="00326E29">
        <w:rPr>
          <w:rFonts w:ascii="Arial" w:eastAsiaTheme="minorEastAsia" w:hAnsi="Arial" w:cs="Arial"/>
          <w:color w:val="000000" w:themeColor="text1"/>
          <w:sz w:val="24"/>
          <w:szCs w:val="24"/>
        </w:rPr>
        <w:t xml:space="preserve">Wrth asesu ar gyfer dysgu mae’n bwysig bod ysgolion a athrawon yn ymwybodol o gefndir ar gyfer asesu ar gyfer dysgu. Cafodd asesu ar gyfer dysgu ei llunio fel asesiad ffurfiannol sydd wedi cael ei roi mewn cyferbyniad ag aesiad crynodol. </w:t>
      </w:r>
      <w:r w:rsidR="00FC4E0C" w:rsidRPr="00326E29">
        <w:rPr>
          <w:rFonts w:ascii="Arial" w:eastAsiaTheme="minorEastAsia" w:hAnsi="Arial" w:cs="Arial"/>
          <w:color w:val="000000" w:themeColor="text1"/>
          <w:sz w:val="24"/>
          <w:szCs w:val="24"/>
        </w:rPr>
        <w:t xml:space="preserve"> </w:t>
      </w:r>
      <w:r w:rsidRPr="00326E29">
        <w:rPr>
          <w:rFonts w:ascii="Arial" w:eastAsiaTheme="minorEastAsia" w:hAnsi="Arial" w:cs="Arial"/>
          <w:color w:val="000000" w:themeColor="text1"/>
          <w:sz w:val="24"/>
          <w:szCs w:val="24"/>
        </w:rPr>
        <w:t xml:space="preserve">Yn bennaf, cafodd y termau ffurfiannol a chrynodol ei cynigio gan Michael Scriven ym 1967. Wrth edrych ar y termau yma, cafodd ei cynigio </w:t>
      </w:r>
      <w:r w:rsidR="00FC4E0C" w:rsidRPr="00326E29">
        <w:rPr>
          <w:rFonts w:ascii="Arial" w:eastAsiaTheme="minorEastAsia" w:hAnsi="Arial" w:cs="Arial"/>
          <w:color w:val="000000" w:themeColor="text1"/>
          <w:sz w:val="24"/>
          <w:szCs w:val="24"/>
        </w:rPr>
        <w:t xml:space="preserve">i egluro dwy rôl wahanol y gallai gwerthuso eu chwarae wrth werthuso'r cwricwlwm. </w:t>
      </w:r>
      <w:r w:rsidR="00326E29">
        <w:rPr>
          <w:rFonts w:ascii="Arial" w:eastAsiaTheme="minorEastAsia" w:hAnsi="Arial" w:cs="Arial"/>
          <w:color w:val="000000" w:themeColor="text1"/>
          <w:sz w:val="24"/>
          <w:szCs w:val="24"/>
        </w:rPr>
        <w:t xml:space="preserve">Ymhellach, </w:t>
      </w:r>
      <w:r w:rsidR="00FC4E0C" w:rsidRPr="00326E29">
        <w:rPr>
          <w:rFonts w:ascii="Arial" w:eastAsiaTheme="minorEastAsia" w:hAnsi="Arial" w:cs="Arial"/>
          <w:color w:val="000000" w:themeColor="text1"/>
          <w:sz w:val="24"/>
          <w:szCs w:val="24"/>
        </w:rPr>
        <w:t>awgrym</w:t>
      </w:r>
      <w:r w:rsidR="00326E29" w:rsidRPr="00326E29">
        <w:rPr>
          <w:rFonts w:ascii="Arial" w:eastAsiaTheme="minorEastAsia" w:hAnsi="Arial" w:cs="Arial"/>
          <w:color w:val="000000" w:themeColor="text1"/>
          <w:sz w:val="24"/>
          <w:szCs w:val="24"/>
        </w:rPr>
        <w:t>odd</w:t>
      </w:r>
      <w:r w:rsidR="00FC4E0C" w:rsidRPr="00326E29">
        <w:rPr>
          <w:rFonts w:ascii="Arial" w:eastAsiaTheme="minorEastAsia" w:hAnsi="Arial" w:cs="Arial"/>
          <w:color w:val="000000" w:themeColor="text1"/>
          <w:sz w:val="24"/>
          <w:szCs w:val="24"/>
        </w:rPr>
        <w:t xml:space="preserve"> Benjamin Bloom a chydweithwyr (1969; 1971) </w:t>
      </w:r>
      <w:r w:rsidR="00326E29">
        <w:rPr>
          <w:rFonts w:ascii="Arial" w:eastAsiaTheme="minorEastAsia" w:hAnsi="Arial" w:cs="Arial"/>
          <w:color w:val="000000" w:themeColor="text1"/>
          <w:sz w:val="24"/>
          <w:szCs w:val="24"/>
        </w:rPr>
        <w:t>mae’n bwysig i d</w:t>
      </w:r>
      <w:r w:rsidR="00FC4E0C" w:rsidRPr="00326E29">
        <w:rPr>
          <w:rFonts w:ascii="Arial" w:eastAsiaTheme="minorEastAsia" w:hAnsi="Arial" w:cs="Arial"/>
          <w:color w:val="000000" w:themeColor="text1"/>
          <w:sz w:val="24"/>
          <w:szCs w:val="24"/>
        </w:rPr>
        <w:t>defnyddio'r un gwahaniaeth wrth werthuso dysgu myfyrwyr— “yr ydym yn tueddu heddiw i alw asesiad” (Wiliam, 2006, t. 283). Yn dilyn hynny, mae'r termau ffurfiannol a chrynodol wedi dod yn sylfaenol i ddeall asesiad mewn addysg. Mae asesiad crynodol yn canolbwyntio ar grynhoi neu grynhoi cyflawniad myfyrwyr, dosbarthiadau, ysgolion, ac ati. (Bloom, Hastings, &amp; Madus, 1971; Cyngor Ymchwil Cenedlaethol [NRC], 2001; Sadler, 1989; Shavelson, 2006). Mae asesiad ffurfiannol yn canolbwyntio ar ddolenni adborth gweithredol sy'n cynorthwyo dysgu (Black &amp; Wiliam, 2004; Sadler, 1989; Shavelson, 2006). Yn ddiweddar, mae rhai ysgolheigion wedi dechrau cyfeirio at asesu crynodol fel asesiad o ddysgu ac asesu ffurfiannol fel asesiad ar gyfer dysgu (Black &amp; Wiliam, 2003; Broadfoot, 2008; Gipps &amp; Stobart, 1997; Stiggins, 2002).</w:t>
      </w:r>
    </w:p>
    <w:p w14:paraId="77A9760C" w14:textId="77777777" w:rsidR="00286DA7" w:rsidRPr="00286DA7" w:rsidRDefault="00286DA7" w:rsidP="00C54BFF">
      <w:pPr>
        <w:spacing w:line="360" w:lineRule="auto"/>
        <w:rPr>
          <w:rFonts w:ascii="Arial" w:eastAsiaTheme="minorEastAsia" w:hAnsi="Arial" w:cs="Arial"/>
          <w:color w:val="000000" w:themeColor="text1"/>
          <w:sz w:val="24"/>
          <w:szCs w:val="24"/>
        </w:rPr>
      </w:pPr>
      <w:r w:rsidRPr="00286DA7">
        <w:rPr>
          <w:rFonts w:ascii="Arial" w:eastAsiaTheme="minorEastAsia" w:hAnsi="Arial" w:cs="Arial"/>
          <w:color w:val="000000" w:themeColor="text1"/>
          <w:sz w:val="24"/>
          <w:szCs w:val="24"/>
        </w:rPr>
        <w:t xml:space="preserve">Wrth edrych ar beth mae Llywodraeth Cymru yn bwriadu gwneud ar gyfer hybu asesu ar gyfer dysgu ymhellach â’r effaith gall asesu ar gyfer dysgu cael ar ddisgyblion, mae’r llywodraeth wedi cynnig amrywiaeth o wybodaeth ar sut maen nhw’n bwriadu i roi effaith positif ar ddisgyblion ar draws ei addysg. Prif bwrpas y llywodraeth yw sicrhau bod gan ddisgyblion safonau uchel o lythrennedd a rhifedd, ac yn bennaf y mwyafrif o’r pynciau eraill (Welsh Government, 2020, p.3). Yn ychwanegol i hyn, mae’r llywodraeth eraill hefyd yn helpu i ddatblygu dinasyddion hyderus, galluog a gofalgar (Welsh Government, 2020, p.3). I grynhoi, mae’n amlwg bod y llywodraeth yn gweithio yn agos i ysgolion er mwyn bod nhw’n sicrhau bod pob disgybl yn cael y cyfle i ddatblygu ymhellach ar draws ei addysg. </w:t>
      </w:r>
    </w:p>
    <w:p w14:paraId="4B36A173" w14:textId="6CDD0F86" w:rsidR="00C54BFF" w:rsidRDefault="00C54BFF" w:rsidP="00C54BFF">
      <w:pPr>
        <w:spacing w:line="360" w:lineRule="auto"/>
        <w:rPr>
          <w:rFonts w:ascii="Arial" w:eastAsiaTheme="minorEastAsia" w:hAnsi="Arial" w:cs="Arial"/>
          <w:b/>
          <w:bCs/>
          <w:color w:val="000000" w:themeColor="text1"/>
          <w:sz w:val="24"/>
          <w:szCs w:val="24"/>
        </w:rPr>
      </w:pPr>
      <w:r>
        <w:rPr>
          <w:rFonts w:ascii="Arial" w:eastAsiaTheme="minorEastAsia" w:hAnsi="Arial" w:cs="Arial"/>
          <w:b/>
          <w:bCs/>
          <w:color w:val="000000" w:themeColor="text1"/>
          <w:sz w:val="24"/>
          <w:szCs w:val="24"/>
        </w:rPr>
        <w:t xml:space="preserve">Meini prawf llwyddiant: </w:t>
      </w:r>
    </w:p>
    <w:p w14:paraId="54FE948B" w14:textId="0B0609C8" w:rsidR="00C54BFF" w:rsidRDefault="00341A0B" w:rsidP="00E609F1">
      <w:pPr>
        <w:pStyle w:val="NormalWeb"/>
        <w:spacing w:line="360" w:lineRule="auto"/>
        <w:rPr>
          <w:rFonts w:ascii="Arial" w:eastAsiaTheme="minorEastAsia" w:hAnsi="Arial" w:cs="Arial"/>
          <w:color w:val="000000" w:themeColor="text1"/>
        </w:rPr>
      </w:pPr>
      <w:r w:rsidRPr="00341A0B">
        <w:rPr>
          <w:rFonts w:ascii="Arial" w:eastAsiaTheme="minorEastAsia" w:hAnsi="Arial" w:cs="Arial"/>
          <w:color w:val="000000" w:themeColor="text1"/>
        </w:rPr>
        <w:lastRenderedPageBreak/>
        <w:t>Wrth edrych ar asesu ar gyfer dysgu ymhellach, mae’n amlwg bod m</w:t>
      </w:r>
      <w:r w:rsidR="00C54BFF" w:rsidRPr="00341A0B">
        <w:rPr>
          <w:rFonts w:ascii="Arial" w:eastAsiaTheme="minorEastAsia" w:hAnsi="Arial" w:cs="Arial"/>
          <w:color w:val="000000" w:themeColor="text1"/>
        </w:rPr>
        <w:t xml:space="preserve">eini prawf llwyddiant </w:t>
      </w:r>
      <w:r w:rsidRPr="00341A0B">
        <w:rPr>
          <w:rFonts w:ascii="Arial" w:eastAsiaTheme="minorEastAsia" w:hAnsi="Arial" w:cs="Arial"/>
          <w:color w:val="000000" w:themeColor="text1"/>
        </w:rPr>
        <w:t xml:space="preserve">yn gallu bod yr arwydd </w:t>
      </w:r>
      <w:r w:rsidR="00C54BFF" w:rsidRPr="00341A0B">
        <w:rPr>
          <w:rFonts w:ascii="Arial" w:eastAsiaTheme="minorEastAsia" w:hAnsi="Arial" w:cs="Arial"/>
          <w:color w:val="000000" w:themeColor="text1"/>
        </w:rPr>
        <w:t>y mae athrawon a myfyrwyr yn eu defnyddio fel gwiriadau ar ddysgu.</w:t>
      </w:r>
      <w:r w:rsidR="00885F06" w:rsidRPr="00341A0B">
        <w:rPr>
          <w:rFonts w:ascii="Arial" w:eastAsiaTheme="minorEastAsia" w:hAnsi="Arial" w:cs="Arial"/>
          <w:color w:val="000000" w:themeColor="text1"/>
        </w:rPr>
        <w:t xml:space="preserve"> Wrth ymchwilio ar gyfer mwy o wybodaeth ar feini prawf llwyddiant, mae’n amlwg bod William, D. (2007) wedi gynnwys llawer o lenyddiaeth ar </w:t>
      </w:r>
      <w:r w:rsidR="00C54BFF" w:rsidRPr="00341A0B">
        <w:rPr>
          <w:rFonts w:ascii="Arial" w:eastAsiaTheme="minorEastAsia" w:hAnsi="Arial" w:cs="Arial"/>
          <w:color w:val="000000" w:themeColor="text1"/>
        </w:rPr>
        <w:t xml:space="preserve"> </w:t>
      </w:r>
      <w:r w:rsidR="00885F06" w:rsidRPr="00341A0B">
        <w:rPr>
          <w:rFonts w:ascii="Arial" w:eastAsiaTheme="minorEastAsia" w:hAnsi="Arial" w:cs="Arial"/>
          <w:color w:val="000000" w:themeColor="text1"/>
        </w:rPr>
        <w:t>hyn</w:t>
      </w:r>
      <w:r w:rsidRPr="00341A0B">
        <w:rPr>
          <w:rFonts w:ascii="Arial" w:eastAsiaTheme="minorEastAsia" w:hAnsi="Arial" w:cs="Arial"/>
          <w:color w:val="000000" w:themeColor="text1"/>
        </w:rPr>
        <w:t>.</w:t>
      </w:r>
      <w:r w:rsidR="00885F06" w:rsidRPr="00341A0B">
        <w:rPr>
          <w:rFonts w:ascii="Arial" w:eastAsiaTheme="minorEastAsia" w:hAnsi="Arial" w:cs="Arial"/>
          <w:color w:val="000000" w:themeColor="text1"/>
        </w:rPr>
        <w:t xml:space="preserve"> Yn ôl William, D. (2007) d</w:t>
      </w:r>
      <w:r w:rsidR="00C54BFF" w:rsidRPr="00341A0B">
        <w:rPr>
          <w:rFonts w:ascii="Arial" w:eastAsiaTheme="minorEastAsia" w:hAnsi="Arial" w:cs="Arial"/>
          <w:color w:val="000000" w:themeColor="text1"/>
        </w:rPr>
        <w:t>ylent gael eu cyfleu'n glir i fyfyrwyr er mwyn lleihau anghysondebau a allai fod yn wan yn yr hyn y mae myfyrwyr yn credu sy'n werth ei ddysgu.</w:t>
      </w:r>
      <w:r w:rsidR="00885F06" w:rsidRPr="00341A0B">
        <w:rPr>
          <w:rFonts w:ascii="Arial" w:eastAsiaTheme="minorEastAsia" w:hAnsi="Arial" w:cs="Arial"/>
          <w:color w:val="000000" w:themeColor="text1"/>
        </w:rPr>
        <w:t xml:space="preserve"> Fodd bynnag, cyfeiria </w:t>
      </w:r>
      <w:r w:rsidR="00885F06" w:rsidRPr="00341A0B">
        <w:rPr>
          <w:rFonts w:ascii="Arial" w:hAnsi="Arial" w:cs="Arial"/>
        </w:rPr>
        <w:t>Heritage, M. (2007)</w:t>
      </w:r>
      <w:r w:rsidR="00885F06" w:rsidRPr="00341A0B">
        <w:rPr>
          <w:rFonts w:ascii="Arial" w:hAnsi="Arial" w:cs="Arial"/>
        </w:rPr>
        <w:t xml:space="preserve"> bod </w:t>
      </w:r>
      <w:r w:rsidR="00885F06" w:rsidRPr="00341A0B">
        <w:rPr>
          <w:rFonts w:ascii="Arial" w:eastAsiaTheme="minorEastAsia" w:hAnsi="Arial" w:cs="Arial"/>
          <w:color w:val="000000" w:themeColor="text1"/>
        </w:rPr>
        <w:t>m</w:t>
      </w:r>
      <w:r w:rsidR="00C54BFF" w:rsidRPr="00341A0B">
        <w:rPr>
          <w:rFonts w:ascii="Arial" w:eastAsiaTheme="minorEastAsia" w:hAnsi="Arial" w:cs="Arial"/>
          <w:color w:val="000000" w:themeColor="text1"/>
        </w:rPr>
        <w:t>eini prawf llwyddiant yw'r canllaw i ddysgu myfyrwyr</w:t>
      </w:r>
      <w:r w:rsidR="00885F06" w:rsidRPr="00341A0B">
        <w:rPr>
          <w:rFonts w:ascii="Arial" w:eastAsiaTheme="minorEastAsia" w:hAnsi="Arial" w:cs="Arial"/>
          <w:color w:val="000000" w:themeColor="text1"/>
        </w:rPr>
        <w:t xml:space="preserve">, </w:t>
      </w:r>
      <w:r w:rsidR="00C54BFF" w:rsidRPr="00341A0B">
        <w:rPr>
          <w:rFonts w:ascii="Arial" w:eastAsiaTheme="minorEastAsia" w:hAnsi="Arial" w:cs="Arial"/>
          <w:color w:val="000000" w:themeColor="text1"/>
        </w:rPr>
        <w:t>gan ddarparu fframwaith ar gyfer asesu ar gyfer dysgu ac sy'n galluogi dehongli tystiolaeth yn bosibl (Clarke, 2005). Mae'r dystiolaeth o ble mae myfyrwyr yn gysylltiedig â'r nod dysgu a meini prawf llwyddiant yn llywio penderfyniadau cyfarwyddiadau i athrawon.</w:t>
      </w:r>
    </w:p>
    <w:p w14:paraId="2FBEE56B" w14:textId="7EBA4102" w:rsidR="007E27A9" w:rsidRDefault="007E27A9" w:rsidP="00E609F1">
      <w:pPr>
        <w:pStyle w:val="NormalWeb"/>
        <w:spacing w:line="360" w:lineRule="auto"/>
        <w:rPr>
          <w:rFonts w:ascii="Arial" w:hAnsi="Arial" w:cs="Arial"/>
          <w:b/>
          <w:bCs/>
        </w:rPr>
      </w:pPr>
      <w:r w:rsidRPr="007E27A9">
        <w:rPr>
          <w:rFonts w:ascii="Arial" w:hAnsi="Arial" w:cs="Arial"/>
          <w:b/>
          <w:bCs/>
        </w:rPr>
        <w:t>D</w:t>
      </w:r>
      <w:r w:rsidRPr="007E27A9">
        <w:rPr>
          <w:rFonts w:ascii="Arial" w:hAnsi="Arial" w:cs="Arial"/>
          <w:b/>
          <w:bCs/>
        </w:rPr>
        <w:t xml:space="preserve">ilyniannau </w:t>
      </w:r>
      <w:r w:rsidRPr="007E27A9">
        <w:rPr>
          <w:rFonts w:ascii="Arial" w:hAnsi="Arial" w:cs="Arial"/>
          <w:b/>
          <w:bCs/>
        </w:rPr>
        <w:t>D</w:t>
      </w:r>
      <w:r w:rsidRPr="007E27A9">
        <w:rPr>
          <w:rFonts w:ascii="Arial" w:hAnsi="Arial" w:cs="Arial"/>
          <w:b/>
          <w:bCs/>
        </w:rPr>
        <w:t>ysgu</w:t>
      </w:r>
      <w:r w:rsidRPr="007E27A9">
        <w:rPr>
          <w:rFonts w:ascii="Arial" w:hAnsi="Arial" w:cs="Arial"/>
          <w:b/>
          <w:bCs/>
        </w:rPr>
        <w:t>:</w:t>
      </w:r>
    </w:p>
    <w:p w14:paraId="74305E44" w14:textId="22697D54" w:rsidR="00171D8C" w:rsidRPr="00341A0B" w:rsidRDefault="00171D8C" w:rsidP="00E609F1">
      <w:pPr>
        <w:pStyle w:val="NormalWeb"/>
        <w:spacing w:line="360" w:lineRule="auto"/>
        <w:rPr>
          <w:rFonts w:ascii="Arial" w:hAnsi="Arial" w:cs="Arial"/>
        </w:rPr>
      </w:pPr>
      <w:r w:rsidRPr="00341A0B">
        <w:rPr>
          <w:rFonts w:ascii="Arial" w:hAnsi="Arial" w:cs="Arial"/>
        </w:rPr>
        <w:t>Ar gyfer asesu ar gyfer dysgu, mae’n hanfodol bod athrawon yn cael dilyniannau dysgu yn ei ddysgu, ac ar gyfer asesu disgyblion er mwyn i sicrhau bod nhw’n datblygu ymhellach mewn amrywiaeth o bynciau neu dasgau. At hynny, mae dilyniannau dysgu yn diffinio’r llwybr y mae disgwyl i fyfyrwyr i wneud cynnydd o fewn ei pharth dysgu. Fodd bynnag, mae dilyniannau dysgu yn nodi’r wybodaeth a’r sgiliau galluogi sydd eu hangen ar fyfyrwyr i gyrraedd y nod dysgu yn ogystal â darparu map o gyfleoedd dysgu yn y dyfodol. At hynny, wrth ymchwilio i mewn i ddilyniannau dysgu ymhellach, mae’n amlwg bod llawer o ddamcaniaethwyr yn gynnwys gwybodaeth ar ddilyniannau dysgu. Yn ôl Heritage, M., Kim, J., Vendlinski, T. P., &amp; Herman, J. (2009) mae dilyniannau dysgu yn bwysig oherwydd mae’n galluogi’r datblygiadau soffistigedigrwydd blaengar o sgiliau o fewn parth dysgu.</w:t>
      </w:r>
      <w:r w:rsidRPr="00341A0B">
        <w:rPr>
          <w:rFonts w:ascii="Arial" w:hAnsi="Arial" w:cs="Arial"/>
        </w:rPr>
        <w:t xml:space="preserve"> Ar y naill law, wrth edrych ar meddyliau damcaniaethwyr eraill, awgryma </w:t>
      </w:r>
      <w:r w:rsidRPr="00341A0B">
        <w:rPr>
          <w:rFonts w:ascii="Arial" w:hAnsi="Arial" w:cs="Arial"/>
        </w:rPr>
        <w:t xml:space="preserve">DeMeester, K., &amp; Jones, F. (2009). </w:t>
      </w:r>
      <w:r w:rsidRPr="00341A0B">
        <w:rPr>
          <w:rFonts w:ascii="Arial" w:hAnsi="Arial" w:cs="Arial"/>
        </w:rPr>
        <w:t>bod</w:t>
      </w:r>
      <w:r w:rsidRPr="00341A0B">
        <w:rPr>
          <w:rFonts w:ascii="Arial" w:hAnsi="Arial" w:cs="Arial"/>
        </w:rPr>
        <w:t xml:space="preserve"> un farn ar ddilyniannau dysgu yn awgrymu eu bod yn cael eu cyflwyno i fyfyrwyr fel continwwm dysgu, gan gyfrif am wahanol gyfraddau dysgu</w:t>
      </w:r>
      <w:r w:rsidRPr="00341A0B">
        <w:rPr>
          <w:rFonts w:ascii="Arial" w:hAnsi="Arial" w:cs="Arial"/>
        </w:rPr>
        <w:t xml:space="preserve">. </w:t>
      </w:r>
    </w:p>
    <w:p w14:paraId="044C787E" w14:textId="54B44BFB" w:rsidR="007E27A9" w:rsidRDefault="00E609F1" w:rsidP="00E609F1">
      <w:pPr>
        <w:pStyle w:val="NormalWeb"/>
        <w:spacing w:line="360" w:lineRule="auto"/>
        <w:rPr>
          <w:rFonts w:ascii="Arial" w:hAnsi="Arial" w:cs="Arial"/>
        </w:rPr>
      </w:pPr>
      <w:r w:rsidRPr="00341A0B">
        <w:rPr>
          <w:rFonts w:ascii="Arial" w:hAnsi="Arial" w:cs="Arial"/>
        </w:rPr>
        <w:t xml:space="preserve">Ymhellach, mae llawer o ddamcaniaethwyr yn gynnig llawer o wybodaeth eang ar sut gall dilyniannau dysgu galluogi datblygiadau disgyblion, ac yn ogystal sut gall dilyniannau dysgu galluogi cynnydd disgyblion. At hynny, gall cyfradd cynnydd myfyrwyr unigol amrywio ar hyd y dilyniannau dysgu, ond yn y pen draw, dylai dilyniannau gysylltu'r wybodaeth, y cysyniadau a'r sgiliau y mae myfyrwyr yn eu datblygu wrth iddynt esblygu o ddechreuwyr i berfformiadau mwy arbenigol </w:t>
      </w:r>
      <w:r w:rsidRPr="00341A0B">
        <w:rPr>
          <w:rFonts w:ascii="Arial" w:hAnsi="Arial" w:cs="Arial"/>
        </w:rPr>
        <w:lastRenderedPageBreak/>
        <w:t>(Heritage, 2008). Yn y modd hwn, dylai athrawon a myfyrwyr allu “gweld a deall y sgaffaldiau y byddant yn eu dringo wrth iddynt agosáu” (Stiggins, 2005, t. 327) nodau dysgu. Yn ogystal, os yw dysgu'n cael ei dadreoli ar unrhyw adeg, gall athro nodi hyn ac addasu yn unol â hynny.</w:t>
      </w:r>
      <w:r>
        <w:rPr>
          <w:rFonts w:ascii="Arial" w:hAnsi="Arial" w:cs="Arial"/>
        </w:rPr>
        <w:t xml:space="preserve"> </w:t>
      </w:r>
    </w:p>
    <w:p w14:paraId="0304C3BF" w14:textId="13C55E9A" w:rsidR="005B5DBB" w:rsidRDefault="00364C2A" w:rsidP="00364C2A">
      <w:pPr>
        <w:pStyle w:val="NormalWeb"/>
        <w:spacing w:line="360" w:lineRule="auto"/>
        <w:rPr>
          <w:rFonts w:ascii="Arial" w:hAnsi="Arial" w:cs="Arial"/>
        </w:rPr>
      </w:pPr>
      <w:r w:rsidRPr="004E2602">
        <w:rPr>
          <w:rFonts w:ascii="Arial" w:hAnsi="Arial" w:cs="Arial"/>
        </w:rPr>
        <w:t>I grynhoi, mae’r casgliad ar gyfer y pennawd yma yw bod e’n hanfodol i athrawon i ddefnyddio dilyniannau dysgu er mwyn i sicrhau bod myfyrwyr yn datblygu ymhellach ar draws ei ddysgu. Serch hynny, o fewn dilyniannau dysgu mae’n cynnwys sgiliau y mae angen i fyfyrwyr i wneud datblygiadau, ac ymhellach er mwyn i ddysgwyr i wneud cynnydd yn ei ddysgu mae dilyniannau dysgu yn effeithiol oherwydd mae’n galluogi datblygiadau soffistigedigrwydd. Ar y llaw arall, er mwyn i roi cymorth i athrawon a’r myfyrwyr mae’n datblygu ei ddealltwriaeth o sgaffaldio er mwyn i hybu datblygiadau pellach.</w:t>
      </w:r>
    </w:p>
    <w:p w14:paraId="2B3BB581" w14:textId="497EA147" w:rsidR="002170A5" w:rsidRDefault="002170A5" w:rsidP="00364C2A">
      <w:pPr>
        <w:pStyle w:val="NormalWeb"/>
        <w:spacing w:line="360" w:lineRule="auto"/>
        <w:rPr>
          <w:rFonts w:ascii="Arial" w:hAnsi="Arial" w:cs="Arial"/>
          <w:b/>
          <w:bCs/>
        </w:rPr>
      </w:pPr>
      <w:r w:rsidRPr="002170A5">
        <w:rPr>
          <w:rFonts w:ascii="Arial" w:hAnsi="Arial" w:cs="Arial"/>
          <w:b/>
          <w:bCs/>
        </w:rPr>
        <w:t>Cyrchnodau Dysgu:</w:t>
      </w:r>
    </w:p>
    <w:p w14:paraId="6E4CDDD2" w14:textId="64174D1D" w:rsidR="00C116D8" w:rsidRDefault="00CA1226" w:rsidP="00F3171D">
      <w:pPr>
        <w:spacing w:line="360" w:lineRule="auto"/>
        <w:rPr>
          <w:rFonts w:ascii="ArialMT" w:eastAsia="Times New Roman" w:hAnsi="ArialMT" w:cs="Times New Roman"/>
          <w:color w:val="000000"/>
          <w:sz w:val="24"/>
          <w:szCs w:val="24"/>
          <w:shd w:val="clear" w:color="auto" w:fill="FFFFFF"/>
          <w:lang w:eastAsia="en-GB"/>
        </w:rPr>
      </w:pPr>
      <w:r w:rsidRPr="00CA1226">
        <w:rPr>
          <w:rFonts w:ascii="Arial" w:hAnsi="Arial" w:cs="Arial"/>
        </w:rPr>
        <w:t>Wrth ddadansoddi camau asesu ar gyfer dysgu, mae’n amlwg bod cyrchnodau dysgu yw’r un o’r camau cyntaf (Wiggins &amp; McTighe, 2000). Mewn cyferbyniad i hyn efallai mai cam cyntaf yr holl broses asesu ar gyfer dysgu yw sefydlu nodau dysgu myfyrwyr (Wiggins &amp; McTighe, 2000). Hynny yw wrth i fyfyrwyr i wneud gwahanol dasg mae’n hanfodol bod gan bob tasg nod penodol ar gyfer yr hyn mae athrawon eisiau disgyblion i ddysgu, a’r sgiliau maent yn ei eisiau iddyn nhw i ddatblygu. Yn debyg i hyn, cyfeiria DeMeester, K., &amp; Jones, F. (2009). “what is worthy and requiring understanding”. Mewn geiriau eraill mae’r diffiniad yma yn cyfeirio nodau dysgu fel ffordd i roi mwy o gymorth i’r disgyblion i ddeall yr hyn mae disgwyl iddyn nhw i ddeall yn ystod gwneud tasg a sut gallant nhw i ddatblygu ei ddealltwriaeth ymhellach.</w:t>
      </w:r>
      <w:r>
        <w:rPr>
          <w:rFonts w:ascii="Arial" w:hAnsi="Arial" w:cs="Arial"/>
        </w:rPr>
        <w:t xml:space="preserve"> Er gwaethaf mae safonau wladwriaeth ddim yn darparu dilyniant clir ar gyfer deall lle mae myfyrwyr yn gymharol â’r nodau a ddymunir (Heritage, 2007). </w:t>
      </w:r>
      <w:r w:rsidR="00C116D8">
        <w:rPr>
          <w:rFonts w:ascii="Arial" w:hAnsi="Arial" w:cs="Arial"/>
        </w:rPr>
        <w:t xml:space="preserve">Mae’r tystiolaeth sydd ar gael yn awgrymu bod </w:t>
      </w:r>
      <w:r w:rsidR="00C116D8" w:rsidRPr="00C116D8">
        <w:rPr>
          <w:rFonts w:ascii="Arial" w:hAnsi="Arial" w:cs="Arial"/>
        </w:rPr>
        <w:t>dealltwriaeth myfyrwyr o nodau yn cael effeithiau ysgogol a gwybyddol beirniadol (Brookhart, Andolina, Zuza, &amp; Furman, 2004</w:t>
      </w:r>
      <w:r w:rsidR="00C116D8">
        <w:rPr>
          <w:rFonts w:ascii="Arial" w:hAnsi="Arial" w:cs="Arial"/>
        </w:rPr>
        <w:t xml:space="preserve">). </w:t>
      </w:r>
      <w:r w:rsidR="00C116D8" w:rsidRPr="00C116D8">
        <w:rPr>
          <w:rFonts w:ascii="ArialMT" w:eastAsia="Times New Roman" w:hAnsi="ArialMT" w:cs="Times New Roman"/>
          <w:color w:val="000000"/>
          <w:sz w:val="24"/>
          <w:szCs w:val="24"/>
          <w:shd w:val="clear" w:color="auto" w:fill="FFFFFF"/>
          <w:lang w:val="cy-GB" w:eastAsia="en-GB"/>
        </w:rPr>
        <w:t>Yn unol â hynny</w:t>
      </w:r>
      <w:r w:rsidR="00C116D8">
        <w:rPr>
          <w:rFonts w:ascii="ArialMT" w:eastAsia="Times New Roman" w:hAnsi="ArialMT" w:cs="Times New Roman"/>
          <w:color w:val="000000"/>
          <w:sz w:val="24"/>
          <w:szCs w:val="24"/>
          <w:shd w:val="clear" w:color="auto" w:fill="FFFFFF"/>
          <w:lang w:eastAsia="en-GB"/>
        </w:rPr>
        <w:t xml:space="preserve">, </w:t>
      </w:r>
      <w:r w:rsidR="00C116D8" w:rsidRPr="00C116D8">
        <w:rPr>
          <w:rFonts w:ascii="ArialMT" w:eastAsia="Times New Roman" w:hAnsi="ArialMT" w:cs="Times New Roman"/>
          <w:color w:val="000000"/>
          <w:sz w:val="24"/>
          <w:szCs w:val="24"/>
          <w:shd w:val="clear" w:color="auto" w:fill="FFFFFF"/>
          <w:lang w:eastAsia="en-GB"/>
        </w:rPr>
        <w:t>wrth i fyfyrwyr ddatblygu asiantaeth a hunan-werth (Covington, 1992) wrth werthuso eu gwaith eu hunain yn gywir (Sadler, 1989).</w:t>
      </w:r>
    </w:p>
    <w:p w14:paraId="4DF03BA5" w14:textId="071CBB29" w:rsidR="002170A5" w:rsidRDefault="00F3171D" w:rsidP="00F3171D">
      <w:pPr>
        <w:pStyle w:val="NormalWeb"/>
        <w:spacing w:line="360" w:lineRule="auto"/>
        <w:rPr>
          <w:rFonts w:ascii="Arial" w:hAnsi="Arial" w:cs="Arial"/>
        </w:rPr>
      </w:pPr>
      <w:r w:rsidRPr="00F3171D">
        <w:rPr>
          <w:rFonts w:ascii="Arial" w:hAnsi="Arial" w:cs="Arial"/>
        </w:rPr>
        <w:t xml:space="preserve">Y casgliad felly yw bod cyrchnodau dysgu yn cael effaith mawr ar waith ddisgyblion. Y rheswm dros hyn felly yw bod nodau dysgu yn gallu rhoi cymorth i fyfyrwyr a’r athrawon trwy roi mwy o wybodaeth iddyn nhw i ddeall y sgiliau mae disgwyl iddyn nhw i ddatblygu. Yn bennaf, mae nodau dysgu hefyd yn rhoi cymorth i fyfyrwyr i </w:t>
      </w:r>
      <w:r w:rsidRPr="00F3171D">
        <w:rPr>
          <w:rFonts w:ascii="Arial" w:hAnsi="Arial" w:cs="Arial"/>
        </w:rPr>
        <w:lastRenderedPageBreak/>
        <w:t xml:space="preserve">asesu ei waith ei hunain er mwyn i ddarganfod os maen nhw wedi cyrraedd y nod y dasg, a hefyd mae’n hawdd iddyn nhw i ddeall y cynnydd maent yn ei wneud trwy gydol ei addysg.  </w:t>
      </w:r>
    </w:p>
    <w:p w14:paraId="3287D440" w14:textId="42BF3DC4" w:rsidR="00F3171D" w:rsidRDefault="00F3171D" w:rsidP="00F3171D">
      <w:pPr>
        <w:pStyle w:val="NormalWeb"/>
        <w:spacing w:line="360" w:lineRule="auto"/>
        <w:rPr>
          <w:rFonts w:ascii="Arial" w:hAnsi="Arial" w:cs="Arial"/>
          <w:b/>
          <w:bCs/>
        </w:rPr>
      </w:pPr>
      <w:r w:rsidRPr="00F3171D">
        <w:rPr>
          <w:rFonts w:ascii="Arial" w:hAnsi="Arial" w:cs="Arial"/>
          <w:b/>
          <w:bCs/>
        </w:rPr>
        <w:t>Ymglymiad myfyrwyr</w:t>
      </w:r>
    </w:p>
    <w:p w14:paraId="51B3A4B0" w14:textId="2E8CA51A" w:rsidR="00F3171D" w:rsidRDefault="00FF7CA8" w:rsidP="003115A7">
      <w:pPr>
        <w:pStyle w:val="NormalWeb"/>
        <w:spacing w:line="360" w:lineRule="auto"/>
        <w:rPr>
          <w:rFonts w:ascii="Arial" w:hAnsi="Arial" w:cs="Arial"/>
        </w:rPr>
      </w:pPr>
      <w:r w:rsidRPr="00FF7CA8">
        <w:rPr>
          <w:rFonts w:ascii="Arial" w:hAnsi="Arial" w:cs="Arial"/>
        </w:rPr>
        <w:t>Er bod athrawon gyda’r ymglymiad mwyaf o asesu ar gyfer dysgu, mae’n hefyd yn hanfodol i fyfyrwyr i gael rhywfaint o ymglymiad. Yn ôl Black, P., &amp; Wiliam, D. (2009). “since the responsibility for learning rests with both the teacher and the learner, it is incumbent on each to do all they can to mitigate the impact of any failures of the other.” Ymhellach, wrth edrych ar y ddadl yma, mae’n bwysig i fyfyrwyr i gael ymglymiad trwy gael y cyfle i asesu gwaith disgyblion eraill. Mewn cyferbyniad i hyn, mae hyn yn rhoi’r cyfle i fyfyrwyr i gael syniadau wrth ddisgyblion eraill, ac mae hyn yn ffordd effeithiol o ddatblygu a gwella gwaith y myfyrwyr oherwydd bod nhw’n cyfathrebu gyda myfyrwyr eraill o sut gallant nhw i wella ei waith.</w:t>
      </w:r>
      <w:r>
        <w:rPr>
          <w:rFonts w:ascii="Arial" w:hAnsi="Arial" w:cs="Arial"/>
        </w:rPr>
        <w:t xml:space="preserve"> Mae’n dilyn felly, bod rhaid i athrawon i sicrhau bod myfyrwyr yn dilyn camau penodol wrth iddyn nhw i asesu gwaith disgyblion eraill. </w:t>
      </w:r>
      <w:r w:rsidR="003115A7" w:rsidRPr="003115A7">
        <w:rPr>
          <w:rFonts w:ascii="Arial" w:hAnsi="Arial" w:cs="Arial"/>
        </w:rPr>
        <w:t>Fodd bynnag, mae dwy elfen yn hanfodol er mwyn i asesiad cymheiriaid fod yn werthfawr. Yn gyntaf, rhaid i fyfyrwyr weithio fel grŵp neu dîm ac nid mewn grŵp neu dîm yn unig. Yn ail, rhaid i bob myfyriwr gael ei ddal yn atebol mewn rhyw ffordd. Yn debyg i hyn, mae Sadler (1989) yn pwysleisio bod myfyrwyr yn gallu gweithio gyda myfyrwyr eraill ac yn gallu datblygu llawer o fanteision. Er enghraifft gall un fantais bod gwaith o’r un math, mae myfyrwyr yn gallu rhyngweithio gyda’i gilydd er mwyn i gyrraedd atebion, ac yn olaf mae myfyrwyr yn gallu rhyngweithio gydag ystod eang o ddiffygion.</w:t>
      </w:r>
    </w:p>
    <w:p w14:paraId="7EFDCEA7" w14:textId="77777777" w:rsidR="00CB25E0" w:rsidRDefault="00CB25E0" w:rsidP="00CB25E0">
      <w:pPr>
        <w:pStyle w:val="NormalWeb"/>
        <w:spacing w:line="360" w:lineRule="auto"/>
        <w:rPr>
          <w:rFonts w:ascii="Arial" w:eastAsiaTheme="minorEastAsia" w:hAnsi="Arial" w:cs="Arial"/>
          <w:b/>
          <w:bCs/>
          <w:color w:val="000000" w:themeColor="text1"/>
        </w:rPr>
      </w:pPr>
      <w:r w:rsidRPr="00FC4E0C">
        <w:rPr>
          <w:rFonts w:ascii="Arial" w:eastAsiaTheme="minorEastAsia" w:hAnsi="Arial" w:cs="Arial"/>
          <w:b/>
          <w:bCs/>
          <w:color w:val="000000" w:themeColor="text1"/>
        </w:rPr>
        <w:t>Adnabod y bylcha</w:t>
      </w:r>
      <w:r>
        <w:rPr>
          <w:rFonts w:ascii="Arial" w:eastAsiaTheme="minorEastAsia" w:hAnsi="Arial" w:cs="Arial"/>
          <w:b/>
          <w:bCs/>
          <w:color w:val="000000" w:themeColor="text1"/>
        </w:rPr>
        <w:t xml:space="preserve">u a’r goblygiadau: </w:t>
      </w:r>
    </w:p>
    <w:p w14:paraId="69EDCABC" w14:textId="65C9068B" w:rsidR="00CB25E0" w:rsidRDefault="004E2602" w:rsidP="00CB25E0">
      <w:pPr>
        <w:pStyle w:val="NormalWeb"/>
        <w:spacing w:line="360" w:lineRule="auto"/>
        <w:rPr>
          <w:rFonts w:ascii="Arial" w:eastAsiaTheme="minorEastAsia" w:hAnsi="Arial" w:cs="Arial"/>
          <w:color w:val="000000" w:themeColor="text1"/>
        </w:rPr>
      </w:pPr>
      <w:r w:rsidRPr="00341A0B">
        <w:rPr>
          <w:rFonts w:ascii="Arial" w:eastAsiaTheme="minorEastAsia" w:hAnsi="Arial" w:cs="Arial"/>
          <w:color w:val="000000" w:themeColor="text1"/>
        </w:rPr>
        <w:t>Ma</w:t>
      </w:r>
      <w:r w:rsidR="00341A0B">
        <w:rPr>
          <w:rFonts w:ascii="Arial" w:eastAsiaTheme="minorEastAsia" w:hAnsi="Arial" w:cs="Arial"/>
          <w:color w:val="000000" w:themeColor="text1"/>
        </w:rPr>
        <w:t>e</w:t>
      </w:r>
      <w:r w:rsidRPr="00341A0B">
        <w:rPr>
          <w:rFonts w:ascii="Arial" w:eastAsiaTheme="minorEastAsia" w:hAnsi="Arial" w:cs="Arial"/>
          <w:color w:val="000000" w:themeColor="text1"/>
        </w:rPr>
        <w:t xml:space="preserve"> waith S</w:t>
      </w:r>
      <w:r w:rsidR="00341A0B" w:rsidRPr="00341A0B">
        <w:rPr>
          <w:rFonts w:ascii="Arial" w:eastAsiaTheme="minorEastAsia" w:hAnsi="Arial" w:cs="Arial"/>
          <w:color w:val="000000" w:themeColor="text1"/>
        </w:rPr>
        <w:t xml:space="preserve">adler (1989) yn dynnu o waith </w:t>
      </w:r>
      <w:r w:rsidR="00341A0B" w:rsidRPr="00341A0B">
        <w:rPr>
          <w:rFonts w:ascii="Arial" w:eastAsiaTheme="minorEastAsia" w:hAnsi="Arial" w:cs="Arial"/>
          <w:color w:val="000000" w:themeColor="text1"/>
        </w:rPr>
        <w:t>Wiliam a Thompson (2007)</w:t>
      </w:r>
      <w:r w:rsidR="00341A0B" w:rsidRPr="00341A0B">
        <w:rPr>
          <w:rFonts w:ascii="Arial" w:eastAsiaTheme="minorEastAsia" w:hAnsi="Arial" w:cs="Arial"/>
          <w:color w:val="000000" w:themeColor="text1"/>
        </w:rPr>
        <w:t xml:space="preserve">. Wrth gyfeirio at y waith yma, </w:t>
      </w:r>
      <w:r w:rsidR="00341A0B" w:rsidRPr="00341A0B">
        <w:rPr>
          <w:rFonts w:ascii="Arial" w:eastAsiaTheme="minorEastAsia" w:hAnsi="Arial" w:cs="Arial"/>
          <w:color w:val="000000" w:themeColor="text1"/>
        </w:rPr>
        <w:t>nododd Wiliam a Thompson (2007)</w:t>
      </w:r>
      <w:r w:rsidR="00341A0B" w:rsidRPr="00341A0B">
        <w:rPr>
          <w:rFonts w:ascii="Arial" w:eastAsiaTheme="minorEastAsia" w:hAnsi="Arial" w:cs="Arial"/>
          <w:color w:val="000000" w:themeColor="text1"/>
        </w:rPr>
        <w:t xml:space="preserve"> bod yna dair proses allweddol o fewn addysgu a dysgu sef sefydlu </w:t>
      </w:r>
      <w:r w:rsidR="00341A0B" w:rsidRPr="00341A0B">
        <w:rPr>
          <w:rFonts w:ascii="Arial" w:eastAsiaTheme="minorEastAsia" w:hAnsi="Arial" w:cs="Arial"/>
          <w:color w:val="000000" w:themeColor="text1"/>
        </w:rPr>
        <w:t xml:space="preserve">lle mae’r dysgwyr yn eu dysgu, sefydlu i ble maent yn mynd a beth sydd angen ei wneud i’w cael yno. </w:t>
      </w:r>
      <w:r w:rsidR="00341A0B" w:rsidRPr="00341A0B">
        <w:rPr>
          <w:rFonts w:ascii="Arial" w:eastAsiaTheme="minorEastAsia" w:hAnsi="Arial" w:cs="Arial"/>
          <w:color w:val="000000" w:themeColor="text1"/>
        </w:rPr>
        <w:t xml:space="preserve">Yn bennaf mae model a cafodd ei greu gan Sadler (1089) yn cyfeirio at y pwysigrwydd o nodi’r bwlch rhwng yr hyn  </w:t>
      </w:r>
      <w:r w:rsidR="00341A0B" w:rsidRPr="00341A0B">
        <w:rPr>
          <w:rFonts w:ascii="Arial" w:eastAsiaTheme="minorEastAsia" w:hAnsi="Arial" w:cs="Arial"/>
          <w:color w:val="000000" w:themeColor="text1"/>
        </w:rPr>
        <w:t>lle mae’r dysgwyr yn eu dysgu, sefydlu i ble maent yn mynd a beth sydd angen ei wneud i’w cael yno</w:t>
      </w:r>
      <w:r w:rsidR="00341A0B" w:rsidRPr="00341A0B">
        <w:rPr>
          <w:rFonts w:ascii="Arial" w:eastAsiaTheme="minorEastAsia" w:hAnsi="Arial" w:cs="Arial"/>
          <w:color w:val="000000" w:themeColor="text1"/>
        </w:rPr>
        <w:t>. Wrth edrych ar y model yma</w:t>
      </w:r>
      <w:r w:rsidR="00CB25E0" w:rsidRPr="00341A0B">
        <w:rPr>
          <w:rFonts w:ascii="Arial" w:eastAsiaTheme="minorEastAsia" w:hAnsi="Arial" w:cs="Arial"/>
          <w:color w:val="000000" w:themeColor="text1"/>
        </w:rPr>
        <w:t xml:space="preserve"> </w:t>
      </w:r>
      <w:r w:rsidR="00341A0B" w:rsidRPr="00341A0B">
        <w:rPr>
          <w:rFonts w:ascii="Arial" w:eastAsiaTheme="minorEastAsia" w:hAnsi="Arial" w:cs="Arial"/>
          <w:color w:val="000000" w:themeColor="text1"/>
        </w:rPr>
        <w:t>m</w:t>
      </w:r>
      <w:r w:rsidR="00CB25E0" w:rsidRPr="00341A0B">
        <w:rPr>
          <w:rFonts w:ascii="Arial" w:eastAsiaTheme="minorEastAsia" w:hAnsi="Arial" w:cs="Arial"/>
          <w:color w:val="000000" w:themeColor="text1"/>
        </w:rPr>
        <w:t xml:space="preserve">ae'n hanfodol sefydlu nod sy'n herio'n briodol. Os yw myfyriwr o'r farn bod y bwlch yn rhy anodd, yna fe all ddod yn </w:t>
      </w:r>
      <w:r w:rsidR="00CB25E0" w:rsidRPr="00341A0B">
        <w:rPr>
          <w:rFonts w:ascii="Arial" w:eastAsiaTheme="minorEastAsia" w:hAnsi="Arial" w:cs="Arial"/>
          <w:color w:val="000000" w:themeColor="text1"/>
        </w:rPr>
        <w:lastRenderedPageBreak/>
        <w:t>anghyraeddadwy. Ar y llaw arall, os canfyddir bod y bwlch yn rhy fach, gallai'r myfyriwr ei ystyried nad yw'n werth ei ddilyn. Fel yn y trosiad Elen Benfelen, mae angen i'r bwlch fod yn “just right”.</w:t>
      </w:r>
      <w:r w:rsidR="00CB25E0">
        <w:rPr>
          <w:rFonts w:ascii="Arial" w:eastAsiaTheme="minorEastAsia" w:hAnsi="Arial" w:cs="Arial"/>
          <w:color w:val="000000" w:themeColor="text1"/>
        </w:rPr>
        <w:t xml:space="preserve"> </w:t>
      </w:r>
    </w:p>
    <w:p w14:paraId="6287880E" w14:textId="1D8FAD13" w:rsidR="00CB25E0" w:rsidRDefault="00CB25E0" w:rsidP="00CB25E0">
      <w:pPr>
        <w:pStyle w:val="NormalWeb"/>
        <w:spacing w:line="360" w:lineRule="auto"/>
        <w:rPr>
          <w:rFonts w:ascii="Arial" w:eastAsiaTheme="minorEastAsia" w:hAnsi="Arial" w:cs="Arial"/>
          <w:color w:val="000000" w:themeColor="text1"/>
        </w:rPr>
      </w:pPr>
      <w:r>
        <w:rPr>
          <w:rFonts w:ascii="Arial" w:eastAsiaTheme="minorEastAsia" w:hAnsi="Arial" w:cs="Arial"/>
          <w:color w:val="000000" w:themeColor="text1"/>
        </w:rPr>
        <w:t xml:space="preserve">Wrth edrych ar y term “just right” (Heritage,2007) mae’r bwlch ar gyfer asesu ar gyfer dysgu wedi cael ei beichiogi gan </w:t>
      </w:r>
      <w:r w:rsidRPr="00CB25E0">
        <w:rPr>
          <w:rFonts w:ascii="Arial" w:eastAsiaTheme="minorEastAsia" w:hAnsi="Arial" w:cs="Arial"/>
          <w:color w:val="000000" w:themeColor="text1"/>
        </w:rPr>
        <w:t xml:space="preserve">seicolegwyr addysg fel parth datblygiad </w:t>
      </w:r>
      <w:r>
        <w:rPr>
          <w:rFonts w:ascii="Arial" w:eastAsiaTheme="minorEastAsia" w:hAnsi="Arial" w:cs="Arial"/>
          <w:color w:val="000000" w:themeColor="text1"/>
        </w:rPr>
        <w:t xml:space="preserve">procsimol </w:t>
      </w:r>
      <w:r w:rsidRPr="00CB25E0">
        <w:rPr>
          <w:rFonts w:ascii="Arial" w:eastAsiaTheme="minorEastAsia" w:hAnsi="Arial" w:cs="Arial"/>
          <w:color w:val="000000" w:themeColor="text1"/>
        </w:rPr>
        <w:t>(Vygotsky, 1978; 1986).</w:t>
      </w:r>
      <w:r>
        <w:rPr>
          <w:rFonts w:ascii="Arial" w:eastAsiaTheme="minorEastAsia" w:hAnsi="Arial" w:cs="Arial"/>
          <w:color w:val="000000" w:themeColor="text1"/>
        </w:rPr>
        <w:t xml:space="preserve"> Mae’r parth datblygiad procsimol yn cael ei adnabod fel </w:t>
      </w:r>
      <w:r w:rsidRPr="00CB25E0">
        <w:rPr>
          <w:rFonts w:ascii="Arial" w:eastAsiaTheme="minorEastAsia" w:hAnsi="Arial" w:cs="Arial"/>
          <w:color w:val="000000" w:themeColor="text1"/>
        </w:rPr>
        <w:t>maes lle mae Vygotsky yn damcaniaethu dysgu a</w:t>
      </w:r>
      <w:r>
        <w:rPr>
          <w:rFonts w:ascii="Arial" w:eastAsiaTheme="minorEastAsia" w:hAnsi="Arial" w:cs="Arial"/>
          <w:color w:val="000000" w:themeColor="text1"/>
        </w:rPr>
        <w:t xml:space="preserve">c mae datblygiadau yn digwydd. Yn ogystal â hynny, mae parth datblygiad procsimol yn cael ei diffinio fel y pellter rhwng yr hyn gall disgyblion ei gyflawni wrth ddatrys problemau yn annibynnol. Yn bennaf, mae’r parth datblygiad procsimol hefyd yn meddwl y lefel mae disgyblion yn gallu cyflawni trwy arweiniadau oedolion. </w:t>
      </w:r>
    </w:p>
    <w:p w14:paraId="2BEF62FB" w14:textId="1FB493E4" w:rsidR="00426CB1" w:rsidRDefault="00426CB1" w:rsidP="00CB25E0">
      <w:pPr>
        <w:pStyle w:val="NormalWeb"/>
        <w:spacing w:line="360" w:lineRule="auto"/>
        <w:rPr>
          <w:rFonts w:ascii="Arial" w:eastAsiaTheme="minorEastAsia" w:hAnsi="Arial" w:cs="Arial"/>
          <w:color w:val="000000" w:themeColor="text1"/>
        </w:rPr>
      </w:pPr>
      <w:r>
        <w:rPr>
          <w:rFonts w:ascii="Arial" w:eastAsiaTheme="minorEastAsia" w:hAnsi="Arial" w:cs="Arial"/>
          <w:color w:val="000000" w:themeColor="text1"/>
        </w:rPr>
        <w:t xml:space="preserve">Mae’r llywodraeth wedi gynnig amrywiaeth o wybodaeth ar asesu ar gyfer dysgu, sydd yn amrywio o llawer o anfanteison. Serch hynny, mae’r llywodraeth yn gwneud llawer o bethau er mwyn i rhoi cymorth i ysgolion i leihau’r goblygiadau. Pwysleisia Llywodraeth Cymru, 2020 bod anfanteision yn gallu cael effaith </w:t>
      </w:r>
      <w:r w:rsidRPr="00426CB1">
        <w:rPr>
          <w:rFonts w:ascii="Arial" w:eastAsiaTheme="minorEastAsia" w:hAnsi="Arial" w:cs="Arial"/>
          <w:color w:val="000000" w:themeColor="text1"/>
        </w:rPr>
        <w:t>cyflawniad addysgol plant a phobl ifanc.</w:t>
      </w:r>
      <w:r>
        <w:rPr>
          <w:rFonts w:ascii="Arial" w:eastAsiaTheme="minorEastAsia" w:hAnsi="Arial" w:cs="Arial"/>
          <w:color w:val="000000" w:themeColor="text1"/>
        </w:rPr>
        <w:t xml:space="preserve"> Yn bennaf, mae’r pedwar pwrpas y cwricwlwm yn gallu dorri cylchoedd negyddol trwy hybu ddisgyblion i ddatblygu fel dysgwyr uchelgeisiol galluog, cyfranwyr mentrus creadigol, dinasyddion moesegol gwybodus ac unigolion iach hyderus (Llywodraeth Cymru, 2020, p.5). </w:t>
      </w:r>
    </w:p>
    <w:p w14:paraId="4F70825C" w14:textId="4C42A6B3" w:rsidR="00181213" w:rsidRDefault="00B06411" w:rsidP="00CB25E0">
      <w:pPr>
        <w:pStyle w:val="NormalWeb"/>
        <w:spacing w:line="360" w:lineRule="auto"/>
        <w:rPr>
          <w:rFonts w:ascii="Arial" w:eastAsiaTheme="minorEastAsia" w:hAnsi="Arial" w:cs="Arial"/>
          <w:color w:val="000000" w:themeColor="text1"/>
        </w:rPr>
      </w:pPr>
      <w:r w:rsidRPr="00B06411">
        <w:rPr>
          <w:rFonts w:ascii="Arial" w:eastAsiaTheme="minorEastAsia" w:hAnsi="Arial" w:cs="Arial"/>
          <w:color w:val="000000" w:themeColor="text1"/>
        </w:rPr>
        <w:t>Mae’r fframwaith wedi cael ei llunio er mwyn i roi cymorth i ysgolion i ddatblygu cwricwlwm yr ysgol er mwyn i fod yn fuddiol i’r dysgwyr (Llywodraeth Cymru, 2020. P.5). Yn bennaf, mae canllawiau wedi caei ei greu er mwyn i sicrhau bod ysgolion yn ystyried bylchau mewn cyrhaeddiad wrth iddyn nhw i ddatblygu ei chwricwlwm (Llywodraeth Cymru, 2020, p.5). Mae’r wybodaeth sydd ar gael i ysgolion hefyd yn fuddiol i ddisgyblion oherwydd mae’n helpu iddyn nhw i ddatblygu mwy o sgiliau o fewn pob maes dysgu a phrofiad.</w:t>
      </w:r>
    </w:p>
    <w:p w14:paraId="4D8996A3" w14:textId="70D063BC" w:rsidR="00261E5F" w:rsidRDefault="00B06411" w:rsidP="00CB25E0">
      <w:pPr>
        <w:pStyle w:val="NormalWeb"/>
        <w:spacing w:line="360" w:lineRule="auto"/>
        <w:rPr>
          <w:rFonts w:ascii="Arial" w:eastAsiaTheme="minorEastAsia" w:hAnsi="Arial" w:cs="Arial"/>
          <w:color w:val="000000" w:themeColor="text1"/>
        </w:rPr>
      </w:pPr>
      <w:r w:rsidRPr="00B06411">
        <w:rPr>
          <w:rFonts w:ascii="Arial" w:eastAsiaTheme="minorEastAsia" w:hAnsi="Arial" w:cs="Arial"/>
          <w:color w:val="000000" w:themeColor="text1"/>
        </w:rPr>
        <w:t xml:space="preserve">I grynhoi, wrth edrych ar y wybodaeth flaenorol mae’n hawdd darganfod bod gan ysgolion ar draws Cymru llawer o gymorth gan y Llywodraeth. Ymhellach, wrth edrych ar y fframwaith sydd ar gael i ysgolion, mae’n hanfodol bod yr ysgolion yn defnyddio’r fframweithiau sydd ar gael er mwyn i sicrhau bod nhw’n osgoi'r goblygiadau sydd yn cael effaith gwael ar asesu ar gyfer dysgu. Nid yn unig mae’n </w:t>
      </w:r>
      <w:r w:rsidRPr="00B06411">
        <w:rPr>
          <w:rFonts w:ascii="Arial" w:eastAsiaTheme="minorEastAsia" w:hAnsi="Arial" w:cs="Arial"/>
          <w:color w:val="000000" w:themeColor="text1"/>
        </w:rPr>
        <w:lastRenderedPageBreak/>
        <w:t>bwysig i osgoi’r goblygiadau wrth iddyn nhw i lunio ei chwricwlwm, ond hefyd mae’n bwysig i osgoi’r goblygiadau oherwydd mae’n rhoi cymorth i ddatblygiadau’r disgyblion. Hynny yw, os mae ysgolion yn osgoi’r goblygiadau maent yn gallu asesu’r disgyblion yn effeithiol ac mae’n gwneud e’n hawdd i athrawon i asesu’r disgyblion i safon uchel trwy ddarganfod gwahanol ffordd o ddatblygu sgiliau newydd i’r disgyblion ar draws pob maes dysgu a phrofiad.</w:t>
      </w:r>
    </w:p>
    <w:p w14:paraId="6CFDD8A1" w14:textId="54EE63A2" w:rsidR="00E22FD3" w:rsidRDefault="00E22FD3" w:rsidP="00CB25E0">
      <w:pPr>
        <w:pStyle w:val="NormalWeb"/>
        <w:spacing w:line="360" w:lineRule="auto"/>
        <w:rPr>
          <w:rFonts w:ascii="Arial" w:eastAsiaTheme="minorEastAsia" w:hAnsi="Arial" w:cs="Arial"/>
          <w:color w:val="000000" w:themeColor="text1"/>
        </w:rPr>
      </w:pPr>
      <w:r>
        <w:rPr>
          <w:rFonts w:ascii="Arial" w:eastAsiaTheme="minorEastAsia" w:hAnsi="Arial" w:cs="Arial"/>
          <w:color w:val="000000" w:themeColor="text1"/>
        </w:rPr>
        <w:t>Casgliad:</w:t>
      </w:r>
    </w:p>
    <w:p w14:paraId="55452D25" w14:textId="77777777" w:rsidR="00EF0F94" w:rsidRDefault="00EF0F94" w:rsidP="005E32DA">
      <w:pPr>
        <w:pStyle w:val="NormalWeb"/>
        <w:spacing w:line="360" w:lineRule="auto"/>
        <w:rPr>
          <w:rFonts w:ascii="Arial" w:eastAsiaTheme="minorEastAsia" w:hAnsi="Arial" w:cs="Arial"/>
          <w:color w:val="000000" w:themeColor="text1"/>
        </w:rPr>
      </w:pPr>
      <w:r w:rsidRPr="00EF0F94">
        <w:rPr>
          <w:rFonts w:ascii="Arial" w:eastAsiaTheme="minorEastAsia" w:hAnsi="Arial" w:cs="Arial"/>
          <w:color w:val="000000" w:themeColor="text1"/>
        </w:rPr>
        <w:t xml:space="preserve">Mewn casgliad, mae’r traethawd yma wedi trafod am lawer o wybodaeth ar asesu ar gyfer dysgu, ac wedi cynnwys amrywiaeth o wybodaeth sydd yn fuddiol i helpu dealltwriaeth o sut i asesu disgyblion. Yn bennaf mae’r traethawd yma yn rhoi cymorth trwy ddefnyddio adolygiad llenyddiaeth sydd yn cynnwys gwybodaeth eang o sut i asesu disgyblion trwy gydol ei addysg a pham maent yn bwysig ar gyfer ddatblygiadau plant a phobl ifanc. Yn gyntaf, roedd yr adolygiad wedi cyfeirio at gefndir asesu ar gyfer dysgu, a sut ei chafodd ei gynllunio. Mae cynnwys cefndir o bwnc yn bwysig oherwydd mae’n sicrhau bod y darllenydd yn gwybod mwy am y pwnc. </w:t>
      </w:r>
    </w:p>
    <w:p w14:paraId="3DE92118" w14:textId="6055C3CB" w:rsidR="00EF0F94" w:rsidRDefault="00EF0F94" w:rsidP="005E32DA">
      <w:pPr>
        <w:pStyle w:val="NormalWeb"/>
        <w:spacing w:line="360" w:lineRule="auto"/>
        <w:rPr>
          <w:rFonts w:ascii="Arial" w:eastAsiaTheme="minorEastAsia" w:hAnsi="Arial" w:cs="Arial"/>
          <w:color w:val="000000" w:themeColor="text1"/>
        </w:rPr>
      </w:pPr>
      <w:r w:rsidRPr="00EF0F94">
        <w:rPr>
          <w:rFonts w:ascii="Arial" w:eastAsiaTheme="minorEastAsia" w:hAnsi="Arial" w:cs="Arial"/>
          <w:color w:val="000000" w:themeColor="text1"/>
        </w:rPr>
        <w:t xml:space="preserve">Yn ail, mae’r adolygiad yn cynnwys gwybodaeth ar ffurf o asesu ar gyfer dysgu sef meini prawf llwyddiant. Yn bennaf, mae’n gynnwys llawer o wybodaeth ar fuddion maent yn ei gael ar gyfer athrawon a disgyblion. Ymhellach, mae’r adolygiad wedi pwysleisio bod meini prawf yn un o’r arwyddion ar gyfer athrawon a disgyblion trwy bwysleisio bod e’n bwysig i ddarganfod gwiriadau ar ddysgu. Felly, y casgliad felly yw bod meini prawf llwyddiant yn un o’r pethau pwysicaf wrth i athrawon i asesu disgyblion. </w:t>
      </w:r>
    </w:p>
    <w:p w14:paraId="308B8259" w14:textId="3660E2CA" w:rsidR="00CC63EF" w:rsidRDefault="00CC63EF" w:rsidP="005E32DA">
      <w:pPr>
        <w:pStyle w:val="NormalWeb"/>
        <w:spacing w:line="360" w:lineRule="auto"/>
        <w:rPr>
          <w:rFonts w:ascii="Arial" w:eastAsiaTheme="minorEastAsia" w:hAnsi="Arial" w:cs="Arial"/>
          <w:color w:val="000000" w:themeColor="text1"/>
        </w:rPr>
      </w:pPr>
      <w:r w:rsidRPr="00CC63EF">
        <w:rPr>
          <w:rFonts w:ascii="Arial" w:eastAsiaTheme="minorEastAsia" w:hAnsi="Arial" w:cs="Arial"/>
          <w:color w:val="000000" w:themeColor="text1"/>
        </w:rPr>
        <w:t xml:space="preserve">Yna, mae’r adolygiad wedi cynnig gwybodaeth ar ddilyniannau dysgu. Yn ogystal â hynny, mae dilyniannau dysgu yn cynnwys llawer o bethau sydd yn fuddiol ar gyfer datblygiadau myfyrwyr. Maent yn cynnwys y sgiliau sydd ei hangen ar ddysgwyr i ddatblygu ymhellach ac mae’n gyrru datblygiadau’r disgyblion ar draws ei addysg. </w:t>
      </w:r>
    </w:p>
    <w:p w14:paraId="64FA59CC" w14:textId="5E02E802" w:rsidR="006A038F" w:rsidRDefault="006A038F" w:rsidP="005E32DA">
      <w:pPr>
        <w:pStyle w:val="NormalWeb"/>
        <w:spacing w:line="360" w:lineRule="auto"/>
        <w:rPr>
          <w:rFonts w:ascii="Arial" w:eastAsiaTheme="minorEastAsia" w:hAnsi="Arial" w:cs="Arial"/>
          <w:color w:val="000000" w:themeColor="text1"/>
        </w:rPr>
      </w:pPr>
      <w:r w:rsidRPr="006A038F">
        <w:rPr>
          <w:rFonts w:ascii="Arial" w:eastAsiaTheme="minorEastAsia" w:hAnsi="Arial" w:cs="Arial"/>
          <w:color w:val="000000" w:themeColor="text1"/>
        </w:rPr>
        <w:t xml:space="preserve">Wrth edrych ar yr adolygiad ymhellach, mae’n amlwg bod e’n bwysig bod myfyrwyr yn cael y cyfle i gael ymglymiad o ran asesu ar gyfer dysgu. Y rheswm dros hyn ydy oherwydd mae’n rhoi’r cyfle i fyfyrwyr i ddarganfod ei gynnydd ar draws gwahanol </w:t>
      </w:r>
      <w:r w:rsidRPr="006A038F">
        <w:rPr>
          <w:rFonts w:ascii="Arial" w:eastAsiaTheme="minorEastAsia" w:hAnsi="Arial" w:cs="Arial"/>
          <w:color w:val="000000" w:themeColor="text1"/>
        </w:rPr>
        <w:lastRenderedPageBreak/>
        <w:t xml:space="preserve">bynciau, a sut y hoffant nhw i ddatblygu ei hunain ymhellach o fewn pwnc penodol. Yn bennaf, mae’n hefyd yn bwysig i’r myfyrwyr cael ei asesiad clir ar gyfer y gwaith maen nhw’n cyflawni wrth y disgyblion eraill. Mae hyn yn gallu cael effaith positif ar ddatblygiadau'r disgyblion oherwydd mae disgyblion yn dysgu gorau wrth ei gilydd. </w:t>
      </w:r>
    </w:p>
    <w:p w14:paraId="4C8CC5A0" w14:textId="2F6F897D" w:rsidR="00E22FD3" w:rsidRDefault="003F1C4E" w:rsidP="005E32DA">
      <w:pPr>
        <w:pStyle w:val="NormalWeb"/>
        <w:spacing w:line="360" w:lineRule="auto"/>
        <w:rPr>
          <w:rFonts w:ascii="Arial" w:eastAsiaTheme="minorEastAsia" w:hAnsi="Arial" w:cs="Arial"/>
          <w:color w:val="000000" w:themeColor="text1"/>
        </w:rPr>
      </w:pPr>
      <w:r w:rsidRPr="003F1C4E">
        <w:rPr>
          <w:rFonts w:ascii="Arial" w:eastAsiaTheme="minorEastAsia" w:hAnsi="Arial" w:cs="Arial"/>
          <w:color w:val="000000" w:themeColor="text1"/>
        </w:rPr>
        <w:t>Ar gyfer y dyfodol. Mae’n bwysig bod ysgolion ar draws Cymru yn parhau i ddefnyddio’r cymorth maent wedi ei dderbyn wrth y llywodraeth. Yn ychwanegol i hyn, mae’r cymorth sydd ar gael yn sicrhau bod ysgolion yn osgoi’r goblygiadau, ac mae’n sicrhau bod pob ysgol yn hybu datblygiadau’r disgyblion trwy asesu nhw i safon uchel. Yn olaf, mae’r fframwaith sydd ar gael i ysgolion hefyd yn gynnwys gwybodaeth sydd yn rhoi cymorth i ysgolion o sut i asesu’r disgyblion trwy ddefnyddio’r pedwar diben y cwricwlwm.</w:t>
      </w:r>
    </w:p>
    <w:p w14:paraId="11DA1A2A" w14:textId="77777777" w:rsidR="00EB03C9" w:rsidRDefault="00EB03C9" w:rsidP="00D30946">
      <w:pPr>
        <w:spacing w:line="360" w:lineRule="auto"/>
        <w:rPr>
          <w:rFonts w:ascii="Arial" w:eastAsia="ArialMT" w:hAnsi="Arial" w:cs="Arial"/>
          <w:color w:val="000000" w:themeColor="text1"/>
          <w:sz w:val="24"/>
          <w:szCs w:val="24"/>
        </w:rPr>
      </w:pPr>
    </w:p>
    <w:p w14:paraId="0F65A657" w14:textId="29CBFDF3" w:rsidR="1AAF0346" w:rsidRPr="00EB03C9" w:rsidRDefault="006608F5" w:rsidP="00EB03C9">
      <w:pPr>
        <w:spacing w:line="360" w:lineRule="auto"/>
        <w:rPr>
          <w:rFonts w:ascii="Arial" w:eastAsia="ArialMT" w:hAnsi="Arial" w:cs="Arial"/>
          <w:color w:val="000000" w:themeColor="text1"/>
          <w:sz w:val="24"/>
          <w:szCs w:val="24"/>
        </w:rPr>
      </w:pPr>
      <w:r w:rsidRPr="00EB03C9">
        <w:rPr>
          <w:rFonts w:ascii="Arial" w:eastAsia="ArialMT" w:hAnsi="Arial" w:cs="Arial"/>
          <w:color w:val="000000" w:themeColor="text1"/>
          <w:sz w:val="24"/>
          <w:szCs w:val="24"/>
        </w:rPr>
        <w:t xml:space="preserve">Rhestr Cyfeirnodi: </w:t>
      </w:r>
    </w:p>
    <w:p w14:paraId="2129A141" w14:textId="654E0830" w:rsidR="00D30946" w:rsidRPr="00D30946" w:rsidRDefault="00D30946" w:rsidP="00EB03C9">
      <w:pPr>
        <w:spacing w:after="0" w:line="360" w:lineRule="auto"/>
        <w:rPr>
          <w:rFonts w:ascii="Arial" w:eastAsia="Times New Roman" w:hAnsi="Arial" w:cs="Arial"/>
          <w:color w:val="000000"/>
          <w:sz w:val="24"/>
          <w:szCs w:val="24"/>
          <w:lang w:eastAsia="en-GB"/>
        </w:rPr>
      </w:pPr>
      <w:r w:rsidRPr="00D30946">
        <w:rPr>
          <w:rFonts w:ascii="Arial" w:eastAsia="Times New Roman" w:hAnsi="Arial" w:cs="Arial"/>
          <w:color w:val="000000"/>
          <w:sz w:val="24"/>
          <w:szCs w:val="24"/>
          <w:lang w:eastAsia="en-GB"/>
        </w:rPr>
        <w:t xml:space="preserve">Assessment Reform Group. (2002).  Assessment for  Learning:  Research-based  principles  to guide  classroom  practice.  London,  UK: Assessment Reform Group. </w:t>
      </w:r>
    </w:p>
    <w:p w14:paraId="44F331AA" w14:textId="77777777" w:rsidR="00D30946" w:rsidRPr="00EB03C9" w:rsidRDefault="00D30946" w:rsidP="00EB03C9">
      <w:pPr>
        <w:spacing w:line="360" w:lineRule="auto"/>
        <w:rPr>
          <w:rFonts w:ascii="Arial" w:eastAsia="ArialMT" w:hAnsi="Arial" w:cs="Arial"/>
          <w:color w:val="000000" w:themeColor="text1"/>
          <w:sz w:val="24"/>
          <w:szCs w:val="24"/>
        </w:rPr>
      </w:pPr>
    </w:p>
    <w:p w14:paraId="4E3BB295" w14:textId="3BE929AA" w:rsidR="006608F5" w:rsidRPr="00EB03C9" w:rsidRDefault="006608F5" w:rsidP="00EB03C9">
      <w:pPr>
        <w:spacing w:after="0" w:line="360" w:lineRule="auto"/>
        <w:rPr>
          <w:rFonts w:ascii="Arial" w:eastAsia="Times New Roman" w:hAnsi="Arial" w:cs="Arial"/>
          <w:color w:val="000000"/>
          <w:spacing w:val="4"/>
          <w:sz w:val="24"/>
          <w:szCs w:val="24"/>
          <w:lang w:eastAsia="en-GB"/>
        </w:rPr>
      </w:pPr>
      <w:r w:rsidRPr="006608F5">
        <w:rPr>
          <w:rFonts w:ascii="Arial" w:eastAsia="Times New Roman" w:hAnsi="Arial" w:cs="Arial"/>
          <w:color w:val="000000"/>
          <w:sz w:val="24"/>
          <w:szCs w:val="24"/>
          <w:lang w:eastAsia="en-GB"/>
        </w:rPr>
        <w:t>Black,  P.,  &amp; Wiliam,  D.  (1998a). Assessment and  classroom  learning.</w:t>
      </w:r>
      <w:r w:rsidRPr="00EB03C9">
        <w:rPr>
          <w:rFonts w:ascii="Arial" w:eastAsia="Times New Roman" w:hAnsi="Arial" w:cs="Arial"/>
          <w:color w:val="000000"/>
          <w:sz w:val="24"/>
          <w:szCs w:val="24"/>
          <w:lang w:eastAsia="en-GB"/>
        </w:rPr>
        <w:t xml:space="preserve"> </w:t>
      </w:r>
      <w:r w:rsidRPr="006608F5">
        <w:rPr>
          <w:rFonts w:ascii="Arial" w:eastAsia="Times New Roman" w:hAnsi="Arial" w:cs="Arial"/>
          <w:color w:val="000000"/>
          <w:sz w:val="24"/>
          <w:szCs w:val="24"/>
          <w:lang w:eastAsia="en-GB"/>
        </w:rPr>
        <w:t>Assessment  in Education: Principles, Policy and Practice, 5(1), 7-</w:t>
      </w:r>
      <w:r w:rsidRPr="006608F5">
        <w:rPr>
          <w:rFonts w:ascii="Arial" w:eastAsia="Times New Roman" w:hAnsi="Arial" w:cs="Arial"/>
          <w:color w:val="000000"/>
          <w:spacing w:val="4"/>
          <w:sz w:val="24"/>
          <w:szCs w:val="24"/>
          <w:lang w:eastAsia="en-GB"/>
        </w:rPr>
        <w:t>74.</w:t>
      </w:r>
    </w:p>
    <w:p w14:paraId="7AF036B8" w14:textId="6C703A7C" w:rsidR="00326E29" w:rsidRPr="00EB03C9" w:rsidRDefault="00326E29" w:rsidP="00EB03C9">
      <w:pPr>
        <w:spacing w:after="0" w:line="360" w:lineRule="auto"/>
        <w:rPr>
          <w:rFonts w:ascii="Arial" w:eastAsia="Times New Roman" w:hAnsi="Arial" w:cs="Arial"/>
          <w:color w:val="000000"/>
          <w:spacing w:val="4"/>
          <w:sz w:val="24"/>
          <w:szCs w:val="24"/>
          <w:lang w:eastAsia="en-GB"/>
        </w:rPr>
      </w:pPr>
    </w:p>
    <w:p w14:paraId="28834DC2" w14:textId="77777777" w:rsidR="00326E29" w:rsidRPr="00EB03C9" w:rsidRDefault="00326E29" w:rsidP="00EB03C9">
      <w:pPr>
        <w:pStyle w:val="NormalWeb"/>
        <w:spacing w:line="360" w:lineRule="auto"/>
        <w:rPr>
          <w:rFonts w:ascii="Arial" w:hAnsi="Arial" w:cs="Arial"/>
        </w:rPr>
      </w:pPr>
      <w:r w:rsidRPr="00EB03C9">
        <w:rPr>
          <w:rFonts w:ascii="Arial" w:hAnsi="Arial" w:cs="Arial"/>
        </w:rPr>
        <w:t xml:space="preserve">Bloom, B. S. (1969). Some theoretical issues relating to educational evaluation. In R. W. Tyler (Ed.), Educational evaluation: New roles, new means (National Society for the Study of Education Yearbook, Vol. 68, Part 2, pp. 26–50). Chicago, IL: University of Chicago Press. </w:t>
      </w:r>
    </w:p>
    <w:p w14:paraId="504ACF36" w14:textId="3FD7F0D1" w:rsidR="00326E29" w:rsidRPr="00EB03C9" w:rsidRDefault="00326E29" w:rsidP="00EB03C9">
      <w:pPr>
        <w:pStyle w:val="NormalWeb"/>
        <w:spacing w:line="360" w:lineRule="auto"/>
        <w:rPr>
          <w:rFonts w:ascii="Arial" w:hAnsi="Arial" w:cs="Arial"/>
        </w:rPr>
      </w:pPr>
      <w:r w:rsidRPr="00EB03C9">
        <w:rPr>
          <w:rFonts w:ascii="Arial" w:hAnsi="Arial" w:cs="Arial"/>
        </w:rPr>
        <w:t xml:space="preserve">Bloom, B. S., Hastings, J. T., &amp; Madaus, G. F. (1971). Handbook on the formative and summative evaluation of student learning. New York: McGraw-Hill. </w:t>
      </w:r>
    </w:p>
    <w:p w14:paraId="4CC1A6FD" w14:textId="3C73089F" w:rsidR="007A2014" w:rsidRPr="00EB03C9" w:rsidRDefault="007A2014" w:rsidP="00EB03C9">
      <w:pPr>
        <w:pStyle w:val="NormalWeb"/>
        <w:spacing w:line="360" w:lineRule="auto"/>
        <w:rPr>
          <w:rFonts w:ascii="Arial" w:hAnsi="Arial" w:cs="Arial"/>
        </w:rPr>
      </w:pPr>
      <w:r w:rsidRPr="00EB03C9">
        <w:rPr>
          <w:rFonts w:ascii="Arial" w:hAnsi="Arial" w:cs="Arial"/>
        </w:rPr>
        <w:t>Broadfoot, P. (2008). An introduction to assessment. London: Continuum.</w:t>
      </w:r>
    </w:p>
    <w:p w14:paraId="241E7D8D" w14:textId="40C35022" w:rsidR="007A2014" w:rsidRPr="00EB03C9" w:rsidRDefault="007A2014" w:rsidP="00EB03C9">
      <w:pPr>
        <w:pStyle w:val="NormalWeb"/>
        <w:spacing w:line="360" w:lineRule="auto"/>
        <w:rPr>
          <w:rFonts w:ascii="Arial" w:hAnsi="Arial" w:cs="Arial"/>
        </w:rPr>
      </w:pPr>
    </w:p>
    <w:p w14:paraId="5AF6D573" w14:textId="6577B439" w:rsidR="007A2014" w:rsidRPr="00EB03C9" w:rsidRDefault="007A2014" w:rsidP="00EB03C9">
      <w:pPr>
        <w:pStyle w:val="NormalWeb"/>
        <w:spacing w:line="360" w:lineRule="auto"/>
        <w:rPr>
          <w:rFonts w:ascii="Arial" w:hAnsi="Arial" w:cs="Arial"/>
        </w:rPr>
      </w:pPr>
      <w:r w:rsidRPr="00EB03C9">
        <w:rPr>
          <w:rFonts w:ascii="Arial" w:hAnsi="Arial" w:cs="Arial"/>
        </w:rPr>
        <w:lastRenderedPageBreak/>
        <w:t xml:space="preserve">Clarke, S. (2005). Formative assessment in the secondary classroom. London: Hodder Murray. </w:t>
      </w:r>
    </w:p>
    <w:p w14:paraId="433470E6" w14:textId="77777777" w:rsidR="00EB03C9" w:rsidRPr="00EB03C9" w:rsidRDefault="00EB03C9" w:rsidP="00EB03C9">
      <w:pPr>
        <w:pStyle w:val="NormalWeb"/>
        <w:spacing w:line="360" w:lineRule="auto"/>
        <w:rPr>
          <w:rFonts w:ascii="Arial" w:hAnsi="Arial" w:cs="Arial"/>
        </w:rPr>
      </w:pPr>
      <w:r w:rsidRPr="00EB03C9">
        <w:rPr>
          <w:rFonts w:ascii="Arial" w:hAnsi="Arial" w:cs="Arial"/>
        </w:rPr>
        <w:t xml:space="preserve">Covington, M. V. (1992). Making the grade: A self-worth perspective on motivation and school reform. Cambridge, UK: Cambridge University Press. </w:t>
      </w:r>
    </w:p>
    <w:p w14:paraId="3C49D9EE" w14:textId="77777777" w:rsidR="00EB03C9" w:rsidRPr="00EB03C9" w:rsidRDefault="00EB03C9" w:rsidP="00EB03C9">
      <w:pPr>
        <w:pStyle w:val="NormalWeb"/>
        <w:spacing w:line="360" w:lineRule="auto"/>
        <w:rPr>
          <w:rFonts w:ascii="Arial" w:hAnsi="Arial" w:cs="Arial"/>
        </w:rPr>
      </w:pPr>
    </w:p>
    <w:p w14:paraId="1FE5EDE3" w14:textId="77777777" w:rsidR="007A2014" w:rsidRPr="00EB03C9" w:rsidRDefault="007A2014" w:rsidP="00EB03C9">
      <w:pPr>
        <w:pStyle w:val="NormalWeb"/>
        <w:spacing w:line="360" w:lineRule="auto"/>
        <w:rPr>
          <w:rFonts w:ascii="Arial" w:hAnsi="Arial" w:cs="Arial"/>
        </w:rPr>
      </w:pPr>
    </w:p>
    <w:p w14:paraId="2E75AD0F" w14:textId="737CD151" w:rsidR="007A2014" w:rsidRPr="00EB03C9" w:rsidRDefault="007A2014" w:rsidP="00EB03C9">
      <w:pPr>
        <w:pStyle w:val="NormalWeb"/>
        <w:spacing w:line="360" w:lineRule="auto"/>
        <w:rPr>
          <w:rFonts w:ascii="Arial" w:hAnsi="Arial" w:cs="Arial"/>
        </w:rPr>
      </w:pPr>
    </w:p>
    <w:p w14:paraId="65181791" w14:textId="7AB6730E" w:rsidR="007A2014" w:rsidRPr="00EB03C9" w:rsidRDefault="007A2014" w:rsidP="00EB03C9">
      <w:pPr>
        <w:pStyle w:val="NormalWeb"/>
        <w:spacing w:line="360" w:lineRule="auto"/>
        <w:rPr>
          <w:rFonts w:ascii="Arial" w:hAnsi="Arial" w:cs="Arial"/>
        </w:rPr>
      </w:pPr>
      <w:r w:rsidRPr="00EB03C9">
        <w:rPr>
          <w:rFonts w:ascii="Arial" w:hAnsi="Arial" w:cs="Arial"/>
        </w:rPr>
        <w:t>DeMeester, K., &amp; Jones, F. (2009). Formative assessment for PK–3 mathematics: A review of the literature. Available at</w:t>
      </w:r>
      <w:r w:rsidRPr="00EB03C9">
        <w:rPr>
          <w:rFonts w:ascii="Arial" w:hAnsi="Arial" w:cs="Arial"/>
        </w:rPr>
        <w:t xml:space="preserve">: </w:t>
      </w:r>
      <w:r w:rsidRPr="00EB03C9">
        <w:rPr>
          <w:rFonts w:ascii="Arial" w:hAnsi="Arial" w:cs="Arial"/>
        </w:rPr>
        <w:t>http://lsi.fsu.edu/Uploads/1/docs/Formative%20Assessment%20Lit%20Review%20FCR- STEM.pdf</w:t>
      </w:r>
      <w:r w:rsidRPr="00EB03C9">
        <w:rPr>
          <w:rFonts w:ascii="Arial" w:hAnsi="Arial" w:cs="Arial"/>
        </w:rPr>
        <w:t xml:space="preserve"> </w:t>
      </w:r>
      <w:r w:rsidRPr="00EB03C9">
        <w:rPr>
          <w:rFonts w:ascii="Arial" w:hAnsi="Arial" w:cs="Arial"/>
        </w:rPr>
        <w:t xml:space="preserve"> </w:t>
      </w:r>
      <w:r w:rsidRPr="00EB03C9">
        <w:rPr>
          <w:rFonts w:ascii="Arial" w:hAnsi="Arial" w:cs="Arial"/>
        </w:rPr>
        <w:t xml:space="preserve"> </w:t>
      </w:r>
    </w:p>
    <w:p w14:paraId="16770B76" w14:textId="77777777" w:rsidR="007A2014" w:rsidRPr="00EB03C9" w:rsidRDefault="007A2014" w:rsidP="00EB03C9">
      <w:pPr>
        <w:pStyle w:val="NormalWeb"/>
        <w:spacing w:line="360" w:lineRule="auto"/>
        <w:rPr>
          <w:rFonts w:ascii="Arial" w:hAnsi="Arial" w:cs="Arial"/>
        </w:rPr>
      </w:pPr>
    </w:p>
    <w:p w14:paraId="390C2C08" w14:textId="77777777" w:rsidR="007A2014" w:rsidRPr="00EB03C9" w:rsidRDefault="007A2014" w:rsidP="00EB03C9">
      <w:pPr>
        <w:pStyle w:val="NormalWeb"/>
        <w:spacing w:line="360" w:lineRule="auto"/>
        <w:rPr>
          <w:rFonts w:ascii="Arial" w:hAnsi="Arial" w:cs="Arial"/>
        </w:rPr>
      </w:pPr>
    </w:p>
    <w:p w14:paraId="0D2D0FD5" w14:textId="77777777" w:rsidR="007A2014" w:rsidRPr="00EB03C9" w:rsidRDefault="007A2014" w:rsidP="00EB03C9">
      <w:pPr>
        <w:pStyle w:val="NormalWeb"/>
        <w:spacing w:line="360" w:lineRule="auto"/>
        <w:rPr>
          <w:rFonts w:ascii="Arial" w:hAnsi="Arial" w:cs="Arial"/>
        </w:rPr>
      </w:pPr>
      <w:r w:rsidRPr="00EB03C9">
        <w:rPr>
          <w:rFonts w:ascii="Arial" w:hAnsi="Arial" w:cs="Arial"/>
        </w:rPr>
        <w:t xml:space="preserve">Gipps, C., &amp; Stobart, G. (1997). Assessment: A teacher’s guide to the issues. London: Hodder &amp; Stoughton. </w:t>
      </w:r>
    </w:p>
    <w:p w14:paraId="02E55F99" w14:textId="34911ED0" w:rsidR="006608F5" w:rsidRPr="00EB03C9" w:rsidRDefault="006608F5" w:rsidP="00EB03C9">
      <w:pPr>
        <w:spacing w:after="0" w:line="360" w:lineRule="auto"/>
        <w:rPr>
          <w:rFonts w:ascii="Arial" w:eastAsia="Times New Roman" w:hAnsi="Arial" w:cs="Arial"/>
          <w:color w:val="000000"/>
          <w:spacing w:val="4"/>
          <w:sz w:val="24"/>
          <w:szCs w:val="24"/>
          <w:lang w:eastAsia="en-GB"/>
        </w:rPr>
      </w:pPr>
    </w:p>
    <w:p w14:paraId="744FB042" w14:textId="182DA9B6" w:rsidR="006608F5" w:rsidRPr="00EB03C9" w:rsidRDefault="006608F5" w:rsidP="00EB03C9">
      <w:pPr>
        <w:spacing w:after="0" w:line="360" w:lineRule="auto"/>
        <w:rPr>
          <w:rFonts w:ascii="Arial" w:eastAsia="Times New Roman" w:hAnsi="Arial" w:cs="Arial"/>
          <w:color w:val="000000"/>
          <w:sz w:val="24"/>
          <w:szCs w:val="24"/>
          <w:lang w:eastAsia="en-GB"/>
        </w:rPr>
      </w:pPr>
      <w:r w:rsidRPr="006608F5">
        <w:rPr>
          <w:rFonts w:ascii="Arial" w:eastAsia="Times New Roman" w:hAnsi="Arial" w:cs="Arial"/>
          <w:color w:val="000000"/>
          <w:sz w:val="24"/>
          <w:szCs w:val="24"/>
          <w:lang w:eastAsia="en-GB"/>
        </w:rPr>
        <w:t xml:space="preserve">Gipps,  C.  (1994).  Beyond  testing:  Towards  a theory of educational assessment. London, UK: The Falmer Press. </w:t>
      </w:r>
    </w:p>
    <w:p w14:paraId="2AD45C92" w14:textId="2FF02262" w:rsidR="007A2014" w:rsidRPr="00EB03C9" w:rsidRDefault="007A2014" w:rsidP="00EB03C9">
      <w:pPr>
        <w:spacing w:after="0" w:line="360" w:lineRule="auto"/>
        <w:rPr>
          <w:rFonts w:ascii="Arial" w:eastAsia="Times New Roman" w:hAnsi="Arial" w:cs="Arial"/>
          <w:color w:val="000000"/>
          <w:sz w:val="24"/>
          <w:szCs w:val="24"/>
          <w:lang w:eastAsia="en-GB"/>
        </w:rPr>
      </w:pPr>
    </w:p>
    <w:p w14:paraId="70DE21D8" w14:textId="706C3D79" w:rsidR="007A2014" w:rsidRPr="00EB03C9" w:rsidRDefault="007A2014" w:rsidP="00EB03C9">
      <w:pPr>
        <w:pStyle w:val="NormalWeb"/>
        <w:spacing w:line="360" w:lineRule="auto"/>
        <w:rPr>
          <w:rFonts w:ascii="Arial" w:hAnsi="Arial" w:cs="Arial"/>
        </w:rPr>
      </w:pPr>
      <w:r w:rsidRPr="00EB03C9">
        <w:rPr>
          <w:rFonts w:ascii="Arial" w:hAnsi="Arial" w:cs="Arial"/>
        </w:rPr>
        <w:t>Heritage, M. (2007). Formative assessment: What do teachers need to know and do? Phi Delta Kappan, 89(2), 140–145.</w:t>
      </w:r>
    </w:p>
    <w:p w14:paraId="037F3D9A" w14:textId="436AED20" w:rsidR="007A2014" w:rsidRPr="00EB03C9" w:rsidRDefault="007A2014" w:rsidP="00EB03C9">
      <w:pPr>
        <w:pStyle w:val="NormalWeb"/>
        <w:spacing w:line="360" w:lineRule="auto"/>
        <w:rPr>
          <w:rFonts w:ascii="Arial" w:hAnsi="Arial" w:cs="Arial"/>
        </w:rPr>
      </w:pPr>
    </w:p>
    <w:p w14:paraId="0439E782" w14:textId="4DDC06A3" w:rsidR="007A2014" w:rsidRPr="00EB03C9" w:rsidRDefault="007A2014" w:rsidP="00EB03C9">
      <w:pPr>
        <w:pStyle w:val="NormalWeb"/>
        <w:spacing w:line="360" w:lineRule="auto"/>
        <w:rPr>
          <w:rFonts w:ascii="Arial" w:hAnsi="Arial" w:cs="Arial"/>
        </w:rPr>
      </w:pPr>
      <w:r w:rsidRPr="00EB03C9">
        <w:rPr>
          <w:rFonts w:ascii="Arial" w:hAnsi="Arial" w:cs="Arial"/>
        </w:rPr>
        <w:t xml:space="preserve">Heritage, M. (2008). Learning progressions: Supporting instruction and formative assessment. Washington, DC: Council of Chief State School Officers. </w:t>
      </w:r>
    </w:p>
    <w:p w14:paraId="7817B698" w14:textId="77777777" w:rsidR="007A2014" w:rsidRPr="00EB03C9" w:rsidRDefault="007A2014" w:rsidP="00EB03C9">
      <w:pPr>
        <w:pStyle w:val="NormalWeb"/>
        <w:spacing w:line="360" w:lineRule="auto"/>
        <w:rPr>
          <w:rFonts w:ascii="Arial" w:hAnsi="Arial" w:cs="Arial"/>
        </w:rPr>
      </w:pPr>
    </w:p>
    <w:p w14:paraId="2A63DF2C" w14:textId="77777777" w:rsidR="007A2014" w:rsidRPr="00EB03C9" w:rsidRDefault="007A2014" w:rsidP="00EB03C9">
      <w:pPr>
        <w:spacing w:after="0" w:line="360" w:lineRule="auto"/>
        <w:rPr>
          <w:rFonts w:ascii="Arial" w:eastAsia="Times New Roman" w:hAnsi="Arial" w:cs="Arial"/>
          <w:color w:val="000000"/>
          <w:sz w:val="24"/>
          <w:szCs w:val="24"/>
          <w:lang w:eastAsia="en-GB"/>
        </w:rPr>
      </w:pPr>
    </w:p>
    <w:p w14:paraId="04F5D9B4" w14:textId="66AD8F47" w:rsidR="007A2014" w:rsidRPr="00EB03C9" w:rsidRDefault="007A2014" w:rsidP="00EB03C9">
      <w:pPr>
        <w:spacing w:after="0" w:line="360" w:lineRule="auto"/>
        <w:rPr>
          <w:rFonts w:ascii="Arial" w:eastAsia="Times New Roman" w:hAnsi="Arial" w:cs="Arial"/>
          <w:color w:val="000000"/>
          <w:sz w:val="24"/>
          <w:szCs w:val="24"/>
          <w:lang w:eastAsia="en-GB"/>
        </w:rPr>
      </w:pPr>
    </w:p>
    <w:p w14:paraId="0366C203" w14:textId="77777777" w:rsidR="007A2014" w:rsidRPr="00EB03C9" w:rsidRDefault="007A2014" w:rsidP="00EB03C9">
      <w:pPr>
        <w:pStyle w:val="NormalWeb"/>
        <w:spacing w:line="360" w:lineRule="auto"/>
        <w:rPr>
          <w:rFonts w:ascii="Arial" w:hAnsi="Arial" w:cs="Arial"/>
        </w:rPr>
      </w:pPr>
      <w:r w:rsidRPr="00EB03C9">
        <w:rPr>
          <w:rFonts w:ascii="Arial" w:hAnsi="Arial" w:cs="Arial"/>
        </w:rPr>
        <w:t xml:space="preserve">Heritage, M., Kim, J., Vendlinski, T. P., &amp; Herman, J. (2009). From evidence to action: A seamless process in formative assessment? Educational Measurement: Issues and Practice, 28(3), 24– 31. </w:t>
      </w:r>
    </w:p>
    <w:p w14:paraId="2B5E7C2C" w14:textId="77777777" w:rsidR="007A2014" w:rsidRPr="00EB03C9" w:rsidRDefault="007A2014" w:rsidP="00EB03C9">
      <w:pPr>
        <w:spacing w:after="0" w:line="360" w:lineRule="auto"/>
        <w:rPr>
          <w:rFonts w:ascii="Arial" w:eastAsia="Times New Roman" w:hAnsi="Arial" w:cs="Arial"/>
          <w:color w:val="000000"/>
          <w:sz w:val="24"/>
          <w:szCs w:val="24"/>
          <w:lang w:eastAsia="en-GB"/>
        </w:rPr>
      </w:pPr>
    </w:p>
    <w:p w14:paraId="57AABA0F" w14:textId="4BB0A8E4" w:rsidR="006608F5" w:rsidRPr="00EB03C9" w:rsidRDefault="006608F5" w:rsidP="00EB03C9">
      <w:pPr>
        <w:spacing w:after="0" w:line="360" w:lineRule="auto"/>
        <w:rPr>
          <w:rFonts w:ascii="Arial" w:eastAsia="Times New Roman" w:hAnsi="Arial" w:cs="Arial"/>
          <w:color w:val="000000"/>
          <w:sz w:val="24"/>
          <w:szCs w:val="24"/>
          <w:lang w:eastAsia="en-GB"/>
        </w:rPr>
      </w:pPr>
    </w:p>
    <w:p w14:paraId="7BC748E4" w14:textId="6854ABE6" w:rsidR="006608F5" w:rsidRPr="00EB03C9" w:rsidRDefault="006608F5" w:rsidP="00EB03C9">
      <w:pPr>
        <w:spacing w:after="0" w:line="360" w:lineRule="auto"/>
        <w:rPr>
          <w:rFonts w:ascii="Arial" w:eastAsia="Times New Roman" w:hAnsi="Arial" w:cs="Arial"/>
          <w:color w:val="000000"/>
          <w:sz w:val="24"/>
          <w:szCs w:val="24"/>
          <w:lang w:eastAsia="en-GB"/>
        </w:rPr>
      </w:pPr>
      <w:r w:rsidRPr="006608F5">
        <w:rPr>
          <w:rFonts w:ascii="Arial" w:eastAsia="Times New Roman" w:hAnsi="Arial" w:cs="Arial"/>
          <w:color w:val="000000"/>
          <w:sz w:val="24"/>
          <w:szCs w:val="24"/>
          <w:lang w:eastAsia="en-GB"/>
        </w:rPr>
        <w:t>Sadler, D. R. (1989). Formative assessment and the  design  of  instructional  strategies</w:t>
      </w:r>
      <w:r w:rsidRPr="006608F5">
        <w:rPr>
          <w:rFonts w:ascii="Arial" w:eastAsia="Times New Roman" w:hAnsi="Arial" w:cs="Arial"/>
          <w:color w:val="000000"/>
          <w:spacing w:val="9"/>
          <w:sz w:val="24"/>
          <w:szCs w:val="24"/>
          <w:lang w:eastAsia="en-GB"/>
        </w:rPr>
        <w:t xml:space="preserve">. </w:t>
      </w:r>
      <w:r w:rsidRPr="006608F5">
        <w:rPr>
          <w:rFonts w:ascii="Arial" w:eastAsia="Times New Roman" w:hAnsi="Arial" w:cs="Arial"/>
          <w:color w:val="000000"/>
          <w:sz w:val="24"/>
          <w:szCs w:val="24"/>
          <w:lang w:eastAsia="en-GB"/>
        </w:rPr>
        <w:t xml:space="preserve">Instructional Science, 18, </w:t>
      </w:r>
      <w:r w:rsidRPr="006608F5">
        <w:rPr>
          <w:rFonts w:ascii="Arial" w:eastAsia="Times New Roman" w:hAnsi="Arial" w:cs="Arial"/>
          <w:color w:val="000000"/>
          <w:spacing w:val="4"/>
          <w:sz w:val="24"/>
          <w:szCs w:val="24"/>
          <w:lang w:eastAsia="en-GB"/>
        </w:rPr>
        <w:t>119</w:t>
      </w:r>
      <w:r w:rsidRPr="006608F5">
        <w:rPr>
          <w:rFonts w:ascii="Arial" w:eastAsia="Times New Roman" w:hAnsi="Arial" w:cs="Arial"/>
          <w:color w:val="000000"/>
          <w:sz w:val="24"/>
          <w:szCs w:val="24"/>
          <w:lang w:eastAsia="en-GB"/>
        </w:rPr>
        <w:t>-</w:t>
      </w:r>
      <w:r w:rsidRPr="006608F5">
        <w:rPr>
          <w:rFonts w:ascii="Arial" w:eastAsia="Times New Roman" w:hAnsi="Arial" w:cs="Arial"/>
          <w:color w:val="000000"/>
          <w:spacing w:val="4"/>
          <w:sz w:val="24"/>
          <w:szCs w:val="24"/>
          <w:lang w:eastAsia="en-GB"/>
        </w:rPr>
        <w:t>144.</w:t>
      </w:r>
      <w:r w:rsidRPr="006608F5">
        <w:rPr>
          <w:rFonts w:ascii="Arial" w:eastAsia="Times New Roman" w:hAnsi="Arial" w:cs="Arial"/>
          <w:color w:val="000000"/>
          <w:sz w:val="24"/>
          <w:szCs w:val="24"/>
          <w:lang w:eastAsia="en-GB"/>
        </w:rPr>
        <w:t xml:space="preserve"> </w:t>
      </w:r>
    </w:p>
    <w:p w14:paraId="13539483" w14:textId="08752608" w:rsidR="007A2014" w:rsidRPr="00EB03C9" w:rsidRDefault="007A2014" w:rsidP="00EB03C9">
      <w:pPr>
        <w:spacing w:after="0" w:line="360" w:lineRule="auto"/>
        <w:rPr>
          <w:rFonts w:ascii="Arial" w:eastAsia="Times New Roman" w:hAnsi="Arial" w:cs="Arial"/>
          <w:color w:val="000000"/>
          <w:sz w:val="24"/>
          <w:szCs w:val="24"/>
          <w:lang w:eastAsia="en-GB"/>
        </w:rPr>
      </w:pPr>
    </w:p>
    <w:p w14:paraId="6664B09A" w14:textId="77777777" w:rsidR="007A2014" w:rsidRPr="00EB03C9" w:rsidRDefault="007A2014" w:rsidP="00EB03C9">
      <w:pPr>
        <w:pStyle w:val="NormalWeb"/>
        <w:spacing w:line="360" w:lineRule="auto"/>
        <w:rPr>
          <w:rFonts w:ascii="Arial" w:hAnsi="Arial" w:cs="Arial"/>
        </w:rPr>
      </w:pPr>
      <w:r w:rsidRPr="00EB03C9">
        <w:rPr>
          <w:rFonts w:ascii="Arial" w:hAnsi="Arial" w:cs="Arial"/>
        </w:rPr>
        <w:t xml:space="preserve">Shavelson, R. J. (2006). On the integration of formative assessment in teaching and learning with implications for teacher education. Paper prepared for the Stanford Education Assessment Laboratory and the University of Hawaii Curriculum Research and Development Group. Available at www.stanford.edu/dept/SUSE/SEAL </w:t>
      </w:r>
    </w:p>
    <w:p w14:paraId="1140BC7A" w14:textId="77777777" w:rsidR="007A2014" w:rsidRPr="006608F5" w:rsidRDefault="007A2014" w:rsidP="00EB03C9">
      <w:pPr>
        <w:spacing w:after="0" w:line="360" w:lineRule="auto"/>
        <w:rPr>
          <w:rFonts w:ascii="Arial" w:eastAsia="Times New Roman" w:hAnsi="Arial" w:cs="Arial"/>
          <w:color w:val="000000"/>
          <w:sz w:val="24"/>
          <w:szCs w:val="24"/>
          <w:lang w:eastAsia="en-GB"/>
        </w:rPr>
      </w:pPr>
    </w:p>
    <w:p w14:paraId="534C0BB1" w14:textId="77777777" w:rsidR="006608F5" w:rsidRPr="00EB03C9" w:rsidRDefault="006608F5" w:rsidP="00EB03C9">
      <w:pPr>
        <w:spacing w:after="0" w:line="360" w:lineRule="auto"/>
        <w:rPr>
          <w:rFonts w:ascii="Arial" w:eastAsia="Times New Roman" w:hAnsi="Arial" w:cs="Arial"/>
          <w:color w:val="000000"/>
          <w:sz w:val="24"/>
          <w:szCs w:val="24"/>
          <w:lang w:eastAsia="en-GB"/>
        </w:rPr>
      </w:pPr>
    </w:p>
    <w:p w14:paraId="5B8D62FD" w14:textId="0CF78850" w:rsidR="006608F5" w:rsidRPr="00EB03C9" w:rsidRDefault="006608F5" w:rsidP="00EB03C9">
      <w:pPr>
        <w:spacing w:after="0" w:line="360" w:lineRule="auto"/>
        <w:rPr>
          <w:rFonts w:ascii="Arial" w:eastAsia="Times New Roman" w:hAnsi="Arial" w:cs="Arial"/>
          <w:color w:val="000000"/>
          <w:sz w:val="24"/>
          <w:szCs w:val="24"/>
          <w:lang w:eastAsia="en-GB"/>
        </w:rPr>
      </w:pPr>
      <w:r w:rsidRPr="006608F5">
        <w:rPr>
          <w:rFonts w:ascii="Arial" w:eastAsia="Times New Roman" w:hAnsi="Arial" w:cs="Arial"/>
          <w:color w:val="000000"/>
          <w:sz w:val="24"/>
          <w:szCs w:val="24"/>
          <w:lang w:eastAsia="en-GB"/>
        </w:rPr>
        <w:t>Stiggins,  R.  J.  (2002).  Assessment  crisis:  The absence  of  assessment for  learning.  Phi Delta</w:t>
      </w:r>
      <w:r w:rsidRPr="00EB03C9">
        <w:rPr>
          <w:rFonts w:ascii="Arial" w:eastAsia="Times New Roman" w:hAnsi="Arial" w:cs="Arial"/>
          <w:color w:val="000000"/>
          <w:sz w:val="24"/>
          <w:szCs w:val="24"/>
          <w:lang w:eastAsia="en-GB"/>
        </w:rPr>
        <w:t xml:space="preserve"> </w:t>
      </w:r>
      <w:r w:rsidRPr="006608F5">
        <w:rPr>
          <w:rFonts w:ascii="Arial" w:eastAsia="Times New Roman" w:hAnsi="Arial" w:cs="Arial"/>
          <w:color w:val="000000"/>
          <w:spacing w:val="3"/>
          <w:sz w:val="24"/>
          <w:szCs w:val="24"/>
          <w:lang w:eastAsia="en-GB"/>
        </w:rPr>
        <w:t>Kappan, 83</w:t>
      </w:r>
      <w:r w:rsidRPr="006608F5">
        <w:rPr>
          <w:rFonts w:ascii="Arial" w:eastAsia="Times New Roman" w:hAnsi="Arial" w:cs="Arial"/>
          <w:color w:val="000000"/>
          <w:sz w:val="24"/>
          <w:szCs w:val="24"/>
          <w:lang w:eastAsia="en-GB"/>
        </w:rPr>
        <w:t>(10)</w:t>
      </w:r>
      <w:r w:rsidRPr="006608F5">
        <w:rPr>
          <w:rFonts w:ascii="Arial" w:eastAsia="Times New Roman" w:hAnsi="Arial" w:cs="Arial"/>
          <w:color w:val="000000"/>
          <w:spacing w:val="-5"/>
          <w:sz w:val="24"/>
          <w:szCs w:val="24"/>
          <w:lang w:eastAsia="en-GB"/>
        </w:rPr>
        <w:t xml:space="preserve">, </w:t>
      </w:r>
      <w:r w:rsidRPr="006608F5">
        <w:rPr>
          <w:rFonts w:ascii="Arial" w:eastAsia="Times New Roman" w:hAnsi="Arial" w:cs="Arial"/>
          <w:color w:val="000000"/>
          <w:sz w:val="24"/>
          <w:szCs w:val="24"/>
          <w:lang w:eastAsia="en-GB"/>
        </w:rPr>
        <w:t xml:space="preserve">758-765.  </w:t>
      </w:r>
    </w:p>
    <w:p w14:paraId="0F352A86" w14:textId="05AD18C5" w:rsidR="00EB03C9" w:rsidRPr="00EB03C9" w:rsidRDefault="00EB03C9" w:rsidP="00EB03C9">
      <w:pPr>
        <w:spacing w:after="0" w:line="360" w:lineRule="auto"/>
        <w:rPr>
          <w:rFonts w:ascii="Arial" w:eastAsia="Times New Roman" w:hAnsi="Arial" w:cs="Arial"/>
          <w:color w:val="000000"/>
          <w:sz w:val="24"/>
          <w:szCs w:val="24"/>
          <w:lang w:eastAsia="en-GB"/>
        </w:rPr>
      </w:pPr>
    </w:p>
    <w:p w14:paraId="4D472FAF" w14:textId="77777777" w:rsidR="00EB03C9" w:rsidRPr="00EB03C9" w:rsidRDefault="00EB03C9" w:rsidP="00EB03C9">
      <w:pPr>
        <w:pStyle w:val="NormalWeb"/>
        <w:spacing w:line="360" w:lineRule="auto"/>
        <w:rPr>
          <w:rFonts w:ascii="Arial" w:hAnsi="Arial" w:cs="Arial"/>
        </w:rPr>
      </w:pPr>
      <w:r w:rsidRPr="00EB03C9">
        <w:rPr>
          <w:rFonts w:ascii="Arial" w:hAnsi="Arial" w:cs="Arial"/>
        </w:rPr>
        <w:t xml:space="preserve">Vygotsky, L. (1978). Mind in society. Cambridge, MA: Harvard University Press. </w:t>
      </w:r>
    </w:p>
    <w:p w14:paraId="11839900" w14:textId="39664AB0" w:rsidR="00EB03C9" w:rsidRPr="00EB03C9" w:rsidRDefault="00EB03C9" w:rsidP="00EB03C9">
      <w:pPr>
        <w:pStyle w:val="NormalWeb"/>
        <w:spacing w:line="360" w:lineRule="auto"/>
        <w:rPr>
          <w:rFonts w:ascii="Arial" w:hAnsi="Arial" w:cs="Arial"/>
        </w:rPr>
      </w:pPr>
      <w:r w:rsidRPr="00EB03C9">
        <w:rPr>
          <w:rFonts w:ascii="Arial" w:hAnsi="Arial" w:cs="Arial"/>
        </w:rPr>
        <w:t xml:space="preserve">Vygotsky, L. (1986). Thought and language. Cambridge, MA: Harvard University Press. </w:t>
      </w:r>
    </w:p>
    <w:p w14:paraId="486FEDB1" w14:textId="281E3460" w:rsidR="00EB03C9" w:rsidRPr="00EB03C9" w:rsidRDefault="00EB03C9" w:rsidP="00EB03C9">
      <w:pPr>
        <w:pStyle w:val="NormalWeb"/>
        <w:spacing w:line="360" w:lineRule="auto"/>
        <w:rPr>
          <w:rFonts w:ascii="Arial" w:hAnsi="Arial" w:cs="Arial"/>
          <w:color w:val="000000" w:themeColor="text1"/>
        </w:rPr>
      </w:pPr>
      <w:r w:rsidRPr="00EB03C9">
        <w:rPr>
          <w:rFonts w:ascii="Arial" w:hAnsi="Arial" w:cs="Arial"/>
        </w:rPr>
        <w:t xml:space="preserve">Welsh Government. (2020) </w:t>
      </w:r>
      <w:r w:rsidRPr="00EB03C9">
        <w:rPr>
          <w:rFonts w:ascii="Arial" w:hAnsi="Arial" w:cs="Arial"/>
          <w:color w:val="000000" w:themeColor="text1"/>
        </w:rPr>
        <w:t>WELSH GOVERNMENT INTEGRATED IMPACT ASSESSMENT CURRICULUM FOR WALES GUIDANCE</w:t>
      </w:r>
      <w:r w:rsidRPr="00EB03C9">
        <w:rPr>
          <w:rFonts w:ascii="Arial" w:hAnsi="Arial" w:cs="Arial"/>
          <w:color w:val="000000" w:themeColor="text1"/>
        </w:rPr>
        <w:t xml:space="preserve">. Available at: </w:t>
      </w:r>
      <w:hyperlink r:id="rId5" w:history="1">
        <w:r w:rsidRPr="00EB03C9">
          <w:rPr>
            <w:rStyle w:val="Hyperlink"/>
            <w:rFonts w:ascii="Arial" w:hAnsi="Arial" w:cs="Arial"/>
          </w:rPr>
          <w:t>https://gov.wales/sites/default/files/consultations/2020-01/welsh-government-integrated-impact-assessment.pdf</w:t>
        </w:r>
      </w:hyperlink>
      <w:r w:rsidRPr="00EB03C9">
        <w:rPr>
          <w:rFonts w:ascii="Arial" w:hAnsi="Arial" w:cs="Arial"/>
          <w:color w:val="000000" w:themeColor="text1"/>
        </w:rPr>
        <w:t xml:space="preserve"> </w:t>
      </w:r>
      <w:r w:rsidRPr="00EB03C9">
        <w:rPr>
          <w:rFonts w:ascii="Arial" w:hAnsi="Arial" w:cs="Arial"/>
          <w:color w:val="000000" w:themeColor="text1"/>
        </w:rPr>
        <w:t xml:space="preserve"> </w:t>
      </w:r>
    </w:p>
    <w:p w14:paraId="109976CD" w14:textId="08FE7DDD" w:rsidR="00EB03C9" w:rsidRPr="00EB03C9" w:rsidRDefault="00EB03C9" w:rsidP="00EB03C9">
      <w:pPr>
        <w:pStyle w:val="NormalWeb"/>
        <w:spacing w:line="360" w:lineRule="auto"/>
        <w:rPr>
          <w:rFonts w:ascii="Arial" w:hAnsi="Arial" w:cs="Arial"/>
        </w:rPr>
      </w:pPr>
    </w:p>
    <w:p w14:paraId="7A04B948" w14:textId="3EFD2BBC" w:rsidR="00EB03C9" w:rsidRPr="00EB03C9" w:rsidRDefault="00EB03C9" w:rsidP="00EB03C9">
      <w:pPr>
        <w:pStyle w:val="NormalWeb"/>
        <w:spacing w:line="360" w:lineRule="auto"/>
        <w:rPr>
          <w:rFonts w:ascii="Arial" w:hAnsi="Arial" w:cs="Arial"/>
        </w:rPr>
      </w:pPr>
      <w:r w:rsidRPr="00EB03C9">
        <w:rPr>
          <w:rFonts w:ascii="Arial" w:hAnsi="Arial" w:cs="Arial"/>
        </w:rPr>
        <w:lastRenderedPageBreak/>
        <w:t xml:space="preserve">Wiggins, G., &amp; McTighe, J. (2000). Understanding by design. New York: Prentice Hall. </w:t>
      </w:r>
    </w:p>
    <w:p w14:paraId="5C9BF8FC" w14:textId="77777777" w:rsidR="00EB03C9" w:rsidRPr="00EB03C9" w:rsidRDefault="00EB03C9" w:rsidP="00EB03C9">
      <w:pPr>
        <w:spacing w:after="0" w:line="360" w:lineRule="auto"/>
        <w:rPr>
          <w:rFonts w:ascii="Arial" w:eastAsia="Times New Roman" w:hAnsi="Arial" w:cs="Arial"/>
          <w:color w:val="000000"/>
          <w:sz w:val="24"/>
          <w:szCs w:val="24"/>
          <w:lang w:eastAsia="en-GB"/>
        </w:rPr>
      </w:pPr>
    </w:p>
    <w:p w14:paraId="7CC31496" w14:textId="14C50D96" w:rsidR="00326E29" w:rsidRPr="00EB03C9" w:rsidRDefault="00326E29" w:rsidP="00EB03C9">
      <w:pPr>
        <w:pStyle w:val="NormalWeb"/>
        <w:spacing w:line="360" w:lineRule="auto"/>
        <w:rPr>
          <w:rFonts w:ascii="Arial" w:hAnsi="Arial" w:cs="Arial"/>
        </w:rPr>
      </w:pPr>
      <w:r w:rsidRPr="00EB03C9">
        <w:rPr>
          <w:rFonts w:ascii="Arial" w:hAnsi="Arial" w:cs="Arial"/>
        </w:rPr>
        <w:t xml:space="preserve">Wiliam, D. (2006). Formative assessment: Getting the focus right. Educational Assessment, 11(3 &amp; 4), 283–289. </w:t>
      </w:r>
    </w:p>
    <w:p w14:paraId="74CB15BE" w14:textId="77777777" w:rsidR="00EB03C9" w:rsidRPr="00EB03C9" w:rsidRDefault="00EB03C9" w:rsidP="00EB03C9">
      <w:pPr>
        <w:pStyle w:val="NormalWeb"/>
        <w:spacing w:line="360" w:lineRule="auto"/>
        <w:rPr>
          <w:rFonts w:ascii="Arial" w:hAnsi="Arial" w:cs="Arial"/>
        </w:rPr>
      </w:pPr>
      <w:r w:rsidRPr="00EB03C9">
        <w:rPr>
          <w:rFonts w:ascii="Arial" w:hAnsi="Arial" w:cs="Arial"/>
        </w:rPr>
        <w:t xml:space="preserve">Wiliam, D., &amp; Thompson, M. (2007). Integrating assessment with instruction: What will it take to make it work? In C. A. Dwyer (Ed.), The future of assessment: Shaping teaching and learning (pp. 53–82). Mahwah, NJ: Erlbaum. </w:t>
      </w:r>
    </w:p>
    <w:p w14:paraId="1704EEFA" w14:textId="77777777" w:rsidR="00326E29" w:rsidRPr="006608F5" w:rsidRDefault="00326E29" w:rsidP="00D30946">
      <w:pPr>
        <w:spacing w:after="0" w:line="360" w:lineRule="auto"/>
        <w:rPr>
          <w:rFonts w:ascii="Arial" w:eastAsia="Times New Roman" w:hAnsi="Arial" w:cs="Arial"/>
          <w:color w:val="000000"/>
          <w:sz w:val="24"/>
          <w:szCs w:val="24"/>
          <w:lang w:eastAsia="en-GB"/>
        </w:rPr>
      </w:pPr>
    </w:p>
    <w:p w14:paraId="2CD708D9" w14:textId="77777777" w:rsidR="006608F5" w:rsidRPr="006608F5" w:rsidRDefault="006608F5" w:rsidP="006608F5">
      <w:pPr>
        <w:spacing w:after="0" w:line="240" w:lineRule="auto"/>
        <w:rPr>
          <w:rFonts w:ascii="Arial" w:eastAsia="Times New Roman" w:hAnsi="Arial" w:cs="Arial"/>
          <w:color w:val="000000"/>
          <w:sz w:val="24"/>
          <w:szCs w:val="24"/>
          <w:lang w:eastAsia="en-GB"/>
        </w:rPr>
      </w:pPr>
    </w:p>
    <w:p w14:paraId="3E57EE2D" w14:textId="77777777" w:rsidR="006608F5" w:rsidRPr="006608F5" w:rsidRDefault="006608F5" w:rsidP="006608F5">
      <w:pPr>
        <w:spacing w:after="0" w:line="240" w:lineRule="auto"/>
        <w:rPr>
          <w:rFonts w:ascii="Arial" w:eastAsia="Times New Roman" w:hAnsi="Arial" w:cs="Arial"/>
          <w:color w:val="000000"/>
          <w:sz w:val="24"/>
          <w:szCs w:val="24"/>
          <w:lang w:eastAsia="en-GB"/>
        </w:rPr>
      </w:pPr>
    </w:p>
    <w:p w14:paraId="3801C06B" w14:textId="4F878934" w:rsidR="1AAF0346" w:rsidRPr="006608F5" w:rsidRDefault="1AAF0346" w:rsidP="1AAF0346">
      <w:pPr>
        <w:rPr>
          <w:rFonts w:ascii="Arial" w:hAnsi="Arial" w:cs="Arial"/>
          <w:sz w:val="24"/>
          <w:szCs w:val="24"/>
        </w:rPr>
      </w:pPr>
    </w:p>
    <w:sectPr w:rsidR="1AAF0346" w:rsidRPr="006608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380E0D"/>
    <w:multiLevelType w:val="hybridMultilevel"/>
    <w:tmpl w:val="80469DA4"/>
    <w:lvl w:ilvl="0" w:tplc="47947320">
      <w:start w:val="1"/>
      <w:numFmt w:val="bullet"/>
      <w:lvlText w:val=""/>
      <w:lvlJc w:val="left"/>
      <w:pPr>
        <w:ind w:left="720" w:hanging="360"/>
      </w:pPr>
      <w:rPr>
        <w:rFonts w:ascii="Symbol" w:hAnsi="Symbol" w:hint="default"/>
      </w:rPr>
    </w:lvl>
    <w:lvl w:ilvl="1" w:tplc="EFCC2832">
      <w:start w:val="1"/>
      <w:numFmt w:val="bullet"/>
      <w:lvlText w:val="o"/>
      <w:lvlJc w:val="left"/>
      <w:pPr>
        <w:ind w:left="1440" w:hanging="360"/>
      </w:pPr>
      <w:rPr>
        <w:rFonts w:ascii="Courier New" w:hAnsi="Courier New" w:hint="default"/>
      </w:rPr>
    </w:lvl>
    <w:lvl w:ilvl="2" w:tplc="881C410E">
      <w:start w:val="1"/>
      <w:numFmt w:val="bullet"/>
      <w:lvlText w:val=""/>
      <w:lvlJc w:val="left"/>
      <w:pPr>
        <w:ind w:left="2160" w:hanging="360"/>
      </w:pPr>
      <w:rPr>
        <w:rFonts w:ascii="Wingdings" w:hAnsi="Wingdings" w:hint="default"/>
      </w:rPr>
    </w:lvl>
    <w:lvl w:ilvl="3" w:tplc="41968EAC">
      <w:start w:val="1"/>
      <w:numFmt w:val="bullet"/>
      <w:lvlText w:val=""/>
      <w:lvlJc w:val="left"/>
      <w:pPr>
        <w:ind w:left="2880" w:hanging="360"/>
      </w:pPr>
      <w:rPr>
        <w:rFonts w:ascii="Symbol" w:hAnsi="Symbol" w:hint="default"/>
      </w:rPr>
    </w:lvl>
    <w:lvl w:ilvl="4" w:tplc="E2AC94CC">
      <w:start w:val="1"/>
      <w:numFmt w:val="bullet"/>
      <w:lvlText w:val="o"/>
      <w:lvlJc w:val="left"/>
      <w:pPr>
        <w:ind w:left="3600" w:hanging="360"/>
      </w:pPr>
      <w:rPr>
        <w:rFonts w:ascii="Courier New" w:hAnsi="Courier New" w:hint="default"/>
      </w:rPr>
    </w:lvl>
    <w:lvl w:ilvl="5" w:tplc="E042E4F8">
      <w:start w:val="1"/>
      <w:numFmt w:val="bullet"/>
      <w:lvlText w:val=""/>
      <w:lvlJc w:val="left"/>
      <w:pPr>
        <w:ind w:left="4320" w:hanging="360"/>
      </w:pPr>
      <w:rPr>
        <w:rFonts w:ascii="Wingdings" w:hAnsi="Wingdings" w:hint="default"/>
      </w:rPr>
    </w:lvl>
    <w:lvl w:ilvl="6" w:tplc="7D209360">
      <w:start w:val="1"/>
      <w:numFmt w:val="bullet"/>
      <w:lvlText w:val=""/>
      <w:lvlJc w:val="left"/>
      <w:pPr>
        <w:ind w:left="5040" w:hanging="360"/>
      </w:pPr>
      <w:rPr>
        <w:rFonts w:ascii="Symbol" w:hAnsi="Symbol" w:hint="default"/>
      </w:rPr>
    </w:lvl>
    <w:lvl w:ilvl="7" w:tplc="4F2EF270">
      <w:start w:val="1"/>
      <w:numFmt w:val="bullet"/>
      <w:lvlText w:val="o"/>
      <w:lvlJc w:val="left"/>
      <w:pPr>
        <w:ind w:left="5760" w:hanging="360"/>
      </w:pPr>
      <w:rPr>
        <w:rFonts w:ascii="Courier New" w:hAnsi="Courier New" w:hint="default"/>
      </w:rPr>
    </w:lvl>
    <w:lvl w:ilvl="8" w:tplc="4A7A9610">
      <w:start w:val="1"/>
      <w:numFmt w:val="bullet"/>
      <w:lvlText w:val=""/>
      <w:lvlJc w:val="left"/>
      <w:pPr>
        <w:ind w:left="6480" w:hanging="360"/>
      </w:pPr>
      <w:rPr>
        <w:rFonts w:ascii="Wingdings" w:hAnsi="Wingdings" w:hint="default"/>
      </w:rPr>
    </w:lvl>
  </w:abstractNum>
  <w:abstractNum w:abstractNumId="1" w15:restartNumberingAfterBreak="0">
    <w:nsid w:val="52CE0202"/>
    <w:multiLevelType w:val="hybridMultilevel"/>
    <w:tmpl w:val="42EE013A"/>
    <w:lvl w:ilvl="0" w:tplc="512A44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6746939"/>
    <w:multiLevelType w:val="hybridMultilevel"/>
    <w:tmpl w:val="142089AE"/>
    <w:lvl w:ilvl="0" w:tplc="7FC66CD6">
      <w:start w:val="1"/>
      <w:numFmt w:val="decimal"/>
      <w:lvlText w:val="%1."/>
      <w:lvlJc w:val="left"/>
      <w:pPr>
        <w:ind w:left="720" w:hanging="360"/>
      </w:pPr>
    </w:lvl>
    <w:lvl w:ilvl="1" w:tplc="E578F1E8">
      <w:start w:val="1"/>
      <w:numFmt w:val="lowerLetter"/>
      <w:lvlText w:val="%2."/>
      <w:lvlJc w:val="left"/>
      <w:pPr>
        <w:ind w:left="1440" w:hanging="360"/>
      </w:pPr>
    </w:lvl>
    <w:lvl w:ilvl="2" w:tplc="0C00D7E2">
      <w:start w:val="1"/>
      <w:numFmt w:val="lowerRoman"/>
      <w:lvlText w:val="%3."/>
      <w:lvlJc w:val="right"/>
      <w:pPr>
        <w:ind w:left="2160" w:hanging="180"/>
      </w:pPr>
    </w:lvl>
    <w:lvl w:ilvl="3" w:tplc="90D84A4E">
      <w:start w:val="1"/>
      <w:numFmt w:val="decimal"/>
      <w:lvlText w:val="%4."/>
      <w:lvlJc w:val="left"/>
      <w:pPr>
        <w:ind w:left="2880" w:hanging="360"/>
      </w:pPr>
    </w:lvl>
    <w:lvl w:ilvl="4" w:tplc="121C4268">
      <w:start w:val="1"/>
      <w:numFmt w:val="lowerLetter"/>
      <w:lvlText w:val="%5."/>
      <w:lvlJc w:val="left"/>
      <w:pPr>
        <w:ind w:left="3600" w:hanging="360"/>
      </w:pPr>
    </w:lvl>
    <w:lvl w:ilvl="5" w:tplc="DCD8E53E">
      <w:start w:val="1"/>
      <w:numFmt w:val="lowerRoman"/>
      <w:lvlText w:val="%6."/>
      <w:lvlJc w:val="right"/>
      <w:pPr>
        <w:ind w:left="4320" w:hanging="180"/>
      </w:pPr>
    </w:lvl>
    <w:lvl w:ilvl="6" w:tplc="001A28C0">
      <w:start w:val="1"/>
      <w:numFmt w:val="decimal"/>
      <w:lvlText w:val="%7."/>
      <w:lvlJc w:val="left"/>
      <w:pPr>
        <w:ind w:left="5040" w:hanging="360"/>
      </w:pPr>
    </w:lvl>
    <w:lvl w:ilvl="7" w:tplc="B9069CD0">
      <w:start w:val="1"/>
      <w:numFmt w:val="lowerLetter"/>
      <w:lvlText w:val="%8."/>
      <w:lvlJc w:val="left"/>
      <w:pPr>
        <w:ind w:left="5760" w:hanging="360"/>
      </w:pPr>
    </w:lvl>
    <w:lvl w:ilvl="8" w:tplc="57EA411E">
      <w:start w:val="1"/>
      <w:numFmt w:val="lowerRoman"/>
      <w:lvlText w:val="%9."/>
      <w:lvlJc w:val="right"/>
      <w:pPr>
        <w:ind w:left="6480" w:hanging="180"/>
      </w:pPr>
    </w:lvl>
  </w:abstractNum>
  <w:abstractNum w:abstractNumId="3" w15:restartNumberingAfterBreak="0">
    <w:nsid w:val="6EA56C9B"/>
    <w:multiLevelType w:val="hybridMultilevel"/>
    <w:tmpl w:val="BAF02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8"/>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762C4B"/>
    <w:rsid w:val="000954E4"/>
    <w:rsid w:val="000D3923"/>
    <w:rsid w:val="00104583"/>
    <w:rsid w:val="00167B13"/>
    <w:rsid w:val="00171D8C"/>
    <w:rsid w:val="00181213"/>
    <w:rsid w:val="001A4646"/>
    <w:rsid w:val="001B5433"/>
    <w:rsid w:val="002170A5"/>
    <w:rsid w:val="00261E5F"/>
    <w:rsid w:val="00286DA7"/>
    <w:rsid w:val="00307A44"/>
    <w:rsid w:val="003115A7"/>
    <w:rsid w:val="00326E29"/>
    <w:rsid w:val="00341A0B"/>
    <w:rsid w:val="00364C2A"/>
    <w:rsid w:val="003E3487"/>
    <w:rsid w:val="003E5A16"/>
    <w:rsid w:val="003F1C4E"/>
    <w:rsid w:val="00426CB1"/>
    <w:rsid w:val="004606F2"/>
    <w:rsid w:val="004B3E25"/>
    <w:rsid w:val="004E2602"/>
    <w:rsid w:val="0050327E"/>
    <w:rsid w:val="00520DAA"/>
    <w:rsid w:val="005B5DBB"/>
    <w:rsid w:val="005E32DA"/>
    <w:rsid w:val="006527C8"/>
    <w:rsid w:val="006608F5"/>
    <w:rsid w:val="006A038F"/>
    <w:rsid w:val="006A0BC3"/>
    <w:rsid w:val="006C5BC6"/>
    <w:rsid w:val="006F3FDE"/>
    <w:rsid w:val="00726E7D"/>
    <w:rsid w:val="00744932"/>
    <w:rsid w:val="00754C7B"/>
    <w:rsid w:val="007A2014"/>
    <w:rsid w:val="007E27A9"/>
    <w:rsid w:val="00885F06"/>
    <w:rsid w:val="0094787A"/>
    <w:rsid w:val="009D17F3"/>
    <w:rsid w:val="009D22C7"/>
    <w:rsid w:val="00A3368E"/>
    <w:rsid w:val="00A91A69"/>
    <w:rsid w:val="00AD09D4"/>
    <w:rsid w:val="00B06411"/>
    <w:rsid w:val="00B24880"/>
    <w:rsid w:val="00C03541"/>
    <w:rsid w:val="00C116D8"/>
    <w:rsid w:val="00C54BFF"/>
    <w:rsid w:val="00C76753"/>
    <w:rsid w:val="00CA1226"/>
    <w:rsid w:val="00CB25E0"/>
    <w:rsid w:val="00CC63EF"/>
    <w:rsid w:val="00D30946"/>
    <w:rsid w:val="00D92F1D"/>
    <w:rsid w:val="00E22FD3"/>
    <w:rsid w:val="00E609F1"/>
    <w:rsid w:val="00E70FEF"/>
    <w:rsid w:val="00E95734"/>
    <w:rsid w:val="00EB03C9"/>
    <w:rsid w:val="00EE32F9"/>
    <w:rsid w:val="00EF0F94"/>
    <w:rsid w:val="00F0704F"/>
    <w:rsid w:val="00F102FE"/>
    <w:rsid w:val="00F3171D"/>
    <w:rsid w:val="00F56DD7"/>
    <w:rsid w:val="00F726F3"/>
    <w:rsid w:val="00F77169"/>
    <w:rsid w:val="00FB42C0"/>
    <w:rsid w:val="00FC4E0C"/>
    <w:rsid w:val="00FE787B"/>
    <w:rsid w:val="00FF7CA8"/>
    <w:rsid w:val="061B8379"/>
    <w:rsid w:val="1AAF0346"/>
    <w:rsid w:val="21631F13"/>
    <w:rsid w:val="2190669A"/>
    <w:rsid w:val="25EC628F"/>
    <w:rsid w:val="281D740C"/>
    <w:rsid w:val="31DE5295"/>
    <w:rsid w:val="3F87BE64"/>
    <w:rsid w:val="4A91FA25"/>
    <w:rsid w:val="4BC988AC"/>
    <w:rsid w:val="4C75F33B"/>
    <w:rsid w:val="5281FB57"/>
    <w:rsid w:val="5288128D"/>
    <w:rsid w:val="5467AAED"/>
    <w:rsid w:val="55BFB34F"/>
    <w:rsid w:val="575B83B0"/>
    <w:rsid w:val="5B8222A7"/>
    <w:rsid w:val="6413DCBC"/>
    <w:rsid w:val="64762C4B"/>
    <w:rsid w:val="7C476080"/>
    <w:rsid w:val="7ED99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4A9D8"/>
  <w15:chartTrackingRefBased/>
  <w15:docId w15:val="{6AF88C6E-4353-4FFD-AB3F-5CB72B71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0327E"/>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50327E"/>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A336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_"/>
    <w:basedOn w:val="DefaultParagraphFont"/>
    <w:rsid w:val="00C76753"/>
  </w:style>
  <w:style w:type="character" w:customStyle="1" w:styleId="ws5">
    <w:name w:val="ws5"/>
    <w:basedOn w:val="DefaultParagraphFont"/>
    <w:rsid w:val="006608F5"/>
  </w:style>
  <w:style w:type="character" w:customStyle="1" w:styleId="ff5">
    <w:name w:val="ff5"/>
    <w:basedOn w:val="DefaultParagraphFont"/>
    <w:rsid w:val="006608F5"/>
  </w:style>
  <w:style w:type="character" w:customStyle="1" w:styleId="ff1">
    <w:name w:val="ff1"/>
    <w:basedOn w:val="DefaultParagraphFont"/>
    <w:rsid w:val="006608F5"/>
  </w:style>
  <w:style w:type="character" w:customStyle="1" w:styleId="ls0">
    <w:name w:val="ls0"/>
    <w:basedOn w:val="DefaultParagraphFont"/>
    <w:rsid w:val="006608F5"/>
  </w:style>
  <w:style w:type="character" w:customStyle="1" w:styleId="lsc">
    <w:name w:val="lsc"/>
    <w:basedOn w:val="DefaultParagraphFont"/>
    <w:rsid w:val="006608F5"/>
  </w:style>
  <w:style w:type="character" w:customStyle="1" w:styleId="ws0">
    <w:name w:val="ws0"/>
    <w:basedOn w:val="DefaultParagraphFont"/>
    <w:rsid w:val="006608F5"/>
  </w:style>
  <w:style w:type="character" w:customStyle="1" w:styleId="normaltextrun">
    <w:name w:val="normaltextrun"/>
    <w:basedOn w:val="DefaultParagraphFont"/>
    <w:rsid w:val="00C116D8"/>
  </w:style>
  <w:style w:type="character" w:customStyle="1" w:styleId="eop">
    <w:name w:val="eop"/>
    <w:basedOn w:val="DefaultParagraphFont"/>
    <w:rsid w:val="00C116D8"/>
  </w:style>
  <w:style w:type="character" w:styleId="Hyperlink">
    <w:name w:val="Hyperlink"/>
    <w:basedOn w:val="DefaultParagraphFont"/>
    <w:uiPriority w:val="99"/>
    <w:unhideWhenUsed/>
    <w:rsid w:val="00EB03C9"/>
    <w:rPr>
      <w:color w:val="0563C1" w:themeColor="hyperlink"/>
      <w:u w:val="single"/>
    </w:rPr>
  </w:style>
  <w:style w:type="character" w:styleId="UnresolvedMention">
    <w:name w:val="Unresolved Mention"/>
    <w:basedOn w:val="DefaultParagraphFont"/>
    <w:uiPriority w:val="99"/>
    <w:semiHidden/>
    <w:unhideWhenUsed/>
    <w:rsid w:val="00EB03C9"/>
    <w:rPr>
      <w:color w:val="605E5C"/>
      <w:shd w:val="clear" w:color="auto" w:fill="E1DFDD"/>
    </w:rPr>
  </w:style>
  <w:style w:type="character" w:customStyle="1" w:styleId="Heading2Char">
    <w:name w:val="Heading 2 Char"/>
    <w:basedOn w:val="DefaultParagraphFont"/>
    <w:link w:val="Heading2"/>
    <w:uiPriority w:val="9"/>
    <w:rsid w:val="0050327E"/>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50327E"/>
    <w:rPr>
      <w:rFonts w:asciiTheme="majorHAnsi" w:eastAsiaTheme="majorEastAsia" w:hAnsiTheme="majorHAnsi" w:cstheme="majorBidi"/>
      <w:b/>
      <w:bCs/>
      <w:color w:val="1F3763" w:themeColor="accent1" w:themeShade="7F"/>
      <w:sz w:val="24"/>
      <w:szCs w:val="24"/>
    </w:rPr>
  </w:style>
  <w:style w:type="table" w:styleId="TableGrid">
    <w:name w:val="Table Grid"/>
    <w:basedOn w:val="TableNormal"/>
    <w:uiPriority w:val="39"/>
    <w:rsid w:val="00503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5600">
      <w:bodyDiv w:val="1"/>
      <w:marLeft w:val="0"/>
      <w:marRight w:val="0"/>
      <w:marTop w:val="0"/>
      <w:marBottom w:val="0"/>
      <w:divBdr>
        <w:top w:val="none" w:sz="0" w:space="0" w:color="auto"/>
        <w:left w:val="none" w:sz="0" w:space="0" w:color="auto"/>
        <w:bottom w:val="none" w:sz="0" w:space="0" w:color="auto"/>
        <w:right w:val="none" w:sz="0" w:space="0" w:color="auto"/>
      </w:divBdr>
      <w:divsChild>
        <w:div w:id="1344893406">
          <w:marLeft w:val="0"/>
          <w:marRight w:val="0"/>
          <w:marTop w:val="0"/>
          <w:marBottom w:val="0"/>
          <w:divBdr>
            <w:top w:val="none" w:sz="0" w:space="0" w:color="auto"/>
            <w:left w:val="none" w:sz="0" w:space="0" w:color="auto"/>
            <w:bottom w:val="none" w:sz="0" w:space="0" w:color="auto"/>
            <w:right w:val="none" w:sz="0" w:space="0" w:color="auto"/>
          </w:divBdr>
          <w:divsChild>
            <w:div w:id="1354771628">
              <w:marLeft w:val="0"/>
              <w:marRight w:val="0"/>
              <w:marTop w:val="0"/>
              <w:marBottom w:val="0"/>
              <w:divBdr>
                <w:top w:val="none" w:sz="0" w:space="0" w:color="auto"/>
                <w:left w:val="none" w:sz="0" w:space="0" w:color="auto"/>
                <w:bottom w:val="none" w:sz="0" w:space="0" w:color="auto"/>
                <w:right w:val="none" w:sz="0" w:space="0" w:color="auto"/>
              </w:divBdr>
              <w:divsChild>
                <w:div w:id="164970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65644">
      <w:bodyDiv w:val="1"/>
      <w:marLeft w:val="0"/>
      <w:marRight w:val="0"/>
      <w:marTop w:val="0"/>
      <w:marBottom w:val="0"/>
      <w:divBdr>
        <w:top w:val="none" w:sz="0" w:space="0" w:color="auto"/>
        <w:left w:val="none" w:sz="0" w:space="0" w:color="auto"/>
        <w:bottom w:val="none" w:sz="0" w:space="0" w:color="auto"/>
        <w:right w:val="none" w:sz="0" w:space="0" w:color="auto"/>
      </w:divBdr>
      <w:divsChild>
        <w:div w:id="1851946813">
          <w:marLeft w:val="0"/>
          <w:marRight w:val="0"/>
          <w:marTop w:val="0"/>
          <w:marBottom w:val="0"/>
          <w:divBdr>
            <w:top w:val="none" w:sz="0" w:space="0" w:color="auto"/>
            <w:left w:val="none" w:sz="0" w:space="0" w:color="auto"/>
            <w:bottom w:val="none" w:sz="0" w:space="0" w:color="auto"/>
            <w:right w:val="none" w:sz="0" w:space="0" w:color="auto"/>
          </w:divBdr>
          <w:divsChild>
            <w:div w:id="418647951">
              <w:marLeft w:val="0"/>
              <w:marRight w:val="0"/>
              <w:marTop w:val="0"/>
              <w:marBottom w:val="0"/>
              <w:divBdr>
                <w:top w:val="none" w:sz="0" w:space="0" w:color="auto"/>
                <w:left w:val="none" w:sz="0" w:space="0" w:color="auto"/>
                <w:bottom w:val="none" w:sz="0" w:space="0" w:color="auto"/>
                <w:right w:val="none" w:sz="0" w:space="0" w:color="auto"/>
              </w:divBdr>
              <w:divsChild>
                <w:div w:id="114053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23082">
      <w:bodyDiv w:val="1"/>
      <w:marLeft w:val="0"/>
      <w:marRight w:val="0"/>
      <w:marTop w:val="0"/>
      <w:marBottom w:val="0"/>
      <w:divBdr>
        <w:top w:val="none" w:sz="0" w:space="0" w:color="auto"/>
        <w:left w:val="none" w:sz="0" w:space="0" w:color="auto"/>
        <w:bottom w:val="none" w:sz="0" w:space="0" w:color="auto"/>
        <w:right w:val="none" w:sz="0" w:space="0" w:color="auto"/>
      </w:divBdr>
    </w:div>
    <w:div w:id="102263617">
      <w:bodyDiv w:val="1"/>
      <w:marLeft w:val="0"/>
      <w:marRight w:val="0"/>
      <w:marTop w:val="0"/>
      <w:marBottom w:val="0"/>
      <w:divBdr>
        <w:top w:val="none" w:sz="0" w:space="0" w:color="auto"/>
        <w:left w:val="none" w:sz="0" w:space="0" w:color="auto"/>
        <w:bottom w:val="none" w:sz="0" w:space="0" w:color="auto"/>
        <w:right w:val="none" w:sz="0" w:space="0" w:color="auto"/>
      </w:divBdr>
      <w:divsChild>
        <w:div w:id="922497248">
          <w:marLeft w:val="0"/>
          <w:marRight w:val="0"/>
          <w:marTop w:val="0"/>
          <w:marBottom w:val="0"/>
          <w:divBdr>
            <w:top w:val="none" w:sz="0" w:space="0" w:color="auto"/>
            <w:left w:val="none" w:sz="0" w:space="0" w:color="auto"/>
            <w:bottom w:val="none" w:sz="0" w:space="0" w:color="auto"/>
            <w:right w:val="none" w:sz="0" w:space="0" w:color="auto"/>
          </w:divBdr>
          <w:divsChild>
            <w:div w:id="1442527661">
              <w:marLeft w:val="0"/>
              <w:marRight w:val="0"/>
              <w:marTop w:val="0"/>
              <w:marBottom w:val="0"/>
              <w:divBdr>
                <w:top w:val="none" w:sz="0" w:space="0" w:color="auto"/>
                <w:left w:val="none" w:sz="0" w:space="0" w:color="auto"/>
                <w:bottom w:val="none" w:sz="0" w:space="0" w:color="auto"/>
                <w:right w:val="none" w:sz="0" w:space="0" w:color="auto"/>
              </w:divBdr>
              <w:divsChild>
                <w:div w:id="134416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8607">
      <w:bodyDiv w:val="1"/>
      <w:marLeft w:val="0"/>
      <w:marRight w:val="0"/>
      <w:marTop w:val="0"/>
      <w:marBottom w:val="0"/>
      <w:divBdr>
        <w:top w:val="none" w:sz="0" w:space="0" w:color="auto"/>
        <w:left w:val="none" w:sz="0" w:space="0" w:color="auto"/>
        <w:bottom w:val="none" w:sz="0" w:space="0" w:color="auto"/>
        <w:right w:val="none" w:sz="0" w:space="0" w:color="auto"/>
      </w:divBdr>
      <w:divsChild>
        <w:div w:id="106437287">
          <w:marLeft w:val="0"/>
          <w:marRight w:val="0"/>
          <w:marTop w:val="0"/>
          <w:marBottom w:val="0"/>
          <w:divBdr>
            <w:top w:val="none" w:sz="0" w:space="0" w:color="auto"/>
            <w:left w:val="none" w:sz="0" w:space="0" w:color="auto"/>
            <w:bottom w:val="none" w:sz="0" w:space="0" w:color="auto"/>
            <w:right w:val="none" w:sz="0" w:space="0" w:color="auto"/>
          </w:divBdr>
          <w:divsChild>
            <w:div w:id="1297182831">
              <w:marLeft w:val="0"/>
              <w:marRight w:val="0"/>
              <w:marTop w:val="0"/>
              <w:marBottom w:val="0"/>
              <w:divBdr>
                <w:top w:val="none" w:sz="0" w:space="0" w:color="auto"/>
                <w:left w:val="none" w:sz="0" w:space="0" w:color="auto"/>
                <w:bottom w:val="none" w:sz="0" w:space="0" w:color="auto"/>
                <w:right w:val="none" w:sz="0" w:space="0" w:color="auto"/>
              </w:divBdr>
              <w:divsChild>
                <w:div w:id="58827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576121">
      <w:bodyDiv w:val="1"/>
      <w:marLeft w:val="0"/>
      <w:marRight w:val="0"/>
      <w:marTop w:val="0"/>
      <w:marBottom w:val="0"/>
      <w:divBdr>
        <w:top w:val="none" w:sz="0" w:space="0" w:color="auto"/>
        <w:left w:val="none" w:sz="0" w:space="0" w:color="auto"/>
        <w:bottom w:val="none" w:sz="0" w:space="0" w:color="auto"/>
        <w:right w:val="none" w:sz="0" w:space="0" w:color="auto"/>
      </w:divBdr>
      <w:divsChild>
        <w:div w:id="252008484">
          <w:marLeft w:val="0"/>
          <w:marRight w:val="0"/>
          <w:marTop w:val="0"/>
          <w:marBottom w:val="0"/>
          <w:divBdr>
            <w:top w:val="none" w:sz="0" w:space="0" w:color="auto"/>
            <w:left w:val="none" w:sz="0" w:space="0" w:color="auto"/>
            <w:bottom w:val="none" w:sz="0" w:space="0" w:color="auto"/>
            <w:right w:val="none" w:sz="0" w:space="0" w:color="auto"/>
          </w:divBdr>
          <w:divsChild>
            <w:div w:id="1494877561">
              <w:marLeft w:val="0"/>
              <w:marRight w:val="0"/>
              <w:marTop w:val="0"/>
              <w:marBottom w:val="0"/>
              <w:divBdr>
                <w:top w:val="none" w:sz="0" w:space="0" w:color="auto"/>
                <w:left w:val="none" w:sz="0" w:space="0" w:color="auto"/>
                <w:bottom w:val="none" w:sz="0" w:space="0" w:color="auto"/>
                <w:right w:val="none" w:sz="0" w:space="0" w:color="auto"/>
              </w:divBdr>
              <w:divsChild>
                <w:div w:id="120613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005256">
      <w:bodyDiv w:val="1"/>
      <w:marLeft w:val="0"/>
      <w:marRight w:val="0"/>
      <w:marTop w:val="0"/>
      <w:marBottom w:val="0"/>
      <w:divBdr>
        <w:top w:val="none" w:sz="0" w:space="0" w:color="auto"/>
        <w:left w:val="none" w:sz="0" w:space="0" w:color="auto"/>
        <w:bottom w:val="none" w:sz="0" w:space="0" w:color="auto"/>
        <w:right w:val="none" w:sz="0" w:space="0" w:color="auto"/>
      </w:divBdr>
      <w:divsChild>
        <w:div w:id="2031253820">
          <w:marLeft w:val="0"/>
          <w:marRight w:val="0"/>
          <w:marTop w:val="0"/>
          <w:marBottom w:val="0"/>
          <w:divBdr>
            <w:top w:val="none" w:sz="0" w:space="0" w:color="auto"/>
            <w:left w:val="none" w:sz="0" w:space="0" w:color="auto"/>
            <w:bottom w:val="none" w:sz="0" w:space="0" w:color="auto"/>
            <w:right w:val="none" w:sz="0" w:space="0" w:color="auto"/>
          </w:divBdr>
          <w:divsChild>
            <w:div w:id="2030984809">
              <w:marLeft w:val="0"/>
              <w:marRight w:val="0"/>
              <w:marTop w:val="0"/>
              <w:marBottom w:val="0"/>
              <w:divBdr>
                <w:top w:val="none" w:sz="0" w:space="0" w:color="auto"/>
                <w:left w:val="none" w:sz="0" w:space="0" w:color="auto"/>
                <w:bottom w:val="none" w:sz="0" w:space="0" w:color="auto"/>
                <w:right w:val="none" w:sz="0" w:space="0" w:color="auto"/>
              </w:divBdr>
              <w:divsChild>
                <w:div w:id="972635650">
                  <w:marLeft w:val="0"/>
                  <w:marRight w:val="0"/>
                  <w:marTop w:val="0"/>
                  <w:marBottom w:val="0"/>
                  <w:divBdr>
                    <w:top w:val="none" w:sz="0" w:space="0" w:color="auto"/>
                    <w:left w:val="none" w:sz="0" w:space="0" w:color="auto"/>
                    <w:bottom w:val="none" w:sz="0" w:space="0" w:color="auto"/>
                    <w:right w:val="none" w:sz="0" w:space="0" w:color="auto"/>
                  </w:divBdr>
                  <w:divsChild>
                    <w:div w:id="89204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226399">
      <w:bodyDiv w:val="1"/>
      <w:marLeft w:val="0"/>
      <w:marRight w:val="0"/>
      <w:marTop w:val="0"/>
      <w:marBottom w:val="0"/>
      <w:divBdr>
        <w:top w:val="none" w:sz="0" w:space="0" w:color="auto"/>
        <w:left w:val="none" w:sz="0" w:space="0" w:color="auto"/>
        <w:bottom w:val="none" w:sz="0" w:space="0" w:color="auto"/>
        <w:right w:val="none" w:sz="0" w:space="0" w:color="auto"/>
      </w:divBdr>
      <w:divsChild>
        <w:div w:id="83695298">
          <w:marLeft w:val="0"/>
          <w:marRight w:val="0"/>
          <w:marTop w:val="0"/>
          <w:marBottom w:val="0"/>
          <w:divBdr>
            <w:top w:val="none" w:sz="0" w:space="0" w:color="auto"/>
            <w:left w:val="none" w:sz="0" w:space="0" w:color="auto"/>
            <w:bottom w:val="none" w:sz="0" w:space="0" w:color="auto"/>
            <w:right w:val="none" w:sz="0" w:space="0" w:color="auto"/>
          </w:divBdr>
          <w:divsChild>
            <w:div w:id="636182294">
              <w:marLeft w:val="0"/>
              <w:marRight w:val="0"/>
              <w:marTop w:val="0"/>
              <w:marBottom w:val="0"/>
              <w:divBdr>
                <w:top w:val="none" w:sz="0" w:space="0" w:color="auto"/>
                <w:left w:val="none" w:sz="0" w:space="0" w:color="auto"/>
                <w:bottom w:val="none" w:sz="0" w:space="0" w:color="auto"/>
                <w:right w:val="none" w:sz="0" w:space="0" w:color="auto"/>
              </w:divBdr>
              <w:divsChild>
                <w:div w:id="76986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146099">
      <w:bodyDiv w:val="1"/>
      <w:marLeft w:val="0"/>
      <w:marRight w:val="0"/>
      <w:marTop w:val="0"/>
      <w:marBottom w:val="0"/>
      <w:divBdr>
        <w:top w:val="none" w:sz="0" w:space="0" w:color="auto"/>
        <w:left w:val="none" w:sz="0" w:space="0" w:color="auto"/>
        <w:bottom w:val="none" w:sz="0" w:space="0" w:color="auto"/>
        <w:right w:val="none" w:sz="0" w:space="0" w:color="auto"/>
      </w:divBdr>
      <w:divsChild>
        <w:div w:id="815533885">
          <w:marLeft w:val="0"/>
          <w:marRight w:val="0"/>
          <w:marTop w:val="0"/>
          <w:marBottom w:val="0"/>
          <w:divBdr>
            <w:top w:val="none" w:sz="0" w:space="0" w:color="auto"/>
            <w:left w:val="none" w:sz="0" w:space="0" w:color="auto"/>
            <w:bottom w:val="none" w:sz="0" w:space="0" w:color="auto"/>
            <w:right w:val="none" w:sz="0" w:space="0" w:color="auto"/>
          </w:divBdr>
          <w:divsChild>
            <w:div w:id="1461260257">
              <w:marLeft w:val="0"/>
              <w:marRight w:val="0"/>
              <w:marTop w:val="0"/>
              <w:marBottom w:val="0"/>
              <w:divBdr>
                <w:top w:val="none" w:sz="0" w:space="0" w:color="auto"/>
                <w:left w:val="none" w:sz="0" w:space="0" w:color="auto"/>
                <w:bottom w:val="none" w:sz="0" w:space="0" w:color="auto"/>
                <w:right w:val="none" w:sz="0" w:space="0" w:color="auto"/>
              </w:divBdr>
              <w:divsChild>
                <w:div w:id="167669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62659">
      <w:bodyDiv w:val="1"/>
      <w:marLeft w:val="0"/>
      <w:marRight w:val="0"/>
      <w:marTop w:val="0"/>
      <w:marBottom w:val="0"/>
      <w:divBdr>
        <w:top w:val="none" w:sz="0" w:space="0" w:color="auto"/>
        <w:left w:val="none" w:sz="0" w:space="0" w:color="auto"/>
        <w:bottom w:val="none" w:sz="0" w:space="0" w:color="auto"/>
        <w:right w:val="none" w:sz="0" w:space="0" w:color="auto"/>
      </w:divBdr>
      <w:divsChild>
        <w:div w:id="1421559123">
          <w:marLeft w:val="0"/>
          <w:marRight w:val="0"/>
          <w:marTop w:val="0"/>
          <w:marBottom w:val="0"/>
          <w:divBdr>
            <w:top w:val="none" w:sz="0" w:space="0" w:color="auto"/>
            <w:left w:val="none" w:sz="0" w:space="0" w:color="auto"/>
            <w:bottom w:val="none" w:sz="0" w:space="0" w:color="auto"/>
            <w:right w:val="none" w:sz="0" w:space="0" w:color="auto"/>
          </w:divBdr>
          <w:divsChild>
            <w:div w:id="1125007126">
              <w:marLeft w:val="0"/>
              <w:marRight w:val="0"/>
              <w:marTop w:val="0"/>
              <w:marBottom w:val="0"/>
              <w:divBdr>
                <w:top w:val="none" w:sz="0" w:space="0" w:color="auto"/>
                <w:left w:val="none" w:sz="0" w:space="0" w:color="auto"/>
                <w:bottom w:val="none" w:sz="0" w:space="0" w:color="auto"/>
                <w:right w:val="none" w:sz="0" w:space="0" w:color="auto"/>
              </w:divBdr>
              <w:divsChild>
                <w:div w:id="1415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80737">
      <w:bodyDiv w:val="1"/>
      <w:marLeft w:val="0"/>
      <w:marRight w:val="0"/>
      <w:marTop w:val="0"/>
      <w:marBottom w:val="0"/>
      <w:divBdr>
        <w:top w:val="none" w:sz="0" w:space="0" w:color="auto"/>
        <w:left w:val="none" w:sz="0" w:space="0" w:color="auto"/>
        <w:bottom w:val="none" w:sz="0" w:space="0" w:color="auto"/>
        <w:right w:val="none" w:sz="0" w:space="0" w:color="auto"/>
      </w:divBdr>
    </w:div>
    <w:div w:id="580018703">
      <w:bodyDiv w:val="1"/>
      <w:marLeft w:val="0"/>
      <w:marRight w:val="0"/>
      <w:marTop w:val="0"/>
      <w:marBottom w:val="0"/>
      <w:divBdr>
        <w:top w:val="none" w:sz="0" w:space="0" w:color="auto"/>
        <w:left w:val="none" w:sz="0" w:space="0" w:color="auto"/>
        <w:bottom w:val="none" w:sz="0" w:space="0" w:color="auto"/>
        <w:right w:val="none" w:sz="0" w:space="0" w:color="auto"/>
      </w:divBdr>
      <w:divsChild>
        <w:div w:id="1436249670">
          <w:marLeft w:val="0"/>
          <w:marRight w:val="0"/>
          <w:marTop w:val="0"/>
          <w:marBottom w:val="0"/>
          <w:divBdr>
            <w:top w:val="none" w:sz="0" w:space="0" w:color="auto"/>
            <w:left w:val="none" w:sz="0" w:space="0" w:color="auto"/>
            <w:bottom w:val="none" w:sz="0" w:space="0" w:color="auto"/>
            <w:right w:val="none" w:sz="0" w:space="0" w:color="auto"/>
          </w:divBdr>
          <w:divsChild>
            <w:div w:id="1519544463">
              <w:marLeft w:val="0"/>
              <w:marRight w:val="0"/>
              <w:marTop w:val="0"/>
              <w:marBottom w:val="0"/>
              <w:divBdr>
                <w:top w:val="none" w:sz="0" w:space="0" w:color="auto"/>
                <w:left w:val="none" w:sz="0" w:space="0" w:color="auto"/>
                <w:bottom w:val="none" w:sz="0" w:space="0" w:color="auto"/>
                <w:right w:val="none" w:sz="0" w:space="0" w:color="auto"/>
              </w:divBdr>
              <w:divsChild>
                <w:div w:id="54749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927157">
      <w:bodyDiv w:val="1"/>
      <w:marLeft w:val="0"/>
      <w:marRight w:val="0"/>
      <w:marTop w:val="0"/>
      <w:marBottom w:val="0"/>
      <w:divBdr>
        <w:top w:val="none" w:sz="0" w:space="0" w:color="auto"/>
        <w:left w:val="none" w:sz="0" w:space="0" w:color="auto"/>
        <w:bottom w:val="none" w:sz="0" w:space="0" w:color="auto"/>
        <w:right w:val="none" w:sz="0" w:space="0" w:color="auto"/>
      </w:divBdr>
    </w:div>
    <w:div w:id="652375160">
      <w:bodyDiv w:val="1"/>
      <w:marLeft w:val="0"/>
      <w:marRight w:val="0"/>
      <w:marTop w:val="0"/>
      <w:marBottom w:val="0"/>
      <w:divBdr>
        <w:top w:val="none" w:sz="0" w:space="0" w:color="auto"/>
        <w:left w:val="none" w:sz="0" w:space="0" w:color="auto"/>
        <w:bottom w:val="none" w:sz="0" w:space="0" w:color="auto"/>
        <w:right w:val="none" w:sz="0" w:space="0" w:color="auto"/>
      </w:divBdr>
      <w:divsChild>
        <w:div w:id="780488687">
          <w:marLeft w:val="0"/>
          <w:marRight w:val="0"/>
          <w:marTop w:val="0"/>
          <w:marBottom w:val="0"/>
          <w:divBdr>
            <w:top w:val="none" w:sz="0" w:space="0" w:color="auto"/>
            <w:left w:val="none" w:sz="0" w:space="0" w:color="auto"/>
            <w:bottom w:val="none" w:sz="0" w:space="0" w:color="auto"/>
            <w:right w:val="none" w:sz="0" w:space="0" w:color="auto"/>
          </w:divBdr>
          <w:divsChild>
            <w:div w:id="2120176173">
              <w:marLeft w:val="0"/>
              <w:marRight w:val="0"/>
              <w:marTop w:val="0"/>
              <w:marBottom w:val="0"/>
              <w:divBdr>
                <w:top w:val="none" w:sz="0" w:space="0" w:color="auto"/>
                <w:left w:val="none" w:sz="0" w:space="0" w:color="auto"/>
                <w:bottom w:val="none" w:sz="0" w:space="0" w:color="auto"/>
                <w:right w:val="none" w:sz="0" w:space="0" w:color="auto"/>
              </w:divBdr>
              <w:divsChild>
                <w:div w:id="156487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854035">
      <w:bodyDiv w:val="1"/>
      <w:marLeft w:val="0"/>
      <w:marRight w:val="0"/>
      <w:marTop w:val="0"/>
      <w:marBottom w:val="0"/>
      <w:divBdr>
        <w:top w:val="none" w:sz="0" w:space="0" w:color="auto"/>
        <w:left w:val="none" w:sz="0" w:space="0" w:color="auto"/>
        <w:bottom w:val="none" w:sz="0" w:space="0" w:color="auto"/>
        <w:right w:val="none" w:sz="0" w:space="0" w:color="auto"/>
      </w:divBdr>
      <w:divsChild>
        <w:div w:id="925966189">
          <w:marLeft w:val="0"/>
          <w:marRight w:val="0"/>
          <w:marTop w:val="0"/>
          <w:marBottom w:val="0"/>
          <w:divBdr>
            <w:top w:val="none" w:sz="0" w:space="0" w:color="auto"/>
            <w:left w:val="none" w:sz="0" w:space="0" w:color="auto"/>
            <w:bottom w:val="none" w:sz="0" w:space="0" w:color="auto"/>
            <w:right w:val="none" w:sz="0" w:space="0" w:color="auto"/>
          </w:divBdr>
          <w:divsChild>
            <w:div w:id="699161671">
              <w:marLeft w:val="0"/>
              <w:marRight w:val="0"/>
              <w:marTop w:val="0"/>
              <w:marBottom w:val="0"/>
              <w:divBdr>
                <w:top w:val="none" w:sz="0" w:space="0" w:color="auto"/>
                <w:left w:val="none" w:sz="0" w:space="0" w:color="auto"/>
                <w:bottom w:val="none" w:sz="0" w:space="0" w:color="auto"/>
                <w:right w:val="none" w:sz="0" w:space="0" w:color="auto"/>
              </w:divBdr>
              <w:divsChild>
                <w:div w:id="78854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085624">
      <w:bodyDiv w:val="1"/>
      <w:marLeft w:val="0"/>
      <w:marRight w:val="0"/>
      <w:marTop w:val="0"/>
      <w:marBottom w:val="0"/>
      <w:divBdr>
        <w:top w:val="none" w:sz="0" w:space="0" w:color="auto"/>
        <w:left w:val="none" w:sz="0" w:space="0" w:color="auto"/>
        <w:bottom w:val="none" w:sz="0" w:space="0" w:color="auto"/>
        <w:right w:val="none" w:sz="0" w:space="0" w:color="auto"/>
      </w:divBdr>
    </w:div>
    <w:div w:id="719935524">
      <w:bodyDiv w:val="1"/>
      <w:marLeft w:val="0"/>
      <w:marRight w:val="0"/>
      <w:marTop w:val="0"/>
      <w:marBottom w:val="0"/>
      <w:divBdr>
        <w:top w:val="none" w:sz="0" w:space="0" w:color="auto"/>
        <w:left w:val="none" w:sz="0" w:space="0" w:color="auto"/>
        <w:bottom w:val="none" w:sz="0" w:space="0" w:color="auto"/>
        <w:right w:val="none" w:sz="0" w:space="0" w:color="auto"/>
      </w:divBdr>
      <w:divsChild>
        <w:div w:id="510072044">
          <w:marLeft w:val="0"/>
          <w:marRight w:val="0"/>
          <w:marTop w:val="0"/>
          <w:marBottom w:val="0"/>
          <w:divBdr>
            <w:top w:val="none" w:sz="0" w:space="0" w:color="auto"/>
            <w:left w:val="none" w:sz="0" w:space="0" w:color="auto"/>
            <w:bottom w:val="none" w:sz="0" w:space="0" w:color="auto"/>
            <w:right w:val="none" w:sz="0" w:space="0" w:color="auto"/>
          </w:divBdr>
          <w:divsChild>
            <w:div w:id="1145857208">
              <w:marLeft w:val="0"/>
              <w:marRight w:val="0"/>
              <w:marTop w:val="0"/>
              <w:marBottom w:val="0"/>
              <w:divBdr>
                <w:top w:val="none" w:sz="0" w:space="0" w:color="auto"/>
                <w:left w:val="none" w:sz="0" w:space="0" w:color="auto"/>
                <w:bottom w:val="none" w:sz="0" w:space="0" w:color="auto"/>
                <w:right w:val="none" w:sz="0" w:space="0" w:color="auto"/>
              </w:divBdr>
              <w:divsChild>
                <w:div w:id="159528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641084">
      <w:bodyDiv w:val="1"/>
      <w:marLeft w:val="0"/>
      <w:marRight w:val="0"/>
      <w:marTop w:val="0"/>
      <w:marBottom w:val="0"/>
      <w:divBdr>
        <w:top w:val="none" w:sz="0" w:space="0" w:color="auto"/>
        <w:left w:val="none" w:sz="0" w:space="0" w:color="auto"/>
        <w:bottom w:val="none" w:sz="0" w:space="0" w:color="auto"/>
        <w:right w:val="none" w:sz="0" w:space="0" w:color="auto"/>
      </w:divBdr>
    </w:div>
    <w:div w:id="897594717">
      <w:bodyDiv w:val="1"/>
      <w:marLeft w:val="0"/>
      <w:marRight w:val="0"/>
      <w:marTop w:val="0"/>
      <w:marBottom w:val="0"/>
      <w:divBdr>
        <w:top w:val="none" w:sz="0" w:space="0" w:color="auto"/>
        <w:left w:val="none" w:sz="0" w:space="0" w:color="auto"/>
        <w:bottom w:val="none" w:sz="0" w:space="0" w:color="auto"/>
        <w:right w:val="none" w:sz="0" w:space="0" w:color="auto"/>
      </w:divBdr>
      <w:divsChild>
        <w:div w:id="1453934945">
          <w:marLeft w:val="0"/>
          <w:marRight w:val="0"/>
          <w:marTop w:val="0"/>
          <w:marBottom w:val="0"/>
          <w:divBdr>
            <w:top w:val="none" w:sz="0" w:space="0" w:color="auto"/>
            <w:left w:val="none" w:sz="0" w:space="0" w:color="auto"/>
            <w:bottom w:val="none" w:sz="0" w:space="0" w:color="auto"/>
            <w:right w:val="none" w:sz="0" w:space="0" w:color="auto"/>
          </w:divBdr>
          <w:divsChild>
            <w:div w:id="685904162">
              <w:marLeft w:val="0"/>
              <w:marRight w:val="0"/>
              <w:marTop w:val="0"/>
              <w:marBottom w:val="0"/>
              <w:divBdr>
                <w:top w:val="none" w:sz="0" w:space="0" w:color="auto"/>
                <w:left w:val="none" w:sz="0" w:space="0" w:color="auto"/>
                <w:bottom w:val="none" w:sz="0" w:space="0" w:color="auto"/>
                <w:right w:val="none" w:sz="0" w:space="0" w:color="auto"/>
              </w:divBdr>
              <w:divsChild>
                <w:div w:id="21092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936045">
      <w:bodyDiv w:val="1"/>
      <w:marLeft w:val="0"/>
      <w:marRight w:val="0"/>
      <w:marTop w:val="0"/>
      <w:marBottom w:val="0"/>
      <w:divBdr>
        <w:top w:val="none" w:sz="0" w:space="0" w:color="auto"/>
        <w:left w:val="none" w:sz="0" w:space="0" w:color="auto"/>
        <w:bottom w:val="none" w:sz="0" w:space="0" w:color="auto"/>
        <w:right w:val="none" w:sz="0" w:space="0" w:color="auto"/>
      </w:divBdr>
    </w:div>
    <w:div w:id="926503955">
      <w:bodyDiv w:val="1"/>
      <w:marLeft w:val="0"/>
      <w:marRight w:val="0"/>
      <w:marTop w:val="0"/>
      <w:marBottom w:val="0"/>
      <w:divBdr>
        <w:top w:val="none" w:sz="0" w:space="0" w:color="auto"/>
        <w:left w:val="none" w:sz="0" w:space="0" w:color="auto"/>
        <w:bottom w:val="none" w:sz="0" w:space="0" w:color="auto"/>
        <w:right w:val="none" w:sz="0" w:space="0" w:color="auto"/>
      </w:divBdr>
      <w:divsChild>
        <w:div w:id="249706158">
          <w:marLeft w:val="0"/>
          <w:marRight w:val="0"/>
          <w:marTop w:val="0"/>
          <w:marBottom w:val="0"/>
          <w:divBdr>
            <w:top w:val="none" w:sz="0" w:space="0" w:color="auto"/>
            <w:left w:val="none" w:sz="0" w:space="0" w:color="auto"/>
            <w:bottom w:val="none" w:sz="0" w:space="0" w:color="auto"/>
            <w:right w:val="none" w:sz="0" w:space="0" w:color="auto"/>
          </w:divBdr>
          <w:divsChild>
            <w:div w:id="323750910">
              <w:marLeft w:val="0"/>
              <w:marRight w:val="0"/>
              <w:marTop w:val="0"/>
              <w:marBottom w:val="0"/>
              <w:divBdr>
                <w:top w:val="none" w:sz="0" w:space="0" w:color="auto"/>
                <w:left w:val="none" w:sz="0" w:space="0" w:color="auto"/>
                <w:bottom w:val="none" w:sz="0" w:space="0" w:color="auto"/>
                <w:right w:val="none" w:sz="0" w:space="0" w:color="auto"/>
              </w:divBdr>
              <w:divsChild>
                <w:div w:id="81056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84169">
      <w:bodyDiv w:val="1"/>
      <w:marLeft w:val="0"/>
      <w:marRight w:val="0"/>
      <w:marTop w:val="0"/>
      <w:marBottom w:val="0"/>
      <w:divBdr>
        <w:top w:val="none" w:sz="0" w:space="0" w:color="auto"/>
        <w:left w:val="none" w:sz="0" w:space="0" w:color="auto"/>
        <w:bottom w:val="none" w:sz="0" w:space="0" w:color="auto"/>
        <w:right w:val="none" w:sz="0" w:space="0" w:color="auto"/>
      </w:divBdr>
      <w:divsChild>
        <w:div w:id="1112748894">
          <w:marLeft w:val="0"/>
          <w:marRight w:val="0"/>
          <w:marTop w:val="0"/>
          <w:marBottom w:val="0"/>
          <w:divBdr>
            <w:top w:val="none" w:sz="0" w:space="0" w:color="auto"/>
            <w:left w:val="none" w:sz="0" w:space="0" w:color="auto"/>
            <w:bottom w:val="none" w:sz="0" w:space="0" w:color="auto"/>
            <w:right w:val="none" w:sz="0" w:space="0" w:color="auto"/>
          </w:divBdr>
          <w:divsChild>
            <w:div w:id="535119478">
              <w:marLeft w:val="0"/>
              <w:marRight w:val="0"/>
              <w:marTop w:val="0"/>
              <w:marBottom w:val="0"/>
              <w:divBdr>
                <w:top w:val="none" w:sz="0" w:space="0" w:color="auto"/>
                <w:left w:val="none" w:sz="0" w:space="0" w:color="auto"/>
                <w:bottom w:val="none" w:sz="0" w:space="0" w:color="auto"/>
                <w:right w:val="none" w:sz="0" w:space="0" w:color="auto"/>
              </w:divBdr>
              <w:divsChild>
                <w:div w:id="9723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341961">
      <w:bodyDiv w:val="1"/>
      <w:marLeft w:val="0"/>
      <w:marRight w:val="0"/>
      <w:marTop w:val="0"/>
      <w:marBottom w:val="0"/>
      <w:divBdr>
        <w:top w:val="none" w:sz="0" w:space="0" w:color="auto"/>
        <w:left w:val="none" w:sz="0" w:space="0" w:color="auto"/>
        <w:bottom w:val="none" w:sz="0" w:space="0" w:color="auto"/>
        <w:right w:val="none" w:sz="0" w:space="0" w:color="auto"/>
      </w:divBdr>
    </w:div>
    <w:div w:id="1051224824">
      <w:bodyDiv w:val="1"/>
      <w:marLeft w:val="0"/>
      <w:marRight w:val="0"/>
      <w:marTop w:val="0"/>
      <w:marBottom w:val="0"/>
      <w:divBdr>
        <w:top w:val="none" w:sz="0" w:space="0" w:color="auto"/>
        <w:left w:val="none" w:sz="0" w:space="0" w:color="auto"/>
        <w:bottom w:val="none" w:sz="0" w:space="0" w:color="auto"/>
        <w:right w:val="none" w:sz="0" w:space="0" w:color="auto"/>
      </w:divBdr>
    </w:div>
    <w:div w:id="1058161687">
      <w:bodyDiv w:val="1"/>
      <w:marLeft w:val="0"/>
      <w:marRight w:val="0"/>
      <w:marTop w:val="0"/>
      <w:marBottom w:val="0"/>
      <w:divBdr>
        <w:top w:val="none" w:sz="0" w:space="0" w:color="auto"/>
        <w:left w:val="none" w:sz="0" w:space="0" w:color="auto"/>
        <w:bottom w:val="none" w:sz="0" w:space="0" w:color="auto"/>
        <w:right w:val="none" w:sz="0" w:space="0" w:color="auto"/>
      </w:divBdr>
      <w:divsChild>
        <w:div w:id="1510291078">
          <w:marLeft w:val="0"/>
          <w:marRight w:val="0"/>
          <w:marTop w:val="0"/>
          <w:marBottom w:val="0"/>
          <w:divBdr>
            <w:top w:val="none" w:sz="0" w:space="0" w:color="auto"/>
            <w:left w:val="none" w:sz="0" w:space="0" w:color="auto"/>
            <w:bottom w:val="none" w:sz="0" w:space="0" w:color="auto"/>
            <w:right w:val="none" w:sz="0" w:space="0" w:color="auto"/>
          </w:divBdr>
          <w:divsChild>
            <w:div w:id="1394504291">
              <w:marLeft w:val="0"/>
              <w:marRight w:val="0"/>
              <w:marTop w:val="0"/>
              <w:marBottom w:val="0"/>
              <w:divBdr>
                <w:top w:val="none" w:sz="0" w:space="0" w:color="auto"/>
                <w:left w:val="none" w:sz="0" w:space="0" w:color="auto"/>
                <w:bottom w:val="none" w:sz="0" w:space="0" w:color="auto"/>
                <w:right w:val="none" w:sz="0" w:space="0" w:color="auto"/>
              </w:divBdr>
              <w:divsChild>
                <w:div w:id="199210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956453">
      <w:bodyDiv w:val="1"/>
      <w:marLeft w:val="0"/>
      <w:marRight w:val="0"/>
      <w:marTop w:val="0"/>
      <w:marBottom w:val="0"/>
      <w:divBdr>
        <w:top w:val="none" w:sz="0" w:space="0" w:color="auto"/>
        <w:left w:val="none" w:sz="0" w:space="0" w:color="auto"/>
        <w:bottom w:val="none" w:sz="0" w:space="0" w:color="auto"/>
        <w:right w:val="none" w:sz="0" w:space="0" w:color="auto"/>
      </w:divBdr>
      <w:divsChild>
        <w:div w:id="1773088189">
          <w:marLeft w:val="0"/>
          <w:marRight w:val="0"/>
          <w:marTop w:val="0"/>
          <w:marBottom w:val="0"/>
          <w:divBdr>
            <w:top w:val="none" w:sz="0" w:space="0" w:color="auto"/>
            <w:left w:val="none" w:sz="0" w:space="0" w:color="auto"/>
            <w:bottom w:val="none" w:sz="0" w:space="0" w:color="auto"/>
            <w:right w:val="none" w:sz="0" w:space="0" w:color="auto"/>
          </w:divBdr>
          <w:divsChild>
            <w:div w:id="1358117144">
              <w:marLeft w:val="0"/>
              <w:marRight w:val="0"/>
              <w:marTop w:val="0"/>
              <w:marBottom w:val="0"/>
              <w:divBdr>
                <w:top w:val="none" w:sz="0" w:space="0" w:color="auto"/>
                <w:left w:val="none" w:sz="0" w:space="0" w:color="auto"/>
                <w:bottom w:val="none" w:sz="0" w:space="0" w:color="auto"/>
                <w:right w:val="none" w:sz="0" w:space="0" w:color="auto"/>
              </w:divBdr>
              <w:divsChild>
                <w:div w:id="57392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344793">
      <w:bodyDiv w:val="1"/>
      <w:marLeft w:val="0"/>
      <w:marRight w:val="0"/>
      <w:marTop w:val="0"/>
      <w:marBottom w:val="0"/>
      <w:divBdr>
        <w:top w:val="none" w:sz="0" w:space="0" w:color="auto"/>
        <w:left w:val="none" w:sz="0" w:space="0" w:color="auto"/>
        <w:bottom w:val="none" w:sz="0" w:space="0" w:color="auto"/>
        <w:right w:val="none" w:sz="0" w:space="0" w:color="auto"/>
      </w:divBdr>
    </w:div>
    <w:div w:id="1344935926">
      <w:bodyDiv w:val="1"/>
      <w:marLeft w:val="0"/>
      <w:marRight w:val="0"/>
      <w:marTop w:val="0"/>
      <w:marBottom w:val="0"/>
      <w:divBdr>
        <w:top w:val="none" w:sz="0" w:space="0" w:color="auto"/>
        <w:left w:val="none" w:sz="0" w:space="0" w:color="auto"/>
        <w:bottom w:val="none" w:sz="0" w:space="0" w:color="auto"/>
        <w:right w:val="none" w:sz="0" w:space="0" w:color="auto"/>
      </w:divBdr>
    </w:div>
    <w:div w:id="1493597468">
      <w:bodyDiv w:val="1"/>
      <w:marLeft w:val="0"/>
      <w:marRight w:val="0"/>
      <w:marTop w:val="0"/>
      <w:marBottom w:val="0"/>
      <w:divBdr>
        <w:top w:val="none" w:sz="0" w:space="0" w:color="auto"/>
        <w:left w:val="none" w:sz="0" w:space="0" w:color="auto"/>
        <w:bottom w:val="none" w:sz="0" w:space="0" w:color="auto"/>
        <w:right w:val="none" w:sz="0" w:space="0" w:color="auto"/>
      </w:divBdr>
      <w:divsChild>
        <w:div w:id="1518692145">
          <w:marLeft w:val="0"/>
          <w:marRight w:val="0"/>
          <w:marTop w:val="0"/>
          <w:marBottom w:val="0"/>
          <w:divBdr>
            <w:top w:val="none" w:sz="0" w:space="0" w:color="auto"/>
            <w:left w:val="none" w:sz="0" w:space="0" w:color="auto"/>
            <w:bottom w:val="none" w:sz="0" w:space="0" w:color="auto"/>
            <w:right w:val="none" w:sz="0" w:space="0" w:color="auto"/>
          </w:divBdr>
          <w:divsChild>
            <w:div w:id="114640917">
              <w:marLeft w:val="0"/>
              <w:marRight w:val="0"/>
              <w:marTop w:val="0"/>
              <w:marBottom w:val="0"/>
              <w:divBdr>
                <w:top w:val="none" w:sz="0" w:space="0" w:color="auto"/>
                <w:left w:val="none" w:sz="0" w:space="0" w:color="auto"/>
                <w:bottom w:val="none" w:sz="0" w:space="0" w:color="auto"/>
                <w:right w:val="none" w:sz="0" w:space="0" w:color="auto"/>
              </w:divBdr>
              <w:divsChild>
                <w:div w:id="195737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14645">
      <w:bodyDiv w:val="1"/>
      <w:marLeft w:val="0"/>
      <w:marRight w:val="0"/>
      <w:marTop w:val="0"/>
      <w:marBottom w:val="0"/>
      <w:divBdr>
        <w:top w:val="none" w:sz="0" w:space="0" w:color="auto"/>
        <w:left w:val="none" w:sz="0" w:space="0" w:color="auto"/>
        <w:bottom w:val="none" w:sz="0" w:space="0" w:color="auto"/>
        <w:right w:val="none" w:sz="0" w:space="0" w:color="auto"/>
      </w:divBdr>
      <w:divsChild>
        <w:div w:id="805120439">
          <w:marLeft w:val="0"/>
          <w:marRight w:val="0"/>
          <w:marTop w:val="0"/>
          <w:marBottom w:val="0"/>
          <w:divBdr>
            <w:top w:val="none" w:sz="0" w:space="0" w:color="auto"/>
            <w:left w:val="none" w:sz="0" w:space="0" w:color="auto"/>
            <w:bottom w:val="none" w:sz="0" w:space="0" w:color="auto"/>
            <w:right w:val="none" w:sz="0" w:space="0" w:color="auto"/>
          </w:divBdr>
          <w:divsChild>
            <w:div w:id="1758021108">
              <w:marLeft w:val="0"/>
              <w:marRight w:val="0"/>
              <w:marTop w:val="0"/>
              <w:marBottom w:val="0"/>
              <w:divBdr>
                <w:top w:val="none" w:sz="0" w:space="0" w:color="auto"/>
                <w:left w:val="none" w:sz="0" w:space="0" w:color="auto"/>
                <w:bottom w:val="none" w:sz="0" w:space="0" w:color="auto"/>
                <w:right w:val="none" w:sz="0" w:space="0" w:color="auto"/>
              </w:divBdr>
              <w:divsChild>
                <w:div w:id="79325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836704">
      <w:bodyDiv w:val="1"/>
      <w:marLeft w:val="0"/>
      <w:marRight w:val="0"/>
      <w:marTop w:val="0"/>
      <w:marBottom w:val="0"/>
      <w:divBdr>
        <w:top w:val="none" w:sz="0" w:space="0" w:color="auto"/>
        <w:left w:val="none" w:sz="0" w:space="0" w:color="auto"/>
        <w:bottom w:val="none" w:sz="0" w:space="0" w:color="auto"/>
        <w:right w:val="none" w:sz="0" w:space="0" w:color="auto"/>
      </w:divBdr>
      <w:divsChild>
        <w:div w:id="1367826895">
          <w:marLeft w:val="0"/>
          <w:marRight w:val="0"/>
          <w:marTop w:val="0"/>
          <w:marBottom w:val="0"/>
          <w:divBdr>
            <w:top w:val="none" w:sz="0" w:space="0" w:color="auto"/>
            <w:left w:val="none" w:sz="0" w:space="0" w:color="auto"/>
            <w:bottom w:val="none" w:sz="0" w:space="0" w:color="auto"/>
            <w:right w:val="none" w:sz="0" w:space="0" w:color="auto"/>
          </w:divBdr>
          <w:divsChild>
            <w:div w:id="779646312">
              <w:marLeft w:val="0"/>
              <w:marRight w:val="0"/>
              <w:marTop w:val="0"/>
              <w:marBottom w:val="0"/>
              <w:divBdr>
                <w:top w:val="none" w:sz="0" w:space="0" w:color="auto"/>
                <w:left w:val="none" w:sz="0" w:space="0" w:color="auto"/>
                <w:bottom w:val="none" w:sz="0" w:space="0" w:color="auto"/>
                <w:right w:val="none" w:sz="0" w:space="0" w:color="auto"/>
              </w:divBdr>
              <w:divsChild>
                <w:div w:id="8677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665266">
      <w:bodyDiv w:val="1"/>
      <w:marLeft w:val="0"/>
      <w:marRight w:val="0"/>
      <w:marTop w:val="0"/>
      <w:marBottom w:val="0"/>
      <w:divBdr>
        <w:top w:val="none" w:sz="0" w:space="0" w:color="auto"/>
        <w:left w:val="none" w:sz="0" w:space="0" w:color="auto"/>
        <w:bottom w:val="none" w:sz="0" w:space="0" w:color="auto"/>
        <w:right w:val="none" w:sz="0" w:space="0" w:color="auto"/>
      </w:divBdr>
    </w:div>
    <w:div w:id="1657343584">
      <w:bodyDiv w:val="1"/>
      <w:marLeft w:val="0"/>
      <w:marRight w:val="0"/>
      <w:marTop w:val="0"/>
      <w:marBottom w:val="0"/>
      <w:divBdr>
        <w:top w:val="none" w:sz="0" w:space="0" w:color="auto"/>
        <w:left w:val="none" w:sz="0" w:space="0" w:color="auto"/>
        <w:bottom w:val="none" w:sz="0" w:space="0" w:color="auto"/>
        <w:right w:val="none" w:sz="0" w:space="0" w:color="auto"/>
      </w:divBdr>
      <w:divsChild>
        <w:div w:id="2011058604">
          <w:marLeft w:val="0"/>
          <w:marRight w:val="0"/>
          <w:marTop w:val="0"/>
          <w:marBottom w:val="0"/>
          <w:divBdr>
            <w:top w:val="none" w:sz="0" w:space="0" w:color="auto"/>
            <w:left w:val="none" w:sz="0" w:space="0" w:color="auto"/>
            <w:bottom w:val="none" w:sz="0" w:space="0" w:color="auto"/>
            <w:right w:val="none" w:sz="0" w:space="0" w:color="auto"/>
          </w:divBdr>
          <w:divsChild>
            <w:div w:id="471943733">
              <w:marLeft w:val="0"/>
              <w:marRight w:val="0"/>
              <w:marTop w:val="0"/>
              <w:marBottom w:val="0"/>
              <w:divBdr>
                <w:top w:val="none" w:sz="0" w:space="0" w:color="auto"/>
                <w:left w:val="none" w:sz="0" w:space="0" w:color="auto"/>
                <w:bottom w:val="none" w:sz="0" w:space="0" w:color="auto"/>
                <w:right w:val="none" w:sz="0" w:space="0" w:color="auto"/>
              </w:divBdr>
              <w:divsChild>
                <w:div w:id="161802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675419">
      <w:bodyDiv w:val="1"/>
      <w:marLeft w:val="0"/>
      <w:marRight w:val="0"/>
      <w:marTop w:val="0"/>
      <w:marBottom w:val="0"/>
      <w:divBdr>
        <w:top w:val="none" w:sz="0" w:space="0" w:color="auto"/>
        <w:left w:val="none" w:sz="0" w:space="0" w:color="auto"/>
        <w:bottom w:val="none" w:sz="0" w:space="0" w:color="auto"/>
        <w:right w:val="none" w:sz="0" w:space="0" w:color="auto"/>
      </w:divBdr>
    </w:div>
    <w:div w:id="1799299872">
      <w:bodyDiv w:val="1"/>
      <w:marLeft w:val="0"/>
      <w:marRight w:val="0"/>
      <w:marTop w:val="0"/>
      <w:marBottom w:val="0"/>
      <w:divBdr>
        <w:top w:val="none" w:sz="0" w:space="0" w:color="auto"/>
        <w:left w:val="none" w:sz="0" w:space="0" w:color="auto"/>
        <w:bottom w:val="none" w:sz="0" w:space="0" w:color="auto"/>
        <w:right w:val="none" w:sz="0" w:space="0" w:color="auto"/>
      </w:divBdr>
      <w:divsChild>
        <w:div w:id="1063722586">
          <w:marLeft w:val="0"/>
          <w:marRight w:val="0"/>
          <w:marTop w:val="0"/>
          <w:marBottom w:val="0"/>
          <w:divBdr>
            <w:top w:val="none" w:sz="0" w:space="0" w:color="auto"/>
            <w:left w:val="none" w:sz="0" w:space="0" w:color="auto"/>
            <w:bottom w:val="none" w:sz="0" w:space="0" w:color="auto"/>
            <w:right w:val="none" w:sz="0" w:space="0" w:color="auto"/>
          </w:divBdr>
          <w:divsChild>
            <w:div w:id="2020738010">
              <w:marLeft w:val="0"/>
              <w:marRight w:val="0"/>
              <w:marTop w:val="0"/>
              <w:marBottom w:val="0"/>
              <w:divBdr>
                <w:top w:val="none" w:sz="0" w:space="0" w:color="auto"/>
                <w:left w:val="none" w:sz="0" w:space="0" w:color="auto"/>
                <w:bottom w:val="none" w:sz="0" w:space="0" w:color="auto"/>
                <w:right w:val="none" w:sz="0" w:space="0" w:color="auto"/>
              </w:divBdr>
              <w:divsChild>
                <w:div w:id="189970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56981">
      <w:bodyDiv w:val="1"/>
      <w:marLeft w:val="0"/>
      <w:marRight w:val="0"/>
      <w:marTop w:val="0"/>
      <w:marBottom w:val="0"/>
      <w:divBdr>
        <w:top w:val="none" w:sz="0" w:space="0" w:color="auto"/>
        <w:left w:val="none" w:sz="0" w:space="0" w:color="auto"/>
        <w:bottom w:val="none" w:sz="0" w:space="0" w:color="auto"/>
        <w:right w:val="none" w:sz="0" w:space="0" w:color="auto"/>
      </w:divBdr>
      <w:divsChild>
        <w:div w:id="1864005576">
          <w:marLeft w:val="0"/>
          <w:marRight w:val="0"/>
          <w:marTop w:val="0"/>
          <w:marBottom w:val="0"/>
          <w:divBdr>
            <w:top w:val="none" w:sz="0" w:space="0" w:color="auto"/>
            <w:left w:val="none" w:sz="0" w:space="0" w:color="auto"/>
            <w:bottom w:val="none" w:sz="0" w:space="0" w:color="auto"/>
            <w:right w:val="none" w:sz="0" w:space="0" w:color="auto"/>
          </w:divBdr>
          <w:divsChild>
            <w:div w:id="965697589">
              <w:marLeft w:val="0"/>
              <w:marRight w:val="0"/>
              <w:marTop w:val="0"/>
              <w:marBottom w:val="0"/>
              <w:divBdr>
                <w:top w:val="none" w:sz="0" w:space="0" w:color="auto"/>
                <w:left w:val="none" w:sz="0" w:space="0" w:color="auto"/>
                <w:bottom w:val="none" w:sz="0" w:space="0" w:color="auto"/>
                <w:right w:val="none" w:sz="0" w:space="0" w:color="auto"/>
              </w:divBdr>
              <w:divsChild>
                <w:div w:id="12080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863965">
      <w:bodyDiv w:val="1"/>
      <w:marLeft w:val="0"/>
      <w:marRight w:val="0"/>
      <w:marTop w:val="0"/>
      <w:marBottom w:val="0"/>
      <w:divBdr>
        <w:top w:val="none" w:sz="0" w:space="0" w:color="auto"/>
        <w:left w:val="none" w:sz="0" w:space="0" w:color="auto"/>
        <w:bottom w:val="none" w:sz="0" w:space="0" w:color="auto"/>
        <w:right w:val="none" w:sz="0" w:space="0" w:color="auto"/>
      </w:divBdr>
      <w:divsChild>
        <w:div w:id="500852032">
          <w:marLeft w:val="0"/>
          <w:marRight w:val="0"/>
          <w:marTop w:val="0"/>
          <w:marBottom w:val="0"/>
          <w:divBdr>
            <w:top w:val="none" w:sz="0" w:space="0" w:color="auto"/>
            <w:left w:val="none" w:sz="0" w:space="0" w:color="auto"/>
            <w:bottom w:val="none" w:sz="0" w:space="0" w:color="auto"/>
            <w:right w:val="none" w:sz="0" w:space="0" w:color="auto"/>
          </w:divBdr>
          <w:divsChild>
            <w:div w:id="1834835191">
              <w:marLeft w:val="0"/>
              <w:marRight w:val="0"/>
              <w:marTop w:val="0"/>
              <w:marBottom w:val="0"/>
              <w:divBdr>
                <w:top w:val="none" w:sz="0" w:space="0" w:color="auto"/>
                <w:left w:val="none" w:sz="0" w:space="0" w:color="auto"/>
                <w:bottom w:val="none" w:sz="0" w:space="0" w:color="auto"/>
                <w:right w:val="none" w:sz="0" w:space="0" w:color="auto"/>
              </w:divBdr>
              <w:divsChild>
                <w:div w:id="54522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573187">
      <w:bodyDiv w:val="1"/>
      <w:marLeft w:val="0"/>
      <w:marRight w:val="0"/>
      <w:marTop w:val="0"/>
      <w:marBottom w:val="0"/>
      <w:divBdr>
        <w:top w:val="none" w:sz="0" w:space="0" w:color="auto"/>
        <w:left w:val="none" w:sz="0" w:space="0" w:color="auto"/>
        <w:bottom w:val="none" w:sz="0" w:space="0" w:color="auto"/>
        <w:right w:val="none" w:sz="0" w:space="0" w:color="auto"/>
      </w:divBdr>
      <w:divsChild>
        <w:div w:id="1614701381">
          <w:marLeft w:val="0"/>
          <w:marRight w:val="0"/>
          <w:marTop w:val="0"/>
          <w:marBottom w:val="0"/>
          <w:divBdr>
            <w:top w:val="none" w:sz="0" w:space="0" w:color="auto"/>
            <w:left w:val="none" w:sz="0" w:space="0" w:color="auto"/>
            <w:bottom w:val="none" w:sz="0" w:space="0" w:color="auto"/>
            <w:right w:val="none" w:sz="0" w:space="0" w:color="auto"/>
          </w:divBdr>
          <w:divsChild>
            <w:div w:id="1619290655">
              <w:marLeft w:val="0"/>
              <w:marRight w:val="0"/>
              <w:marTop w:val="0"/>
              <w:marBottom w:val="0"/>
              <w:divBdr>
                <w:top w:val="none" w:sz="0" w:space="0" w:color="auto"/>
                <w:left w:val="none" w:sz="0" w:space="0" w:color="auto"/>
                <w:bottom w:val="none" w:sz="0" w:space="0" w:color="auto"/>
                <w:right w:val="none" w:sz="0" w:space="0" w:color="auto"/>
              </w:divBdr>
              <w:divsChild>
                <w:div w:id="139211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v.wales/sites/default/files/consultations/2020-01/welsh-government-integrated-impact-assessment.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17</Pages>
  <Words>4801</Words>
  <Characters>27369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Jones (IEH)</dc:creator>
  <cp:keywords/>
  <dc:description/>
  <cp:lastModifiedBy>Aled Rhys Myers (1801083)</cp:lastModifiedBy>
  <cp:revision>35</cp:revision>
  <dcterms:created xsi:type="dcterms:W3CDTF">2022-01-02T14:01:00Z</dcterms:created>
  <dcterms:modified xsi:type="dcterms:W3CDTF">2022-01-03T11:54:00Z</dcterms:modified>
</cp:coreProperties>
</file>