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526BF" w14:textId="1B0C5F37" w:rsidR="00F7600C" w:rsidRPr="001368E6" w:rsidRDefault="00F7600C" w:rsidP="00F7600C">
      <w:pPr>
        <w:jc w:val="center"/>
        <w:rPr>
          <w:rFonts w:ascii="Times New Roman" w:hAnsi="Times New Roman" w:cs="Times New Roman"/>
          <w:b/>
          <w:bCs/>
          <w:sz w:val="32"/>
          <w:szCs w:val="32"/>
        </w:rPr>
      </w:pPr>
      <w:r w:rsidRPr="001368E6">
        <w:rPr>
          <w:rFonts w:ascii="Times New Roman" w:hAnsi="Times New Roman" w:cs="Times New Roman"/>
          <w:b/>
          <w:bCs/>
          <w:sz w:val="32"/>
          <w:szCs w:val="32"/>
        </w:rPr>
        <w:t xml:space="preserve">Workshop: </w:t>
      </w:r>
      <w:r>
        <w:rPr>
          <w:rFonts w:ascii="Times New Roman" w:hAnsi="Times New Roman" w:cs="Times New Roman"/>
          <w:b/>
          <w:bCs/>
          <w:sz w:val="32"/>
          <w:szCs w:val="32"/>
        </w:rPr>
        <w:t>Celebrating the dead in Pompeii</w:t>
      </w:r>
    </w:p>
    <w:p w14:paraId="755C3C0F" w14:textId="77777777" w:rsidR="00F7600C" w:rsidRDefault="00F7600C" w:rsidP="00F7600C">
      <w:pPr>
        <w:jc w:val="center"/>
        <w:rPr>
          <w:rFonts w:ascii="Times New Roman" w:hAnsi="Times New Roman" w:cs="Times New Roman"/>
          <w:sz w:val="28"/>
          <w:szCs w:val="28"/>
        </w:rPr>
      </w:pPr>
      <w:r w:rsidRPr="001368E6">
        <w:rPr>
          <w:rFonts w:ascii="Times New Roman" w:hAnsi="Times New Roman" w:cs="Times New Roman"/>
          <w:sz w:val="28"/>
          <w:szCs w:val="28"/>
        </w:rPr>
        <w:t>Pompeii: The life, death and rediscovery of a Roman town (HPAH5078/HPAH6078)</w:t>
      </w:r>
    </w:p>
    <w:p w14:paraId="6AAAAB43" w14:textId="77777777" w:rsidR="00945351" w:rsidRPr="001C1BD1" w:rsidRDefault="00945351" w:rsidP="00F7600C">
      <w:pPr>
        <w:jc w:val="center"/>
        <w:rPr>
          <w:rFonts w:ascii="Times New Roman" w:hAnsi="Times New Roman" w:cs="Times New Roman"/>
          <w:sz w:val="16"/>
          <w:szCs w:val="16"/>
        </w:rPr>
      </w:pPr>
    </w:p>
    <w:p w14:paraId="32C2D09A" w14:textId="640C6756" w:rsidR="00945351" w:rsidRDefault="00945351" w:rsidP="00F7600C">
      <w:pPr>
        <w:jc w:val="center"/>
        <w:rPr>
          <w:rFonts w:ascii="Times New Roman" w:hAnsi="Times New Roman" w:cs="Times New Roman"/>
        </w:rPr>
      </w:pPr>
      <w:r>
        <w:rPr>
          <w:rFonts w:ascii="Times New Roman" w:hAnsi="Times New Roman" w:cs="Times New Roman"/>
          <w:noProof/>
        </w:rPr>
        <w:drawing>
          <wp:inline distT="0" distB="0" distL="0" distR="0" wp14:anchorId="792F41B8" wp14:editId="18440B26">
            <wp:extent cx="4362450" cy="2455128"/>
            <wp:effectExtent l="0" t="0" r="0" b="2540"/>
            <wp:docPr id="1154449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90113" cy="2470696"/>
                    </a:xfrm>
                    <a:prstGeom prst="rect">
                      <a:avLst/>
                    </a:prstGeom>
                    <a:noFill/>
                  </pic:spPr>
                </pic:pic>
              </a:graphicData>
            </a:graphic>
          </wp:inline>
        </w:drawing>
      </w:r>
    </w:p>
    <w:p w14:paraId="35DF744A" w14:textId="77777777" w:rsidR="00945351" w:rsidRPr="001C1BD1" w:rsidRDefault="00945351" w:rsidP="00F7600C">
      <w:pPr>
        <w:jc w:val="center"/>
        <w:rPr>
          <w:rFonts w:ascii="Times New Roman" w:hAnsi="Times New Roman" w:cs="Times New Roman"/>
          <w:sz w:val="16"/>
          <w:szCs w:val="16"/>
        </w:rPr>
      </w:pPr>
    </w:p>
    <w:p w14:paraId="4E663359" w14:textId="5BA0E075" w:rsidR="00945351" w:rsidRDefault="003019FD" w:rsidP="00945351">
      <w:pPr>
        <w:jc w:val="both"/>
        <w:rPr>
          <w:rFonts w:ascii="Times New Roman" w:hAnsi="Times New Roman" w:cs="Times New Roman"/>
        </w:rPr>
      </w:pPr>
      <w:r>
        <w:rPr>
          <w:rFonts w:ascii="Times New Roman" w:hAnsi="Times New Roman" w:cs="Times New Roman"/>
        </w:rPr>
        <w:t>Across the Roman world, honouring the dead and ensuring their proper burial was of central concern to individuals, families and the community writ large.</w:t>
      </w:r>
      <w:r w:rsidR="00B155C4">
        <w:rPr>
          <w:rFonts w:ascii="Times New Roman" w:hAnsi="Times New Roman" w:cs="Times New Roman"/>
        </w:rPr>
        <w:t xml:space="preserve"> Among the elements of a funeral were the 1) preparation of the body of the deceased</w:t>
      </w:r>
      <w:r w:rsidR="00C22212">
        <w:rPr>
          <w:rFonts w:ascii="Times New Roman" w:hAnsi="Times New Roman" w:cs="Times New Roman"/>
        </w:rPr>
        <w:t xml:space="preserve">, </w:t>
      </w:r>
      <w:r w:rsidR="00B155C4">
        <w:rPr>
          <w:rFonts w:ascii="Times New Roman" w:hAnsi="Times New Roman" w:cs="Times New Roman"/>
        </w:rPr>
        <w:t>often by female family members</w:t>
      </w:r>
      <w:r w:rsidR="00831399">
        <w:rPr>
          <w:rFonts w:ascii="Times New Roman" w:hAnsi="Times New Roman" w:cs="Times New Roman"/>
        </w:rPr>
        <w:t xml:space="preserve"> </w:t>
      </w:r>
      <w:r w:rsidR="00C22212">
        <w:rPr>
          <w:rFonts w:ascii="Times New Roman" w:hAnsi="Times New Roman" w:cs="Times New Roman"/>
        </w:rPr>
        <w:t>(</w:t>
      </w:r>
      <w:r w:rsidR="00831399">
        <w:rPr>
          <w:rFonts w:ascii="Times New Roman" w:hAnsi="Times New Roman" w:cs="Times New Roman"/>
        </w:rPr>
        <w:t xml:space="preserve">but the wealthy could afford to hire </w:t>
      </w:r>
      <w:r w:rsidR="00831399" w:rsidRPr="00831399">
        <w:rPr>
          <w:rFonts w:ascii="Times New Roman" w:hAnsi="Times New Roman" w:cs="Times New Roman"/>
          <w:i/>
          <w:iCs/>
        </w:rPr>
        <w:t>libertinarii</w:t>
      </w:r>
      <w:r w:rsidR="00831399">
        <w:rPr>
          <w:rFonts w:ascii="Times New Roman" w:hAnsi="Times New Roman" w:cs="Times New Roman"/>
        </w:rPr>
        <w:t>, undertakers</w:t>
      </w:r>
      <w:r w:rsidR="00B155C4">
        <w:rPr>
          <w:rFonts w:ascii="Times New Roman" w:hAnsi="Times New Roman" w:cs="Times New Roman"/>
        </w:rPr>
        <w:t xml:space="preserve">) </w:t>
      </w:r>
      <w:r w:rsidR="005B28AF">
        <w:rPr>
          <w:rFonts w:ascii="Times New Roman" w:hAnsi="Times New Roman" w:cs="Times New Roman"/>
        </w:rPr>
        <w:t>ensuring,</w:t>
      </w:r>
      <w:r w:rsidR="00B155C4">
        <w:rPr>
          <w:rFonts w:ascii="Times New Roman" w:hAnsi="Times New Roman" w:cs="Times New Roman"/>
        </w:rPr>
        <w:t xml:space="preserve"> among other things, its washing</w:t>
      </w:r>
      <w:r w:rsidR="001C1BD1">
        <w:rPr>
          <w:rFonts w:ascii="Times New Roman" w:hAnsi="Times New Roman" w:cs="Times New Roman"/>
        </w:rPr>
        <w:t>,</w:t>
      </w:r>
      <w:r w:rsidR="00B155C4">
        <w:rPr>
          <w:rFonts w:ascii="Times New Roman" w:hAnsi="Times New Roman" w:cs="Times New Roman"/>
        </w:rPr>
        <w:t xml:space="preserve"> anointing</w:t>
      </w:r>
      <w:r w:rsidR="001C1BD1">
        <w:rPr>
          <w:rFonts w:ascii="Times New Roman" w:hAnsi="Times New Roman" w:cs="Times New Roman"/>
        </w:rPr>
        <w:t xml:space="preserve"> and the last pronouncing of the deceased’s name (</w:t>
      </w:r>
      <w:r w:rsidR="001C1BD1" w:rsidRPr="001C1BD1">
        <w:rPr>
          <w:rFonts w:ascii="Times New Roman" w:hAnsi="Times New Roman" w:cs="Times New Roman"/>
          <w:i/>
          <w:iCs/>
        </w:rPr>
        <w:t>conclamatio</w:t>
      </w:r>
      <w:r w:rsidR="001C1BD1">
        <w:rPr>
          <w:rFonts w:ascii="Times New Roman" w:hAnsi="Times New Roman" w:cs="Times New Roman"/>
        </w:rPr>
        <w:t>)</w:t>
      </w:r>
      <w:r w:rsidR="00B155C4">
        <w:rPr>
          <w:rFonts w:ascii="Times New Roman" w:hAnsi="Times New Roman" w:cs="Times New Roman"/>
        </w:rPr>
        <w:t xml:space="preserve">; 2) the </w:t>
      </w:r>
      <w:r w:rsidR="00B155C4" w:rsidRPr="00B155C4">
        <w:rPr>
          <w:rFonts w:ascii="Times New Roman" w:hAnsi="Times New Roman" w:cs="Times New Roman"/>
          <w:i/>
          <w:iCs/>
        </w:rPr>
        <w:t>pompa funebris</w:t>
      </w:r>
      <w:r w:rsidR="00B155C4">
        <w:rPr>
          <w:rFonts w:ascii="Times New Roman" w:hAnsi="Times New Roman" w:cs="Times New Roman"/>
        </w:rPr>
        <w:t xml:space="preserve"> or procession of the deceased, in which members of the </w:t>
      </w:r>
      <w:r w:rsidR="00B155C4" w:rsidRPr="00B155C4">
        <w:rPr>
          <w:rFonts w:ascii="Times New Roman" w:hAnsi="Times New Roman" w:cs="Times New Roman"/>
          <w:i/>
          <w:iCs/>
        </w:rPr>
        <w:t>familia</w:t>
      </w:r>
      <w:r w:rsidR="00B155C4">
        <w:rPr>
          <w:rFonts w:ascii="Times New Roman" w:hAnsi="Times New Roman" w:cs="Times New Roman"/>
        </w:rPr>
        <w:t>, the “ancestors” (actors wearing funerary masks</w:t>
      </w:r>
      <w:r w:rsidR="00DE00CD">
        <w:rPr>
          <w:rFonts w:ascii="Times New Roman" w:hAnsi="Times New Roman" w:cs="Times New Roman"/>
        </w:rPr>
        <w:t xml:space="preserve">, </w:t>
      </w:r>
      <w:r w:rsidR="00DE00CD" w:rsidRPr="00DE00CD">
        <w:rPr>
          <w:rFonts w:ascii="Times New Roman" w:hAnsi="Times New Roman" w:cs="Times New Roman"/>
          <w:i/>
          <w:iCs/>
        </w:rPr>
        <w:t>imagines</w:t>
      </w:r>
      <w:r w:rsidR="00B155C4">
        <w:rPr>
          <w:rFonts w:ascii="Times New Roman" w:hAnsi="Times New Roman" w:cs="Times New Roman"/>
        </w:rPr>
        <w:t xml:space="preserve">), and often wider members of the community (at least observing) might participate (though those of lower status, like slaves and very poor free-persons, might not receive much in the way of </w:t>
      </w:r>
      <w:r w:rsidR="00B155C4" w:rsidRPr="00B155C4">
        <w:rPr>
          <w:rFonts w:ascii="Times New Roman" w:hAnsi="Times New Roman" w:cs="Times New Roman"/>
          <w:i/>
          <w:iCs/>
        </w:rPr>
        <w:t>pompa</w:t>
      </w:r>
      <w:r w:rsidR="00B155C4">
        <w:rPr>
          <w:rFonts w:ascii="Times New Roman" w:hAnsi="Times New Roman" w:cs="Times New Roman"/>
        </w:rPr>
        <w:t xml:space="preserve">); 3) the cremation or inhumation of the body (interred at a specially dedicated funerary monument if more well-to-do, or potentially in a family mausoleum, typically along roadsides outside the main gates); 4) and then the purification of the family and those who had participated. This was not the end of one’s relationship with the dead, with </w:t>
      </w:r>
      <w:r w:rsidR="00682364">
        <w:rPr>
          <w:rFonts w:ascii="Times New Roman" w:hAnsi="Times New Roman" w:cs="Times New Roman"/>
        </w:rPr>
        <w:t xml:space="preserve">annual festivals to the dead taking place, notably the </w:t>
      </w:r>
      <w:r w:rsidR="00682364" w:rsidRPr="00682364">
        <w:rPr>
          <w:rFonts w:ascii="Times New Roman" w:hAnsi="Times New Roman" w:cs="Times New Roman"/>
          <w:i/>
          <w:iCs/>
        </w:rPr>
        <w:t>Parentalia</w:t>
      </w:r>
      <w:r w:rsidR="00682364" w:rsidRPr="00682364">
        <w:rPr>
          <w:rFonts w:ascii="Times New Roman" w:hAnsi="Times New Roman" w:cs="Times New Roman"/>
        </w:rPr>
        <w:t xml:space="preserve"> (13-21 February)</w:t>
      </w:r>
      <w:r w:rsidR="00682364">
        <w:rPr>
          <w:rFonts w:ascii="Times New Roman" w:hAnsi="Times New Roman" w:cs="Times New Roman"/>
        </w:rPr>
        <w:t xml:space="preserve">, of which </w:t>
      </w:r>
      <w:r w:rsidR="00F47EE9">
        <w:rPr>
          <w:rFonts w:ascii="Times New Roman" w:hAnsi="Times New Roman" w:cs="Times New Roman"/>
        </w:rPr>
        <w:t xml:space="preserve">gifts would be given at tombs on the </w:t>
      </w:r>
      <w:r w:rsidR="00F47EE9" w:rsidRPr="00F47EE9">
        <w:rPr>
          <w:rFonts w:ascii="Times New Roman" w:hAnsi="Times New Roman" w:cs="Times New Roman"/>
          <w:i/>
          <w:iCs/>
        </w:rPr>
        <w:t>Feralia</w:t>
      </w:r>
      <w:r w:rsidR="00F47EE9" w:rsidRPr="00F47EE9">
        <w:rPr>
          <w:rFonts w:ascii="Times New Roman" w:hAnsi="Times New Roman" w:cs="Times New Roman"/>
        </w:rPr>
        <w:t xml:space="preserve"> day</w:t>
      </w:r>
      <w:r w:rsidR="00F47EE9">
        <w:rPr>
          <w:rFonts w:ascii="Times New Roman" w:hAnsi="Times New Roman" w:cs="Times New Roman"/>
        </w:rPr>
        <w:t>.</w:t>
      </w:r>
      <w:r w:rsidR="00866CE4">
        <w:rPr>
          <w:rFonts w:ascii="Times New Roman" w:hAnsi="Times New Roman" w:cs="Times New Roman"/>
        </w:rPr>
        <w:t xml:space="preserve"> For instance, in the area of Pompeii we can see s</w:t>
      </w:r>
      <w:r w:rsidR="00866CE4" w:rsidRPr="00866CE4">
        <w:rPr>
          <w:rFonts w:ascii="Times New Roman" w:hAnsi="Times New Roman" w:cs="Times New Roman"/>
        </w:rPr>
        <w:t>ome tombs with pipes leading to buried cinerary urns</w:t>
      </w:r>
      <w:r w:rsidR="00866CE4">
        <w:rPr>
          <w:rFonts w:ascii="Times New Roman" w:hAnsi="Times New Roman" w:cs="Times New Roman"/>
        </w:rPr>
        <w:t>.</w:t>
      </w:r>
    </w:p>
    <w:p w14:paraId="4E89C7C1" w14:textId="7842E9CC" w:rsidR="00554B1E" w:rsidRDefault="00554B1E" w:rsidP="00945351">
      <w:pPr>
        <w:jc w:val="both"/>
        <w:rPr>
          <w:rFonts w:ascii="Times New Roman" w:hAnsi="Times New Roman" w:cs="Times New Roman"/>
        </w:rPr>
      </w:pPr>
      <w:r>
        <w:rPr>
          <w:rFonts w:ascii="Times New Roman" w:hAnsi="Times New Roman" w:cs="Times New Roman"/>
        </w:rPr>
        <w:t xml:space="preserve">Historians and archaeologists often try to study traces of such commemoration, funerary monuments and cemeteries to try </w:t>
      </w:r>
      <w:r w:rsidR="003A7AED">
        <w:rPr>
          <w:rFonts w:ascii="Times New Roman" w:hAnsi="Times New Roman" w:cs="Times New Roman"/>
        </w:rPr>
        <w:t xml:space="preserve">and </w:t>
      </w:r>
      <w:r w:rsidRPr="00554B1E">
        <w:rPr>
          <w:rFonts w:ascii="Times New Roman" w:hAnsi="Times New Roman" w:cs="Times New Roman"/>
        </w:rPr>
        <w:t xml:space="preserve">provide an insight into </w:t>
      </w:r>
      <w:r>
        <w:rPr>
          <w:rFonts w:ascii="Times New Roman" w:hAnsi="Times New Roman" w:cs="Times New Roman"/>
        </w:rPr>
        <w:t xml:space="preserve">issues such as </w:t>
      </w:r>
      <w:r w:rsidRPr="00554B1E">
        <w:rPr>
          <w:rFonts w:ascii="Times New Roman" w:hAnsi="Times New Roman" w:cs="Times New Roman"/>
        </w:rPr>
        <w:t>social composition</w:t>
      </w:r>
      <w:r>
        <w:rPr>
          <w:rFonts w:ascii="Times New Roman" w:hAnsi="Times New Roman" w:cs="Times New Roman"/>
        </w:rPr>
        <w:t xml:space="preserve"> with</w:t>
      </w:r>
      <w:r w:rsidR="003A7AED">
        <w:rPr>
          <w:rFonts w:ascii="Times New Roman" w:hAnsi="Times New Roman" w:cs="Times New Roman"/>
        </w:rPr>
        <w:t>in</w:t>
      </w:r>
      <w:r>
        <w:rPr>
          <w:rFonts w:ascii="Times New Roman" w:hAnsi="Times New Roman" w:cs="Times New Roman"/>
        </w:rPr>
        <w:t xml:space="preserve"> a community, expressions of status and ideology (what was emphasised about the dead), careers and relationships (prosopography) and belief and rituals. For this short workshop, we will consider some of the epigraphic, iconographic and archaeological evidence for funerary practices at Pompeii. Have a look at some of the images and short texts in the sections below and consider the connection questions. </w:t>
      </w:r>
    </w:p>
    <w:p w14:paraId="6AAEE17A" w14:textId="77777777" w:rsidR="00554B1E" w:rsidRDefault="00554B1E" w:rsidP="00945351">
      <w:pPr>
        <w:jc w:val="both"/>
        <w:rPr>
          <w:rFonts w:ascii="Times New Roman" w:hAnsi="Times New Roman" w:cs="Times New Roman"/>
        </w:rPr>
      </w:pPr>
    </w:p>
    <w:p w14:paraId="56DC2B65" w14:textId="65A478AC" w:rsidR="00554B1E" w:rsidRPr="00DC7BC0" w:rsidRDefault="00EC726A" w:rsidP="00945351">
      <w:pPr>
        <w:jc w:val="both"/>
        <w:rPr>
          <w:rFonts w:ascii="Times New Roman" w:hAnsi="Times New Roman" w:cs="Times New Roman"/>
          <w:b/>
          <w:bCs/>
          <w:sz w:val="28"/>
          <w:szCs w:val="28"/>
          <w:u w:val="single"/>
        </w:rPr>
      </w:pPr>
      <w:r w:rsidRPr="00DC7BC0">
        <w:rPr>
          <w:rFonts w:ascii="Times New Roman" w:hAnsi="Times New Roman" w:cs="Times New Roman"/>
          <w:b/>
          <w:bCs/>
          <w:sz w:val="28"/>
          <w:szCs w:val="28"/>
          <w:u w:val="single"/>
        </w:rPr>
        <w:lastRenderedPageBreak/>
        <w:t>Relationships gone awry: the tomb of P. Vesonius Phileros</w:t>
      </w:r>
    </w:p>
    <w:p w14:paraId="7700354B" w14:textId="6AA22845" w:rsidR="00EC726A" w:rsidRDefault="00EC726A" w:rsidP="00EC726A">
      <w:pPr>
        <w:jc w:val="both"/>
        <w:rPr>
          <w:rFonts w:ascii="Times New Roman" w:hAnsi="Times New Roman" w:cs="Times New Roman"/>
        </w:rPr>
      </w:pPr>
      <w:r>
        <w:rPr>
          <w:rFonts w:ascii="Times New Roman" w:hAnsi="Times New Roman" w:cs="Times New Roman"/>
        </w:rPr>
        <w:t>The tomb of Vesonius Phileros was located outside the Nucerian Gate of Pompeii. Three figures are represented on this tomb: ‘</w:t>
      </w:r>
      <w:r w:rsidRPr="00EC726A">
        <w:rPr>
          <w:rFonts w:ascii="Times New Roman" w:hAnsi="Times New Roman" w:cs="Times New Roman"/>
        </w:rPr>
        <w:t>in the centre</w:t>
      </w:r>
      <w:r>
        <w:rPr>
          <w:rFonts w:ascii="Times New Roman" w:hAnsi="Times New Roman" w:cs="Times New Roman"/>
        </w:rPr>
        <w:t xml:space="preserve"> </w:t>
      </w:r>
      <w:r w:rsidRPr="00EC726A">
        <w:rPr>
          <w:rFonts w:ascii="Times New Roman" w:hAnsi="Times New Roman" w:cs="Times New Roman"/>
        </w:rPr>
        <w:t>is the deceased’s patron, Vesonia, daughter of Publius, flanked by two men, the</w:t>
      </w:r>
      <w:r>
        <w:rPr>
          <w:rFonts w:ascii="Times New Roman" w:hAnsi="Times New Roman" w:cs="Times New Roman"/>
        </w:rPr>
        <w:t xml:space="preserve"> </w:t>
      </w:r>
      <w:r w:rsidRPr="00EC726A">
        <w:rPr>
          <w:rFonts w:ascii="Times New Roman" w:hAnsi="Times New Roman" w:cs="Times New Roman"/>
        </w:rPr>
        <w:t>deceased Publius Vesonius Phileros and his ‘friend’ Marcus Orfellius Faustus</w:t>
      </w:r>
      <w:r>
        <w:rPr>
          <w:rFonts w:ascii="Times New Roman" w:hAnsi="Times New Roman" w:cs="Times New Roman"/>
        </w:rPr>
        <w:t>’ (</w:t>
      </w:r>
      <w:bookmarkStart w:id="0" w:name="_Hlk219055606"/>
      <w:r>
        <w:rPr>
          <w:rFonts w:ascii="Times New Roman" w:hAnsi="Times New Roman" w:cs="Times New Roman"/>
        </w:rPr>
        <w:t>A. Cooley and M. Cooley 2014: 153</w:t>
      </w:r>
      <w:bookmarkEnd w:id="0"/>
      <w:r>
        <w:rPr>
          <w:rFonts w:ascii="Times New Roman" w:hAnsi="Times New Roman" w:cs="Times New Roman"/>
        </w:rPr>
        <w:t xml:space="preserve">). It appears that Vesonius had commissioned this tomb during this lifetime, and 18 herms have been found within the tomb enclosure, </w:t>
      </w:r>
      <w:r w:rsidRPr="00EC726A">
        <w:rPr>
          <w:rFonts w:ascii="Times New Roman" w:hAnsi="Times New Roman" w:cs="Times New Roman"/>
        </w:rPr>
        <w:t xml:space="preserve">including </w:t>
      </w:r>
      <w:r>
        <w:rPr>
          <w:rFonts w:ascii="Times New Roman" w:hAnsi="Times New Roman" w:cs="Times New Roman"/>
        </w:rPr>
        <w:t xml:space="preserve">those representing </w:t>
      </w:r>
      <w:r w:rsidRPr="00EC726A">
        <w:rPr>
          <w:rFonts w:ascii="Times New Roman" w:hAnsi="Times New Roman" w:cs="Times New Roman"/>
        </w:rPr>
        <w:t>Vesonia, Phileros and Orfellius</w:t>
      </w:r>
      <w:r>
        <w:rPr>
          <w:rFonts w:ascii="Times New Roman" w:hAnsi="Times New Roman" w:cs="Times New Roman"/>
        </w:rPr>
        <w:t>. However, it seems the herm of Orfellius had been ‘</w:t>
      </w:r>
      <w:r w:rsidRPr="00EC726A">
        <w:rPr>
          <w:rFonts w:ascii="Times New Roman" w:hAnsi="Times New Roman" w:cs="Times New Roman"/>
        </w:rPr>
        <w:t>sliced off where the shaft enters the ground</w:t>
      </w:r>
      <w:r>
        <w:rPr>
          <w:rFonts w:ascii="Times New Roman" w:hAnsi="Times New Roman" w:cs="Times New Roman"/>
        </w:rPr>
        <w:t>; (</w:t>
      </w:r>
      <w:r w:rsidRPr="00EC726A">
        <w:rPr>
          <w:rFonts w:ascii="Times New Roman" w:hAnsi="Times New Roman" w:cs="Times New Roman"/>
          <w:i/>
          <w:iCs/>
        </w:rPr>
        <w:t>ibid</w:t>
      </w:r>
      <w:r>
        <w:rPr>
          <w:rFonts w:ascii="Times New Roman" w:hAnsi="Times New Roman" w:cs="Times New Roman"/>
        </w:rPr>
        <w:t xml:space="preserve">). As the funerary epitaph makes clear (see below) </w:t>
      </w:r>
      <w:r w:rsidR="00CB4A82">
        <w:rPr>
          <w:rFonts w:ascii="Times New Roman" w:hAnsi="Times New Roman" w:cs="Times New Roman"/>
        </w:rPr>
        <w:t xml:space="preserve">the relationship between the two men had turned sour. </w:t>
      </w:r>
    </w:p>
    <w:p w14:paraId="328EA927" w14:textId="183CC241" w:rsidR="00CB4A82" w:rsidRDefault="00CB4A82" w:rsidP="00CB4A82">
      <w:pPr>
        <w:jc w:val="center"/>
        <w:rPr>
          <w:rFonts w:ascii="Times New Roman" w:hAnsi="Times New Roman" w:cs="Times New Roman"/>
        </w:rPr>
      </w:pPr>
      <w:r>
        <w:rPr>
          <w:rFonts w:ascii="Times New Roman" w:hAnsi="Times New Roman" w:cs="Times New Roman"/>
          <w:noProof/>
        </w:rPr>
        <w:drawing>
          <wp:inline distT="0" distB="0" distL="0" distR="0" wp14:anchorId="30BDB191" wp14:editId="43854134">
            <wp:extent cx="3620770" cy="3723436"/>
            <wp:effectExtent l="0" t="0" r="0" b="0"/>
            <wp:docPr id="20649565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b="22873"/>
                    <a:stretch>
                      <a:fillRect/>
                    </a:stretch>
                  </pic:blipFill>
                  <pic:spPr bwMode="auto">
                    <a:xfrm>
                      <a:off x="0" y="0"/>
                      <a:ext cx="3629609" cy="3732526"/>
                    </a:xfrm>
                    <a:prstGeom prst="rect">
                      <a:avLst/>
                    </a:prstGeom>
                    <a:noFill/>
                    <a:ln>
                      <a:noFill/>
                    </a:ln>
                    <a:extLst>
                      <a:ext uri="{53640926-AAD7-44D8-BBD7-CCE9431645EC}">
                        <a14:shadowObscured xmlns:a14="http://schemas.microsoft.com/office/drawing/2010/main"/>
                      </a:ext>
                    </a:extLst>
                  </pic:spPr>
                </pic:pic>
              </a:graphicData>
            </a:graphic>
          </wp:inline>
        </w:drawing>
      </w:r>
    </w:p>
    <w:p w14:paraId="11CA4DBF" w14:textId="71C7A1CD" w:rsidR="00CB4A82" w:rsidRDefault="00CB4A82" w:rsidP="00CB4A82">
      <w:pPr>
        <w:jc w:val="center"/>
        <w:rPr>
          <w:rFonts w:ascii="Times New Roman" w:hAnsi="Times New Roman" w:cs="Times New Roman"/>
          <w:sz w:val="16"/>
          <w:szCs w:val="16"/>
        </w:rPr>
      </w:pPr>
      <w:r w:rsidRPr="00CB4A82">
        <w:rPr>
          <w:rFonts w:ascii="Times New Roman" w:hAnsi="Times New Roman" w:cs="Times New Roman"/>
          <w:sz w:val="16"/>
          <w:szCs w:val="16"/>
        </w:rPr>
        <w:t xml:space="preserve">Image from: </w:t>
      </w:r>
      <w:hyperlink r:id="rId6" w:history="1">
        <w:r w:rsidRPr="00E201D2">
          <w:rPr>
            <w:rStyle w:val="Hyperlink"/>
            <w:rFonts w:ascii="Times New Roman" w:hAnsi="Times New Roman" w:cs="Times New Roman"/>
            <w:sz w:val="16"/>
            <w:szCs w:val="16"/>
          </w:rPr>
          <w:t>https://pompeiiinpictures.com/pompeiiinpictures/Tombs/tombs%20nocos%20p8.htm</w:t>
        </w:r>
      </w:hyperlink>
    </w:p>
    <w:p w14:paraId="75CAFDB8" w14:textId="77777777" w:rsidR="00CB4A82" w:rsidRDefault="00CB4A82" w:rsidP="00CB4A82">
      <w:pPr>
        <w:jc w:val="center"/>
        <w:rPr>
          <w:rFonts w:ascii="Times New Roman" w:hAnsi="Times New Roman" w:cs="Times New Roman"/>
          <w:sz w:val="16"/>
          <w:szCs w:val="16"/>
        </w:rPr>
      </w:pPr>
    </w:p>
    <w:p w14:paraId="6D2D87D2" w14:textId="4096F2DE" w:rsidR="00CB4A82" w:rsidRPr="00CB4A82" w:rsidRDefault="00CB4A82" w:rsidP="00CB4A82">
      <w:pPr>
        <w:jc w:val="both"/>
        <w:rPr>
          <w:rFonts w:ascii="Times New Roman" w:hAnsi="Times New Roman" w:cs="Times New Roman"/>
          <w:b/>
          <w:bCs/>
        </w:rPr>
      </w:pPr>
      <w:r w:rsidRPr="00CB4A82">
        <w:rPr>
          <w:rFonts w:ascii="Times New Roman" w:hAnsi="Times New Roman" w:cs="Times New Roman"/>
          <w:b/>
          <w:bCs/>
        </w:rPr>
        <w:t>Dedicatory inscription on tomb’s façade</w:t>
      </w:r>
    </w:p>
    <w:p w14:paraId="6A1C3333" w14:textId="77777777" w:rsidR="00CB4A82" w:rsidRDefault="00CB4A82" w:rsidP="00CB4A82">
      <w:pPr>
        <w:jc w:val="both"/>
        <w:rPr>
          <w:rFonts w:ascii="Times New Roman" w:hAnsi="Times New Roman" w:cs="Times New Roman"/>
        </w:rPr>
      </w:pPr>
      <w:r w:rsidRPr="00CB4A82">
        <w:rPr>
          <w:rFonts w:ascii="Times New Roman" w:hAnsi="Times New Roman" w:cs="Times New Roman"/>
        </w:rPr>
        <w:t>Publius Vesonius Phileros, freedman of a woman, Augustalis, built this monument</w:t>
      </w:r>
      <w:r>
        <w:rPr>
          <w:rFonts w:ascii="Times New Roman" w:hAnsi="Times New Roman" w:cs="Times New Roman"/>
        </w:rPr>
        <w:t xml:space="preserve"> </w:t>
      </w:r>
      <w:r w:rsidRPr="00CB4A82">
        <w:rPr>
          <w:rFonts w:ascii="Times New Roman" w:hAnsi="Times New Roman" w:cs="Times New Roman"/>
        </w:rPr>
        <w:t>for himself and his kin in his lifetime, for Vesonia daughter of Publius, his patron,</w:t>
      </w:r>
      <w:r>
        <w:rPr>
          <w:rFonts w:ascii="Times New Roman" w:hAnsi="Times New Roman" w:cs="Times New Roman"/>
        </w:rPr>
        <w:t xml:space="preserve"> </w:t>
      </w:r>
      <w:r w:rsidRPr="00CB4A82">
        <w:rPr>
          <w:rFonts w:ascii="Times New Roman" w:hAnsi="Times New Roman" w:cs="Times New Roman"/>
        </w:rPr>
        <w:t>and for Marcus Orfellius Faustus, freedman of Marcus, his friend.</w:t>
      </w:r>
      <w:r>
        <w:rPr>
          <w:rFonts w:ascii="Times New Roman" w:hAnsi="Times New Roman" w:cs="Times New Roman"/>
        </w:rPr>
        <w:t xml:space="preserve"> </w:t>
      </w:r>
      <w:r w:rsidRPr="00CB4A82">
        <w:rPr>
          <w:rFonts w:ascii="Times New Roman" w:hAnsi="Times New Roman" w:cs="Times New Roman"/>
        </w:rPr>
        <w:t>(</w:t>
      </w:r>
      <w:r w:rsidRPr="00CB4A82">
        <w:rPr>
          <w:rFonts w:ascii="Times New Roman" w:hAnsi="Times New Roman" w:cs="Times New Roman"/>
          <w:i/>
          <w:iCs/>
        </w:rPr>
        <w:t>AE</w:t>
      </w:r>
      <w:r w:rsidRPr="00CB4A82">
        <w:rPr>
          <w:rFonts w:ascii="Times New Roman" w:hAnsi="Times New Roman" w:cs="Times New Roman"/>
        </w:rPr>
        <w:t xml:space="preserve"> (1986) 166a + AE (2008) 323)</w:t>
      </w:r>
      <w:r>
        <w:rPr>
          <w:rFonts w:ascii="Times New Roman" w:hAnsi="Times New Roman" w:cs="Times New Roman"/>
        </w:rPr>
        <w:t xml:space="preserve"> – Transl. from </w:t>
      </w:r>
      <w:r w:rsidRPr="00CB4A82">
        <w:rPr>
          <w:rFonts w:ascii="Times New Roman" w:hAnsi="Times New Roman" w:cs="Times New Roman"/>
        </w:rPr>
        <w:t>A. Cooley and M. Cooley 2014: 15</w:t>
      </w:r>
      <w:r>
        <w:rPr>
          <w:rFonts w:ascii="Times New Roman" w:hAnsi="Times New Roman" w:cs="Times New Roman"/>
        </w:rPr>
        <w:t>4.</w:t>
      </w:r>
    </w:p>
    <w:p w14:paraId="5F95AF41" w14:textId="77777777" w:rsidR="00CB4A82" w:rsidRDefault="00CB4A82" w:rsidP="00CB4A82">
      <w:pPr>
        <w:jc w:val="both"/>
        <w:rPr>
          <w:rFonts w:ascii="Times New Roman" w:hAnsi="Times New Roman" w:cs="Times New Roman"/>
          <w:b/>
          <w:bCs/>
        </w:rPr>
      </w:pPr>
    </w:p>
    <w:p w14:paraId="2C0988F5" w14:textId="60D8287A" w:rsidR="00CB4A82" w:rsidRPr="00CB4A82" w:rsidRDefault="00CB4A82" w:rsidP="00CB4A82">
      <w:pPr>
        <w:jc w:val="both"/>
        <w:rPr>
          <w:rFonts w:ascii="Times New Roman" w:hAnsi="Times New Roman" w:cs="Times New Roman"/>
          <w:b/>
          <w:bCs/>
        </w:rPr>
      </w:pPr>
      <w:r>
        <w:rPr>
          <w:rFonts w:ascii="Times New Roman" w:hAnsi="Times New Roman" w:cs="Times New Roman"/>
          <w:b/>
          <w:bCs/>
        </w:rPr>
        <w:t>Later addition to the tomb</w:t>
      </w:r>
    </w:p>
    <w:p w14:paraId="79741B6B" w14:textId="1945F660" w:rsidR="00CB4A82" w:rsidRDefault="00CB4A82" w:rsidP="00CB4A82">
      <w:pPr>
        <w:jc w:val="both"/>
        <w:rPr>
          <w:rFonts w:ascii="Times New Roman" w:hAnsi="Times New Roman" w:cs="Times New Roman"/>
        </w:rPr>
      </w:pPr>
      <w:r w:rsidRPr="00CB4A82">
        <w:rPr>
          <w:rFonts w:ascii="Times New Roman" w:hAnsi="Times New Roman" w:cs="Times New Roman"/>
        </w:rPr>
        <w:t>Stranger, delay a brief while if it is not troublesome, and learn what to avoid. This</w:t>
      </w:r>
      <w:r>
        <w:rPr>
          <w:rFonts w:ascii="Times New Roman" w:hAnsi="Times New Roman" w:cs="Times New Roman"/>
        </w:rPr>
        <w:t xml:space="preserve"> </w:t>
      </w:r>
      <w:r w:rsidRPr="00CB4A82">
        <w:rPr>
          <w:rFonts w:ascii="Times New Roman" w:hAnsi="Times New Roman" w:cs="Times New Roman"/>
        </w:rPr>
        <w:t>man whom I had hoped was my friend, I am forsaking: a case was maliciously brought</w:t>
      </w:r>
      <w:r>
        <w:rPr>
          <w:rFonts w:ascii="Times New Roman" w:hAnsi="Times New Roman" w:cs="Times New Roman"/>
        </w:rPr>
        <w:t xml:space="preserve"> </w:t>
      </w:r>
      <w:r w:rsidRPr="00CB4A82">
        <w:rPr>
          <w:rFonts w:ascii="Times New Roman" w:hAnsi="Times New Roman" w:cs="Times New Roman"/>
        </w:rPr>
        <w:t>against me; I was charged and legal proceedings were instituted; I give thanks to</w:t>
      </w:r>
      <w:r>
        <w:rPr>
          <w:rFonts w:ascii="Times New Roman" w:hAnsi="Times New Roman" w:cs="Times New Roman"/>
        </w:rPr>
        <w:t xml:space="preserve"> </w:t>
      </w:r>
      <w:r w:rsidRPr="00CB4A82">
        <w:rPr>
          <w:rFonts w:ascii="Times New Roman" w:hAnsi="Times New Roman" w:cs="Times New Roman"/>
        </w:rPr>
        <w:t xml:space="preserve">the gods and to my innocence, </w:t>
      </w:r>
      <w:r w:rsidRPr="00CB4A82">
        <w:rPr>
          <w:rFonts w:ascii="Times New Roman" w:hAnsi="Times New Roman" w:cs="Times New Roman"/>
        </w:rPr>
        <w:lastRenderedPageBreak/>
        <w:t>I was freed from all distress. May neither the</w:t>
      </w:r>
      <w:r>
        <w:rPr>
          <w:rFonts w:ascii="Times New Roman" w:hAnsi="Times New Roman" w:cs="Times New Roman"/>
        </w:rPr>
        <w:t xml:space="preserve"> </w:t>
      </w:r>
      <w:r w:rsidRPr="00CB4A82">
        <w:rPr>
          <w:rFonts w:ascii="Times New Roman" w:hAnsi="Times New Roman" w:cs="Times New Roman"/>
        </w:rPr>
        <w:t>household gods nor the gods below receive the one who misrepresented our affairs.</w:t>
      </w:r>
      <w:r>
        <w:rPr>
          <w:rFonts w:ascii="Times New Roman" w:hAnsi="Times New Roman" w:cs="Times New Roman"/>
        </w:rPr>
        <w:t xml:space="preserve"> </w:t>
      </w:r>
      <w:r w:rsidRPr="00CB4A82">
        <w:rPr>
          <w:rFonts w:ascii="Times New Roman" w:hAnsi="Times New Roman" w:cs="Times New Roman"/>
        </w:rPr>
        <w:t>(</w:t>
      </w:r>
      <w:r w:rsidRPr="00CB4A82">
        <w:rPr>
          <w:rFonts w:ascii="Times New Roman" w:hAnsi="Times New Roman" w:cs="Times New Roman"/>
          <w:i/>
          <w:iCs/>
        </w:rPr>
        <w:t>AE</w:t>
      </w:r>
      <w:r w:rsidRPr="00CB4A82">
        <w:rPr>
          <w:rFonts w:ascii="Times New Roman" w:hAnsi="Times New Roman" w:cs="Times New Roman"/>
        </w:rPr>
        <w:t xml:space="preserve"> (1964) 160)</w:t>
      </w:r>
      <w:r>
        <w:rPr>
          <w:rFonts w:ascii="Times New Roman" w:hAnsi="Times New Roman" w:cs="Times New Roman"/>
        </w:rPr>
        <w:t xml:space="preserve"> – Transl. from </w:t>
      </w:r>
      <w:r w:rsidRPr="00CB4A82">
        <w:rPr>
          <w:rFonts w:ascii="Times New Roman" w:hAnsi="Times New Roman" w:cs="Times New Roman"/>
        </w:rPr>
        <w:t>A. Cooley and M. Cooley 2014: 15</w:t>
      </w:r>
      <w:r>
        <w:rPr>
          <w:rFonts w:ascii="Times New Roman" w:hAnsi="Times New Roman" w:cs="Times New Roman"/>
        </w:rPr>
        <w:t>4.</w:t>
      </w:r>
    </w:p>
    <w:p w14:paraId="22A1C6B5" w14:textId="77777777" w:rsidR="00CB4A82" w:rsidRDefault="00CB4A82" w:rsidP="00CB4A82">
      <w:pPr>
        <w:jc w:val="both"/>
        <w:rPr>
          <w:rFonts w:ascii="Times New Roman" w:hAnsi="Times New Roman" w:cs="Times New Roman"/>
        </w:rPr>
      </w:pPr>
    </w:p>
    <w:p w14:paraId="664006FF" w14:textId="28BFABE7" w:rsidR="00CB4A82" w:rsidRDefault="00CB4A82" w:rsidP="00CB4A82">
      <w:pPr>
        <w:jc w:val="both"/>
        <w:rPr>
          <w:rFonts w:ascii="Times New Roman" w:hAnsi="Times New Roman" w:cs="Times New Roman"/>
        </w:rPr>
      </w:pPr>
      <w:r>
        <w:rPr>
          <w:rFonts w:ascii="Times New Roman" w:hAnsi="Times New Roman" w:cs="Times New Roman"/>
        </w:rPr>
        <w:t>Short inscriptions accompanying some of the herms inside the enclosure</w:t>
      </w:r>
      <w:r w:rsidR="00502B70">
        <w:rPr>
          <w:rFonts w:ascii="Times New Roman" w:hAnsi="Times New Roman" w:cs="Times New Roman"/>
        </w:rPr>
        <w:t xml:space="preserve"> (</w:t>
      </w:r>
      <w:r w:rsidR="00502B70" w:rsidRPr="00502B70">
        <w:rPr>
          <w:rFonts w:ascii="Times New Roman" w:hAnsi="Times New Roman" w:cs="Times New Roman"/>
          <w:i/>
          <w:iCs/>
        </w:rPr>
        <w:t>ibid</w:t>
      </w:r>
      <w:r w:rsidR="00502B70">
        <w:rPr>
          <w:rFonts w:ascii="Times New Roman" w:hAnsi="Times New Roman" w:cs="Times New Roman"/>
        </w:rPr>
        <w:t>)</w:t>
      </w:r>
      <w:r>
        <w:rPr>
          <w:rFonts w:ascii="Times New Roman" w:hAnsi="Times New Roman" w:cs="Times New Roman"/>
        </w:rPr>
        <w:t xml:space="preserve">: </w:t>
      </w:r>
    </w:p>
    <w:p w14:paraId="54854B7C" w14:textId="2DCB4236" w:rsidR="00502B70" w:rsidRDefault="00502B70" w:rsidP="00CB4A82">
      <w:pPr>
        <w:jc w:val="both"/>
        <w:rPr>
          <w:rFonts w:ascii="Times New Roman" w:hAnsi="Times New Roman" w:cs="Times New Roman"/>
        </w:rPr>
      </w:pPr>
      <w:r w:rsidRPr="00502B70">
        <w:rPr>
          <w:rFonts w:ascii="Times New Roman" w:hAnsi="Times New Roman" w:cs="Times New Roman"/>
        </w:rPr>
        <w:t>Vesonia daughter of Publius</w:t>
      </w:r>
    </w:p>
    <w:p w14:paraId="19673DD4" w14:textId="669A9CFC" w:rsidR="00502B70" w:rsidRDefault="00502B70" w:rsidP="00CB4A82">
      <w:pPr>
        <w:jc w:val="both"/>
        <w:rPr>
          <w:rFonts w:ascii="Times New Roman" w:hAnsi="Times New Roman" w:cs="Times New Roman"/>
        </w:rPr>
      </w:pPr>
      <w:r w:rsidRPr="00502B70">
        <w:rPr>
          <w:rFonts w:ascii="Times New Roman" w:hAnsi="Times New Roman" w:cs="Times New Roman"/>
        </w:rPr>
        <w:t>To Publius Vesonius Proculus, lived 13 years</w:t>
      </w:r>
    </w:p>
    <w:p w14:paraId="7DB96279" w14:textId="5C3286B9" w:rsidR="00CB4A82" w:rsidRDefault="00CB4A82" w:rsidP="00CB4A82">
      <w:pPr>
        <w:jc w:val="both"/>
        <w:rPr>
          <w:rFonts w:ascii="Times New Roman" w:hAnsi="Times New Roman" w:cs="Times New Roman"/>
        </w:rPr>
      </w:pPr>
      <w:r w:rsidRPr="00CB4A82">
        <w:rPr>
          <w:rFonts w:ascii="Times New Roman" w:hAnsi="Times New Roman" w:cs="Times New Roman"/>
        </w:rPr>
        <w:t>Eliodorus, lived for 17 years.</w:t>
      </w:r>
    </w:p>
    <w:p w14:paraId="72EAFB03" w14:textId="77777777" w:rsidR="00CB4A82" w:rsidRDefault="00CB4A82" w:rsidP="00CB4A82">
      <w:pPr>
        <w:jc w:val="both"/>
        <w:rPr>
          <w:rFonts w:ascii="Times New Roman" w:hAnsi="Times New Roman" w:cs="Times New Roman"/>
        </w:rPr>
      </w:pPr>
    </w:p>
    <w:p w14:paraId="3DB57339" w14:textId="1E71F30E" w:rsidR="00CB4A82" w:rsidRDefault="00CB4A82" w:rsidP="00CB4A82">
      <w:pPr>
        <w:jc w:val="both"/>
        <w:rPr>
          <w:rFonts w:ascii="Times New Roman" w:hAnsi="Times New Roman" w:cs="Times New Roman"/>
          <w:b/>
          <w:bCs/>
        </w:rPr>
      </w:pPr>
      <w:r>
        <w:rPr>
          <w:rFonts w:ascii="Times New Roman" w:hAnsi="Times New Roman" w:cs="Times New Roman"/>
          <w:b/>
          <w:bCs/>
        </w:rPr>
        <w:t xml:space="preserve">What can this tomb and the accompany inscriptions tell such about social status, patronage and </w:t>
      </w:r>
      <w:r w:rsidR="00502B70">
        <w:rPr>
          <w:rFonts w:ascii="Times New Roman" w:hAnsi="Times New Roman" w:cs="Times New Roman"/>
          <w:b/>
          <w:bCs/>
        </w:rPr>
        <w:t xml:space="preserve">(familial) </w:t>
      </w:r>
      <w:r>
        <w:rPr>
          <w:rFonts w:ascii="Times New Roman" w:hAnsi="Times New Roman" w:cs="Times New Roman"/>
          <w:b/>
          <w:bCs/>
        </w:rPr>
        <w:t xml:space="preserve">relationships? </w:t>
      </w:r>
    </w:p>
    <w:p w14:paraId="0CB6CB3C" w14:textId="77777777" w:rsidR="00CB4A82" w:rsidRDefault="00CB4A82" w:rsidP="00CB4A82">
      <w:pPr>
        <w:jc w:val="both"/>
        <w:rPr>
          <w:rFonts w:ascii="Times New Roman" w:hAnsi="Times New Roman" w:cs="Times New Roman"/>
          <w:b/>
          <w:bCs/>
        </w:rPr>
      </w:pPr>
    </w:p>
    <w:p w14:paraId="0DD25C5E" w14:textId="77777777" w:rsidR="0030627D" w:rsidRPr="00DC7BC0" w:rsidRDefault="0030627D" w:rsidP="00CB4A82">
      <w:pPr>
        <w:jc w:val="both"/>
        <w:rPr>
          <w:rFonts w:ascii="Times New Roman" w:hAnsi="Times New Roman" w:cs="Times New Roman"/>
          <w:b/>
          <w:bCs/>
          <w:sz w:val="28"/>
          <w:szCs w:val="28"/>
          <w:u w:val="single"/>
        </w:rPr>
      </w:pPr>
      <w:r w:rsidRPr="00DC7BC0">
        <w:rPr>
          <w:rFonts w:ascii="Times New Roman" w:hAnsi="Times New Roman" w:cs="Times New Roman"/>
          <w:b/>
          <w:bCs/>
          <w:sz w:val="28"/>
          <w:szCs w:val="28"/>
          <w:u w:val="single"/>
        </w:rPr>
        <w:t xml:space="preserve">Tomb of Gaius Vestorius Priscus </w:t>
      </w:r>
    </w:p>
    <w:p w14:paraId="3E79B697" w14:textId="48D42151" w:rsidR="0030627D" w:rsidRDefault="0030627D" w:rsidP="00CB4A82">
      <w:pPr>
        <w:jc w:val="both"/>
        <w:rPr>
          <w:rFonts w:ascii="Times New Roman" w:hAnsi="Times New Roman" w:cs="Times New Roman"/>
        </w:rPr>
      </w:pPr>
      <w:r w:rsidRPr="0030627D">
        <w:rPr>
          <w:rFonts w:ascii="Times New Roman" w:hAnsi="Times New Roman" w:cs="Times New Roman"/>
        </w:rPr>
        <w:t>This tomb is located by the Vesuvian Gate</w:t>
      </w:r>
      <w:r w:rsidR="00D42944">
        <w:rPr>
          <w:rFonts w:ascii="Times New Roman" w:hAnsi="Times New Roman" w:cs="Times New Roman"/>
        </w:rPr>
        <w:t>, inside a rectangular enclosure with an altar. It features some impressive wall paintings, and the accompanying inscription:</w:t>
      </w:r>
    </w:p>
    <w:p w14:paraId="7C99FFB0" w14:textId="040C595D" w:rsidR="00DC7BC0" w:rsidRDefault="00D42944" w:rsidP="00DC7BC0">
      <w:pPr>
        <w:jc w:val="both"/>
        <w:rPr>
          <w:rFonts w:ascii="Times New Roman" w:hAnsi="Times New Roman" w:cs="Times New Roman"/>
        </w:rPr>
      </w:pPr>
      <w:r w:rsidRPr="00D42944">
        <w:rPr>
          <w:rFonts w:ascii="Times New Roman" w:hAnsi="Times New Roman" w:cs="Times New Roman"/>
        </w:rPr>
        <w:t>To Gaius Vestorius Priscus, aedile. He lived 22 years. His burial place was granted</w:t>
      </w:r>
      <w:r>
        <w:rPr>
          <w:rFonts w:ascii="Times New Roman" w:hAnsi="Times New Roman" w:cs="Times New Roman"/>
        </w:rPr>
        <w:t xml:space="preserve"> </w:t>
      </w:r>
      <w:r w:rsidRPr="00D42944">
        <w:rPr>
          <w:rFonts w:ascii="Times New Roman" w:hAnsi="Times New Roman" w:cs="Times New Roman"/>
        </w:rPr>
        <w:t>along with 2,000 sesterces for his funeral by decree of the town councillors. Mulvia</w:t>
      </w:r>
      <w:r>
        <w:rPr>
          <w:rFonts w:ascii="Times New Roman" w:hAnsi="Times New Roman" w:cs="Times New Roman"/>
        </w:rPr>
        <w:t xml:space="preserve"> </w:t>
      </w:r>
      <w:r w:rsidRPr="00D42944">
        <w:rPr>
          <w:rFonts w:ascii="Times New Roman" w:hAnsi="Times New Roman" w:cs="Times New Roman"/>
        </w:rPr>
        <w:t>Prisca, his mother, set this up at [her own] expense.</w:t>
      </w:r>
      <w:r w:rsidR="00DC7BC0" w:rsidRPr="00DC7BC0">
        <w:t xml:space="preserve"> </w:t>
      </w:r>
      <w:r w:rsidR="00DC7BC0" w:rsidRPr="00DC7BC0">
        <w:rPr>
          <w:rFonts w:ascii="Times New Roman" w:hAnsi="Times New Roman" w:cs="Times New Roman"/>
        </w:rPr>
        <w:t>(</w:t>
      </w:r>
      <w:r w:rsidR="00DC7BC0" w:rsidRPr="00DC7BC0">
        <w:rPr>
          <w:rFonts w:ascii="Times New Roman" w:hAnsi="Times New Roman" w:cs="Times New Roman"/>
          <w:i/>
          <w:iCs/>
        </w:rPr>
        <w:t>AE</w:t>
      </w:r>
      <w:r w:rsidR="00DC7BC0" w:rsidRPr="00DC7BC0">
        <w:rPr>
          <w:rFonts w:ascii="Times New Roman" w:hAnsi="Times New Roman" w:cs="Times New Roman"/>
        </w:rPr>
        <w:t xml:space="preserve"> (1913) 70)</w:t>
      </w:r>
      <w:r>
        <w:rPr>
          <w:rFonts w:ascii="Times New Roman" w:hAnsi="Times New Roman" w:cs="Times New Roman"/>
        </w:rPr>
        <w:t xml:space="preserve"> </w:t>
      </w:r>
      <w:r w:rsidR="00DC7BC0">
        <w:rPr>
          <w:rFonts w:ascii="Times New Roman" w:hAnsi="Times New Roman" w:cs="Times New Roman"/>
        </w:rPr>
        <w:t xml:space="preserve">– Transl. from </w:t>
      </w:r>
      <w:r w:rsidR="00DC7BC0" w:rsidRPr="00CB4A82">
        <w:rPr>
          <w:rFonts w:ascii="Times New Roman" w:hAnsi="Times New Roman" w:cs="Times New Roman"/>
        </w:rPr>
        <w:t>A. Cooley and M. Cooley 2014: 1</w:t>
      </w:r>
      <w:r w:rsidR="00DC7BC0">
        <w:rPr>
          <w:rFonts w:ascii="Times New Roman" w:hAnsi="Times New Roman" w:cs="Times New Roman"/>
        </w:rPr>
        <w:t>84.</w:t>
      </w:r>
    </w:p>
    <w:p w14:paraId="195FFF65" w14:textId="77777777" w:rsidR="00DC7BC0" w:rsidRDefault="00DC7BC0" w:rsidP="00DC7BC0">
      <w:pPr>
        <w:jc w:val="both"/>
        <w:rPr>
          <w:rFonts w:ascii="Times New Roman" w:hAnsi="Times New Roman" w:cs="Times New Roman"/>
        </w:rPr>
      </w:pPr>
    </w:p>
    <w:p w14:paraId="251FDB11" w14:textId="32F214FD" w:rsidR="00DC7BC0" w:rsidRDefault="00DC7BC0" w:rsidP="00DC7BC0">
      <w:pPr>
        <w:jc w:val="both"/>
        <w:rPr>
          <w:rFonts w:ascii="Times New Roman" w:hAnsi="Times New Roman" w:cs="Times New Roman"/>
        </w:rPr>
      </w:pPr>
      <w:r>
        <w:rPr>
          <w:rFonts w:ascii="Times New Roman" w:hAnsi="Times New Roman" w:cs="Times New Roman"/>
          <w:noProof/>
        </w:rPr>
        <w:drawing>
          <wp:inline distT="0" distB="0" distL="0" distR="0" wp14:anchorId="46D1FF44" wp14:editId="6B0775EE">
            <wp:extent cx="2837790" cy="2151020"/>
            <wp:effectExtent l="0" t="0" r="1270" b="1905"/>
            <wp:docPr id="20202199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125" r="5880"/>
                    <a:stretch>
                      <a:fillRect/>
                    </a:stretch>
                  </pic:blipFill>
                  <pic:spPr bwMode="auto">
                    <a:xfrm>
                      <a:off x="0" y="0"/>
                      <a:ext cx="2846239" cy="215742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rPr>
        <w:drawing>
          <wp:inline distT="0" distB="0" distL="0" distR="0" wp14:anchorId="0C1BF911" wp14:editId="38713B94">
            <wp:extent cx="2845613" cy="1898002"/>
            <wp:effectExtent l="0" t="0" r="0" b="7620"/>
            <wp:docPr id="791215351" name="Picture 4" descr="A stone slab with carv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15351" name="Picture 4" descr="A stone slab with carvings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738" cy="1918762"/>
                    </a:xfrm>
                    <a:prstGeom prst="rect">
                      <a:avLst/>
                    </a:prstGeom>
                    <a:noFill/>
                  </pic:spPr>
                </pic:pic>
              </a:graphicData>
            </a:graphic>
          </wp:inline>
        </w:drawing>
      </w:r>
    </w:p>
    <w:p w14:paraId="65058B6C" w14:textId="603492D2" w:rsidR="000C236B" w:rsidRPr="000C236B" w:rsidRDefault="000C236B" w:rsidP="000C236B">
      <w:pPr>
        <w:jc w:val="center"/>
        <w:rPr>
          <w:rFonts w:ascii="Times New Roman" w:hAnsi="Times New Roman" w:cs="Times New Roman"/>
          <w:sz w:val="16"/>
          <w:szCs w:val="16"/>
        </w:rPr>
      </w:pPr>
      <w:r>
        <w:rPr>
          <w:rFonts w:ascii="Times New Roman" w:hAnsi="Times New Roman" w:cs="Times New Roman"/>
          <w:sz w:val="16"/>
          <w:szCs w:val="16"/>
        </w:rPr>
        <w:t xml:space="preserve">Images from </w:t>
      </w:r>
      <w:r w:rsidR="00780A89" w:rsidRPr="00780A89">
        <w:rPr>
          <w:rFonts w:ascii="Times New Roman" w:hAnsi="Times New Roman" w:cs="Times New Roman"/>
          <w:sz w:val="16"/>
          <w:szCs w:val="16"/>
        </w:rPr>
        <w:t>PompeiiinPictures</w:t>
      </w:r>
    </w:p>
    <w:p w14:paraId="3717E5FD" w14:textId="77777777" w:rsidR="00DC7BC0" w:rsidRDefault="00DC7BC0" w:rsidP="00DC7BC0">
      <w:pPr>
        <w:jc w:val="both"/>
        <w:rPr>
          <w:rFonts w:ascii="Times New Roman" w:hAnsi="Times New Roman" w:cs="Times New Roman"/>
        </w:rPr>
      </w:pPr>
    </w:p>
    <w:p w14:paraId="3966BE6A" w14:textId="46CBA279" w:rsidR="00DC7BC0" w:rsidRDefault="00DE01EB" w:rsidP="00DC7BC0">
      <w:pPr>
        <w:jc w:val="both"/>
        <w:rPr>
          <w:rFonts w:ascii="Times New Roman" w:hAnsi="Times New Roman" w:cs="Times New Roman"/>
        </w:rPr>
      </w:pPr>
      <w:r>
        <w:rPr>
          <w:rFonts w:ascii="Times New Roman" w:hAnsi="Times New Roman" w:cs="Times New Roman"/>
          <w:noProof/>
        </w:rPr>
        <w:lastRenderedPageBreak/>
        <w:drawing>
          <wp:inline distT="0" distB="0" distL="0" distR="0" wp14:anchorId="27FC0F2D" wp14:editId="0DCB5845">
            <wp:extent cx="5588813" cy="4191610"/>
            <wp:effectExtent l="0" t="0" r="0" b="0"/>
            <wp:docPr id="20583220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7240" cy="4197930"/>
                    </a:xfrm>
                    <a:prstGeom prst="rect">
                      <a:avLst/>
                    </a:prstGeom>
                    <a:noFill/>
                  </pic:spPr>
                </pic:pic>
              </a:graphicData>
            </a:graphic>
          </wp:inline>
        </w:drawing>
      </w:r>
    </w:p>
    <w:p w14:paraId="79630E43" w14:textId="6C74D101" w:rsidR="00DE01EB" w:rsidRDefault="00DE01EB" w:rsidP="00DE01EB">
      <w:pPr>
        <w:jc w:val="center"/>
        <w:rPr>
          <w:rFonts w:ascii="Times New Roman" w:hAnsi="Times New Roman" w:cs="Times New Roman"/>
          <w:sz w:val="16"/>
          <w:szCs w:val="16"/>
        </w:rPr>
      </w:pPr>
      <w:r w:rsidRPr="00DE01EB">
        <w:rPr>
          <w:rFonts w:ascii="Times New Roman" w:hAnsi="Times New Roman" w:cs="Times New Roman"/>
          <w:sz w:val="16"/>
          <w:szCs w:val="16"/>
        </w:rPr>
        <w:t>North side of inner tomb with carved marble figure and paintings of cupids.</w:t>
      </w:r>
    </w:p>
    <w:p w14:paraId="0A6BB7A3" w14:textId="77777777" w:rsidR="00DE01EB" w:rsidRDefault="00DE01EB" w:rsidP="00DE01EB">
      <w:pPr>
        <w:jc w:val="both"/>
        <w:rPr>
          <w:rFonts w:ascii="Times New Roman" w:hAnsi="Times New Roman" w:cs="Times New Roman"/>
          <w:sz w:val="16"/>
          <w:szCs w:val="16"/>
        </w:rPr>
      </w:pPr>
    </w:p>
    <w:p w14:paraId="3936D9C8" w14:textId="404C247C" w:rsidR="00DE01EB" w:rsidRDefault="00DE01EB" w:rsidP="00DE01EB">
      <w:pPr>
        <w:jc w:val="center"/>
        <w:rPr>
          <w:rFonts w:ascii="Times New Roman" w:hAnsi="Times New Roman" w:cs="Times New Roman"/>
        </w:rPr>
      </w:pPr>
      <w:r>
        <w:rPr>
          <w:rFonts w:ascii="Times New Roman" w:hAnsi="Times New Roman" w:cs="Times New Roman"/>
          <w:noProof/>
        </w:rPr>
        <w:drawing>
          <wp:inline distT="0" distB="0" distL="0" distR="0" wp14:anchorId="264D82BE" wp14:editId="4B3F3C8F">
            <wp:extent cx="4579315" cy="3434487"/>
            <wp:effectExtent l="0" t="0" r="0" b="0"/>
            <wp:docPr id="12848964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9460" cy="3442096"/>
                    </a:xfrm>
                    <a:prstGeom prst="rect">
                      <a:avLst/>
                    </a:prstGeom>
                    <a:noFill/>
                  </pic:spPr>
                </pic:pic>
              </a:graphicData>
            </a:graphic>
          </wp:inline>
        </w:drawing>
      </w:r>
    </w:p>
    <w:p w14:paraId="153A9CA3" w14:textId="6A1A3242" w:rsidR="00DE01EB" w:rsidRDefault="00DE01EB" w:rsidP="00DE01EB">
      <w:pPr>
        <w:jc w:val="center"/>
        <w:rPr>
          <w:rFonts w:ascii="Times New Roman" w:hAnsi="Times New Roman" w:cs="Times New Roman"/>
          <w:sz w:val="16"/>
          <w:szCs w:val="16"/>
        </w:rPr>
      </w:pPr>
      <w:r w:rsidRPr="00DE01EB">
        <w:rPr>
          <w:rFonts w:ascii="Times New Roman" w:hAnsi="Times New Roman" w:cs="Times New Roman"/>
          <w:sz w:val="16"/>
          <w:szCs w:val="16"/>
        </w:rPr>
        <w:t>Relief of a man with a cornucopia on west side centre of inner tomb</w:t>
      </w:r>
    </w:p>
    <w:p w14:paraId="47C6D9C7" w14:textId="77777777" w:rsidR="00DE01EB" w:rsidRDefault="00DE01EB" w:rsidP="00DE01EB">
      <w:pPr>
        <w:jc w:val="center"/>
        <w:rPr>
          <w:rFonts w:ascii="Times New Roman" w:hAnsi="Times New Roman" w:cs="Times New Roman"/>
          <w:sz w:val="16"/>
          <w:szCs w:val="16"/>
        </w:rPr>
      </w:pPr>
    </w:p>
    <w:p w14:paraId="5DAC7B53" w14:textId="563A19F3" w:rsidR="00DE01EB" w:rsidRDefault="00DE01EB" w:rsidP="00DE01EB">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615C216E" wp14:editId="4EC68774">
            <wp:extent cx="5770880" cy="4161905"/>
            <wp:effectExtent l="0" t="0" r="1270" b="0"/>
            <wp:docPr id="1483294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a:extLst>
                        <a:ext uri="{28A0092B-C50C-407E-A947-70E740481C1C}">
                          <a14:useLocalDpi xmlns:a14="http://schemas.microsoft.com/office/drawing/2010/main" val="0"/>
                        </a:ext>
                      </a:extLst>
                    </a:blip>
                    <a:srcRect t="3841"/>
                    <a:stretch>
                      <a:fillRect/>
                    </a:stretch>
                  </pic:blipFill>
                  <pic:spPr bwMode="auto">
                    <a:xfrm>
                      <a:off x="0" y="0"/>
                      <a:ext cx="5792695" cy="4177638"/>
                    </a:xfrm>
                    <a:prstGeom prst="rect">
                      <a:avLst/>
                    </a:prstGeom>
                    <a:noFill/>
                    <a:ln>
                      <a:noFill/>
                    </a:ln>
                    <a:extLst>
                      <a:ext uri="{53640926-AAD7-44D8-BBD7-CCE9431645EC}">
                        <a14:shadowObscured xmlns:a14="http://schemas.microsoft.com/office/drawing/2010/main"/>
                      </a:ext>
                    </a:extLst>
                  </pic:spPr>
                </pic:pic>
              </a:graphicData>
            </a:graphic>
          </wp:inline>
        </w:drawing>
      </w:r>
    </w:p>
    <w:p w14:paraId="73451BB3" w14:textId="5AE37B44" w:rsidR="00DE01EB" w:rsidRDefault="00DE01EB" w:rsidP="00DE01EB">
      <w:pPr>
        <w:jc w:val="center"/>
        <w:rPr>
          <w:rFonts w:ascii="Times New Roman" w:hAnsi="Times New Roman" w:cs="Times New Roman"/>
          <w:sz w:val="16"/>
          <w:szCs w:val="16"/>
        </w:rPr>
      </w:pPr>
      <w:r w:rsidRPr="00DE01EB">
        <w:rPr>
          <w:rFonts w:ascii="Times New Roman" w:hAnsi="Times New Roman" w:cs="Times New Roman"/>
          <w:sz w:val="16"/>
          <w:szCs w:val="16"/>
        </w:rPr>
        <w:t>Inner side of west wall of tomb with entrance door on right</w:t>
      </w:r>
    </w:p>
    <w:p w14:paraId="360DF042" w14:textId="77777777" w:rsidR="00DE01EB" w:rsidRDefault="00DE01EB" w:rsidP="00DE01EB">
      <w:pPr>
        <w:jc w:val="center"/>
        <w:rPr>
          <w:rFonts w:ascii="Times New Roman" w:hAnsi="Times New Roman" w:cs="Times New Roman"/>
          <w:sz w:val="16"/>
          <w:szCs w:val="16"/>
        </w:rPr>
      </w:pPr>
    </w:p>
    <w:p w14:paraId="1A1D64F3" w14:textId="029E5B67" w:rsidR="00DE01EB" w:rsidRDefault="00DE01EB" w:rsidP="00DE01EB">
      <w:pPr>
        <w:jc w:val="center"/>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191C696C" wp14:editId="65EC3959">
            <wp:extent cx="5694221" cy="3798001"/>
            <wp:effectExtent l="0" t="0" r="1905" b="0"/>
            <wp:docPr id="19242840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0581" cy="3802243"/>
                    </a:xfrm>
                    <a:prstGeom prst="rect">
                      <a:avLst/>
                    </a:prstGeom>
                    <a:noFill/>
                  </pic:spPr>
                </pic:pic>
              </a:graphicData>
            </a:graphic>
          </wp:inline>
        </w:drawing>
      </w:r>
    </w:p>
    <w:p w14:paraId="4E8BC962" w14:textId="7DCB0572" w:rsidR="00DE01EB" w:rsidRPr="00DE01EB" w:rsidRDefault="00DE01EB" w:rsidP="00DE01EB">
      <w:pPr>
        <w:jc w:val="center"/>
        <w:rPr>
          <w:rFonts w:ascii="Times New Roman" w:hAnsi="Times New Roman" w:cs="Times New Roman"/>
          <w:sz w:val="16"/>
          <w:szCs w:val="16"/>
        </w:rPr>
      </w:pPr>
      <w:r w:rsidRPr="00DE01EB">
        <w:rPr>
          <w:rFonts w:ascii="Times New Roman" w:hAnsi="Times New Roman" w:cs="Times New Roman"/>
          <w:sz w:val="16"/>
          <w:szCs w:val="16"/>
        </w:rPr>
        <w:t>Painting of circular table or altar at south-east corner. On the top are dates, eggs and nuts, in front is a swan and fruit.</w:t>
      </w:r>
    </w:p>
    <w:p w14:paraId="752CAFB6" w14:textId="77777777" w:rsidR="00DE01EB" w:rsidRDefault="00DE01EB" w:rsidP="00DE01EB">
      <w:pPr>
        <w:jc w:val="center"/>
        <w:rPr>
          <w:rFonts w:ascii="Times New Roman" w:hAnsi="Times New Roman" w:cs="Times New Roman"/>
        </w:rPr>
      </w:pPr>
    </w:p>
    <w:p w14:paraId="00CBB786" w14:textId="3DE281BC" w:rsidR="00DE01EB" w:rsidRDefault="00DE01EB" w:rsidP="00DE01EB">
      <w:pPr>
        <w:jc w:val="center"/>
        <w:rPr>
          <w:rFonts w:ascii="Times New Roman" w:hAnsi="Times New Roman" w:cs="Times New Roman"/>
        </w:rPr>
      </w:pPr>
      <w:r>
        <w:rPr>
          <w:rFonts w:ascii="Times New Roman" w:hAnsi="Times New Roman" w:cs="Times New Roman"/>
          <w:noProof/>
        </w:rPr>
        <w:drawing>
          <wp:inline distT="0" distB="0" distL="0" distR="0" wp14:anchorId="628E0924" wp14:editId="33A48FCF">
            <wp:extent cx="5213267" cy="6951023"/>
            <wp:effectExtent l="0" t="0" r="6985" b="2540"/>
            <wp:docPr id="5542518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6171" cy="6954895"/>
                    </a:xfrm>
                    <a:prstGeom prst="rect">
                      <a:avLst/>
                    </a:prstGeom>
                    <a:noFill/>
                  </pic:spPr>
                </pic:pic>
              </a:graphicData>
            </a:graphic>
          </wp:inline>
        </w:drawing>
      </w:r>
    </w:p>
    <w:p w14:paraId="190A3F5F" w14:textId="4A90D1DF" w:rsidR="00DE01EB" w:rsidRDefault="00DE01EB" w:rsidP="00DE01EB">
      <w:pPr>
        <w:jc w:val="center"/>
        <w:rPr>
          <w:rFonts w:ascii="Times New Roman" w:hAnsi="Times New Roman" w:cs="Times New Roman"/>
          <w:sz w:val="16"/>
          <w:szCs w:val="16"/>
        </w:rPr>
      </w:pPr>
      <w:r w:rsidRPr="00DE01EB">
        <w:rPr>
          <w:rFonts w:ascii="Times New Roman" w:hAnsi="Times New Roman" w:cs="Times New Roman"/>
          <w:sz w:val="16"/>
          <w:szCs w:val="16"/>
        </w:rPr>
        <w:t>Inner side of north wall of tomb</w:t>
      </w:r>
    </w:p>
    <w:p w14:paraId="40E3E989" w14:textId="77777777" w:rsidR="00DE01EB" w:rsidRDefault="00DE01EB" w:rsidP="00DE01EB">
      <w:pPr>
        <w:jc w:val="center"/>
        <w:rPr>
          <w:rFonts w:ascii="Times New Roman" w:hAnsi="Times New Roman" w:cs="Times New Roman"/>
          <w:sz w:val="16"/>
          <w:szCs w:val="16"/>
        </w:rPr>
      </w:pPr>
    </w:p>
    <w:p w14:paraId="7864D78C" w14:textId="2F20E06B" w:rsidR="00DE01EB" w:rsidRDefault="00DE01EB" w:rsidP="00DE01EB">
      <w:pPr>
        <w:jc w:val="center"/>
        <w:rPr>
          <w:rFonts w:ascii="Times New Roman" w:hAnsi="Times New Roman" w:cs="Times New Roman"/>
          <w:sz w:val="16"/>
          <w:szCs w:val="16"/>
        </w:rPr>
      </w:pPr>
      <w:r>
        <w:rPr>
          <w:rFonts w:ascii="Times New Roman" w:hAnsi="Times New Roman" w:cs="Times New Roman"/>
          <w:noProof/>
          <w:sz w:val="16"/>
          <w:szCs w:val="16"/>
        </w:rPr>
        <w:lastRenderedPageBreak/>
        <w:drawing>
          <wp:inline distT="0" distB="0" distL="0" distR="0" wp14:anchorId="62BFA170" wp14:editId="24E99143">
            <wp:extent cx="5066806" cy="3800104"/>
            <wp:effectExtent l="0" t="0" r="635" b="0"/>
            <wp:docPr id="1685306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6271" cy="3807202"/>
                    </a:xfrm>
                    <a:prstGeom prst="rect">
                      <a:avLst/>
                    </a:prstGeom>
                    <a:noFill/>
                  </pic:spPr>
                </pic:pic>
              </a:graphicData>
            </a:graphic>
          </wp:inline>
        </w:drawing>
      </w:r>
    </w:p>
    <w:p w14:paraId="6F79283D" w14:textId="72591052" w:rsidR="00DE01EB" w:rsidRDefault="00DE01EB" w:rsidP="00DE01EB">
      <w:pPr>
        <w:jc w:val="center"/>
        <w:rPr>
          <w:rFonts w:ascii="Times New Roman" w:hAnsi="Times New Roman" w:cs="Times New Roman"/>
          <w:sz w:val="16"/>
          <w:szCs w:val="16"/>
        </w:rPr>
      </w:pPr>
      <w:r w:rsidRPr="00DE01EB">
        <w:rPr>
          <w:rFonts w:ascii="Times New Roman" w:hAnsi="Times New Roman" w:cs="Times New Roman"/>
          <w:sz w:val="16"/>
          <w:szCs w:val="16"/>
        </w:rPr>
        <w:t>Inner tomb east wall with painting of seated aedile</w:t>
      </w:r>
    </w:p>
    <w:p w14:paraId="2AFC0DC8" w14:textId="77777777" w:rsidR="00DE01EB" w:rsidRDefault="00DE01EB" w:rsidP="00DE01EB">
      <w:pPr>
        <w:jc w:val="center"/>
        <w:rPr>
          <w:rFonts w:ascii="Times New Roman" w:hAnsi="Times New Roman" w:cs="Times New Roman"/>
          <w:sz w:val="16"/>
          <w:szCs w:val="16"/>
        </w:rPr>
      </w:pPr>
    </w:p>
    <w:p w14:paraId="5DC973C3" w14:textId="6C0E9BD8" w:rsidR="00DE01EB" w:rsidRDefault="00DE01EB" w:rsidP="00DE01EB">
      <w:pPr>
        <w:jc w:val="center"/>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66C564FD" wp14:editId="377AF24D">
            <wp:extent cx="5510150" cy="4132612"/>
            <wp:effectExtent l="0" t="0" r="0" b="1270"/>
            <wp:docPr id="5341979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7410" cy="4138057"/>
                    </a:xfrm>
                    <a:prstGeom prst="rect">
                      <a:avLst/>
                    </a:prstGeom>
                    <a:noFill/>
                  </pic:spPr>
                </pic:pic>
              </a:graphicData>
            </a:graphic>
          </wp:inline>
        </w:drawing>
      </w:r>
    </w:p>
    <w:p w14:paraId="36469A45" w14:textId="6D1109AF" w:rsidR="00DE01EB" w:rsidRDefault="00DE01EB" w:rsidP="00DE01EB">
      <w:pPr>
        <w:jc w:val="center"/>
        <w:rPr>
          <w:rFonts w:ascii="Times New Roman" w:hAnsi="Times New Roman" w:cs="Times New Roman"/>
          <w:sz w:val="16"/>
          <w:szCs w:val="16"/>
        </w:rPr>
      </w:pPr>
      <w:r w:rsidRPr="00DE01EB">
        <w:rPr>
          <w:rFonts w:ascii="Times New Roman" w:hAnsi="Times New Roman" w:cs="Times New Roman"/>
          <w:sz w:val="16"/>
          <w:szCs w:val="16"/>
        </w:rPr>
        <w:t>Inner tomb south wall with painting</w:t>
      </w:r>
      <w:r>
        <w:rPr>
          <w:rFonts w:ascii="Times New Roman" w:hAnsi="Times New Roman" w:cs="Times New Roman"/>
          <w:sz w:val="16"/>
          <w:szCs w:val="16"/>
        </w:rPr>
        <w:t xml:space="preserve"> of a (funerary) banquet</w:t>
      </w:r>
    </w:p>
    <w:p w14:paraId="1C4DF35B" w14:textId="216B09A4" w:rsidR="00DE01EB" w:rsidRDefault="00DE01EB" w:rsidP="00DE01EB">
      <w:pPr>
        <w:jc w:val="center"/>
        <w:rPr>
          <w:rFonts w:ascii="Times New Roman" w:hAnsi="Times New Roman" w:cs="Times New Roman"/>
          <w:sz w:val="16"/>
          <w:szCs w:val="16"/>
        </w:rPr>
      </w:pPr>
      <w:r>
        <w:rPr>
          <w:rFonts w:ascii="Times New Roman" w:hAnsi="Times New Roman" w:cs="Times New Roman"/>
          <w:noProof/>
          <w:sz w:val="16"/>
          <w:szCs w:val="16"/>
        </w:rPr>
        <w:lastRenderedPageBreak/>
        <w:drawing>
          <wp:inline distT="0" distB="0" distL="0" distR="0" wp14:anchorId="6EB286B5" wp14:editId="16240B95">
            <wp:extent cx="5047013" cy="3785260"/>
            <wp:effectExtent l="0" t="0" r="1270" b="5715"/>
            <wp:docPr id="20483335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4249" cy="3798187"/>
                    </a:xfrm>
                    <a:prstGeom prst="rect">
                      <a:avLst/>
                    </a:prstGeom>
                    <a:noFill/>
                  </pic:spPr>
                </pic:pic>
              </a:graphicData>
            </a:graphic>
          </wp:inline>
        </w:drawing>
      </w:r>
    </w:p>
    <w:p w14:paraId="520ABB7C" w14:textId="44678D4F" w:rsidR="00DE01EB" w:rsidRDefault="00DE01EB" w:rsidP="00DE01EB">
      <w:pPr>
        <w:jc w:val="center"/>
        <w:rPr>
          <w:rFonts w:ascii="Times New Roman" w:hAnsi="Times New Roman" w:cs="Times New Roman"/>
          <w:sz w:val="16"/>
          <w:szCs w:val="16"/>
        </w:rPr>
      </w:pPr>
      <w:r w:rsidRPr="00DE01EB">
        <w:rPr>
          <w:rFonts w:ascii="Times New Roman" w:hAnsi="Times New Roman" w:cs="Times New Roman"/>
          <w:sz w:val="16"/>
          <w:szCs w:val="16"/>
        </w:rPr>
        <w:t>West wall of inner tomb with painting of writing implements and money on a table.</w:t>
      </w:r>
    </w:p>
    <w:p w14:paraId="387AE351" w14:textId="77777777" w:rsidR="00DE01EB" w:rsidRDefault="00DE01EB" w:rsidP="00DE01EB">
      <w:pPr>
        <w:jc w:val="center"/>
        <w:rPr>
          <w:rFonts w:ascii="Times New Roman" w:hAnsi="Times New Roman" w:cs="Times New Roman"/>
          <w:sz w:val="16"/>
          <w:szCs w:val="16"/>
        </w:rPr>
      </w:pPr>
    </w:p>
    <w:p w14:paraId="1567E1ED" w14:textId="6B5ACC90" w:rsidR="00DE01EB" w:rsidRDefault="00413AC9" w:rsidP="00DE01EB">
      <w:pPr>
        <w:jc w:val="center"/>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6F2186F0" wp14:editId="6AFD7B8A">
            <wp:extent cx="4472653" cy="2897060"/>
            <wp:effectExtent l="0" t="0" r="4445" b="0"/>
            <wp:docPr id="11692469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7">
                      <a:extLst>
                        <a:ext uri="{28A0092B-C50C-407E-A947-70E740481C1C}">
                          <a14:useLocalDpi xmlns:a14="http://schemas.microsoft.com/office/drawing/2010/main" val="0"/>
                        </a:ext>
                      </a:extLst>
                    </a:blip>
                    <a:srcRect b="51420"/>
                    <a:stretch>
                      <a:fillRect/>
                    </a:stretch>
                  </pic:blipFill>
                  <pic:spPr bwMode="auto">
                    <a:xfrm>
                      <a:off x="0" y="0"/>
                      <a:ext cx="4477106" cy="2899945"/>
                    </a:xfrm>
                    <a:prstGeom prst="rect">
                      <a:avLst/>
                    </a:prstGeom>
                    <a:noFill/>
                    <a:ln>
                      <a:noFill/>
                    </a:ln>
                    <a:extLst>
                      <a:ext uri="{53640926-AAD7-44D8-BBD7-CCE9431645EC}">
                        <a14:shadowObscured xmlns:a14="http://schemas.microsoft.com/office/drawing/2010/main"/>
                      </a:ext>
                    </a:extLst>
                  </pic:spPr>
                </pic:pic>
              </a:graphicData>
            </a:graphic>
          </wp:inline>
        </w:drawing>
      </w:r>
    </w:p>
    <w:p w14:paraId="5EA0AAFA" w14:textId="76E9D21B" w:rsidR="00413AC9" w:rsidRDefault="00413AC9" w:rsidP="00DE01EB">
      <w:pPr>
        <w:jc w:val="center"/>
        <w:rPr>
          <w:rFonts w:ascii="Times New Roman" w:hAnsi="Times New Roman" w:cs="Times New Roman"/>
          <w:sz w:val="16"/>
          <w:szCs w:val="16"/>
        </w:rPr>
      </w:pPr>
      <w:r w:rsidRPr="00413AC9">
        <w:rPr>
          <w:rFonts w:ascii="Times New Roman" w:hAnsi="Times New Roman" w:cs="Times New Roman"/>
          <w:sz w:val="16"/>
          <w:szCs w:val="16"/>
        </w:rPr>
        <w:t>West end of inner side of north wall with painting of pomegranate tree laden with ripe fruits</w:t>
      </w:r>
    </w:p>
    <w:p w14:paraId="21C0CFB3" w14:textId="77777777" w:rsidR="00413AC9" w:rsidRDefault="00413AC9" w:rsidP="00DE01EB">
      <w:pPr>
        <w:jc w:val="center"/>
        <w:rPr>
          <w:rFonts w:ascii="Times New Roman" w:hAnsi="Times New Roman" w:cs="Times New Roman"/>
        </w:rPr>
      </w:pPr>
    </w:p>
    <w:p w14:paraId="2116CCB8" w14:textId="4B9AD9C4" w:rsidR="00413AC9" w:rsidRDefault="00171C30" w:rsidP="00413AC9">
      <w:pPr>
        <w:jc w:val="both"/>
        <w:rPr>
          <w:rFonts w:ascii="Times New Roman" w:hAnsi="Times New Roman" w:cs="Times New Roman"/>
          <w:b/>
          <w:bCs/>
        </w:rPr>
      </w:pPr>
      <w:r>
        <w:rPr>
          <w:rFonts w:ascii="Times New Roman" w:hAnsi="Times New Roman" w:cs="Times New Roman"/>
          <w:b/>
          <w:bCs/>
        </w:rPr>
        <w:t xml:space="preserve">What can the funerary epitaph and the imagery tell us both about the life of </w:t>
      </w:r>
      <w:r w:rsidRPr="00171C30">
        <w:rPr>
          <w:rFonts w:ascii="Times New Roman" w:hAnsi="Times New Roman" w:cs="Times New Roman"/>
          <w:b/>
          <w:bCs/>
        </w:rPr>
        <w:t>Gaius Vestorius Priscus</w:t>
      </w:r>
      <w:r>
        <w:rPr>
          <w:rFonts w:ascii="Times New Roman" w:hAnsi="Times New Roman" w:cs="Times New Roman"/>
          <w:b/>
          <w:bCs/>
        </w:rPr>
        <w:t xml:space="preserve"> and his death? </w:t>
      </w:r>
    </w:p>
    <w:p w14:paraId="53B5CCE4" w14:textId="7E43CE22" w:rsidR="00171C30" w:rsidRDefault="00171C30" w:rsidP="00413AC9">
      <w:pPr>
        <w:jc w:val="both"/>
        <w:rPr>
          <w:rFonts w:ascii="Times New Roman" w:hAnsi="Times New Roman" w:cs="Times New Roman"/>
          <w:b/>
          <w:bCs/>
        </w:rPr>
      </w:pPr>
      <w:r>
        <w:rPr>
          <w:rFonts w:ascii="Times New Roman" w:hAnsi="Times New Roman" w:cs="Times New Roman"/>
          <w:b/>
          <w:bCs/>
        </w:rPr>
        <w:t xml:space="preserve">Can we guess at why he received such honours? </w:t>
      </w:r>
    </w:p>
    <w:p w14:paraId="40C8156F" w14:textId="2BFAE10B" w:rsidR="00DE27CA" w:rsidRPr="00DE27CA" w:rsidRDefault="00DE27CA" w:rsidP="00413AC9">
      <w:pPr>
        <w:jc w:val="both"/>
        <w:rPr>
          <w:rFonts w:ascii="Times New Roman" w:hAnsi="Times New Roman" w:cs="Times New Roman"/>
          <w:b/>
          <w:bCs/>
          <w:sz w:val="28"/>
          <w:szCs w:val="28"/>
          <w:u w:val="single"/>
        </w:rPr>
      </w:pPr>
      <w:r w:rsidRPr="00DE27CA">
        <w:rPr>
          <w:rFonts w:ascii="Times New Roman" w:hAnsi="Times New Roman" w:cs="Times New Roman"/>
          <w:b/>
          <w:bCs/>
          <w:sz w:val="28"/>
          <w:szCs w:val="28"/>
          <w:u w:val="single"/>
        </w:rPr>
        <w:lastRenderedPageBreak/>
        <w:t xml:space="preserve">Funerary </w:t>
      </w:r>
      <w:r w:rsidRPr="00DE27CA">
        <w:rPr>
          <w:rFonts w:ascii="Times New Roman" w:hAnsi="Times New Roman" w:cs="Times New Roman"/>
          <w:b/>
          <w:bCs/>
          <w:i/>
          <w:iCs/>
          <w:sz w:val="28"/>
          <w:szCs w:val="28"/>
          <w:u w:val="single"/>
        </w:rPr>
        <w:t>pompa</w:t>
      </w:r>
    </w:p>
    <w:p w14:paraId="021F396D" w14:textId="0E0B22B1" w:rsidR="00171C30" w:rsidRDefault="00DE27CA" w:rsidP="00413AC9">
      <w:pPr>
        <w:jc w:val="both"/>
        <w:rPr>
          <w:rFonts w:ascii="Times New Roman" w:hAnsi="Times New Roman" w:cs="Times New Roman"/>
        </w:rPr>
      </w:pPr>
      <w:r w:rsidRPr="00DE27CA">
        <w:rPr>
          <w:rFonts w:ascii="Times New Roman" w:hAnsi="Times New Roman" w:cs="Times New Roman"/>
        </w:rPr>
        <w:t>Whenever any illustrious man dies, he is carried at his funeral into the Forum to the so-called rostra, sometimes conspicuous in an upright posture and more rarely reclined. Here with all the people standing round, a grown-up son, if he has one left who happens to be present, or if not some other relative mounts the rostra and discourses on the virtues and successful achievements of the dead. As a consequence the multitude and not only those who had a part in these achievements, but those also who had none, when the acts are recalled to their minds and brought before their eyes, are moved to such sympathy that the loss seems to be not confined to the mourners, but a public one affecting the whole people.</w:t>
      </w:r>
      <w:r>
        <w:rPr>
          <w:rFonts w:ascii="Times New Roman" w:hAnsi="Times New Roman" w:cs="Times New Roman"/>
        </w:rPr>
        <w:t xml:space="preserve"> </w:t>
      </w:r>
      <w:r w:rsidR="00F80FC4">
        <w:rPr>
          <w:rFonts w:ascii="Times New Roman" w:hAnsi="Times New Roman" w:cs="Times New Roman"/>
        </w:rPr>
        <w:t xml:space="preserve">–  </w:t>
      </w:r>
      <w:r>
        <w:rPr>
          <w:rFonts w:ascii="Times New Roman" w:hAnsi="Times New Roman" w:cs="Times New Roman"/>
        </w:rPr>
        <w:t xml:space="preserve">Polybius 6.53 </w:t>
      </w:r>
      <w:r w:rsidR="00F80FC4">
        <w:rPr>
          <w:rFonts w:ascii="Times New Roman" w:hAnsi="Times New Roman" w:cs="Times New Roman"/>
        </w:rPr>
        <w:t>[</w:t>
      </w:r>
      <w:r>
        <w:rPr>
          <w:rFonts w:ascii="Times New Roman" w:hAnsi="Times New Roman" w:cs="Times New Roman"/>
        </w:rPr>
        <w:t>Transl. Loeb Classical Library).</w:t>
      </w:r>
    </w:p>
    <w:p w14:paraId="7564568B" w14:textId="1B6E22AD" w:rsidR="00E610E5" w:rsidRDefault="00E610E5" w:rsidP="00413AC9">
      <w:pPr>
        <w:jc w:val="both"/>
        <w:rPr>
          <w:rFonts w:ascii="Times New Roman" w:hAnsi="Times New Roman" w:cs="Times New Roman"/>
        </w:rPr>
      </w:pPr>
      <w:r w:rsidRPr="00E610E5">
        <w:rPr>
          <w:rFonts w:ascii="Times New Roman" w:hAnsi="Times New Roman" w:cs="Times New Roman"/>
        </w:rPr>
        <w:t xml:space="preserve">But on the contrary, in the days of our ancestors, it was these that were to be seen in their halls, and not statues made by foreign artists, or works in bronze or marble: portraits modelled in wax were arranged, each in its separate niche, to be always in readiness to accompany the funeral processions of the family; occasions on which every member of the family that had ever existed was always present. The pedigree, too, of the individual was traced in lines upon each of these coloured portraits. Their muniment-rooms, too, were filled with archives and memoirs, stating what each had done when holding the magistracy. – Pliny </w:t>
      </w:r>
      <w:r>
        <w:rPr>
          <w:rFonts w:ascii="Times New Roman" w:hAnsi="Times New Roman" w:cs="Times New Roman"/>
          <w:i/>
          <w:iCs/>
        </w:rPr>
        <w:t>HN</w:t>
      </w:r>
      <w:r w:rsidRPr="00E610E5">
        <w:rPr>
          <w:rFonts w:ascii="Times New Roman" w:hAnsi="Times New Roman" w:cs="Times New Roman"/>
        </w:rPr>
        <w:t xml:space="preserve"> 35.4-6</w:t>
      </w:r>
      <w:r>
        <w:rPr>
          <w:rFonts w:ascii="Times New Roman" w:hAnsi="Times New Roman" w:cs="Times New Roman"/>
        </w:rPr>
        <w:t xml:space="preserve"> [Transl. </w:t>
      </w:r>
      <w:r w:rsidRPr="00E610E5">
        <w:rPr>
          <w:rFonts w:ascii="Times New Roman" w:hAnsi="Times New Roman" w:cs="Times New Roman"/>
        </w:rPr>
        <w:t>J</w:t>
      </w:r>
      <w:r>
        <w:rPr>
          <w:rFonts w:ascii="Times New Roman" w:hAnsi="Times New Roman" w:cs="Times New Roman"/>
        </w:rPr>
        <w:t>.</w:t>
      </w:r>
      <w:r w:rsidRPr="00E610E5">
        <w:rPr>
          <w:rFonts w:ascii="Times New Roman" w:hAnsi="Times New Roman" w:cs="Times New Roman"/>
        </w:rPr>
        <w:t xml:space="preserve"> Bostock and H</w:t>
      </w:r>
      <w:r>
        <w:rPr>
          <w:rFonts w:ascii="Times New Roman" w:hAnsi="Times New Roman" w:cs="Times New Roman"/>
        </w:rPr>
        <w:t>.</w:t>
      </w:r>
      <w:r w:rsidRPr="00E610E5">
        <w:rPr>
          <w:rFonts w:ascii="Times New Roman" w:hAnsi="Times New Roman" w:cs="Times New Roman"/>
        </w:rPr>
        <w:t xml:space="preserve"> T. Riley</w:t>
      </w:r>
      <w:r>
        <w:rPr>
          <w:rFonts w:ascii="Times New Roman" w:hAnsi="Times New Roman" w:cs="Times New Roman"/>
        </w:rPr>
        <w:t xml:space="preserve"> 1857]</w:t>
      </w:r>
    </w:p>
    <w:p w14:paraId="31CDB8AC" w14:textId="5195A83F" w:rsidR="00DE27CA" w:rsidRDefault="00E610E5" w:rsidP="00413AC9">
      <w:pPr>
        <w:jc w:val="both"/>
        <w:rPr>
          <w:rFonts w:ascii="Times New Roman" w:hAnsi="Times New Roman" w:cs="Times New Roman"/>
        </w:rPr>
      </w:pPr>
      <w:r w:rsidRPr="00E610E5">
        <w:rPr>
          <w:rFonts w:ascii="Times New Roman" w:hAnsi="Times New Roman" w:cs="Times New Roman"/>
        </w:rPr>
        <w:t xml:space="preserve">Let the neighbours praise the handsome funeral… </w:t>
      </w:r>
      <w:r>
        <w:rPr>
          <w:rFonts w:ascii="Times New Roman" w:hAnsi="Times New Roman" w:cs="Times New Roman"/>
        </w:rPr>
        <w:t>–</w:t>
      </w:r>
      <w:r w:rsidRPr="00E610E5">
        <w:rPr>
          <w:rFonts w:ascii="Times New Roman" w:hAnsi="Times New Roman" w:cs="Times New Roman"/>
        </w:rPr>
        <w:t xml:space="preserve"> Horace </w:t>
      </w:r>
      <w:r w:rsidRPr="00E610E5">
        <w:rPr>
          <w:rFonts w:ascii="Times New Roman" w:hAnsi="Times New Roman" w:cs="Times New Roman"/>
          <w:i/>
          <w:iCs/>
        </w:rPr>
        <w:t>Sat</w:t>
      </w:r>
      <w:r w:rsidRPr="00E610E5">
        <w:rPr>
          <w:rFonts w:ascii="Times New Roman" w:hAnsi="Times New Roman" w:cs="Times New Roman"/>
        </w:rPr>
        <w:t>. 2.5.106.</w:t>
      </w:r>
    </w:p>
    <w:p w14:paraId="4F70D1B8" w14:textId="77777777" w:rsidR="00AE4DEC" w:rsidRDefault="00AE4DEC" w:rsidP="00413AC9">
      <w:pPr>
        <w:jc w:val="both"/>
        <w:rPr>
          <w:rFonts w:ascii="Times New Roman" w:hAnsi="Times New Roman" w:cs="Times New Roman"/>
        </w:rPr>
      </w:pPr>
    </w:p>
    <w:p w14:paraId="630F6A31" w14:textId="2AA3277B" w:rsidR="00D147DB" w:rsidRDefault="00D147DB" w:rsidP="00413AC9">
      <w:pPr>
        <w:jc w:val="both"/>
        <w:rPr>
          <w:rFonts w:ascii="Times New Roman" w:hAnsi="Times New Roman" w:cs="Times New Roman"/>
          <w:b/>
          <w:bCs/>
        </w:rPr>
      </w:pPr>
      <w:r w:rsidRPr="00D147DB">
        <w:rPr>
          <w:rFonts w:ascii="Times New Roman" w:hAnsi="Times New Roman" w:cs="Times New Roman"/>
          <w:b/>
          <w:bCs/>
        </w:rPr>
        <w:t>Funerary epitaph of Arellia Tertulla</w:t>
      </w:r>
    </w:p>
    <w:p w14:paraId="1C4464B5" w14:textId="7D5F7CFA" w:rsidR="00D147DB" w:rsidRPr="00D147DB" w:rsidRDefault="00D147DB" w:rsidP="00413AC9">
      <w:pPr>
        <w:jc w:val="both"/>
        <w:rPr>
          <w:rFonts w:ascii="Times New Roman" w:hAnsi="Times New Roman" w:cs="Times New Roman"/>
        </w:rPr>
      </w:pPr>
      <w:r>
        <w:rPr>
          <w:rFonts w:ascii="Times New Roman" w:hAnsi="Times New Roman" w:cs="Times New Roman"/>
        </w:rPr>
        <w:t xml:space="preserve">This epitaph is </w:t>
      </w:r>
      <w:r w:rsidR="009E0D9A">
        <w:rPr>
          <w:rFonts w:ascii="Times New Roman" w:hAnsi="Times New Roman" w:cs="Times New Roman"/>
        </w:rPr>
        <w:t>on</w:t>
      </w:r>
      <w:r w:rsidR="009B2CDA">
        <w:rPr>
          <w:rFonts w:ascii="Times New Roman" w:hAnsi="Times New Roman" w:cs="Times New Roman"/>
        </w:rPr>
        <w:t xml:space="preserve">ly </w:t>
      </w:r>
      <w:r w:rsidR="009E0D9A">
        <w:rPr>
          <w:rFonts w:ascii="Times New Roman" w:hAnsi="Times New Roman" w:cs="Times New Roman"/>
        </w:rPr>
        <w:t xml:space="preserve">attestation of a </w:t>
      </w:r>
      <w:r w:rsidR="009B2CDA">
        <w:rPr>
          <w:rFonts w:ascii="Times New Roman" w:hAnsi="Times New Roman" w:cs="Times New Roman"/>
        </w:rPr>
        <w:t xml:space="preserve">fully funded </w:t>
      </w:r>
      <w:r w:rsidR="009E0D9A">
        <w:rPr>
          <w:rFonts w:ascii="Times New Roman" w:hAnsi="Times New Roman" w:cs="Times New Roman"/>
        </w:rPr>
        <w:t>public</w:t>
      </w:r>
      <w:r w:rsidR="00BC3244">
        <w:rPr>
          <w:rFonts w:ascii="Times New Roman" w:hAnsi="Times New Roman" w:cs="Times New Roman"/>
        </w:rPr>
        <w:t xml:space="preserve"> funeral</w:t>
      </w:r>
      <w:r w:rsidR="009E0D9A">
        <w:rPr>
          <w:rFonts w:ascii="Times New Roman" w:hAnsi="Times New Roman" w:cs="Times New Roman"/>
        </w:rPr>
        <w:t xml:space="preserve"> (i.e., </w:t>
      </w:r>
      <w:r w:rsidR="009B2CDA">
        <w:rPr>
          <w:rFonts w:ascii="Times New Roman" w:hAnsi="Times New Roman" w:cs="Times New Roman"/>
        </w:rPr>
        <w:t xml:space="preserve">completely </w:t>
      </w:r>
      <w:r w:rsidR="00BC3244">
        <w:rPr>
          <w:rFonts w:ascii="Times New Roman" w:hAnsi="Times New Roman" w:cs="Times New Roman"/>
        </w:rPr>
        <w:t xml:space="preserve">paid for by public funds) </w:t>
      </w:r>
      <w:r w:rsidR="009B2CDA">
        <w:rPr>
          <w:rFonts w:ascii="Times New Roman" w:hAnsi="Times New Roman" w:cs="Times New Roman"/>
        </w:rPr>
        <w:t xml:space="preserve">that </w:t>
      </w:r>
      <w:r w:rsidR="00BC3244">
        <w:rPr>
          <w:rFonts w:ascii="Times New Roman" w:hAnsi="Times New Roman" w:cs="Times New Roman"/>
        </w:rPr>
        <w:t>we have from Pompeii</w:t>
      </w:r>
      <w:r w:rsidR="009B2CDA">
        <w:rPr>
          <w:rFonts w:ascii="Times New Roman" w:hAnsi="Times New Roman" w:cs="Times New Roman"/>
        </w:rPr>
        <w:t>, although there are other examples of partially funded funerals (i.e., the decurions award some funds</w:t>
      </w:r>
      <w:r w:rsidR="006C3BCB">
        <w:rPr>
          <w:rFonts w:ascii="Times New Roman" w:hAnsi="Times New Roman" w:cs="Times New Roman"/>
        </w:rPr>
        <w:t xml:space="preserve">, see above and below). </w:t>
      </w:r>
    </w:p>
    <w:p w14:paraId="2D5839DC" w14:textId="45F1A9E4" w:rsidR="00350D3E" w:rsidRDefault="00056C1F" w:rsidP="00413AC9">
      <w:pPr>
        <w:jc w:val="both"/>
        <w:rPr>
          <w:rFonts w:ascii="Times New Roman" w:hAnsi="Times New Roman" w:cs="Times New Roman"/>
        </w:rPr>
      </w:pPr>
      <w:r w:rsidRPr="00056C1F">
        <w:rPr>
          <w:rFonts w:ascii="Times New Roman" w:hAnsi="Times New Roman" w:cs="Times New Roman"/>
        </w:rPr>
        <w:t>To Arellia Tertulla, daughter of Numerius, (wife) of Veius Fronto. To her the decurions gave the place for burial and a funeral with public money by decree after her death</w:t>
      </w:r>
      <w:r>
        <w:rPr>
          <w:rFonts w:ascii="Times New Roman" w:hAnsi="Times New Roman" w:cs="Times New Roman"/>
        </w:rPr>
        <w:t xml:space="preserve">. </w:t>
      </w:r>
      <w:r w:rsidR="00350D3E" w:rsidRPr="00350D3E">
        <w:rPr>
          <w:rFonts w:ascii="Times New Roman" w:hAnsi="Times New Roman" w:cs="Times New Roman"/>
        </w:rPr>
        <w:t>(</w:t>
      </w:r>
      <w:r w:rsidR="00350D3E" w:rsidRPr="00056C1F">
        <w:rPr>
          <w:rFonts w:ascii="Times New Roman" w:hAnsi="Times New Roman" w:cs="Times New Roman"/>
          <w:i/>
          <w:iCs/>
        </w:rPr>
        <w:t>NSA</w:t>
      </w:r>
      <w:r w:rsidR="00350D3E" w:rsidRPr="00350D3E">
        <w:rPr>
          <w:rFonts w:ascii="Times New Roman" w:hAnsi="Times New Roman" w:cs="Times New Roman"/>
        </w:rPr>
        <w:t xml:space="preserve"> 1910, 405)</w:t>
      </w:r>
      <w:r>
        <w:rPr>
          <w:rFonts w:ascii="Times New Roman" w:hAnsi="Times New Roman" w:cs="Times New Roman"/>
        </w:rPr>
        <w:t xml:space="preserve"> – Transl. V. Campbell 2021: </w:t>
      </w:r>
      <w:r w:rsidR="00D147DB">
        <w:rPr>
          <w:rFonts w:ascii="Times New Roman" w:hAnsi="Times New Roman" w:cs="Times New Roman"/>
        </w:rPr>
        <w:t>151.</w:t>
      </w:r>
      <w:r>
        <w:rPr>
          <w:rFonts w:ascii="Times New Roman" w:hAnsi="Times New Roman" w:cs="Times New Roman"/>
        </w:rPr>
        <w:t xml:space="preserve"> </w:t>
      </w:r>
    </w:p>
    <w:p w14:paraId="3A7E463C" w14:textId="77777777" w:rsidR="00694C61" w:rsidRDefault="00694C61" w:rsidP="00413AC9">
      <w:pPr>
        <w:jc w:val="both"/>
        <w:rPr>
          <w:rFonts w:ascii="Times New Roman" w:hAnsi="Times New Roman" w:cs="Times New Roman"/>
        </w:rPr>
      </w:pPr>
    </w:p>
    <w:p w14:paraId="1263BDC9" w14:textId="524A1410" w:rsidR="00694C61" w:rsidRDefault="00694C61" w:rsidP="00413AC9">
      <w:pPr>
        <w:jc w:val="both"/>
        <w:rPr>
          <w:rFonts w:ascii="Times New Roman" w:hAnsi="Times New Roman" w:cs="Times New Roman"/>
          <w:b/>
          <w:bCs/>
        </w:rPr>
      </w:pPr>
      <w:r>
        <w:rPr>
          <w:rFonts w:ascii="Times New Roman" w:hAnsi="Times New Roman" w:cs="Times New Roman"/>
          <w:b/>
          <w:bCs/>
        </w:rPr>
        <w:t xml:space="preserve">Funerary epitaph of </w:t>
      </w:r>
      <w:r w:rsidR="00CD3B6A" w:rsidRPr="00CD3B6A">
        <w:rPr>
          <w:rFonts w:ascii="Times New Roman" w:hAnsi="Times New Roman" w:cs="Times New Roman"/>
          <w:b/>
          <w:bCs/>
        </w:rPr>
        <w:t>Titus Terrentius Felix</w:t>
      </w:r>
    </w:p>
    <w:p w14:paraId="7E923830" w14:textId="567DA5BD" w:rsidR="00CD3B6A" w:rsidRDefault="00CD3B6A" w:rsidP="00413AC9">
      <w:pPr>
        <w:jc w:val="both"/>
        <w:rPr>
          <w:rFonts w:ascii="Times New Roman" w:hAnsi="Times New Roman" w:cs="Times New Roman"/>
        </w:rPr>
      </w:pPr>
      <w:r w:rsidRPr="00CD3B6A">
        <w:rPr>
          <w:rFonts w:ascii="Times New Roman" w:hAnsi="Times New Roman" w:cs="Times New Roman"/>
        </w:rPr>
        <w:t>To Titus Terrentius Felix maior; son of Titus, of the Menenian tribe; aedile. He was given this place and two thousand sesterces by the people. Fabia Sabina, daughter of Probus, wife.</w:t>
      </w:r>
      <w:r w:rsidR="003D215E">
        <w:rPr>
          <w:rFonts w:ascii="Times New Roman" w:hAnsi="Times New Roman" w:cs="Times New Roman"/>
        </w:rPr>
        <w:t xml:space="preserve"> (</w:t>
      </w:r>
      <w:r w:rsidR="003D215E" w:rsidRPr="003D215E">
        <w:rPr>
          <w:rFonts w:ascii="Times New Roman" w:hAnsi="Times New Roman" w:cs="Times New Roman"/>
          <w:i/>
          <w:iCs/>
        </w:rPr>
        <w:t xml:space="preserve">CIL </w:t>
      </w:r>
      <w:r w:rsidR="003D215E">
        <w:rPr>
          <w:rFonts w:ascii="Times New Roman" w:hAnsi="Times New Roman" w:cs="Times New Roman"/>
        </w:rPr>
        <w:t>X 1019) – Transl. V. Campbell 2021: 15</w:t>
      </w:r>
      <w:r w:rsidR="00147AD6">
        <w:rPr>
          <w:rFonts w:ascii="Times New Roman" w:hAnsi="Times New Roman" w:cs="Times New Roman"/>
        </w:rPr>
        <w:t>2.</w:t>
      </w:r>
    </w:p>
    <w:p w14:paraId="5E399078" w14:textId="77777777" w:rsidR="00147AD6" w:rsidRDefault="00147AD6" w:rsidP="00413AC9">
      <w:pPr>
        <w:jc w:val="both"/>
        <w:rPr>
          <w:rFonts w:ascii="Times New Roman" w:hAnsi="Times New Roman" w:cs="Times New Roman"/>
        </w:rPr>
      </w:pPr>
    </w:p>
    <w:p w14:paraId="0622EDA2" w14:textId="0C003401" w:rsidR="00751114" w:rsidRDefault="00751114" w:rsidP="00413AC9">
      <w:pPr>
        <w:jc w:val="both"/>
        <w:rPr>
          <w:rFonts w:ascii="Times New Roman" w:hAnsi="Times New Roman" w:cs="Times New Roman"/>
        </w:rPr>
      </w:pPr>
      <w:r>
        <w:rPr>
          <w:rFonts w:ascii="Times New Roman" w:hAnsi="Times New Roman" w:cs="Times New Roman"/>
          <w:b/>
          <w:bCs/>
        </w:rPr>
        <w:t>Funerary epitaph of</w:t>
      </w:r>
      <w:r w:rsidRPr="00751114">
        <w:t xml:space="preserve"> </w:t>
      </w:r>
      <w:r w:rsidRPr="00751114">
        <w:rPr>
          <w:rFonts w:ascii="Times New Roman" w:hAnsi="Times New Roman" w:cs="Times New Roman"/>
          <w:b/>
          <w:bCs/>
        </w:rPr>
        <w:t>Septumia</w:t>
      </w:r>
    </w:p>
    <w:p w14:paraId="7625A5D3" w14:textId="69F87D06" w:rsidR="00147AD6" w:rsidRDefault="00751114" w:rsidP="00413AC9">
      <w:pPr>
        <w:jc w:val="both"/>
        <w:rPr>
          <w:rFonts w:ascii="Times New Roman" w:hAnsi="Times New Roman" w:cs="Times New Roman"/>
        </w:rPr>
      </w:pPr>
      <w:r w:rsidRPr="00751114">
        <w:rPr>
          <w:rFonts w:ascii="Times New Roman" w:hAnsi="Times New Roman" w:cs="Times New Roman"/>
        </w:rPr>
        <w:t>To Septumia, daughter of Lucius, by decree of the decurions she was given publicly a place for burial and two thousand sesterces for her funeral. Antistia Prima, daughter of Publius, her daughter, made this.</w:t>
      </w:r>
      <w:r>
        <w:rPr>
          <w:rFonts w:ascii="Times New Roman" w:hAnsi="Times New Roman" w:cs="Times New Roman"/>
        </w:rPr>
        <w:t xml:space="preserve"> (</w:t>
      </w:r>
      <w:r w:rsidR="001505D2" w:rsidRPr="001505D2">
        <w:rPr>
          <w:rFonts w:ascii="Times New Roman" w:hAnsi="Times New Roman" w:cs="Times New Roman"/>
          <w:i/>
          <w:iCs/>
        </w:rPr>
        <w:t>AE</w:t>
      </w:r>
      <w:r w:rsidR="001505D2" w:rsidRPr="001505D2">
        <w:rPr>
          <w:rFonts w:ascii="Times New Roman" w:hAnsi="Times New Roman" w:cs="Times New Roman"/>
        </w:rPr>
        <w:t xml:space="preserve"> 1911: 72 = </w:t>
      </w:r>
      <w:r w:rsidR="001505D2" w:rsidRPr="001505D2">
        <w:rPr>
          <w:rFonts w:ascii="Times New Roman" w:hAnsi="Times New Roman" w:cs="Times New Roman"/>
          <w:i/>
          <w:iCs/>
        </w:rPr>
        <w:t>AE</w:t>
      </w:r>
      <w:r w:rsidR="001505D2" w:rsidRPr="001505D2">
        <w:rPr>
          <w:rFonts w:ascii="Times New Roman" w:hAnsi="Times New Roman" w:cs="Times New Roman"/>
        </w:rPr>
        <w:t xml:space="preserve"> 1913: 70</w:t>
      </w:r>
      <w:r w:rsidR="001505D2">
        <w:rPr>
          <w:rFonts w:ascii="Times New Roman" w:hAnsi="Times New Roman" w:cs="Times New Roman"/>
        </w:rPr>
        <w:t>) – Transl. V. Campbell 2021: 152.</w:t>
      </w:r>
    </w:p>
    <w:p w14:paraId="69FCFC4A" w14:textId="77777777" w:rsidR="001505D2" w:rsidRDefault="001505D2" w:rsidP="00413AC9">
      <w:pPr>
        <w:jc w:val="both"/>
        <w:rPr>
          <w:rFonts w:ascii="Times New Roman" w:hAnsi="Times New Roman" w:cs="Times New Roman"/>
        </w:rPr>
      </w:pPr>
    </w:p>
    <w:p w14:paraId="05E2EBF2" w14:textId="7B43E45C" w:rsidR="001505D2" w:rsidRDefault="00B4770B" w:rsidP="00413AC9">
      <w:pPr>
        <w:jc w:val="both"/>
        <w:rPr>
          <w:rFonts w:ascii="Times New Roman" w:hAnsi="Times New Roman" w:cs="Times New Roman"/>
          <w:b/>
          <w:bCs/>
        </w:rPr>
      </w:pPr>
      <w:r>
        <w:rPr>
          <w:rFonts w:ascii="Times New Roman" w:hAnsi="Times New Roman" w:cs="Times New Roman"/>
          <w:b/>
          <w:bCs/>
        </w:rPr>
        <w:t xml:space="preserve">Funerary epitaph of </w:t>
      </w:r>
      <w:r w:rsidR="000C236B" w:rsidRPr="000C236B">
        <w:rPr>
          <w:rFonts w:ascii="Times New Roman" w:hAnsi="Times New Roman" w:cs="Times New Roman"/>
          <w:b/>
          <w:bCs/>
        </w:rPr>
        <w:t>Aulus Umbricius Scaurus</w:t>
      </w:r>
    </w:p>
    <w:p w14:paraId="6A659E05" w14:textId="33BF9484" w:rsidR="00B4770B" w:rsidRDefault="00B4770B" w:rsidP="00413AC9">
      <w:pPr>
        <w:jc w:val="both"/>
        <w:rPr>
          <w:rFonts w:ascii="Times New Roman" w:hAnsi="Times New Roman" w:cs="Times New Roman"/>
        </w:rPr>
      </w:pPr>
      <w:r w:rsidRPr="00B4770B">
        <w:rPr>
          <w:rFonts w:ascii="Times New Roman" w:hAnsi="Times New Roman" w:cs="Times New Roman"/>
        </w:rPr>
        <w:t>To Aulus Umbricius Scaurus, son of Aulus, of the Menenian tribe, duovir with judicial powers. The decurions decreed him the space for this monument and two thousand sesterces for the funeral and an equestrian statue to be erected in the Forum. Scaurus senior, for his son.</w:t>
      </w:r>
      <w:r w:rsidR="00E81C4B">
        <w:rPr>
          <w:rFonts w:ascii="Times New Roman" w:hAnsi="Times New Roman" w:cs="Times New Roman"/>
        </w:rPr>
        <w:t xml:space="preserve"> (</w:t>
      </w:r>
      <w:r w:rsidR="00E81C4B" w:rsidRPr="00E81C4B">
        <w:rPr>
          <w:rFonts w:ascii="Times New Roman" w:hAnsi="Times New Roman" w:cs="Times New Roman"/>
          <w:i/>
          <w:iCs/>
        </w:rPr>
        <w:t>CIL</w:t>
      </w:r>
      <w:r w:rsidR="00E81C4B" w:rsidRPr="00E81C4B">
        <w:rPr>
          <w:rFonts w:ascii="Times New Roman" w:hAnsi="Times New Roman" w:cs="Times New Roman"/>
        </w:rPr>
        <w:t xml:space="preserve"> X 1024 = </w:t>
      </w:r>
      <w:r w:rsidR="00E81C4B" w:rsidRPr="00E81C4B">
        <w:rPr>
          <w:rFonts w:ascii="Times New Roman" w:hAnsi="Times New Roman" w:cs="Times New Roman"/>
          <w:i/>
          <w:iCs/>
        </w:rPr>
        <w:t>ILS</w:t>
      </w:r>
      <w:r w:rsidR="00E81C4B" w:rsidRPr="00E81C4B">
        <w:rPr>
          <w:rFonts w:ascii="Times New Roman" w:hAnsi="Times New Roman" w:cs="Times New Roman"/>
        </w:rPr>
        <w:t xml:space="preserve"> 6366</w:t>
      </w:r>
      <w:r w:rsidR="00E81C4B">
        <w:rPr>
          <w:rFonts w:ascii="Times New Roman" w:hAnsi="Times New Roman" w:cs="Times New Roman"/>
        </w:rPr>
        <w:t>) – Transl. V. Campbell 2021: 153.</w:t>
      </w:r>
    </w:p>
    <w:p w14:paraId="168DC3D2" w14:textId="77777777" w:rsidR="000C236B" w:rsidRDefault="000C236B" w:rsidP="00413AC9">
      <w:pPr>
        <w:jc w:val="both"/>
        <w:rPr>
          <w:rFonts w:ascii="Times New Roman" w:hAnsi="Times New Roman" w:cs="Times New Roman"/>
        </w:rPr>
      </w:pPr>
    </w:p>
    <w:p w14:paraId="66105186" w14:textId="752B45C8" w:rsidR="000C236B" w:rsidRDefault="000C236B" w:rsidP="00780A89">
      <w:pPr>
        <w:jc w:val="center"/>
        <w:rPr>
          <w:rFonts w:ascii="Times New Roman" w:hAnsi="Times New Roman" w:cs="Times New Roman"/>
        </w:rPr>
      </w:pPr>
      <w:r>
        <w:rPr>
          <w:rFonts w:ascii="Times New Roman" w:hAnsi="Times New Roman" w:cs="Times New Roman"/>
          <w:noProof/>
        </w:rPr>
        <w:drawing>
          <wp:inline distT="0" distB="0" distL="0" distR="0" wp14:anchorId="0DEC421D" wp14:editId="6CAF5378">
            <wp:extent cx="4207934" cy="3155950"/>
            <wp:effectExtent l="0" t="0" r="2540" b="6350"/>
            <wp:docPr id="343979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14970" cy="3161227"/>
                    </a:xfrm>
                    <a:prstGeom prst="rect">
                      <a:avLst/>
                    </a:prstGeom>
                    <a:noFill/>
                  </pic:spPr>
                </pic:pic>
              </a:graphicData>
            </a:graphic>
          </wp:inline>
        </w:drawing>
      </w:r>
    </w:p>
    <w:p w14:paraId="5867AD21" w14:textId="0BADA1F9" w:rsidR="00780A89" w:rsidRDefault="003A30EC" w:rsidP="00780A89">
      <w:pPr>
        <w:jc w:val="center"/>
        <w:rPr>
          <w:rFonts w:ascii="Times New Roman" w:hAnsi="Times New Roman" w:cs="Times New Roman"/>
          <w:sz w:val="16"/>
          <w:szCs w:val="16"/>
        </w:rPr>
      </w:pPr>
      <w:r w:rsidRPr="003A30EC">
        <w:rPr>
          <w:rFonts w:ascii="Times New Roman" w:hAnsi="Times New Roman" w:cs="Times New Roman"/>
          <w:sz w:val="16"/>
          <w:szCs w:val="16"/>
        </w:rPr>
        <w:t>Looking west towards the front of the tomb</w:t>
      </w:r>
    </w:p>
    <w:p w14:paraId="62BEE557" w14:textId="77777777" w:rsidR="003A30EC" w:rsidRDefault="003A30EC" w:rsidP="00780A89">
      <w:pPr>
        <w:jc w:val="center"/>
        <w:rPr>
          <w:rFonts w:ascii="Times New Roman" w:hAnsi="Times New Roman" w:cs="Times New Roman"/>
          <w:sz w:val="16"/>
          <w:szCs w:val="16"/>
        </w:rPr>
      </w:pPr>
    </w:p>
    <w:p w14:paraId="1F2F93CF" w14:textId="1A7C6942" w:rsidR="003A30EC" w:rsidRDefault="007872E9" w:rsidP="00780A89">
      <w:pPr>
        <w:jc w:val="center"/>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6F036651" wp14:editId="091B0584">
            <wp:extent cx="3933014" cy="2926715"/>
            <wp:effectExtent l="0" t="0" r="0" b="6985"/>
            <wp:docPr id="13684599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40471" cy="2932264"/>
                    </a:xfrm>
                    <a:prstGeom prst="rect">
                      <a:avLst/>
                    </a:prstGeom>
                    <a:noFill/>
                  </pic:spPr>
                </pic:pic>
              </a:graphicData>
            </a:graphic>
          </wp:inline>
        </w:drawing>
      </w:r>
    </w:p>
    <w:p w14:paraId="36C81414" w14:textId="77777777" w:rsidR="007872E9" w:rsidRDefault="007872E9" w:rsidP="00780A89">
      <w:pPr>
        <w:jc w:val="center"/>
        <w:rPr>
          <w:rFonts w:ascii="Times New Roman" w:hAnsi="Times New Roman" w:cs="Times New Roman"/>
          <w:sz w:val="16"/>
          <w:szCs w:val="16"/>
        </w:rPr>
      </w:pPr>
    </w:p>
    <w:p w14:paraId="6BB72D97" w14:textId="17DDEB8B" w:rsidR="007872E9" w:rsidRDefault="00E82B6A" w:rsidP="00780A89">
      <w:pPr>
        <w:jc w:val="center"/>
        <w:rPr>
          <w:rFonts w:ascii="Times New Roman" w:hAnsi="Times New Roman" w:cs="Times New Roman"/>
          <w:sz w:val="16"/>
          <w:szCs w:val="16"/>
        </w:rPr>
      </w:pPr>
      <w:r>
        <w:rPr>
          <w:rFonts w:ascii="Times New Roman" w:hAnsi="Times New Roman" w:cs="Times New Roman"/>
          <w:noProof/>
          <w:sz w:val="16"/>
          <w:szCs w:val="16"/>
        </w:rPr>
        <w:lastRenderedPageBreak/>
        <w:drawing>
          <wp:inline distT="0" distB="0" distL="0" distR="0" wp14:anchorId="40EAE1E2" wp14:editId="0F770D2A">
            <wp:extent cx="5003800" cy="5587670"/>
            <wp:effectExtent l="0" t="0" r="6350" b="0"/>
            <wp:docPr id="775205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0866" cy="5617895"/>
                    </a:xfrm>
                    <a:prstGeom prst="rect">
                      <a:avLst/>
                    </a:prstGeom>
                    <a:noFill/>
                  </pic:spPr>
                </pic:pic>
              </a:graphicData>
            </a:graphic>
          </wp:inline>
        </w:drawing>
      </w:r>
    </w:p>
    <w:p w14:paraId="6CD7F82B" w14:textId="7F3A7340" w:rsidR="00E82B6A" w:rsidRDefault="00987DB1" w:rsidP="00780A89">
      <w:pPr>
        <w:jc w:val="center"/>
        <w:rPr>
          <w:rFonts w:ascii="Times New Roman" w:hAnsi="Times New Roman" w:cs="Times New Roman"/>
          <w:sz w:val="16"/>
          <w:szCs w:val="16"/>
        </w:rPr>
      </w:pPr>
      <w:r w:rsidRPr="00987DB1">
        <w:rPr>
          <w:rFonts w:ascii="Times New Roman" w:hAnsi="Times New Roman" w:cs="Times New Roman"/>
          <w:sz w:val="16"/>
          <w:szCs w:val="16"/>
        </w:rPr>
        <w:t>Drawing by Mazois of the tomb, inscription and the gladiator reliefs.</w:t>
      </w:r>
    </w:p>
    <w:p w14:paraId="23189607" w14:textId="77777777" w:rsidR="00987DB1" w:rsidRDefault="00987DB1" w:rsidP="00780A89">
      <w:pPr>
        <w:jc w:val="center"/>
        <w:rPr>
          <w:rFonts w:ascii="Times New Roman" w:hAnsi="Times New Roman" w:cs="Times New Roman"/>
          <w:sz w:val="16"/>
          <w:szCs w:val="16"/>
        </w:rPr>
      </w:pPr>
    </w:p>
    <w:p w14:paraId="1C669A09" w14:textId="60EAF284" w:rsidR="00987DB1" w:rsidRDefault="00677BCB" w:rsidP="00780A89">
      <w:pPr>
        <w:jc w:val="center"/>
        <w:rPr>
          <w:rFonts w:ascii="Times New Roman" w:hAnsi="Times New Roman" w:cs="Times New Roman"/>
          <w:sz w:val="16"/>
          <w:szCs w:val="16"/>
        </w:rPr>
      </w:pPr>
      <w:r>
        <w:rPr>
          <w:rFonts w:ascii="Times New Roman" w:hAnsi="Times New Roman" w:cs="Times New Roman"/>
          <w:noProof/>
          <w:sz w:val="16"/>
          <w:szCs w:val="16"/>
        </w:rPr>
        <w:lastRenderedPageBreak/>
        <w:drawing>
          <wp:inline distT="0" distB="0" distL="0" distR="0" wp14:anchorId="4F90A723" wp14:editId="753AD916">
            <wp:extent cx="5542062" cy="8248650"/>
            <wp:effectExtent l="0" t="0" r="1905" b="0"/>
            <wp:docPr id="4413920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7234" cy="8256348"/>
                    </a:xfrm>
                    <a:prstGeom prst="rect">
                      <a:avLst/>
                    </a:prstGeom>
                    <a:noFill/>
                  </pic:spPr>
                </pic:pic>
              </a:graphicData>
            </a:graphic>
          </wp:inline>
        </w:drawing>
      </w:r>
    </w:p>
    <w:p w14:paraId="05272184" w14:textId="32E2A5B9" w:rsidR="00677BCB" w:rsidRDefault="000B5D08" w:rsidP="00780A89">
      <w:pPr>
        <w:jc w:val="center"/>
        <w:rPr>
          <w:rFonts w:ascii="Times New Roman" w:hAnsi="Times New Roman" w:cs="Times New Roman"/>
          <w:sz w:val="16"/>
          <w:szCs w:val="16"/>
        </w:rPr>
      </w:pPr>
      <w:r w:rsidRPr="000B5D08">
        <w:rPr>
          <w:rFonts w:ascii="Times New Roman" w:hAnsi="Times New Roman" w:cs="Times New Roman"/>
          <w:sz w:val="16"/>
          <w:szCs w:val="16"/>
        </w:rPr>
        <w:t>Drawing by Mazois of the inscription and scenes of combat with wild beasts</w:t>
      </w:r>
    </w:p>
    <w:p w14:paraId="5D3DE1C0" w14:textId="77777777" w:rsidR="000B5D08" w:rsidRDefault="000B5D08" w:rsidP="00780A89">
      <w:pPr>
        <w:jc w:val="center"/>
        <w:rPr>
          <w:rFonts w:ascii="Times New Roman" w:hAnsi="Times New Roman" w:cs="Times New Roman"/>
          <w:sz w:val="16"/>
          <w:szCs w:val="16"/>
        </w:rPr>
      </w:pPr>
    </w:p>
    <w:p w14:paraId="6E299503" w14:textId="4123F61F" w:rsidR="000B5D08" w:rsidRDefault="000B5D08" w:rsidP="00780A89">
      <w:pPr>
        <w:jc w:val="center"/>
        <w:rPr>
          <w:rFonts w:ascii="Times New Roman" w:hAnsi="Times New Roman" w:cs="Times New Roman"/>
          <w:sz w:val="16"/>
          <w:szCs w:val="16"/>
        </w:rPr>
      </w:pPr>
      <w:r>
        <w:rPr>
          <w:rFonts w:ascii="Times New Roman" w:hAnsi="Times New Roman" w:cs="Times New Roman"/>
          <w:noProof/>
          <w:sz w:val="16"/>
          <w:szCs w:val="16"/>
        </w:rPr>
        <w:lastRenderedPageBreak/>
        <w:drawing>
          <wp:inline distT="0" distB="0" distL="0" distR="0" wp14:anchorId="4043E664" wp14:editId="25D0D1D7">
            <wp:extent cx="5736124" cy="3327400"/>
            <wp:effectExtent l="0" t="0" r="0" b="6350"/>
            <wp:docPr id="16508886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0254" cy="3329796"/>
                    </a:xfrm>
                    <a:prstGeom prst="rect">
                      <a:avLst/>
                    </a:prstGeom>
                    <a:noFill/>
                  </pic:spPr>
                </pic:pic>
              </a:graphicData>
            </a:graphic>
          </wp:inline>
        </w:drawing>
      </w:r>
    </w:p>
    <w:p w14:paraId="73B0CE98" w14:textId="67D92E0D" w:rsidR="000B5D08" w:rsidRDefault="00824DD9" w:rsidP="00780A89">
      <w:pPr>
        <w:jc w:val="center"/>
        <w:rPr>
          <w:rFonts w:ascii="Times New Roman" w:hAnsi="Times New Roman" w:cs="Times New Roman"/>
          <w:sz w:val="16"/>
          <w:szCs w:val="16"/>
        </w:rPr>
      </w:pPr>
      <w:r w:rsidRPr="00824DD9">
        <w:rPr>
          <w:rFonts w:ascii="Times New Roman" w:hAnsi="Times New Roman" w:cs="Times New Roman"/>
          <w:sz w:val="16"/>
          <w:szCs w:val="16"/>
        </w:rPr>
        <w:t>Drawing by Mazois of the Gladiator reliefs</w:t>
      </w:r>
    </w:p>
    <w:p w14:paraId="54BB7AAE" w14:textId="77777777" w:rsidR="00824DD9" w:rsidRDefault="00824DD9" w:rsidP="00780A89">
      <w:pPr>
        <w:jc w:val="center"/>
        <w:rPr>
          <w:rFonts w:ascii="Times New Roman" w:hAnsi="Times New Roman" w:cs="Times New Roman"/>
          <w:sz w:val="16"/>
          <w:szCs w:val="16"/>
        </w:rPr>
      </w:pPr>
    </w:p>
    <w:p w14:paraId="0C91326E" w14:textId="142D1C08" w:rsidR="007541A3" w:rsidRDefault="009911BE" w:rsidP="007541A3">
      <w:pPr>
        <w:jc w:val="center"/>
        <w:rPr>
          <w:rFonts w:ascii="Times New Roman" w:hAnsi="Times New Roman" w:cs="Times New Roman"/>
        </w:rPr>
      </w:pPr>
      <w:r w:rsidRPr="009911BE">
        <w:rPr>
          <w:rFonts w:ascii="Times New Roman" w:hAnsi="Times New Roman" w:cs="Times New Roman"/>
          <w:b/>
          <w:bCs/>
        </w:rPr>
        <w:t>House of Aulus Umbricius Scaurus</w:t>
      </w:r>
      <w:r w:rsidR="007541A3">
        <w:rPr>
          <w:rFonts w:ascii="Times New Roman" w:hAnsi="Times New Roman" w:cs="Times New Roman"/>
          <w:b/>
          <w:bCs/>
        </w:rPr>
        <w:t xml:space="preserve"> </w:t>
      </w:r>
      <w:r w:rsidR="007541A3" w:rsidRPr="007541A3">
        <w:rPr>
          <w:rFonts w:ascii="Times New Roman" w:hAnsi="Times New Roman" w:cs="Times New Roman"/>
        </w:rPr>
        <w:t>(</w:t>
      </w:r>
      <w:r w:rsidR="00401CAF" w:rsidRPr="00401CAF">
        <w:rPr>
          <w:rFonts w:ascii="Times New Roman" w:hAnsi="Times New Roman" w:cs="Times New Roman"/>
        </w:rPr>
        <w:t>VII.16.15</w:t>
      </w:r>
      <w:r w:rsidR="007541A3">
        <w:rPr>
          <w:rFonts w:ascii="Times New Roman" w:hAnsi="Times New Roman" w:cs="Times New Roman"/>
        </w:rPr>
        <w:t>)</w:t>
      </w:r>
    </w:p>
    <w:p w14:paraId="2067FD1B" w14:textId="65A94A7A" w:rsidR="002764EB" w:rsidRPr="007541A3" w:rsidRDefault="002764EB" w:rsidP="007541A3">
      <w:pPr>
        <w:jc w:val="center"/>
        <w:rPr>
          <w:rFonts w:ascii="Times New Roman" w:hAnsi="Times New Roman" w:cs="Times New Roman"/>
          <w:b/>
          <w:bCs/>
        </w:rPr>
      </w:pPr>
      <w:r>
        <w:rPr>
          <w:rFonts w:ascii="Times New Roman" w:hAnsi="Times New Roman" w:cs="Times New Roman"/>
          <w:b/>
          <w:bCs/>
          <w:noProof/>
        </w:rPr>
        <w:drawing>
          <wp:inline distT="0" distB="0" distL="0" distR="0" wp14:anchorId="668B6EF9" wp14:editId="17B6AD54">
            <wp:extent cx="4000500" cy="3714750"/>
            <wp:effectExtent l="0" t="0" r="0" b="0"/>
            <wp:docPr id="6330532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a:extLst>
                        <a:ext uri="{28A0092B-C50C-407E-A947-70E740481C1C}">
                          <a14:useLocalDpi xmlns:a14="http://schemas.microsoft.com/office/drawing/2010/main" val="0"/>
                        </a:ext>
                      </a:extLst>
                    </a:blip>
                    <a:srcRect l="11667" r="7564"/>
                    <a:stretch>
                      <a:fillRect/>
                    </a:stretch>
                  </pic:blipFill>
                  <pic:spPr bwMode="auto">
                    <a:xfrm>
                      <a:off x="0" y="0"/>
                      <a:ext cx="4002348" cy="3716466"/>
                    </a:xfrm>
                    <a:prstGeom prst="rect">
                      <a:avLst/>
                    </a:prstGeom>
                    <a:noFill/>
                    <a:ln>
                      <a:noFill/>
                    </a:ln>
                    <a:extLst>
                      <a:ext uri="{53640926-AAD7-44D8-BBD7-CCE9431645EC}">
                        <a14:shadowObscured xmlns:a14="http://schemas.microsoft.com/office/drawing/2010/main"/>
                      </a:ext>
                    </a:extLst>
                  </pic:spPr>
                </pic:pic>
              </a:graphicData>
            </a:graphic>
          </wp:inline>
        </w:drawing>
      </w:r>
      <w:r w:rsidR="001073A4">
        <w:rPr>
          <w:rFonts w:ascii="Times New Roman" w:hAnsi="Times New Roman" w:cs="Times New Roman"/>
          <w:b/>
          <w:bCs/>
          <w:noProof/>
        </w:rPr>
        <w:drawing>
          <wp:inline distT="0" distB="0" distL="0" distR="0" wp14:anchorId="3063F092" wp14:editId="0DA05DC7">
            <wp:extent cx="1585712" cy="3327400"/>
            <wp:effectExtent l="0" t="0" r="0" b="6350"/>
            <wp:docPr id="1125852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96147" cy="3349296"/>
                    </a:xfrm>
                    <a:prstGeom prst="rect">
                      <a:avLst/>
                    </a:prstGeom>
                    <a:noFill/>
                  </pic:spPr>
                </pic:pic>
              </a:graphicData>
            </a:graphic>
          </wp:inline>
        </w:drawing>
      </w:r>
    </w:p>
    <w:p w14:paraId="01530F57" w14:textId="77777777" w:rsidR="00F7600C" w:rsidRDefault="00F7600C">
      <w:pPr>
        <w:rPr>
          <w:rFonts w:ascii="Times New Roman" w:hAnsi="Times New Roman" w:cs="Times New Roman"/>
        </w:rPr>
      </w:pPr>
    </w:p>
    <w:p w14:paraId="74CCDD2B" w14:textId="77777777" w:rsidR="005D23F1" w:rsidRDefault="005D23F1">
      <w:pPr>
        <w:rPr>
          <w:rFonts w:ascii="Times New Roman" w:hAnsi="Times New Roman" w:cs="Times New Roman"/>
        </w:rPr>
      </w:pPr>
    </w:p>
    <w:p w14:paraId="7143B314" w14:textId="25176772" w:rsidR="00363EDC" w:rsidRDefault="00363EDC" w:rsidP="00363EDC">
      <w:pPr>
        <w:jc w:val="center"/>
      </w:pPr>
      <w:r>
        <w:rPr>
          <w:noProof/>
        </w:rPr>
        <w:lastRenderedPageBreak/>
        <w:drawing>
          <wp:inline distT="0" distB="0" distL="0" distR="0" wp14:anchorId="0DE854DD" wp14:editId="51EE7941">
            <wp:extent cx="5165802" cy="4152900"/>
            <wp:effectExtent l="0" t="0" r="0" b="0"/>
            <wp:docPr id="20755428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42825" name="Picture 1" descr="A screenshot of a computer&#10;&#10;AI-generated content may be incorrect."/>
                    <pic:cNvPicPr/>
                  </pic:nvPicPr>
                  <pic:blipFill rotWithShape="1">
                    <a:blip r:embed="rId25"/>
                    <a:srcRect l="29249" t="34863" r="28374" b="4570"/>
                    <a:stretch>
                      <a:fillRect/>
                    </a:stretch>
                  </pic:blipFill>
                  <pic:spPr bwMode="auto">
                    <a:xfrm>
                      <a:off x="0" y="0"/>
                      <a:ext cx="5178083" cy="4162773"/>
                    </a:xfrm>
                    <a:prstGeom prst="rect">
                      <a:avLst/>
                    </a:prstGeom>
                    <a:ln>
                      <a:noFill/>
                    </a:ln>
                    <a:extLst>
                      <a:ext uri="{53640926-AAD7-44D8-BBD7-CCE9431645EC}">
                        <a14:shadowObscured xmlns:a14="http://schemas.microsoft.com/office/drawing/2010/main"/>
                      </a:ext>
                    </a:extLst>
                  </pic:spPr>
                </pic:pic>
              </a:graphicData>
            </a:graphic>
          </wp:inline>
        </w:drawing>
      </w:r>
    </w:p>
    <w:p w14:paraId="7996958E" w14:textId="5E4AC378" w:rsidR="00363EDC" w:rsidRDefault="00363EDC" w:rsidP="00363EDC">
      <w:pPr>
        <w:jc w:val="center"/>
        <w:rPr>
          <w:rFonts w:ascii="Times New Roman" w:hAnsi="Times New Roman" w:cs="Times New Roman"/>
        </w:rPr>
      </w:pPr>
      <w:r w:rsidRPr="00363EDC">
        <w:rPr>
          <w:rFonts w:ascii="Times New Roman" w:hAnsi="Times New Roman" w:cs="Times New Roman"/>
        </w:rPr>
        <w:t xml:space="preserve">Reconstruction </w:t>
      </w:r>
      <w:r>
        <w:rPr>
          <w:rFonts w:ascii="Times New Roman" w:hAnsi="Times New Roman" w:cs="Times New Roman"/>
        </w:rPr>
        <w:t xml:space="preserve">of the possible </w:t>
      </w:r>
      <w:r w:rsidR="006D71C0">
        <w:rPr>
          <w:rFonts w:ascii="Times New Roman" w:hAnsi="Times New Roman" w:cs="Times New Roman"/>
        </w:rPr>
        <w:t xml:space="preserve">funerary </w:t>
      </w:r>
      <w:r w:rsidR="006D71C0" w:rsidRPr="006D71C0">
        <w:rPr>
          <w:rFonts w:ascii="Times New Roman" w:hAnsi="Times New Roman" w:cs="Times New Roman"/>
          <w:i/>
          <w:iCs/>
        </w:rPr>
        <w:t>pompa</w:t>
      </w:r>
      <w:r w:rsidR="006D71C0">
        <w:rPr>
          <w:rFonts w:ascii="Times New Roman" w:hAnsi="Times New Roman" w:cs="Times New Roman"/>
        </w:rPr>
        <w:t xml:space="preserve"> of </w:t>
      </w:r>
      <w:r w:rsidR="006D71C0" w:rsidRPr="006D71C0">
        <w:rPr>
          <w:rFonts w:ascii="Times New Roman" w:hAnsi="Times New Roman" w:cs="Times New Roman"/>
        </w:rPr>
        <w:t>Aulus Umbricius Scaurus, son of Aulus</w:t>
      </w:r>
      <w:r w:rsidR="006D71C0">
        <w:rPr>
          <w:rFonts w:ascii="Times New Roman" w:hAnsi="Times New Roman" w:cs="Times New Roman"/>
        </w:rPr>
        <w:t xml:space="preserve"> from </w:t>
      </w:r>
      <w:r w:rsidR="00B45728">
        <w:rPr>
          <w:rFonts w:ascii="Times New Roman" w:hAnsi="Times New Roman" w:cs="Times New Roman"/>
        </w:rPr>
        <w:t>V. L. Campbell (2021). ‘</w:t>
      </w:r>
      <w:r w:rsidR="00B45728" w:rsidRPr="00B45728">
        <w:rPr>
          <w:rFonts w:ascii="Times New Roman" w:hAnsi="Times New Roman" w:cs="Times New Roman"/>
        </w:rPr>
        <w:t>POMPA IN POMPEII: EXPERIENCING A FUNERAL PROCESSION IN THE ANCIENT CITY</w:t>
      </w:r>
      <w:r w:rsidR="00B45728">
        <w:rPr>
          <w:rFonts w:ascii="Times New Roman" w:hAnsi="Times New Roman" w:cs="Times New Roman"/>
        </w:rPr>
        <w:t xml:space="preserve">.’ </w:t>
      </w:r>
      <w:r w:rsidR="00842014" w:rsidRPr="00842014">
        <w:rPr>
          <w:rFonts w:ascii="Times New Roman" w:hAnsi="Times New Roman" w:cs="Times New Roman"/>
          <w:i/>
          <w:iCs/>
        </w:rPr>
        <w:t>Open Arts Journal</w:t>
      </w:r>
      <w:r w:rsidR="00842014">
        <w:rPr>
          <w:rFonts w:ascii="Times New Roman" w:hAnsi="Times New Roman" w:cs="Times New Roman"/>
        </w:rPr>
        <w:t xml:space="preserve"> 10: 145-159.</w:t>
      </w:r>
    </w:p>
    <w:p w14:paraId="36ACC212" w14:textId="77777777" w:rsidR="00E912F9" w:rsidRDefault="00E912F9" w:rsidP="00E912F9">
      <w:pPr>
        <w:jc w:val="both"/>
        <w:rPr>
          <w:rFonts w:ascii="Times New Roman" w:hAnsi="Times New Roman" w:cs="Times New Roman"/>
        </w:rPr>
      </w:pPr>
    </w:p>
    <w:p w14:paraId="7365000E" w14:textId="052118E6" w:rsidR="00E912F9" w:rsidRPr="005E0678" w:rsidRDefault="005E0678" w:rsidP="00E912F9">
      <w:pPr>
        <w:jc w:val="both"/>
        <w:rPr>
          <w:rFonts w:ascii="Times New Roman" w:hAnsi="Times New Roman" w:cs="Times New Roman"/>
          <w:b/>
          <w:bCs/>
        </w:rPr>
      </w:pPr>
      <w:r>
        <w:rPr>
          <w:rFonts w:ascii="Times New Roman" w:hAnsi="Times New Roman" w:cs="Times New Roman"/>
          <w:b/>
          <w:bCs/>
        </w:rPr>
        <w:t xml:space="preserve">Why do you think </w:t>
      </w:r>
      <w:r w:rsidR="00A80720">
        <w:rPr>
          <w:rFonts w:ascii="Times New Roman" w:hAnsi="Times New Roman" w:cs="Times New Roman"/>
          <w:b/>
          <w:bCs/>
        </w:rPr>
        <w:t xml:space="preserve">town council </w:t>
      </w:r>
      <w:r w:rsidR="004E229F">
        <w:rPr>
          <w:rFonts w:ascii="Times New Roman" w:hAnsi="Times New Roman" w:cs="Times New Roman"/>
          <w:b/>
          <w:bCs/>
        </w:rPr>
        <w:t>(</w:t>
      </w:r>
      <w:r w:rsidR="004E229F" w:rsidRPr="004E229F">
        <w:rPr>
          <w:rFonts w:ascii="Times New Roman" w:hAnsi="Times New Roman" w:cs="Times New Roman"/>
          <w:b/>
          <w:bCs/>
          <w:i/>
          <w:iCs/>
        </w:rPr>
        <w:t>ordo decurionum</w:t>
      </w:r>
      <w:r w:rsidR="004E229F">
        <w:rPr>
          <w:rFonts w:ascii="Times New Roman" w:hAnsi="Times New Roman" w:cs="Times New Roman"/>
          <w:b/>
          <w:bCs/>
        </w:rPr>
        <w:t xml:space="preserve">) would have granted these funds </w:t>
      </w:r>
      <w:r w:rsidR="00AB2E29">
        <w:rPr>
          <w:rFonts w:ascii="Times New Roman" w:hAnsi="Times New Roman" w:cs="Times New Roman"/>
          <w:b/>
          <w:bCs/>
        </w:rPr>
        <w:t>to commemorate these individuals</w:t>
      </w:r>
      <w:r w:rsidR="004E229F">
        <w:rPr>
          <w:rFonts w:ascii="Times New Roman" w:hAnsi="Times New Roman" w:cs="Times New Roman"/>
          <w:b/>
          <w:bCs/>
        </w:rPr>
        <w:t>, and what do you think it would be spent on?</w:t>
      </w:r>
      <w:r w:rsidR="00D46FDE">
        <w:rPr>
          <w:rFonts w:ascii="Times New Roman" w:hAnsi="Times New Roman" w:cs="Times New Roman"/>
          <w:b/>
          <w:bCs/>
        </w:rPr>
        <w:t xml:space="preserve"> How do you think such funerals </w:t>
      </w:r>
      <w:r w:rsidR="00533F6E">
        <w:rPr>
          <w:rFonts w:ascii="Times New Roman" w:hAnsi="Times New Roman" w:cs="Times New Roman"/>
          <w:b/>
          <w:bCs/>
        </w:rPr>
        <w:t>impinged</w:t>
      </w:r>
      <w:r w:rsidR="00D46FDE">
        <w:rPr>
          <w:rFonts w:ascii="Times New Roman" w:hAnsi="Times New Roman" w:cs="Times New Roman"/>
          <w:b/>
          <w:bCs/>
        </w:rPr>
        <w:t xml:space="preserve"> upon the lives of “ordinary” Pompeiians?</w:t>
      </w:r>
    </w:p>
    <w:sectPr w:rsidR="00E912F9" w:rsidRPr="005E0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00C"/>
    <w:rsid w:val="00056C1F"/>
    <w:rsid w:val="000B5D08"/>
    <w:rsid w:val="000C236B"/>
    <w:rsid w:val="001073A4"/>
    <w:rsid w:val="00135EF9"/>
    <w:rsid w:val="00147AD6"/>
    <w:rsid w:val="001505D2"/>
    <w:rsid w:val="00171C30"/>
    <w:rsid w:val="001C1BD1"/>
    <w:rsid w:val="002764EB"/>
    <w:rsid w:val="003019FD"/>
    <w:rsid w:val="0030627D"/>
    <w:rsid w:val="00350D3E"/>
    <w:rsid w:val="00363EDC"/>
    <w:rsid w:val="003A30EC"/>
    <w:rsid w:val="003A7AED"/>
    <w:rsid w:val="003D215E"/>
    <w:rsid w:val="00401CAF"/>
    <w:rsid w:val="00413AC9"/>
    <w:rsid w:val="004E229F"/>
    <w:rsid w:val="00502B70"/>
    <w:rsid w:val="00533F6E"/>
    <w:rsid w:val="00554B1E"/>
    <w:rsid w:val="005B28AF"/>
    <w:rsid w:val="005D23F1"/>
    <w:rsid w:val="005E0678"/>
    <w:rsid w:val="00677BCB"/>
    <w:rsid w:val="00682364"/>
    <w:rsid w:val="00694C61"/>
    <w:rsid w:val="006C3BCB"/>
    <w:rsid w:val="006D71C0"/>
    <w:rsid w:val="00751114"/>
    <w:rsid w:val="007541A3"/>
    <w:rsid w:val="007807A4"/>
    <w:rsid w:val="00780A89"/>
    <w:rsid w:val="007872E9"/>
    <w:rsid w:val="00824DD9"/>
    <w:rsid w:val="00831399"/>
    <w:rsid w:val="00842014"/>
    <w:rsid w:val="0085179C"/>
    <w:rsid w:val="00866CE4"/>
    <w:rsid w:val="008C55BD"/>
    <w:rsid w:val="008F61A5"/>
    <w:rsid w:val="00945351"/>
    <w:rsid w:val="00987DB1"/>
    <w:rsid w:val="009911BE"/>
    <w:rsid w:val="009B2CDA"/>
    <w:rsid w:val="009E0D9A"/>
    <w:rsid w:val="00A80720"/>
    <w:rsid w:val="00AB2E29"/>
    <w:rsid w:val="00AE4DEC"/>
    <w:rsid w:val="00B155C4"/>
    <w:rsid w:val="00B45728"/>
    <w:rsid w:val="00B4770B"/>
    <w:rsid w:val="00BC3244"/>
    <w:rsid w:val="00C138C3"/>
    <w:rsid w:val="00C22212"/>
    <w:rsid w:val="00CB4A82"/>
    <w:rsid w:val="00CD3B6A"/>
    <w:rsid w:val="00CE27EF"/>
    <w:rsid w:val="00D147DB"/>
    <w:rsid w:val="00D42944"/>
    <w:rsid w:val="00D46FDE"/>
    <w:rsid w:val="00DC7BC0"/>
    <w:rsid w:val="00DE00CD"/>
    <w:rsid w:val="00DE01EB"/>
    <w:rsid w:val="00DE27CA"/>
    <w:rsid w:val="00E26936"/>
    <w:rsid w:val="00E610E5"/>
    <w:rsid w:val="00E81C4B"/>
    <w:rsid w:val="00E82B6A"/>
    <w:rsid w:val="00E912F9"/>
    <w:rsid w:val="00EC726A"/>
    <w:rsid w:val="00F47EE9"/>
    <w:rsid w:val="00F517A9"/>
    <w:rsid w:val="00F7600C"/>
    <w:rsid w:val="00F8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38A53"/>
  <w15:chartTrackingRefBased/>
  <w15:docId w15:val="{4E61EB46-26BC-474D-9D5E-7F3FB0BE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00C"/>
  </w:style>
  <w:style w:type="paragraph" w:styleId="Heading1">
    <w:name w:val="heading 1"/>
    <w:basedOn w:val="Normal"/>
    <w:next w:val="Normal"/>
    <w:link w:val="Heading1Char"/>
    <w:uiPriority w:val="9"/>
    <w:qFormat/>
    <w:rsid w:val="00F760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0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0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0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0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0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0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0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0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0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60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60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60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60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60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0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0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00C"/>
    <w:rPr>
      <w:rFonts w:eastAsiaTheme="majorEastAsia" w:cstheme="majorBidi"/>
      <w:color w:val="272727" w:themeColor="text1" w:themeTint="D8"/>
    </w:rPr>
  </w:style>
  <w:style w:type="paragraph" w:styleId="Title">
    <w:name w:val="Title"/>
    <w:basedOn w:val="Normal"/>
    <w:next w:val="Normal"/>
    <w:link w:val="TitleChar"/>
    <w:uiPriority w:val="10"/>
    <w:qFormat/>
    <w:rsid w:val="00F760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0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0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0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00C"/>
    <w:pPr>
      <w:spacing w:before="160"/>
      <w:jc w:val="center"/>
    </w:pPr>
    <w:rPr>
      <w:i/>
      <w:iCs/>
      <w:color w:val="404040" w:themeColor="text1" w:themeTint="BF"/>
    </w:rPr>
  </w:style>
  <w:style w:type="character" w:customStyle="1" w:styleId="QuoteChar">
    <w:name w:val="Quote Char"/>
    <w:basedOn w:val="DefaultParagraphFont"/>
    <w:link w:val="Quote"/>
    <w:uiPriority w:val="29"/>
    <w:rsid w:val="00F7600C"/>
    <w:rPr>
      <w:i/>
      <w:iCs/>
      <w:color w:val="404040" w:themeColor="text1" w:themeTint="BF"/>
    </w:rPr>
  </w:style>
  <w:style w:type="paragraph" w:styleId="ListParagraph">
    <w:name w:val="List Paragraph"/>
    <w:basedOn w:val="Normal"/>
    <w:uiPriority w:val="34"/>
    <w:qFormat/>
    <w:rsid w:val="00F7600C"/>
    <w:pPr>
      <w:ind w:left="720"/>
      <w:contextualSpacing/>
    </w:pPr>
  </w:style>
  <w:style w:type="character" w:styleId="IntenseEmphasis">
    <w:name w:val="Intense Emphasis"/>
    <w:basedOn w:val="DefaultParagraphFont"/>
    <w:uiPriority w:val="21"/>
    <w:qFormat/>
    <w:rsid w:val="00F7600C"/>
    <w:rPr>
      <w:i/>
      <w:iCs/>
      <w:color w:val="0F4761" w:themeColor="accent1" w:themeShade="BF"/>
    </w:rPr>
  </w:style>
  <w:style w:type="paragraph" w:styleId="IntenseQuote">
    <w:name w:val="Intense Quote"/>
    <w:basedOn w:val="Normal"/>
    <w:next w:val="Normal"/>
    <w:link w:val="IntenseQuoteChar"/>
    <w:uiPriority w:val="30"/>
    <w:qFormat/>
    <w:rsid w:val="00F760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00C"/>
    <w:rPr>
      <w:i/>
      <w:iCs/>
      <w:color w:val="0F4761" w:themeColor="accent1" w:themeShade="BF"/>
    </w:rPr>
  </w:style>
  <w:style w:type="character" w:styleId="IntenseReference">
    <w:name w:val="Intense Reference"/>
    <w:basedOn w:val="DefaultParagraphFont"/>
    <w:uiPriority w:val="32"/>
    <w:qFormat/>
    <w:rsid w:val="00F7600C"/>
    <w:rPr>
      <w:b/>
      <w:bCs/>
      <w:smallCaps/>
      <w:color w:val="0F4761" w:themeColor="accent1" w:themeShade="BF"/>
      <w:spacing w:val="5"/>
    </w:rPr>
  </w:style>
  <w:style w:type="character" w:styleId="Hyperlink">
    <w:name w:val="Hyperlink"/>
    <w:basedOn w:val="DefaultParagraphFont"/>
    <w:uiPriority w:val="99"/>
    <w:unhideWhenUsed/>
    <w:rsid w:val="00CB4A82"/>
    <w:rPr>
      <w:color w:val="467886" w:themeColor="hyperlink"/>
      <w:u w:val="single"/>
    </w:rPr>
  </w:style>
  <w:style w:type="character" w:styleId="UnresolvedMention">
    <w:name w:val="Unresolved Mention"/>
    <w:basedOn w:val="DefaultParagraphFont"/>
    <w:uiPriority w:val="99"/>
    <w:semiHidden/>
    <w:unhideWhenUsed/>
    <w:rsid w:val="00CB4A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hyperlink" Target="https://pompeiiinpictures.com/pompeiiinpictures/Tombs/tombs%20nocos%20p8.htm" TargetMode="External"/><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184</TotalTime>
  <Pages>14</Pages>
  <Words>1398</Words>
  <Characters>7974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72</cp:revision>
  <dcterms:created xsi:type="dcterms:W3CDTF">2026-01-11T19:45:00Z</dcterms:created>
  <dcterms:modified xsi:type="dcterms:W3CDTF">2026-01-11T22:53:00Z</dcterms:modified>
</cp:coreProperties>
</file>