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A34775" w14:textId="77777777" w:rsidR="00B9184B" w:rsidRDefault="00B9184B" w:rsidP="00B9184B">
      <w:pPr>
        <w:spacing w:after="0" w:line="360" w:lineRule="auto"/>
        <w:jc w:val="both"/>
        <w:rPr>
          <w:rFonts w:ascii="Arial" w:hAnsi="Arial" w:cs="Arial"/>
          <w:b/>
          <w:bCs/>
          <w:sz w:val="26"/>
          <w:szCs w:val="26"/>
        </w:rPr>
      </w:pPr>
    </w:p>
    <w:p w14:paraId="26F9178A" w14:textId="4B7CAD2A" w:rsidR="00B9184B" w:rsidRDefault="008E7C07" w:rsidP="00B9184B">
      <w:pPr>
        <w:spacing w:line="360" w:lineRule="auto"/>
        <w:jc w:val="both"/>
      </w:pPr>
      <w:r w:rsidRPr="00B9184B">
        <w:rPr>
          <w:rFonts w:ascii="Arial" w:hAnsi="Arial" w:cs="Arial"/>
          <w:noProof/>
          <w:sz w:val="26"/>
          <w:szCs w:val="26"/>
        </w:rPr>
        <w:drawing>
          <wp:inline distT="0" distB="0" distL="0" distR="0" wp14:anchorId="14BD55D1" wp14:editId="12E3E2B3">
            <wp:extent cx="2286000" cy="952500"/>
            <wp:effectExtent l="0" t="0" r="0" b="0"/>
            <wp:docPr id="5"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3D08E046" w14:textId="77777777" w:rsidR="00B9184B" w:rsidRDefault="00B9184B" w:rsidP="00B9184B">
      <w:pPr>
        <w:spacing w:line="360" w:lineRule="auto"/>
        <w:jc w:val="both"/>
        <w:rPr>
          <w:rFonts w:ascii="Arial" w:hAnsi="Arial" w:cs="Arial"/>
          <w:sz w:val="26"/>
          <w:szCs w:val="26"/>
        </w:rPr>
      </w:pPr>
    </w:p>
    <w:p w14:paraId="1890C0CA" w14:textId="77777777" w:rsidR="00B9184B" w:rsidRDefault="00B9184B" w:rsidP="00B9184B">
      <w:pPr>
        <w:spacing w:line="360" w:lineRule="auto"/>
        <w:jc w:val="both"/>
        <w:rPr>
          <w:rFonts w:ascii="Arial" w:hAnsi="Arial" w:cs="Arial"/>
          <w:sz w:val="26"/>
          <w:szCs w:val="26"/>
        </w:rPr>
      </w:pPr>
    </w:p>
    <w:p w14:paraId="0440B351" w14:textId="77777777" w:rsidR="00B9184B" w:rsidRDefault="00B9184B" w:rsidP="00B9184B">
      <w:pPr>
        <w:spacing w:line="360" w:lineRule="auto"/>
        <w:jc w:val="both"/>
        <w:rPr>
          <w:rFonts w:ascii="Arial" w:hAnsi="Arial" w:cs="Arial"/>
          <w:sz w:val="26"/>
          <w:szCs w:val="26"/>
        </w:rPr>
      </w:pPr>
    </w:p>
    <w:p w14:paraId="412BEB2A" w14:textId="77777777" w:rsidR="00B9184B" w:rsidRDefault="00B9184B" w:rsidP="00B9184B">
      <w:pPr>
        <w:spacing w:line="360" w:lineRule="auto"/>
        <w:jc w:val="both"/>
        <w:rPr>
          <w:rFonts w:ascii="Arial" w:hAnsi="Arial" w:cs="Arial"/>
          <w:sz w:val="26"/>
          <w:szCs w:val="26"/>
        </w:rPr>
      </w:pPr>
    </w:p>
    <w:p w14:paraId="4CE981B3" w14:textId="77777777" w:rsidR="00B9184B" w:rsidRDefault="00B9184B" w:rsidP="00B9184B">
      <w:pPr>
        <w:spacing w:line="360" w:lineRule="auto"/>
        <w:jc w:val="center"/>
        <w:rPr>
          <w:rFonts w:ascii="Arial" w:hAnsi="Arial" w:cs="Arial"/>
          <w:b/>
          <w:bCs/>
          <w:sz w:val="26"/>
          <w:szCs w:val="26"/>
        </w:rPr>
      </w:pPr>
      <w:r>
        <w:rPr>
          <w:rFonts w:ascii="Arial" w:hAnsi="Arial" w:cs="Arial"/>
          <w:b/>
          <w:bCs/>
          <w:sz w:val="26"/>
          <w:szCs w:val="26"/>
        </w:rPr>
        <w:t>Essay</w:t>
      </w:r>
    </w:p>
    <w:p w14:paraId="352188E5" w14:textId="77777777" w:rsidR="00B9184B" w:rsidRDefault="00B9184B" w:rsidP="00B9184B">
      <w:pPr>
        <w:spacing w:line="360" w:lineRule="auto"/>
        <w:jc w:val="both"/>
        <w:rPr>
          <w:rFonts w:ascii="Arial" w:hAnsi="Arial" w:cs="Arial"/>
          <w:sz w:val="26"/>
          <w:szCs w:val="26"/>
        </w:rPr>
      </w:pPr>
    </w:p>
    <w:p w14:paraId="628D7D00" w14:textId="77777777" w:rsidR="00B9184B" w:rsidRDefault="00B9184B" w:rsidP="00B9184B">
      <w:pPr>
        <w:spacing w:line="360" w:lineRule="auto"/>
        <w:jc w:val="both"/>
        <w:rPr>
          <w:rFonts w:ascii="Arial" w:hAnsi="Arial" w:cs="Arial"/>
          <w:sz w:val="26"/>
          <w:szCs w:val="26"/>
        </w:rPr>
      </w:pPr>
    </w:p>
    <w:p w14:paraId="69015199" w14:textId="77777777" w:rsidR="00B9184B" w:rsidRDefault="00B9184B" w:rsidP="00B9184B">
      <w:pPr>
        <w:spacing w:line="360" w:lineRule="auto"/>
        <w:jc w:val="both"/>
        <w:rPr>
          <w:rFonts w:ascii="Arial" w:hAnsi="Arial" w:cs="Arial"/>
          <w:sz w:val="26"/>
          <w:szCs w:val="26"/>
        </w:rPr>
      </w:pPr>
    </w:p>
    <w:p w14:paraId="72A44A4C" w14:textId="77777777" w:rsidR="00B9184B" w:rsidRDefault="00B9184B" w:rsidP="00B9184B">
      <w:pPr>
        <w:spacing w:line="360" w:lineRule="auto"/>
        <w:jc w:val="both"/>
        <w:rPr>
          <w:rFonts w:ascii="Arial" w:hAnsi="Arial" w:cs="Arial"/>
          <w:b/>
          <w:bCs/>
          <w:sz w:val="26"/>
          <w:szCs w:val="26"/>
        </w:rPr>
      </w:pPr>
      <w:r>
        <w:rPr>
          <w:rFonts w:ascii="Arial" w:hAnsi="Arial" w:cs="Arial"/>
          <w:b/>
          <w:bCs/>
          <w:sz w:val="26"/>
          <w:szCs w:val="26"/>
        </w:rPr>
        <w:t>Name:                  Gianina-Maricica Chirila</w:t>
      </w:r>
    </w:p>
    <w:p w14:paraId="23C33F25" w14:textId="77777777" w:rsidR="00B9184B" w:rsidRDefault="00B9184B" w:rsidP="00B9184B">
      <w:pPr>
        <w:spacing w:line="360" w:lineRule="auto"/>
        <w:jc w:val="both"/>
        <w:rPr>
          <w:rFonts w:ascii="Arial" w:hAnsi="Arial" w:cs="Arial"/>
          <w:b/>
          <w:bCs/>
          <w:sz w:val="26"/>
          <w:szCs w:val="26"/>
        </w:rPr>
      </w:pPr>
      <w:r>
        <w:rPr>
          <w:rFonts w:ascii="Arial" w:hAnsi="Arial" w:cs="Arial"/>
          <w:b/>
          <w:bCs/>
          <w:sz w:val="26"/>
          <w:szCs w:val="26"/>
        </w:rPr>
        <w:t>Student ID:          2131738</w:t>
      </w:r>
    </w:p>
    <w:p w14:paraId="145A39E6" w14:textId="77777777" w:rsidR="00B9184B" w:rsidRDefault="00B9184B" w:rsidP="00B9184B">
      <w:pPr>
        <w:spacing w:line="360" w:lineRule="auto"/>
        <w:jc w:val="both"/>
        <w:rPr>
          <w:rFonts w:ascii="Arial" w:hAnsi="Arial" w:cs="Arial"/>
          <w:b/>
          <w:bCs/>
          <w:sz w:val="26"/>
          <w:szCs w:val="26"/>
        </w:rPr>
      </w:pPr>
      <w:r>
        <w:rPr>
          <w:rFonts w:ascii="Arial" w:hAnsi="Arial" w:cs="Arial"/>
          <w:b/>
          <w:bCs/>
          <w:sz w:val="26"/>
          <w:szCs w:val="26"/>
        </w:rPr>
        <w:t>Module code:      LCBB</w:t>
      </w:r>
      <w:r w:rsidR="00202225">
        <w:rPr>
          <w:rFonts w:ascii="Arial" w:hAnsi="Arial" w:cs="Arial"/>
          <w:b/>
          <w:bCs/>
          <w:sz w:val="26"/>
          <w:szCs w:val="26"/>
        </w:rPr>
        <w:t>6001</w:t>
      </w:r>
    </w:p>
    <w:p w14:paraId="646BDCA8" w14:textId="77777777" w:rsidR="00B9184B" w:rsidRDefault="00B9184B" w:rsidP="00B9184B">
      <w:pPr>
        <w:spacing w:line="360" w:lineRule="auto"/>
        <w:jc w:val="both"/>
        <w:rPr>
          <w:rFonts w:ascii="Arial" w:hAnsi="Arial" w:cs="Arial"/>
          <w:b/>
          <w:bCs/>
          <w:sz w:val="26"/>
          <w:szCs w:val="26"/>
        </w:rPr>
      </w:pPr>
      <w:r>
        <w:rPr>
          <w:rFonts w:ascii="Arial" w:hAnsi="Arial" w:cs="Arial"/>
          <w:b/>
          <w:bCs/>
          <w:sz w:val="26"/>
          <w:szCs w:val="26"/>
        </w:rPr>
        <w:t xml:space="preserve">Module name:     </w:t>
      </w:r>
      <w:r w:rsidR="00202225">
        <w:rPr>
          <w:rFonts w:ascii="Arial" w:hAnsi="Arial" w:cs="Arial"/>
          <w:b/>
          <w:bCs/>
          <w:sz w:val="26"/>
          <w:szCs w:val="26"/>
        </w:rPr>
        <w:t>International Business Communication</w:t>
      </w:r>
    </w:p>
    <w:p w14:paraId="18FD0A67" w14:textId="77777777" w:rsidR="00B9184B" w:rsidRDefault="00B9184B" w:rsidP="00B9184B">
      <w:pPr>
        <w:spacing w:line="360" w:lineRule="auto"/>
        <w:jc w:val="both"/>
        <w:rPr>
          <w:rFonts w:ascii="Arial" w:hAnsi="Arial" w:cs="Arial"/>
          <w:b/>
          <w:bCs/>
          <w:sz w:val="26"/>
          <w:szCs w:val="26"/>
        </w:rPr>
      </w:pPr>
      <w:r>
        <w:rPr>
          <w:rFonts w:ascii="Arial" w:hAnsi="Arial" w:cs="Arial"/>
          <w:b/>
          <w:bCs/>
          <w:sz w:val="26"/>
          <w:szCs w:val="26"/>
        </w:rPr>
        <w:t xml:space="preserve">Lecturer:              </w:t>
      </w:r>
      <w:r w:rsidR="00202225">
        <w:rPr>
          <w:rFonts w:ascii="Arial" w:hAnsi="Arial" w:cs="Arial"/>
          <w:b/>
          <w:bCs/>
          <w:sz w:val="26"/>
          <w:szCs w:val="26"/>
        </w:rPr>
        <w:t>Afzal Munna</w:t>
      </w:r>
    </w:p>
    <w:p w14:paraId="3E84BE13" w14:textId="77777777" w:rsidR="00B9184B" w:rsidRDefault="00B9184B" w:rsidP="00B9184B">
      <w:pPr>
        <w:spacing w:line="360" w:lineRule="auto"/>
        <w:jc w:val="both"/>
        <w:rPr>
          <w:rFonts w:ascii="Arial" w:hAnsi="Arial" w:cs="Arial"/>
          <w:b/>
          <w:bCs/>
          <w:sz w:val="26"/>
          <w:szCs w:val="26"/>
        </w:rPr>
      </w:pPr>
      <w:r>
        <w:rPr>
          <w:rFonts w:ascii="Arial" w:hAnsi="Arial" w:cs="Arial"/>
          <w:b/>
          <w:bCs/>
          <w:sz w:val="26"/>
          <w:szCs w:val="26"/>
        </w:rPr>
        <w:t xml:space="preserve">Date:                    </w:t>
      </w:r>
      <w:r w:rsidR="00202225">
        <w:rPr>
          <w:rFonts w:ascii="Arial" w:hAnsi="Arial" w:cs="Arial"/>
          <w:b/>
          <w:bCs/>
          <w:sz w:val="26"/>
          <w:szCs w:val="26"/>
        </w:rPr>
        <w:t>24.11.2024</w:t>
      </w:r>
    </w:p>
    <w:p w14:paraId="057CC2A3" w14:textId="77777777" w:rsidR="00B9184B" w:rsidRDefault="00B9184B" w:rsidP="00B9184B">
      <w:pPr>
        <w:spacing w:line="360" w:lineRule="auto"/>
        <w:jc w:val="both"/>
        <w:rPr>
          <w:rFonts w:ascii="Arial" w:hAnsi="Arial" w:cs="Arial"/>
          <w:b/>
          <w:bCs/>
          <w:sz w:val="26"/>
          <w:szCs w:val="26"/>
        </w:rPr>
      </w:pPr>
    </w:p>
    <w:p w14:paraId="1E4391A0" w14:textId="77777777" w:rsidR="00B9184B" w:rsidRDefault="00B9184B" w:rsidP="00B9184B">
      <w:pPr>
        <w:spacing w:after="0" w:line="360" w:lineRule="auto"/>
        <w:jc w:val="both"/>
        <w:rPr>
          <w:rFonts w:ascii="Arial" w:hAnsi="Arial" w:cs="Arial"/>
          <w:b/>
          <w:bCs/>
          <w:sz w:val="26"/>
          <w:szCs w:val="26"/>
        </w:rPr>
      </w:pPr>
    </w:p>
    <w:p w14:paraId="213679A0" w14:textId="77777777" w:rsidR="00B9184B" w:rsidRDefault="00B9184B" w:rsidP="00B9184B">
      <w:pPr>
        <w:spacing w:after="0" w:line="360" w:lineRule="auto"/>
        <w:jc w:val="both"/>
        <w:rPr>
          <w:rFonts w:ascii="Arial" w:hAnsi="Arial" w:cs="Arial"/>
          <w:b/>
          <w:bCs/>
          <w:sz w:val="26"/>
          <w:szCs w:val="26"/>
        </w:rPr>
      </w:pPr>
    </w:p>
    <w:p w14:paraId="41E4A214" w14:textId="77777777" w:rsidR="00B9184B" w:rsidRDefault="00B9184B" w:rsidP="00B9184B">
      <w:pPr>
        <w:tabs>
          <w:tab w:val="left" w:pos="2628"/>
        </w:tabs>
        <w:spacing w:after="0" w:line="360" w:lineRule="auto"/>
        <w:jc w:val="both"/>
        <w:rPr>
          <w:rFonts w:ascii="Arial" w:hAnsi="Arial" w:cs="Arial"/>
          <w:b/>
          <w:bCs/>
          <w:sz w:val="26"/>
          <w:szCs w:val="26"/>
        </w:rPr>
      </w:pPr>
      <w:r>
        <w:rPr>
          <w:rFonts w:ascii="Arial" w:hAnsi="Arial" w:cs="Arial"/>
          <w:b/>
          <w:bCs/>
          <w:sz w:val="26"/>
          <w:szCs w:val="26"/>
        </w:rPr>
        <w:tab/>
      </w:r>
    </w:p>
    <w:p w14:paraId="7B2AA085" w14:textId="77777777" w:rsidR="00B9184B" w:rsidRDefault="00B9184B" w:rsidP="00B9184B">
      <w:pPr>
        <w:tabs>
          <w:tab w:val="left" w:pos="2628"/>
        </w:tabs>
        <w:spacing w:after="0" w:line="360" w:lineRule="auto"/>
        <w:jc w:val="both"/>
        <w:rPr>
          <w:rFonts w:ascii="Arial" w:hAnsi="Arial" w:cs="Arial"/>
          <w:b/>
          <w:bCs/>
          <w:sz w:val="26"/>
          <w:szCs w:val="26"/>
        </w:rPr>
      </w:pPr>
    </w:p>
    <w:p w14:paraId="2D5D048E" w14:textId="77777777" w:rsidR="00B9184B" w:rsidRDefault="00B9184B" w:rsidP="00B9184B">
      <w:pPr>
        <w:tabs>
          <w:tab w:val="left" w:pos="2628"/>
        </w:tabs>
        <w:spacing w:after="0" w:line="360" w:lineRule="auto"/>
        <w:jc w:val="both"/>
        <w:rPr>
          <w:rFonts w:ascii="Arial" w:hAnsi="Arial" w:cs="Arial"/>
          <w:b/>
          <w:bCs/>
          <w:sz w:val="26"/>
          <w:szCs w:val="26"/>
        </w:rPr>
      </w:pPr>
    </w:p>
    <w:p w14:paraId="64848756" w14:textId="77777777" w:rsidR="00B9184B" w:rsidRDefault="00B9184B" w:rsidP="00B9184B">
      <w:pPr>
        <w:pStyle w:val="TOCHeading"/>
        <w:spacing w:line="360" w:lineRule="auto"/>
        <w:jc w:val="both"/>
        <w:outlineLvl w:val="9"/>
        <w:rPr>
          <w:rFonts w:ascii="Arial" w:hAnsi="Arial" w:cs="Arial"/>
          <w:b/>
          <w:bCs/>
          <w:color w:val="auto"/>
          <w:sz w:val="24"/>
          <w:szCs w:val="24"/>
        </w:rPr>
      </w:pPr>
      <w:r>
        <w:rPr>
          <w:rFonts w:ascii="Arial" w:hAnsi="Arial" w:cs="Arial"/>
          <w:b/>
          <w:bCs/>
          <w:color w:val="auto"/>
          <w:sz w:val="24"/>
          <w:szCs w:val="24"/>
        </w:rPr>
        <w:lastRenderedPageBreak/>
        <w:t>Table of Contents</w:t>
      </w:r>
    </w:p>
    <w:p w14:paraId="4B48E095" w14:textId="77777777" w:rsidR="00B9184B" w:rsidRDefault="00B9184B" w:rsidP="00B9184B">
      <w:pPr>
        <w:spacing w:line="360" w:lineRule="auto"/>
        <w:jc w:val="both"/>
        <w:rPr>
          <w:rFonts w:ascii="Arial" w:hAnsi="Arial" w:cs="Arial"/>
          <w:lang w:val="en-US"/>
        </w:rPr>
      </w:pPr>
    </w:p>
    <w:p w14:paraId="45DC9503" w14:textId="77777777" w:rsidR="00B9184B" w:rsidRDefault="00B9184B" w:rsidP="00B9184B">
      <w:pPr>
        <w:pStyle w:val="TOC1"/>
        <w:tabs>
          <w:tab w:val="right" w:leader="dot" w:pos="9026"/>
        </w:tabs>
        <w:spacing w:after="0" w:line="360" w:lineRule="auto"/>
        <w:jc w:val="both"/>
      </w:pPr>
      <w:r>
        <w:rPr>
          <w:rFonts w:ascii="Arial" w:hAnsi="Arial" w:cs="Arial"/>
          <w:b/>
          <w:bCs/>
          <w:sz w:val="24"/>
          <w:szCs w:val="24"/>
        </w:rPr>
        <w:t>1. Introduction</w:t>
      </w:r>
      <w:r>
        <w:rPr>
          <w:rFonts w:ascii="Arial" w:hAnsi="Arial" w:cs="Arial"/>
          <w:b/>
          <w:bCs/>
          <w:sz w:val="24"/>
          <w:szCs w:val="24"/>
        </w:rPr>
        <w:tab/>
        <w:t>3</w:t>
      </w:r>
    </w:p>
    <w:p w14:paraId="3A4D689C" w14:textId="77777777" w:rsidR="00B9184B" w:rsidRDefault="00B9184B" w:rsidP="00B9184B">
      <w:pPr>
        <w:pStyle w:val="TOC1"/>
        <w:tabs>
          <w:tab w:val="right" w:leader="dot" w:pos="9026"/>
        </w:tabs>
        <w:spacing w:after="0" w:line="360" w:lineRule="auto"/>
        <w:jc w:val="both"/>
      </w:pPr>
      <w:r>
        <w:rPr>
          <w:rFonts w:ascii="Arial" w:hAnsi="Arial" w:cs="Arial"/>
          <w:b/>
          <w:bCs/>
          <w:sz w:val="24"/>
          <w:szCs w:val="24"/>
        </w:rPr>
        <w:t xml:space="preserve">2. </w:t>
      </w:r>
      <w:r w:rsidR="0076296B">
        <w:rPr>
          <w:rFonts w:ascii="Arial" w:hAnsi="Arial" w:cs="Arial"/>
          <w:b/>
          <w:bCs/>
          <w:sz w:val="24"/>
          <w:szCs w:val="24"/>
        </w:rPr>
        <w:t>Cultural differences between the UK and Japan</w:t>
      </w:r>
      <w:r>
        <w:rPr>
          <w:rFonts w:ascii="Arial" w:hAnsi="Arial" w:cs="Arial"/>
          <w:b/>
          <w:bCs/>
          <w:sz w:val="24"/>
          <w:szCs w:val="24"/>
        </w:rPr>
        <w:tab/>
      </w:r>
      <w:r w:rsidR="006850B9">
        <w:rPr>
          <w:rFonts w:ascii="Arial" w:hAnsi="Arial" w:cs="Arial"/>
          <w:b/>
          <w:bCs/>
          <w:sz w:val="24"/>
          <w:szCs w:val="24"/>
        </w:rPr>
        <w:t>3</w:t>
      </w:r>
    </w:p>
    <w:p w14:paraId="46B2FE51" w14:textId="77777777" w:rsidR="00B9184B" w:rsidRDefault="00B9184B" w:rsidP="00B9184B">
      <w:pPr>
        <w:pStyle w:val="TOC2"/>
        <w:tabs>
          <w:tab w:val="right" w:leader="dot" w:pos="9026"/>
        </w:tabs>
        <w:spacing w:after="0" w:line="360" w:lineRule="auto"/>
        <w:ind w:left="0"/>
        <w:jc w:val="both"/>
        <w:rPr>
          <w:rFonts w:ascii="Arial" w:hAnsi="Arial" w:cs="Arial"/>
          <w:b/>
          <w:bCs/>
          <w:sz w:val="24"/>
          <w:szCs w:val="24"/>
        </w:rPr>
      </w:pPr>
      <w:r>
        <w:rPr>
          <w:rFonts w:ascii="Arial" w:hAnsi="Arial" w:cs="Arial"/>
          <w:b/>
          <w:bCs/>
          <w:sz w:val="24"/>
          <w:szCs w:val="24"/>
        </w:rPr>
        <w:t xml:space="preserve">3. </w:t>
      </w:r>
      <w:r w:rsidR="0076296B">
        <w:rPr>
          <w:rFonts w:ascii="Arial" w:hAnsi="Arial" w:cs="Arial"/>
          <w:b/>
          <w:bCs/>
          <w:sz w:val="24"/>
          <w:szCs w:val="24"/>
        </w:rPr>
        <w:t>GSK’s and Takeda’s background</w:t>
      </w:r>
      <w:r>
        <w:rPr>
          <w:rFonts w:ascii="Arial" w:hAnsi="Arial" w:cs="Arial"/>
          <w:b/>
          <w:bCs/>
          <w:sz w:val="24"/>
          <w:szCs w:val="24"/>
        </w:rPr>
        <w:t xml:space="preserve"> </w:t>
      </w:r>
      <w:r>
        <w:rPr>
          <w:rFonts w:ascii="Arial" w:hAnsi="Arial" w:cs="Arial"/>
          <w:b/>
          <w:bCs/>
          <w:sz w:val="24"/>
          <w:szCs w:val="24"/>
        </w:rPr>
        <w:tab/>
        <w:t>5</w:t>
      </w:r>
    </w:p>
    <w:p w14:paraId="5BD33481" w14:textId="77777777" w:rsidR="00B9184B" w:rsidRDefault="00B9184B" w:rsidP="00B9184B">
      <w:pPr>
        <w:pStyle w:val="TOC2"/>
        <w:tabs>
          <w:tab w:val="right" w:leader="dot" w:pos="9026"/>
        </w:tabs>
        <w:spacing w:after="0" w:line="360" w:lineRule="auto"/>
        <w:ind w:left="0"/>
        <w:jc w:val="both"/>
      </w:pPr>
      <w:r>
        <w:rPr>
          <w:rFonts w:ascii="Arial" w:hAnsi="Arial" w:cs="Arial"/>
          <w:b/>
          <w:bCs/>
        </w:rPr>
        <w:t xml:space="preserve">4. </w:t>
      </w:r>
      <w:r w:rsidR="0076296B">
        <w:rPr>
          <w:rFonts w:ascii="Arial" w:hAnsi="Arial" w:cs="Arial"/>
          <w:b/>
          <w:bCs/>
          <w:sz w:val="24"/>
          <w:szCs w:val="24"/>
        </w:rPr>
        <w:t>Hall’s High- and Low- context communication theory</w:t>
      </w:r>
      <w:r>
        <w:rPr>
          <w:rFonts w:ascii="Arial" w:hAnsi="Arial" w:cs="Arial"/>
          <w:b/>
          <w:bCs/>
          <w:sz w:val="24"/>
          <w:szCs w:val="24"/>
        </w:rPr>
        <w:tab/>
        <w:t>6</w:t>
      </w:r>
    </w:p>
    <w:p w14:paraId="509212DA" w14:textId="77777777" w:rsidR="00B9184B" w:rsidRDefault="00B9184B" w:rsidP="00B9184B">
      <w:pPr>
        <w:pStyle w:val="TOC2"/>
        <w:tabs>
          <w:tab w:val="right" w:leader="dot" w:pos="9026"/>
        </w:tabs>
        <w:spacing w:after="0" w:line="360" w:lineRule="auto"/>
        <w:ind w:left="0"/>
        <w:jc w:val="both"/>
      </w:pPr>
      <w:r>
        <w:rPr>
          <w:rFonts w:ascii="Arial" w:hAnsi="Arial" w:cs="Arial"/>
          <w:b/>
          <w:bCs/>
          <w:sz w:val="24"/>
          <w:szCs w:val="24"/>
        </w:rPr>
        <w:t xml:space="preserve">5. </w:t>
      </w:r>
      <w:r w:rsidR="0076296B">
        <w:rPr>
          <w:rFonts w:ascii="Arial" w:hAnsi="Arial" w:cs="Arial"/>
          <w:b/>
          <w:bCs/>
          <w:sz w:val="24"/>
          <w:szCs w:val="24"/>
        </w:rPr>
        <w:t>Hofstede’s cultural dimensions</w:t>
      </w:r>
      <w:r>
        <w:rPr>
          <w:rFonts w:ascii="Arial" w:hAnsi="Arial" w:cs="Arial"/>
          <w:b/>
          <w:bCs/>
          <w:sz w:val="24"/>
          <w:szCs w:val="24"/>
        </w:rPr>
        <w:t xml:space="preserve"> </w:t>
      </w:r>
      <w:r>
        <w:rPr>
          <w:rFonts w:ascii="Arial" w:hAnsi="Arial" w:cs="Arial"/>
          <w:b/>
          <w:bCs/>
          <w:sz w:val="24"/>
          <w:szCs w:val="24"/>
        </w:rPr>
        <w:tab/>
      </w:r>
      <w:r w:rsidR="006850B9">
        <w:rPr>
          <w:rFonts w:ascii="Arial" w:hAnsi="Arial" w:cs="Arial"/>
          <w:b/>
          <w:bCs/>
          <w:sz w:val="24"/>
          <w:szCs w:val="24"/>
        </w:rPr>
        <w:t>9</w:t>
      </w:r>
    </w:p>
    <w:p w14:paraId="0EEA14CF" w14:textId="77777777" w:rsidR="00B9184B" w:rsidRDefault="00B9184B" w:rsidP="00B9184B">
      <w:pPr>
        <w:pStyle w:val="TOC3"/>
        <w:tabs>
          <w:tab w:val="right" w:leader="dot" w:pos="9026"/>
        </w:tabs>
        <w:spacing w:after="0" w:line="360" w:lineRule="auto"/>
        <w:ind w:left="0"/>
        <w:jc w:val="both"/>
        <w:rPr>
          <w:rFonts w:ascii="Arial" w:hAnsi="Arial" w:cs="Arial"/>
          <w:b/>
          <w:bCs/>
          <w:sz w:val="24"/>
          <w:szCs w:val="24"/>
        </w:rPr>
      </w:pPr>
      <w:r>
        <w:rPr>
          <w:rFonts w:ascii="Arial" w:hAnsi="Arial" w:cs="Arial"/>
          <w:b/>
          <w:bCs/>
          <w:sz w:val="24"/>
          <w:szCs w:val="24"/>
        </w:rPr>
        <w:t xml:space="preserve">6. </w:t>
      </w:r>
      <w:r w:rsidR="0076296B">
        <w:rPr>
          <w:rFonts w:ascii="Arial" w:hAnsi="Arial" w:cs="Arial"/>
          <w:b/>
          <w:bCs/>
          <w:sz w:val="24"/>
          <w:szCs w:val="24"/>
        </w:rPr>
        <w:t>Strategies to improve cross-cultural communication</w:t>
      </w:r>
      <w:r>
        <w:rPr>
          <w:rFonts w:ascii="Arial" w:hAnsi="Arial" w:cs="Arial"/>
          <w:b/>
          <w:bCs/>
          <w:sz w:val="24"/>
          <w:szCs w:val="24"/>
        </w:rPr>
        <w:t xml:space="preserve"> </w:t>
      </w:r>
      <w:r>
        <w:rPr>
          <w:rFonts w:ascii="Arial" w:hAnsi="Arial" w:cs="Arial"/>
          <w:b/>
          <w:bCs/>
          <w:sz w:val="24"/>
          <w:szCs w:val="24"/>
        </w:rPr>
        <w:tab/>
        <w:t>1</w:t>
      </w:r>
      <w:r w:rsidR="006850B9">
        <w:rPr>
          <w:rFonts w:ascii="Arial" w:hAnsi="Arial" w:cs="Arial"/>
          <w:b/>
          <w:bCs/>
          <w:sz w:val="24"/>
          <w:szCs w:val="24"/>
        </w:rPr>
        <w:t>1</w:t>
      </w:r>
    </w:p>
    <w:p w14:paraId="452CF3FC" w14:textId="77777777" w:rsidR="00B9184B" w:rsidRDefault="00B9184B" w:rsidP="00B9184B">
      <w:pPr>
        <w:pStyle w:val="TOC3"/>
        <w:tabs>
          <w:tab w:val="right" w:leader="dot" w:pos="9026"/>
        </w:tabs>
        <w:spacing w:after="0" w:line="360" w:lineRule="auto"/>
        <w:ind w:left="0"/>
        <w:jc w:val="both"/>
      </w:pPr>
      <w:r>
        <w:rPr>
          <w:rFonts w:ascii="Arial" w:hAnsi="Arial" w:cs="Arial"/>
          <w:b/>
          <w:bCs/>
          <w:sz w:val="24"/>
          <w:szCs w:val="24"/>
        </w:rPr>
        <w:t xml:space="preserve">7. </w:t>
      </w:r>
      <w:r w:rsidR="0076296B">
        <w:rPr>
          <w:rFonts w:ascii="Arial" w:hAnsi="Arial" w:cs="Arial"/>
          <w:b/>
          <w:bCs/>
          <w:sz w:val="24"/>
          <w:szCs w:val="24"/>
        </w:rPr>
        <w:t>Conclusion</w:t>
      </w:r>
      <w:r>
        <w:rPr>
          <w:rFonts w:ascii="Arial" w:hAnsi="Arial" w:cs="Arial"/>
          <w:b/>
          <w:bCs/>
          <w:sz w:val="24"/>
          <w:szCs w:val="24"/>
        </w:rPr>
        <w:t xml:space="preserve"> </w:t>
      </w:r>
      <w:r>
        <w:rPr>
          <w:rFonts w:ascii="Arial" w:hAnsi="Arial" w:cs="Arial"/>
          <w:b/>
          <w:bCs/>
          <w:sz w:val="24"/>
          <w:szCs w:val="24"/>
        </w:rPr>
        <w:tab/>
        <w:t>1</w:t>
      </w:r>
      <w:r w:rsidR="006850B9">
        <w:rPr>
          <w:rFonts w:ascii="Arial" w:hAnsi="Arial" w:cs="Arial"/>
          <w:b/>
          <w:bCs/>
          <w:sz w:val="24"/>
          <w:szCs w:val="24"/>
        </w:rPr>
        <w:t>4</w:t>
      </w:r>
    </w:p>
    <w:p w14:paraId="6898D985" w14:textId="77777777" w:rsidR="00B9184B" w:rsidRDefault="00B9184B" w:rsidP="00B9184B">
      <w:pPr>
        <w:pStyle w:val="TOC3"/>
        <w:tabs>
          <w:tab w:val="right" w:leader="dot" w:pos="9026"/>
        </w:tabs>
        <w:spacing w:after="0" w:line="360" w:lineRule="auto"/>
        <w:ind w:left="0"/>
        <w:jc w:val="both"/>
      </w:pPr>
      <w:r>
        <w:rPr>
          <w:rFonts w:ascii="Arial" w:hAnsi="Arial" w:cs="Arial"/>
          <w:b/>
          <w:bCs/>
          <w:sz w:val="24"/>
          <w:szCs w:val="24"/>
        </w:rPr>
        <w:t xml:space="preserve">8. References list </w:t>
      </w:r>
      <w:r>
        <w:rPr>
          <w:rFonts w:ascii="Arial" w:hAnsi="Arial" w:cs="Arial"/>
          <w:b/>
          <w:bCs/>
          <w:sz w:val="24"/>
          <w:szCs w:val="24"/>
        </w:rPr>
        <w:tab/>
        <w:t>1</w:t>
      </w:r>
      <w:r w:rsidR="006850B9">
        <w:rPr>
          <w:rFonts w:ascii="Arial" w:hAnsi="Arial" w:cs="Arial"/>
          <w:b/>
          <w:bCs/>
          <w:sz w:val="24"/>
          <w:szCs w:val="24"/>
        </w:rPr>
        <w:t>5</w:t>
      </w:r>
    </w:p>
    <w:p w14:paraId="4ADDAE63" w14:textId="77777777" w:rsidR="00B9184B" w:rsidRDefault="00B9184B" w:rsidP="00B9184B">
      <w:pPr>
        <w:spacing w:after="0" w:line="360" w:lineRule="auto"/>
        <w:jc w:val="both"/>
        <w:rPr>
          <w:rFonts w:ascii="Arial" w:hAnsi="Arial" w:cs="Arial"/>
          <w:sz w:val="24"/>
          <w:szCs w:val="24"/>
        </w:rPr>
      </w:pPr>
    </w:p>
    <w:p w14:paraId="3577FB76" w14:textId="77777777" w:rsidR="00B9184B" w:rsidRDefault="00B9184B" w:rsidP="00B9184B">
      <w:pPr>
        <w:spacing w:after="0" w:line="360" w:lineRule="auto"/>
        <w:jc w:val="both"/>
        <w:rPr>
          <w:rFonts w:ascii="Arial" w:hAnsi="Arial" w:cs="Arial"/>
          <w:sz w:val="24"/>
          <w:szCs w:val="24"/>
        </w:rPr>
      </w:pPr>
    </w:p>
    <w:p w14:paraId="56F69C22" w14:textId="77777777" w:rsidR="00B9184B" w:rsidRDefault="00B9184B" w:rsidP="00B9184B">
      <w:pPr>
        <w:spacing w:line="360" w:lineRule="auto"/>
        <w:jc w:val="both"/>
        <w:rPr>
          <w:rFonts w:ascii="Arial" w:hAnsi="Arial" w:cs="Arial"/>
          <w:sz w:val="24"/>
          <w:szCs w:val="24"/>
        </w:rPr>
      </w:pPr>
    </w:p>
    <w:p w14:paraId="4DD09C04" w14:textId="77777777" w:rsidR="00B9184B" w:rsidRDefault="00B9184B" w:rsidP="00B9184B">
      <w:pPr>
        <w:spacing w:line="360" w:lineRule="auto"/>
        <w:jc w:val="both"/>
        <w:rPr>
          <w:rFonts w:ascii="Arial" w:hAnsi="Arial" w:cs="Arial"/>
          <w:sz w:val="24"/>
          <w:szCs w:val="24"/>
        </w:rPr>
      </w:pPr>
    </w:p>
    <w:p w14:paraId="56FE3339" w14:textId="77777777" w:rsidR="00B9184B" w:rsidRDefault="00B9184B" w:rsidP="00B9184B">
      <w:pPr>
        <w:spacing w:line="360" w:lineRule="auto"/>
        <w:jc w:val="both"/>
        <w:rPr>
          <w:rFonts w:ascii="Arial" w:hAnsi="Arial" w:cs="Arial"/>
          <w:sz w:val="24"/>
          <w:szCs w:val="24"/>
        </w:rPr>
      </w:pPr>
    </w:p>
    <w:p w14:paraId="70FFEF84" w14:textId="77777777" w:rsidR="00B9184B" w:rsidRDefault="00B9184B" w:rsidP="00B9184B">
      <w:pPr>
        <w:spacing w:line="360" w:lineRule="auto"/>
        <w:jc w:val="both"/>
        <w:rPr>
          <w:rFonts w:ascii="Arial" w:hAnsi="Arial" w:cs="Arial"/>
          <w:sz w:val="24"/>
          <w:szCs w:val="24"/>
        </w:rPr>
      </w:pPr>
    </w:p>
    <w:p w14:paraId="259484AE" w14:textId="77777777" w:rsidR="00B9184B" w:rsidRDefault="00B9184B" w:rsidP="00B9184B">
      <w:pPr>
        <w:spacing w:line="360" w:lineRule="auto"/>
        <w:jc w:val="both"/>
        <w:rPr>
          <w:rFonts w:ascii="Arial" w:hAnsi="Arial" w:cs="Arial"/>
          <w:sz w:val="24"/>
          <w:szCs w:val="24"/>
        </w:rPr>
      </w:pPr>
    </w:p>
    <w:p w14:paraId="4DB2C613" w14:textId="77777777" w:rsidR="00B9184B" w:rsidRDefault="00B9184B" w:rsidP="00B9184B">
      <w:pPr>
        <w:spacing w:line="360" w:lineRule="auto"/>
        <w:jc w:val="both"/>
        <w:rPr>
          <w:rFonts w:ascii="Arial" w:hAnsi="Arial" w:cs="Arial"/>
          <w:sz w:val="24"/>
          <w:szCs w:val="24"/>
        </w:rPr>
      </w:pPr>
    </w:p>
    <w:p w14:paraId="5E65AFF3" w14:textId="77777777" w:rsidR="00B9184B" w:rsidRDefault="00B9184B" w:rsidP="00B9184B">
      <w:pPr>
        <w:spacing w:line="360" w:lineRule="auto"/>
        <w:jc w:val="both"/>
        <w:rPr>
          <w:rFonts w:ascii="Arial" w:hAnsi="Arial" w:cs="Arial"/>
          <w:sz w:val="24"/>
          <w:szCs w:val="24"/>
        </w:rPr>
      </w:pPr>
    </w:p>
    <w:p w14:paraId="7E1BF070" w14:textId="77777777" w:rsidR="00B9184B" w:rsidRDefault="00B9184B" w:rsidP="00B9184B">
      <w:pPr>
        <w:spacing w:line="360" w:lineRule="auto"/>
        <w:jc w:val="both"/>
        <w:rPr>
          <w:rFonts w:ascii="Arial" w:hAnsi="Arial" w:cs="Arial"/>
          <w:sz w:val="24"/>
          <w:szCs w:val="24"/>
        </w:rPr>
      </w:pPr>
    </w:p>
    <w:p w14:paraId="10E3FFDD" w14:textId="77777777" w:rsidR="00B410EB" w:rsidRDefault="00B410EB" w:rsidP="00B9184B">
      <w:pPr>
        <w:spacing w:line="360" w:lineRule="auto"/>
        <w:jc w:val="both"/>
        <w:rPr>
          <w:rFonts w:ascii="Arial" w:hAnsi="Arial" w:cs="Arial"/>
          <w:sz w:val="24"/>
          <w:szCs w:val="24"/>
        </w:rPr>
      </w:pPr>
    </w:p>
    <w:p w14:paraId="15DB687A" w14:textId="77777777" w:rsidR="00B410EB" w:rsidRDefault="00B410EB" w:rsidP="00B9184B">
      <w:pPr>
        <w:spacing w:line="360" w:lineRule="auto"/>
        <w:jc w:val="both"/>
        <w:rPr>
          <w:rFonts w:ascii="Arial" w:hAnsi="Arial" w:cs="Arial"/>
          <w:sz w:val="24"/>
          <w:szCs w:val="24"/>
        </w:rPr>
      </w:pPr>
    </w:p>
    <w:p w14:paraId="1D43C3B9" w14:textId="77777777" w:rsidR="00B410EB" w:rsidRDefault="00B410EB" w:rsidP="00B9184B">
      <w:pPr>
        <w:spacing w:line="360" w:lineRule="auto"/>
        <w:jc w:val="both"/>
        <w:rPr>
          <w:rFonts w:ascii="Arial" w:hAnsi="Arial" w:cs="Arial"/>
          <w:sz w:val="24"/>
          <w:szCs w:val="24"/>
        </w:rPr>
      </w:pPr>
    </w:p>
    <w:p w14:paraId="4BB85AE9" w14:textId="77777777" w:rsidR="00B410EB" w:rsidRDefault="00B410EB" w:rsidP="00B9184B">
      <w:pPr>
        <w:spacing w:line="360" w:lineRule="auto"/>
        <w:jc w:val="both"/>
        <w:rPr>
          <w:rFonts w:ascii="Arial" w:hAnsi="Arial" w:cs="Arial"/>
          <w:sz w:val="24"/>
          <w:szCs w:val="24"/>
        </w:rPr>
      </w:pPr>
    </w:p>
    <w:p w14:paraId="7A847A27" w14:textId="77777777" w:rsidR="00B9184B" w:rsidRDefault="00B9184B" w:rsidP="00B9184B">
      <w:pPr>
        <w:spacing w:line="360" w:lineRule="auto"/>
        <w:jc w:val="both"/>
        <w:rPr>
          <w:rFonts w:ascii="Arial" w:hAnsi="Arial" w:cs="Arial"/>
          <w:sz w:val="24"/>
          <w:szCs w:val="24"/>
        </w:rPr>
      </w:pPr>
    </w:p>
    <w:p w14:paraId="474F1E62" w14:textId="77777777" w:rsidR="00B9184B" w:rsidRDefault="00B9184B" w:rsidP="00B9184B">
      <w:pPr>
        <w:spacing w:after="0" w:line="240" w:lineRule="auto"/>
        <w:jc w:val="both"/>
        <w:rPr>
          <w:rFonts w:ascii="Arial" w:hAnsi="Arial" w:cs="Arial"/>
          <w:sz w:val="24"/>
          <w:szCs w:val="24"/>
        </w:rPr>
      </w:pPr>
    </w:p>
    <w:p w14:paraId="414D64F3" w14:textId="77777777" w:rsidR="003468B7" w:rsidRDefault="003468B7" w:rsidP="00B9184B">
      <w:pPr>
        <w:spacing w:after="0" w:line="360" w:lineRule="auto"/>
        <w:jc w:val="both"/>
        <w:rPr>
          <w:rFonts w:ascii="Arial" w:hAnsi="Arial" w:cs="Arial"/>
          <w:sz w:val="24"/>
          <w:szCs w:val="24"/>
        </w:rPr>
      </w:pPr>
    </w:p>
    <w:p w14:paraId="5126A5D4" w14:textId="77777777" w:rsidR="006850B9" w:rsidRDefault="006850B9" w:rsidP="00B9184B">
      <w:pPr>
        <w:spacing w:after="0" w:line="360" w:lineRule="auto"/>
        <w:jc w:val="both"/>
        <w:rPr>
          <w:rFonts w:ascii="Arial" w:hAnsi="Arial" w:cs="Arial"/>
          <w:sz w:val="24"/>
          <w:szCs w:val="24"/>
        </w:rPr>
      </w:pPr>
    </w:p>
    <w:p w14:paraId="52B490E7" w14:textId="77777777" w:rsidR="00FB5E96" w:rsidRPr="005B1DDA" w:rsidRDefault="00FB5E96" w:rsidP="005B1DDA">
      <w:pPr>
        <w:numPr>
          <w:ilvl w:val="0"/>
          <w:numId w:val="5"/>
        </w:numPr>
        <w:spacing w:after="0" w:line="360" w:lineRule="auto"/>
        <w:jc w:val="both"/>
        <w:rPr>
          <w:rFonts w:ascii="Arial" w:hAnsi="Arial" w:cs="Arial"/>
          <w:sz w:val="28"/>
          <w:szCs w:val="28"/>
        </w:rPr>
      </w:pPr>
      <w:r w:rsidRPr="005B1DDA">
        <w:rPr>
          <w:rFonts w:ascii="Arial" w:hAnsi="Arial" w:cs="Arial"/>
          <w:b/>
          <w:bCs/>
          <w:sz w:val="28"/>
          <w:szCs w:val="28"/>
        </w:rPr>
        <w:lastRenderedPageBreak/>
        <w:t>Introduction</w:t>
      </w:r>
    </w:p>
    <w:p w14:paraId="7427D46B" w14:textId="77777777" w:rsidR="00FB5E96" w:rsidRDefault="00FB5E96" w:rsidP="00B9184B">
      <w:pPr>
        <w:spacing w:after="0" w:line="360" w:lineRule="auto"/>
        <w:jc w:val="both"/>
        <w:rPr>
          <w:rFonts w:ascii="Arial" w:hAnsi="Arial" w:cs="Arial"/>
          <w:sz w:val="24"/>
          <w:szCs w:val="24"/>
        </w:rPr>
      </w:pPr>
      <w:r w:rsidRPr="00B9184B">
        <w:rPr>
          <w:rFonts w:ascii="Arial" w:hAnsi="Arial" w:cs="Arial"/>
          <w:sz w:val="24"/>
          <w:szCs w:val="24"/>
        </w:rPr>
        <w:t>This essay examines the partnership between two leading pharmaceutical companies, GSK (GlaxoSmithKline) from the UK and Japan's Takeda Pharmaceutical Company, as they collaborate to develop innovative treatments for chronic and complex conditions like metastatic gastric cancer, with a goal of improving outcomes where conventional therapies fall short. Working together on a global scale brings distinct challenges, particularly as each company operates within its own cultural and communicative framework. Through the lenses of Hall’s High- and Low-</w:t>
      </w:r>
      <w:r w:rsidR="00DF192F">
        <w:rPr>
          <w:rFonts w:ascii="Arial" w:hAnsi="Arial" w:cs="Arial"/>
          <w:sz w:val="24"/>
          <w:szCs w:val="24"/>
        </w:rPr>
        <w:t>C</w:t>
      </w:r>
      <w:r w:rsidRPr="00B9184B">
        <w:rPr>
          <w:rFonts w:ascii="Arial" w:hAnsi="Arial" w:cs="Arial"/>
          <w:sz w:val="24"/>
          <w:szCs w:val="24"/>
        </w:rPr>
        <w:t xml:space="preserve">ontext </w:t>
      </w:r>
      <w:r w:rsidR="00DF192F">
        <w:rPr>
          <w:rFonts w:ascii="Arial" w:hAnsi="Arial" w:cs="Arial"/>
          <w:sz w:val="24"/>
          <w:szCs w:val="24"/>
        </w:rPr>
        <w:t>c</w:t>
      </w:r>
      <w:r w:rsidRPr="00B9184B">
        <w:rPr>
          <w:rFonts w:ascii="Arial" w:hAnsi="Arial" w:cs="Arial"/>
          <w:sz w:val="24"/>
          <w:szCs w:val="24"/>
        </w:rPr>
        <w:t>ommunication Theory</w:t>
      </w:r>
      <w:r w:rsidR="003468B7">
        <w:rPr>
          <w:rFonts w:ascii="Arial" w:hAnsi="Arial" w:cs="Arial"/>
          <w:sz w:val="24"/>
          <w:szCs w:val="24"/>
        </w:rPr>
        <w:t xml:space="preserve"> and </w:t>
      </w:r>
      <w:r w:rsidRPr="00B9184B">
        <w:rPr>
          <w:rFonts w:ascii="Arial" w:hAnsi="Arial" w:cs="Arial"/>
          <w:sz w:val="24"/>
          <w:szCs w:val="24"/>
        </w:rPr>
        <w:t xml:space="preserve">Hofstede’s </w:t>
      </w:r>
      <w:r w:rsidR="00DF192F">
        <w:rPr>
          <w:rFonts w:ascii="Arial" w:hAnsi="Arial" w:cs="Arial"/>
          <w:sz w:val="24"/>
          <w:szCs w:val="24"/>
        </w:rPr>
        <w:t>c</w:t>
      </w:r>
      <w:r w:rsidRPr="00B9184B">
        <w:rPr>
          <w:rFonts w:ascii="Arial" w:hAnsi="Arial" w:cs="Arial"/>
          <w:sz w:val="24"/>
          <w:szCs w:val="24"/>
        </w:rPr>
        <w:t xml:space="preserve">ultural </w:t>
      </w:r>
      <w:r w:rsidR="00DF192F">
        <w:rPr>
          <w:rFonts w:ascii="Arial" w:hAnsi="Arial" w:cs="Arial"/>
          <w:sz w:val="24"/>
          <w:szCs w:val="24"/>
        </w:rPr>
        <w:t>d</w:t>
      </w:r>
      <w:r w:rsidRPr="00B9184B">
        <w:rPr>
          <w:rFonts w:ascii="Arial" w:hAnsi="Arial" w:cs="Arial"/>
          <w:sz w:val="24"/>
          <w:szCs w:val="24"/>
        </w:rPr>
        <w:t xml:space="preserve">imensions, this essay analyses how these cultural differences shape their collaboration. GSK’s clear, direct communication style contrasts with Takeda’s more nuanced, context-sensitive approach, which can lead to potential misunderstandings, especially in the demanding pharmaceutical sector. </w:t>
      </w:r>
    </w:p>
    <w:p w14:paraId="370CF94B" w14:textId="77777777" w:rsidR="005D76D4" w:rsidRPr="00B9184B" w:rsidRDefault="005D76D4" w:rsidP="00B9184B">
      <w:pPr>
        <w:spacing w:after="0" w:line="360" w:lineRule="auto"/>
        <w:jc w:val="both"/>
        <w:rPr>
          <w:rFonts w:ascii="Arial" w:hAnsi="Arial" w:cs="Arial"/>
          <w:sz w:val="24"/>
          <w:szCs w:val="24"/>
        </w:rPr>
      </w:pPr>
    </w:p>
    <w:p w14:paraId="07C485CB" w14:textId="77777777" w:rsidR="00FB5E96" w:rsidRPr="005B1DDA" w:rsidRDefault="00FB5E96" w:rsidP="00B9184B">
      <w:pPr>
        <w:numPr>
          <w:ilvl w:val="0"/>
          <w:numId w:val="5"/>
        </w:numPr>
        <w:spacing w:after="0" w:line="360" w:lineRule="auto"/>
        <w:jc w:val="both"/>
        <w:rPr>
          <w:rFonts w:ascii="Arial" w:hAnsi="Arial" w:cs="Arial"/>
          <w:b/>
          <w:bCs/>
          <w:sz w:val="28"/>
          <w:szCs w:val="28"/>
        </w:rPr>
      </w:pPr>
      <w:r w:rsidRPr="005B1DDA">
        <w:rPr>
          <w:rFonts w:ascii="Arial" w:hAnsi="Arial" w:cs="Arial"/>
          <w:b/>
          <w:bCs/>
          <w:sz w:val="28"/>
          <w:szCs w:val="28"/>
        </w:rPr>
        <w:t xml:space="preserve">Cultural </w:t>
      </w:r>
      <w:r w:rsidR="00A9728D">
        <w:rPr>
          <w:rFonts w:ascii="Arial" w:hAnsi="Arial" w:cs="Arial"/>
          <w:b/>
          <w:bCs/>
          <w:sz w:val="28"/>
          <w:szCs w:val="28"/>
        </w:rPr>
        <w:t>d</w:t>
      </w:r>
      <w:r w:rsidRPr="005B1DDA">
        <w:rPr>
          <w:rFonts w:ascii="Arial" w:hAnsi="Arial" w:cs="Arial"/>
          <w:b/>
          <w:bCs/>
          <w:sz w:val="28"/>
          <w:szCs w:val="28"/>
        </w:rPr>
        <w:t xml:space="preserve">ifferences </w:t>
      </w:r>
      <w:r w:rsidR="00A9728D">
        <w:rPr>
          <w:rFonts w:ascii="Arial" w:hAnsi="Arial" w:cs="Arial"/>
          <w:b/>
          <w:bCs/>
          <w:sz w:val="28"/>
          <w:szCs w:val="28"/>
        </w:rPr>
        <w:t>b</w:t>
      </w:r>
      <w:r w:rsidRPr="005B1DDA">
        <w:rPr>
          <w:rFonts w:ascii="Arial" w:hAnsi="Arial" w:cs="Arial"/>
          <w:b/>
          <w:bCs/>
          <w:sz w:val="28"/>
          <w:szCs w:val="28"/>
        </w:rPr>
        <w:t>etween the UK and Japan</w:t>
      </w:r>
    </w:p>
    <w:p w14:paraId="194D8488" w14:textId="77777777" w:rsidR="00033A56" w:rsidRPr="00B9184B" w:rsidRDefault="000B5793" w:rsidP="00B9184B">
      <w:pPr>
        <w:spacing w:after="0" w:line="360" w:lineRule="auto"/>
        <w:jc w:val="both"/>
        <w:rPr>
          <w:rFonts w:ascii="Arial" w:hAnsi="Arial" w:cs="Arial"/>
          <w:sz w:val="24"/>
          <w:szCs w:val="24"/>
        </w:rPr>
      </w:pPr>
      <w:r>
        <w:rPr>
          <w:rFonts w:ascii="Arial" w:hAnsi="Arial" w:cs="Arial"/>
          <w:sz w:val="24"/>
          <w:szCs w:val="24"/>
        </w:rPr>
        <w:t xml:space="preserve">According to </w:t>
      </w:r>
      <w:r w:rsidRPr="000B5793">
        <w:rPr>
          <w:rFonts w:ascii="Arial" w:hAnsi="Arial" w:cs="Arial"/>
          <w:sz w:val="24"/>
          <w:szCs w:val="24"/>
        </w:rPr>
        <w:t>Nixon and Bull (2006</w:t>
      </w:r>
      <w:r w:rsidRPr="00C43704">
        <w:rPr>
          <w:rFonts w:ascii="Arial" w:hAnsi="Arial" w:cs="Arial"/>
          <w:sz w:val="24"/>
          <w:szCs w:val="24"/>
        </w:rPr>
        <w:t>, pp. 1-21</w:t>
      </w:r>
      <w:r w:rsidRPr="000B5793">
        <w:rPr>
          <w:rFonts w:ascii="Arial" w:hAnsi="Arial" w:cs="Arial"/>
          <w:sz w:val="24"/>
          <w:szCs w:val="24"/>
        </w:rPr>
        <w:t>)</w:t>
      </w:r>
      <w:r w:rsidR="00C43704">
        <w:rPr>
          <w:rFonts w:ascii="Arial" w:hAnsi="Arial" w:cs="Arial"/>
          <w:color w:val="FF0000"/>
          <w:sz w:val="24"/>
          <w:szCs w:val="24"/>
        </w:rPr>
        <w:t xml:space="preserve"> </w:t>
      </w:r>
      <w:r w:rsidR="00C43704">
        <w:rPr>
          <w:rFonts w:ascii="Arial" w:hAnsi="Arial" w:cs="Arial"/>
          <w:sz w:val="24"/>
          <w:szCs w:val="24"/>
        </w:rPr>
        <w:t>i</w:t>
      </w:r>
      <w:r w:rsidR="00033A56" w:rsidRPr="00B9184B">
        <w:rPr>
          <w:rFonts w:ascii="Arial" w:hAnsi="Arial" w:cs="Arial"/>
          <w:sz w:val="24"/>
          <w:szCs w:val="24"/>
        </w:rPr>
        <w:t>n</w:t>
      </w:r>
      <w:r w:rsidR="005B1DDA">
        <w:rPr>
          <w:rFonts w:ascii="Arial" w:hAnsi="Arial" w:cs="Arial"/>
          <w:sz w:val="24"/>
          <w:szCs w:val="24"/>
        </w:rPr>
        <w:t xml:space="preserve"> </w:t>
      </w:r>
      <w:r w:rsidR="00033A56" w:rsidRPr="00B9184B">
        <w:rPr>
          <w:rFonts w:ascii="Arial" w:hAnsi="Arial" w:cs="Arial"/>
          <w:sz w:val="24"/>
          <w:szCs w:val="24"/>
        </w:rPr>
        <w:t>Japanese-owned companies, language and cultural differences can create communication challenges, especially between Japanese and British team members. The Japanese language, with its complex layers of formality and respect, doesn’t always translate directly into English, leading to potential misunderstandings. Besides language fluency, cultural awareness is key to effective communication and harmonious relationships in such settings.</w:t>
      </w:r>
    </w:p>
    <w:p w14:paraId="4DE20955" w14:textId="77777777" w:rsidR="00033A56" w:rsidRPr="00B9184B" w:rsidRDefault="00033A56" w:rsidP="005B1DDA">
      <w:pPr>
        <w:spacing w:after="0" w:line="360" w:lineRule="auto"/>
        <w:jc w:val="both"/>
        <w:rPr>
          <w:rFonts w:ascii="Arial" w:hAnsi="Arial" w:cs="Arial"/>
          <w:sz w:val="24"/>
          <w:szCs w:val="24"/>
        </w:rPr>
      </w:pPr>
      <w:r w:rsidRPr="00B9184B">
        <w:rPr>
          <w:rFonts w:ascii="Arial" w:hAnsi="Arial" w:cs="Arial"/>
          <w:sz w:val="24"/>
          <w:szCs w:val="24"/>
        </w:rPr>
        <w:t>The communication styles in Japan and the UK differ significantly in several areas</w:t>
      </w:r>
      <w:r w:rsidR="005B1DDA">
        <w:rPr>
          <w:rFonts w:ascii="Arial" w:hAnsi="Arial" w:cs="Arial"/>
          <w:sz w:val="24"/>
          <w:szCs w:val="24"/>
        </w:rPr>
        <w:t xml:space="preserve">. </w:t>
      </w:r>
      <w:r w:rsidRPr="00B9184B">
        <w:rPr>
          <w:rFonts w:ascii="Arial" w:hAnsi="Arial" w:cs="Arial"/>
          <w:sz w:val="24"/>
          <w:szCs w:val="24"/>
        </w:rPr>
        <w:t>British people tend to express their emotions openly, showing enthusiasm or disappointment in professional settings. Japanese culture, however, values emotional restraint to maintain group harmony, so Japanese team members are less likely to express strong feelings openly.</w:t>
      </w:r>
    </w:p>
    <w:p w14:paraId="738CD6FF" w14:textId="77777777" w:rsidR="00033A56" w:rsidRPr="00B9184B" w:rsidRDefault="00033A56" w:rsidP="005B1DDA">
      <w:pPr>
        <w:spacing w:after="0" w:line="360" w:lineRule="auto"/>
        <w:jc w:val="both"/>
        <w:rPr>
          <w:rFonts w:ascii="Arial" w:hAnsi="Arial" w:cs="Arial"/>
          <w:sz w:val="24"/>
          <w:szCs w:val="24"/>
        </w:rPr>
      </w:pPr>
      <w:r w:rsidRPr="00B9184B">
        <w:rPr>
          <w:rFonts w:ascii="Arial" w:hAnsi="Arial" w:cs="Arial"/>
          <w:sz w:val="24"/>
          <w:szCs w:val="24"/>
        </w:rPr>
        <w:t>Japan’s collectivist culture values group harmony and respects hierarchy, while the UK leans toward individualism and more egalitarian interactions. This can lead to tension, as British employees might expect informal relationships, while Japanese colleagues might prefer formality and respect for seniority.</w:t>
      </w:r>
    </w:p>
    <w:p w14:paraId="7D20DBA9" w14:textId="77777777" w:rsidR="00033A56" w:rsidRPr="00B9184B" w:rsidRDefault="00033A56" w:rsidP="005B1DDA">
      <w:pPr>
        <w:spacing w:after="0" w:line="360" w:lineRule="auto"/>
        <w:jc w:val="both"/>
        <w:rPr>
          <w:rFonts w:ascii="Arial" w:hAnsi="Arial" w:cs="Arial"/>
          <w:sz w:val="24"/>
          <w:szCs w:val="24"/>
        </w:rPr>
      </w:pPr>
      <w:r w:rsidRPr="00B9184B">
        <w:rPr>
          <w:rFonts w:ascii="Arial" w:hAnsi="Arial" w:cs="Arial"/>
          <w:sz w:val="24"/>
          <w:szCs w:val="24"/>
        </w:rPr>
        <w:t>Japanese communication is often high context, meaning much is implied through non-verbal cues rather than direct words. In contrast, British communication is low-</w:t>
      </w:r>
      <w:r w:rsidRPr="00B9184B">
        <w:rPr>
          <w:rFonts w:ascii="Arial" w:hAnsi="Arial" w:cs="Arial"/>
          <w:sz w:val="24"/>
          <w:szCs w:val="24"/>
        </w:rPr>
        <w:lastRenderedPageBreak/>
        <w:t>context and tends to be direct. British team members may expect clear, open communication, while Japanese colleagues may communicate more subtly, assuming shared understanding.</w:t>
      </w:r>
    </w:p>
    <w:p w14:paraId="7097D94E" w14:textId="77777777" w:rsidR="00033A56" w:rsidRPr="00B9184B" w:rsidRDefault="00033A56" w:rsidP="005B1DDA">
      <w:pPr>
        <w:spacing w:after="0" w:line="360" w:lineRule="auto"/>
        <w:jc w:val="both"/>
        <w:rPr>
          <w:rFonts w:ascii="Arial" w:hAnsi="Arial" w:cs="Arial"/>
          <w:sz w:val="24"/>
          <w:szCs w:val="24"/>
        </w:rPr>
      </w:pPr>
      <w:r w:rsidRPr="00B9184B">
        <w:rPr>
          <w:rFonts w:ascii="Arial" w:hAnsi="Arial" w:cs="Arial"/>
          <w:sz w:val="24"/>
          <w:szCs w:val="24"/>
        </w:rPr>
        <w:t>In Japan, status is indicated through non-verbal cues like posture or gaze avoidance, while British culture often relies on formal titles and direct eye contact. Misinterpreting these cues can create confusion around roles and authority.</w:t>
      </w:r>
    </w:p>
    <w:p w14:paraId="0C78695E" w14:textId="77777777" w:rsidR="00033A56" w:rsidRPr="00B9184B" w:rsidRDefault="00033A56" w:rsidP="005B1DDA">
      <w:pPr>
        <w:spacing w:after="0" w:line="360" w:lineRule="auto"/>
        <w:jc w:val="both"/>
        <w:rPr>
          <w:rFonts w:ascii="Arial" w:hAnsi="Arial" w:cs="Arial"/>
          <w:sz w:val="24"/>
          <w:szCs w:val="24"/>
        </w:rPr>
      </w:pPr>
      <w:r w:rsidRPr="00B9184B">
        <w:rPr>
          <w:rFonts w:ascii="Arial" w:hAnsi="Arial" w:cs="Arial"/>
          <w:sz w:val="24"/>
          <w:szCs w:val="24"/>
        </w:rPr>
        <w:t>British team members might use eye contact, proximity, and touch to signal closeness, while Japanese colleagues may avoid prolonged eye contact, viewing it as intrusive. Additionally, Japanese employees may use a smile to mask discomfort or disappointment, which British members could misread as contentment.</w:t>
      </w:r>
    </w:p>
    <w:p w14:paraId="026F0183" w14:textId="77777777" w:rsidR="00033A56" w:rsidRPr="00B9184B" w:rsidRDefault="00033A56" w:rsidP="005B1DDA">
      <w:pPr>
        <w:spacing w:after="0" w:line="360" w:lineRule="auto"/>
        <w:jc w:val="both"/>
        <w:rPr>
          <w:rFonts w:ascii="Arial" w:hAnsi="Arial" w:cs="Arial"/>
          <w:sz w:val="24"/>
          <w:szCs w:val="24"/>
        </w:rPr>
      </w:pPr>
      <w:r w:rsidRPr="00B9184B">
        <w:rPr>
          <w:rFonts w:ascii="Arial" w:hAnsi="Arial" w:cs="Arial"/>
          <w:sz w:val="24"/>
          <w:szCs w:val="24"/>
        </w:rPr>
        <w:t xml:space="preserve">Japan’s hierarchical culture emphasizes respect for authority through </w:t>
      </w:r>
      <w:r w:rsidR="005B1DDA" w:rsidRPr="00B9184B">
        <w:rPr>
          <w:rFonts w:ascii="Arial" w:hAnsi="Arial" w:cs="Arial"/>
          <w:sz w:val="24"/>
          <w:szCs w:val="24"/>
        </w:rPr>
        <w:t>behaviours</w:t>
      </w:r>
      <w:r w:rsidRPr="00B9184B">
        <w:rPr>
          <w:rFonts w:ascii="Arial" w:hAnsi="Arial" w:cs="Arial"/>
          <w:sz w:val="24"/>
          <w:szCs w:val="24"/>
        </w:rPr>
        <w:t xml:space="preserve"> like bowing and formal speech, while British culture </w:t>
      </w:r>
      <w:r w:rsidR="005B1DDA" w:rsidRPr="00B9184B">
        <w:rPr>
          <w:rFonts w:ascii="Arial" w:hAnsi="Arial" w:cs="Arial"/>
          <w:sz w:val="24"/>
          <w:szCs w:val="24"/>
        </w:rPr>
        <w:t>favours</w:t>
      </w:r>
      <w:r w:rsidRPr="00B9184B">
        <w:rPr>
          <w:rFonts w:ascii="Arial" w:hAnsi="Arial" w:cs="Arial"/>
          <w:sz w:val="24"/>
          <w:szCs w:val="24"/>
        </w:rPr>
        <w:t xml:space="preserve"> individualism and discourages overt deference. British team members may find it challenging to interpret Japan’s hierarchical cues.</w:t>
      </w:r>
    </w:p>
    <w:p w14:paraId="7799A134" w14:textId="77777777" w:rsidR="00033A56" w:rsidRPr="00B9184B" w:rsidRDefault="00033A56" w:rsidP="005B1DDA">
      <w:pPr>
        <w:spacing w:after="0" w:line="360" w:lineRule="auto"/>
        <w:jc w:val="both"/>
        <w:rPr>
          <w:rFonts w:ascii="Arial" w:hAnsi="Arial" w:cs="Arial"/>
          <w:sz w:val="24"/>
          <w:szCs w:val="24"/>
        </w:rPr>
      </w:pPr>
      <w:r w:rsidRPr="00B9184B">
        <w:rPr>
          <w:rFonts w:ascii="Arial" w:hAnsi="Arial" w:cs="Arial"/>
          <w:sz w:val="24"/>
          <w:szCs w:val="24"/>
        </w:rPr>
        <w:t>Japanese culture encourages emotional restraint in competitive situations, to maintain group cohesion, while British culture allows more open emotional expression. Japanese team members might see British displays of excitement or disappointment as unprofessional, leading to possible misinterpretations.</w:t>
      </w:r>
    </w:p>
    <w:p w14:paraId="5BCA44F2" w14:textId="77777777" w:rsidR="00033A56" w:rsidRPr="00B9184B" w:rsidRDefault="00033A56" w:rsidP="00B9184B">
      <w:pPr>
        <w:spacing w:after="0" w:line="360" w:lineRule="auto"/>
        <w:jc w:val="both"/>
        <w:rPr>
          <w:rFonts w:ascii="Arial" w:hAnsi="Arial" w:cs="Arial"/>
          <w:sz w:val="24"/>
          <w:szCs w:val="24"/>
        </w:rPr>
      </w:pPr>
      <w:r w:rsidRPr="00B9184B">
        <w:rPr>
          <w:rFonts w:ascii="Arial" w:hAnsi="Arial" w:cs="Arial"/>
          <w:sz w:val="24"/>
          <w:szCs w:val="24"/>
        </w:rPr>
        <w:t>Overall, successful collaboration in these environments requires not only language skills but also sensitivity to cultural contexts to bridge communication styles and foster teamwork.</w:t>
      </w:r>
    </w:p>
    <w:p w14:paraId="79C3EED2" w14:textId="77777777" w:rsidR="000B5793" w:rsidRPr="000B5793" w:rsidRDefault="000B5793" w:rsidP="000B5793">
      <w:pPr>
        <w:spacing w:after="0" w:line="360" w:lineRule="auto"/>
        <w:jc w:val="both"/>
        <w:rPr>
          <w:rFonts w:ascii="Arial" w:hAnsi="Arial" w:cs="Arial"/>
          <w:color w:val="FF0000"/>
          <w:sz w:val="24"/>
          <w:szCs w:val="24"/>
        </w:rPr>
      </w:pPr>
    </w:p>
    <w:p w14:paraId="6CADF89B" w14:textId="77777777" w:rsidR="000B5793" w:rsidRDefault="000B5793" w:rsidP="00B9184B">
      <w:pPr>
        <w:spacing w:after="0" w:line="360" w:lineRule="auto"/>
        <w:jc w:val="both"/>
        <w:rPr>
          <w:rFonts w:ascii="Arial" w:hAnsi="Arial" w:cs="Arial"/>
          <w:color w:val="FF0000"/>
          <w:sz w:val="24"/>
          <w:szCs w:val="24"/>
        </w:rPr>
      </w:pPr>
    </w:p>
    <w:p w14:paraId="69273822" w14:textId="77777777" w:rsidR="005C31EA" w:rsidRDefault="005C31EA" w:rsidP="00B9184B">
      <w:pPr>
        <w:spacing w:after="0" w:line="360" w:lineRule="auto"/>
        <w:jc w:val="both"/>
        <w:rPr>
          <w:rFonts w:ascii="Arial" w:hAnsi="Arial" w:cs="Arial"/>
          <w:color w:val="FF0000"/>
          <w:sz w:val="24"/>
          <w:szCs w:val="24"/>
        </w:rPr>
      </w:pPr>
    </w:p>
    <w:p w14:paraId="20A16ADD" w14:textId="77777777" w:rsidR="005C31EA" w:rsidRDefault="005C31EA" w:rsidP="00B9184B">
      <w:pPr>
        <w:spacing w:after="0" w:line="360" w:lineRule="auto"/>
        <w:jc w:val="both"/>
        <w:rPr>
          <w:rFonts w:ascii="Arial" w:hAnsi="Arial" w:cs="Arial"/>
          <w:color w:val="FF0000"/>
          <w:sz w:val="24"/>
          <w:szCs w:val="24"/>
        </w:rPr>
      </w:pPr>
    </w:p>
    <w:p w14:paraId="6B8D5316" w14:textId="77777777" w:rsidR="005C31EA" w:rsidRDefault="005C31EA" w:rsidP="00B9184B">
      <w:pPr>
        <w:spacing w:after="0" w:line="360" w:lineRule="auto"/>
        <w:jc w:val="both"/>
        <w:rPr>
          <w:rFonts w:ascii="Arial" w:hAnsi="Arial" w:cs="Arial"/>
          <w:color w:val="FF0000"/>
          <w:sz w:val="24"/>
          <w:szCs w:val="24"/>
        </w:rPr>
      </w:pPr>
    </w:p>
    <w:p w14:paraId="27B952AD" w14:textId="77777777" w:rsidR="005C31EA" w:rsidRDefault="005C31EA" w:rsidP="00B9184B">
      <w:pPr>
        <w:spacing w:after="0" w:line="360" w:lineRule="auto"/>
        <w:jc w:val="both"/>
        <w:rPr>
          <w:rFonts w:ascii="Arial" w:hAnsi="Arial" w:cs="Arial"/>
          <w:color w:val="FF0000"/>
          <w:sz w:val="24"/>
          <w:szCs w:val="24"/>
        </w:rPr>
      </w:pPr>
    </w:p>
    <w:p w14:paraId="0BA58F0B" w14:textId="77777777" w:rsidR="005C31EA" w:rsidRDefault="005C31EA" w:rsidP="00B9184B">
      <w:pPr>
        <w:spacing w:after="0" w:line="360" w:lineRule="auto"/>
        <w:jc w:val="both"/>
        <w:rPr>
          <w:rFonts w:ascii="Arial" w:hAnsi="Arial" w:cs="Arial"/>
          <w:color w:val="FF0000"/>
          <w:sz w:val="24"/>
          <w:szCs w:val="24"/>
        </w:rPr>
      </w:pPr>
    </w:p>
    <w:p w14:paraId="696D4474" w14:textId="77777777" w:rsidR="005C31EA" w:rsidRDefault="005C31EA" w:rsidP="00B9184B">
      <w:pPr>
        <w:spacing w:after="0" w:line="360" w:lineRule="auto"/>
        <w:jc w:val="both"/>
        <w:rPr>
          <w:rFonts w:ascii="Arial" w:hAnsi="Arial" w:cs="Arial"/>
          <w:color w:val="FF0000"/>
          <w:sz w:val="24"/>
          <w:szCs w:val="24"/>
        </w:rPr>
      </w:pPr>
    </w:p>
    <w:p w14:paraId="1FE7FD78" w14:textId="77777777" w:rsidR="005C31EA" w:rsidRDefault="005C31EA" w:rsidP="00B9184B">
      <w:pPr>
        <w:spacing w:after="0" w:line="360" w:lineRule="auto"/>
        <w:jc w:val="both"/>
        <w:rPr>
          <w:rFonts w:ascii="Arial" w:hAnsi="Arial" w:cs="Arial"/>
          <w:color w:val="FF0000"/>
          <w:sz w:val="24"/>
          <w:szCs w:val="24"/>
        </w:rPr>
      </w:pPr>
    </w:p>
    <w:p w14:paraId="21F3AA94" w14:textId="77777777" w:rsidR="005C31EA" w:rsidRDefault="005C31EA" w:rsidP="00B9184B">
      <w:pPr>
        <w:spacing w:after="0" w:line="360" w:lineRule="auto"/>
        <w:jc w:val="both"/>
        <w:rPr>
          <w:rFonts w:ascii="Arial" w:hAnsi="Arial" w:cs="Arial"/>
          <w:color w:val="FF0000"/>
          <w:sz w:val="24"/>
          <w:szCs w:val="24"/>
        </w:rPr>
      </w:pPr>
    </w:p>
    <w:p w14:paraId="1BE3BC45" w14:textId="77777777" w:rsidR="005C31EA" w:rsidRDefault="005C31EA" w:rsidP="00B9184B">
      <w:pPr>
        <w:spacing w:after="0" w:line="360" w:lineRule="auto"/>
        <w:jc w:val="both"/>
        <w:rPr>
          <w:rFonts w:ascii="Arial" w:hAnsi="Arial" w:cs="Arial"/>
          <w:color w:val="FF0000"/>
          <w:sz w:val="24"/>
          <w:szCs w:val="24"/>
        </w:rPr>
      </w:pPr>
    </w:p>
    <w:p w14:paraId="0ABA6801" w14:textId="77777777" w:rsidR="005C31EA" w:rsidRPr="00B9184B" w:rsidRDefault="005C31EA" w:rsidP="00B9184B">
      <w:pPr>
        <w:spacing w:after="0" w:line="360" w:lineRule="auto"/>
        <w:jc w:val="both"/>
        <w:rPr>
          <w:rFonts w:ascii="Arial" w:hAnsi="Arial" w:cs="Arial"/>
          <w:color w:val="FF0000"/>
          <w:sz w:val="24"/>
          <w:szCs w:val="24"/>
        </w:rPr>
      </w:pPr>
    </w:p>
    <w:p w14:paraId="2C34A609" w14:textId="77777777" w:rsidR="00FB5E96" w:rsidRPr="00B9184B" w:rsidRDefault="00FB5E96" w:rsidP="00B9184B">
      <w:pPr>
        <w:spacing w:after="0" w:line="360" w:lineRule="auto"/>
        <w:jc w:val="both"/>
        <w:rPr>
          <w:rFonts w:ascii="Arial" w:hAnsi="Arial" w:cs="Arial"/>
          <w:sz w:val="24"/>
          <w:szCs w:val="24"/>
        </w:rPr>
      </w:pPr>
    </w:p>
    <w:p w14:paraId="7AD27F88" w14:textId="77777777" w:rsidR="00FB5E96" w:rsidRPr="00A9728D" w:rsidRDefault="00A9728D" w:rsidP="00A9728D">
      <w:pPr>
        <w:numPr>
          <w:ilvl w:val="0"/>
          <w:numId w:val="5"/>
        </w:numPr>
        <w:spacing w:after="0" w:line="360" w:lineRule="auto"/>
        <w:jc w:val="both"/>
        <w:rPr>
          <w:rFonts w:ascii="Arial" w:hAnsi="Arial" w:cs="Arial"/>
          <w:b/>
          <w:bCs/>
          <w:sz w:val="28"/>
          <w:szCs w:val="28"/>
        </w:rPr>
      </w:pPr>
      <w:r w:rsidRPr="00A9728D">
        <w:rPr>
          <w:rFonts w:ascii="Arial" w:hAnsi="Arial" w:cs="Arial"/>
          <w:b/>
          <w:bCs/>
          <w:sz w:val="28"/>
          <w:szCs w:val="28"/>
        </w:rPr>
        <w:t>GSK’s and Takeda’s background</w:t>
      </w:r>
    </w:p>
    <w:p w14:paraId="7873838E" w14:textId="77777777" w:rsidR="00FB5E96" w:rsidRPr="00B9184B" w:rsidRDefault="00FB5E96" w:rsidP="00B9184B">
      <w:pPr>
        <w:spacing w:after="0" w:line="360" w:lineRule="auto"/>
        <w:jc w:val="both"/>
        <w:rPr>
          <w:rFonts w:ascii="Arial" w:hAnsi="Arial" w:cs="Arial"/>
          <w:sz w:val="24"/>
          <w:szCs w:val="24"/>
        </w:rPr>
      </w:pPr>
    </w:p>
    <w:p w14:paraId="028AE83C" w14:textId="7CD55D02" w:rsidR="00FB5E96" w:rsidRPr="00B9184B" w:rsidRDefault="008E7C07" w:rsidP="00B9184B">
      <w:pPr>
        <w:spacing w:after="0" w:line="360" w:lineRule="auto"/>
        <w:jc w:val="both"/>
        <w:rPr>
          <w:rFonts w:ascii="Arial" w:hAnsi="Arial" w:cs="Arial"/>
          <w:sz w:val="24"/>
          <w:szCs w:val="24"/>
        </w:rPr>
      </w:pPr>
      <w:r>
        <w:rPr>
          <w:noProof/>
        </w:rPr>
        <w:drawing>
          <wp:inline distT="0" distB="0" distL="0" distR="0" wp14:anchorId="770C954B" wp14:editId="78B1DE79">
            <wp:extent cx="426720" cy="243840"/>
            <wp:effectExtent l="0" t="0" r="0" b="0"/>
            <wp:docPr id="1" name="Picture 4" descr="Connect Anything, Everywhere | At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nect Anything, Everywhere | AtSca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6720" cy="243840"/>
                    </a:xfrm>
                    <a:prstGeom prst="rect">
                      <a:avLst/>
                    </a:prstGeom>
                    <a:noFill/>
                    <a:ln>
                      <a:noFill/>
                    </a:ln>
                  </pic:spPr>
                </pic:pic>
              </a:graphicData>
            </a:graphic>
          </wp:inline>
        </w:drawing>
      </w:r>
      <w:r w:rsidR="00FB5E96" w:rsidRPr="00B9184B">
        <w:rPr>
          <w:rFonts w:ascii="Arial" w:hAnsi="Arial" w:cs="Arial"/>
          <w:sz w:val="24"/>
          <w:szCs w:val="24"/>
        </w:rPr>
        <w:t>headquartered in London and previously called GlaxoSmithKline, is a top 10 global pharmaceutical company by prescription sales. In 2023, it reported £30.3 billion ($38.6 billion) in revenue, primarily from treatments for respiratory diseases, HIV, and vaccines</w:t>
      </w:r>
      <w:r w:rsidR="00DF0873">
        <w:rPr>
          <w:rFonts w:ascii="Arial" w:hAnsi="Arial" w:cs="Arial"/>
          <w:sz w:val="24"/>
          <w:szCs w:val="24"/>
        </w:rPr>
        <w:t xml:space="preserve"> (Statista, 2024)</w:t>
      </w:r>
      <w:r w:rsidR="00FB5E96" w:rsidRPr="00B9184B">
        <w:rPr>
          <w:rFonts w:ascii="Arial" w:hAnsi="Arial" w:cs="Arial"/>
          <w:sz w:val="24"/>
          <w:szCs w:val="24"/>
        </w:rPr>
        <w:t>. The company rebranded to GSK in 2022, marking a new phase following several mergers, including the notable 2000 merger of Glaxo Wellcome and SmithKline Beecham</w:t>
      </w:r>
      <w:r w:rsidR="003853A3">
        <w:rPr>
          <w:rFonts w:ascii="Arial" w:hAnsi="Arial" w:cs="Arial"/>
          <w:sz w:val="24"/>
          <w:szCs w:val="24"/>
        </w:rPr>
        <w:t xml:space="preserve"> (GSK, 2024)</w:t>
      </w:r>
      <w:r w:rsidR="00DF0873">
        <w:rPr>
          <w:rFonts w:ascii="Arial" w:hAnsi="Arial" w:cs="Arial"/>
          <w:sz w:val="24"/>
          <w:szCs w:val="24"/>
        </w:rPr>
        <w:t>.</w:t>
      </w:r>
    </w:p>
    <w:p w14:paraId="25FBECD6" w14:textId="4E198957" w:rsidR="00FB5E96" w:rsidRPr="00B9184B" w:rsidRDefault="008E7C07" w:rsidP="00B9184B">
      <w:pPr>
        <w:spacing w:after="0" w:line="360" w:lineRule="auto"/>
        <w:jc w:val="both"/>
        <w:rPr>
          <w:rFonts w:ascii="Arial" w:hAnsi="Arial" w:cs="Arial"/>
          <w:sz w:val="24"/>
          <w:szCs w:val="24"/>
        </w:rPr>
      </w:pPr>
      <w:r>
        <w:rPr>
          <w:noProof/>
        </w:rPr>
        <w:drawing>
          <wp:inline distT="0" distB="0" distL="0" distR="0" wp14:anchorId="38C846C6" wp14:editId="17DF9DB5">
            <wp:extent cx="899160" cy="457200"/>
            <wp:effectExtent l="0" t="0" r="0" b="0"/>
            <wp:docPr id="2" name="Picture 3" descr="Takeda Logo PNG vector in SVG, PDF, AI, CDR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keda Logo PNG vector in SVG, PDF, AI, CDR forma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99160" cy="457200"/>
                    </a:xfrm>
                    <a:prstGeom prst="rect">
                      <a:avLst/>
                    </a:prstGeom>
                    <a:noFill/>
                    <a:ln>
                      <a:noFill/>
                    </a:ln>
                  </pic:spPr>
                </pic:pic>
              </a:graphicData>
            </a:graphic>
          </wp:inline>
        </w:drawing>
      </w:r>
      <w:r w:rsidR="00FB5E96" w:rsidRPr="00B9184B">
        <w:rPr>
          <w:rFonts w:ascii="Arial" w:hAnsi="Arial" w:cs="Arial"/>
          <w:sz w:val="24"/>
          <w:szCs w:val="24"/>
        </w:rPr>
        <w:t xml:space="preserve"> Pharmaceutical Company, Japan's largest and one of its oldest pharmaceutical firms, specializes in oncology, gastroenterology, neuroscience, and rare diseases</w:t>
      </w:r>
      <w:r w:rsidR="00B9115E">
        <w:rPr>
          <w:rFonts w:ascii="Arial" w:hAnsi="Arial" w:cs="Arial"/>
          <w:sz w:val="24"/>
          <w:szCs w:val="24"/>
        </w:rPr>
        <w:t xml:space="preserve"> (Takeda, 2024)</w:t>
      </w:r>
      <w:r w:rsidR="00FB5E96" w:rsidRPr="00B9184B">
        <w:rPr>
          <w:rFonts w:ascii="Arial" w:hAnsi="Arial" w:cs="Arial"/>
          <w:sz w:val="24"/>
          <w:szCs w:val="24"/>
        </w:rPr>
        <w:t>. On October 31, 2024, Takeda reported a significant turnaround with a second-quarter profit of 184.2 billion yen ($1.21 billion), up from a loss last year, and raised its annual profit forecast from 225 billion yen to 265 billion yen</w:t>
      </w:r>
      <w:r w:rsidR="00B9115E">
        <w:rPr>
          <w:rFonts w:ascii="Arial" w:hAnsi="Arial" w:cs="Arial"/>
          <w:sz w:val="24"/>
          <w:szCs w:val="24"/>
        </w:rPr>
        <w:t xml:space="preserve"> (Market</w:t>
      </w:r>
      <w:r w:rsidR="00181706">
        <w:rPr>
          <w:rFonts w:ascii="Arial" w:hAnsi="Arial" w:cs="Arial"/>
          <w:sz w:val="24"/>
          <w:szCs w:val="24"/>
        </w:rPr>
        <w:t xml:space="preserve"> </w:t>
      </w:r>
      <w:r w:rsidR="00B9115E">
        <w:rPr>
          <w:rFonts w:ascii="Arial" w:hAnsi="Arial" w:cs="Arial"/>
          <w:sz w:val="24"/>
          <w:szCs w:val="24"/>
        </w:rPr>
        <w:t>Screener, 2024)</w:t>
      </w:r>
      <w:r w:rsidR="00FB5E96" w:rsidRPr="00B9184B">
        <w:rPr>
          <w:rFonts w:ascii="Arial" w:hAnsi="Arial" w:cs="Arial"/>
          <w:sz w:val="24"/>
          <w:szCs w:val="24"/>
        </w:rPr>
        <w:t xml:space="preserve">. </w:t>
      </w:r>
    </w:p>
    <w:p w14:paraId="4CB99992" w14:textId="77777777" w:rsidR="00C27C91" w:rsidRPr="00B9184B" w:rsidRDefault="00C27C91" w:rsidP="00B9184B">
      <w:pPr>
        <w:spacing w:after="0" w:line="360" w:lineRule="auto"/>
        <w:jc w:val="both"/>
        <w:rPr>
          <w:rFonts w:ascii="Arial" w:hAnsi="Arial" w:cs="Arial"/>
          <w:sz w:val="24"/>
          <w:szCs w:val="24"/>
        </w:rPr>
      </w:pPr>
    </w:p>
    <w:p w14:paraId="07455FFE" w14:textId="77777777" w:rsidR="00C27C91" w:rsidRPr="00B9184B" w:rsidRDefault="00C27C91" w:rsidP="00B9184B">
      <w:pPr>
        <w:spacing w:after="0" w:line="360" w:lineRule="auto"/>
        <w:jc w:val="both"/>
        <w:rPr>
          <w:rFonts w:ascii="Arial" w:hAnsi="Arial" w:cs="Arial"/>
          <w:sz w:val="24"/>
          <w:szCs w:val="24"/>
        </w:rPr>
      </w:pPr>
    </w:p>
    <w:p w14:paraId="0B80409C" w14:textId="77777777" w:rsidR="00C27C91" w:rsidRPr="00B9184B" w:rsidRDefault="00C27C91" w:rsidP="00B9184B">
      <w:pPr>
        <w:spacing w:after="0" w:line="360" w:lineRule="auto"/>
        <w:jc w:val="both"/>
        <w:rPr>
          <w:rFonts w:ascii="Arial" w:hAnsi="Arial" w:cs="Arial"/>
          <w:sz w:val="24"/>
          <w:szCs w:val="24"/>
        </w:rPr>
      </w:pPr>
    </w:p>
    <w:p w14:paraId="523B5007" w14:textId="77777777" w:rsidR="00C27C91" w:rsidRPr="00B9184B" w:rsidRDefault="00C27C91" w:rsidP="00B9184B">
      <w:pPr>
        <w:spacing w:after="0" w:line="360" w:lineRule="auto"/>
        <w:jc w:val="both"/>
        <w:rPr>
          <w:rFonts w:ascii="Arial" w:hAnsi="Arial" w:cs="Arial"/>
          <w:sz w:val="24"/>
          <w:szCs w:val="24"/>
        </w:rPr>
      </w:pPr>
    </w:p>
    <w:p w14:paraId="4879EE97" w14:textId="77777777" w:rsidR="00C27C91" w:rsidRDefault="00C27C91" w:rsidP="00B9184B">
      <w:pPr>
        <w:spacing w:after="0" w:line="360" w:lineRule="auto"/>
        <w:jc w:val="both"/>
        <w:rPr>
          <w:rFonts w:ascii="Arial" w:hAnsi="Arial" w:cs="Arial"/>
          <w:sz w:val="24"/>
          <w:szCs w:val="24"/>
        </w:rPr>
      </w:pPr>
    </w:p>
    <w:p w14:paraId="08C2ECBA" w14:textId="77777777" w:rsidR="006F4E6D" w:rsidRDefault="006F4E6D" w:rsidP="00B9184B">
      <w:pPr>
        <w:spacing w:after="0" w:line="360" w:lineRule="auto"/>
        <w:jc w:val="both"/>
        <w:rPr>
          <w:rFonts w:ascii="Arial" w:hAnsi="Arial" w:cs="Arial"/>
          <w:sz w:val="24"/>
          <w:szCs w:val="24"/>
        </w:rPr>
      </w:pPr>
    </w:p>
    <w:p w14:paraId="39005531" w14:textId="77777777" w:rsidR="006F4E6D" w:rsidRDefault="006F4E6D" w:rsidP="00B9184B">
      <w:pPr>
        <w:spacing w:after="0" w:line="360" w:lineRule="auto"/>
        <w:jc w:val="both"/>
        <w:rPr>
          <w:rFonts w:ascii="Arial" w:hAnsi="Arial" w:cs="Arial"/>
          <w:sz w:val="24"/>
          <w:szCs w:val="24"/>
        </w:rPr>
      </w:pPr>
    </w:p>
    <w:p w14:paraId="5CD1066D" w14:textId="77777777" w:rsidR="006F4E6D" w:rsidRDefault="006F4E6D" w:rsidP="00B9184B">
      <w:pPr>
        <w:spacing w:after="0" w:line="360" w:lineRule="auto"/>
        <w:jc w:val="both"/>
        <w:rPr>
          <w:rFonts w:ascii="Arial" w:hAnsi="Arial" w:cs="Arial"/>
          <w:sz w:val="24"/>
          <w:szCs w:val="24"/>
        </w:rPr>
      </w:pPr>
    </w:p>
    <w:p w14:paraId="59F06454" w14:textId="77777777" w:rsidR="006F4E6D" w:rsidRDefault="006F4E6D" w:rsidP="00B9184B">
      <w:pPr>
        <w:spacing w:after="0" w:line="360" w:lineRule="auto"/>
        <w:jc w:val="both"/>
        <w:rPr>
          <w:rFonts w:ascii="Arial" w:hAnsi="Arial" w:cs="Arial"/>
          <w:sz w:val="24"/>
          <w:szCs w:val="24"/>
        </w:rPr>
      </w:pPr>
    </w:p>
    <w:p w14:paraId="7645D775" w14:textId="77777777" w:rsidR="006F4E6D" w:rsidRDefault="006F4E6D" w:rsidP="00B9184B">
      <w:pPr>
        <w:spacing w:after="0" w:line="360" w:lineRule="auto"/>
        <w:jc w:val="both"/>
        <w:rPr>
          <w:rFonts w:ascii="Arial" w:hAnsi="Arial" w:cs="Arial"/>
          <w:sz w:val="24"/>
          <w:szCs w:val="24"/>
        </w:rPr>
      </w:pPr>
    </w:p>
    <w:p w14:paraId="7067A7C0" w14:textId="77777777" w:rsidR="006F4E6D" w:rsidRDefault="006F4E6D" w:rsidP="00B9184B">
      <w:pPr>
        <w:spacing w:after="0" w:line="360" w:lineRule="auto"/>
        <w:jc w:val="both"/>
        <w:rPr>
          <w:rFonts w:ascii="Arial" w:hAnsi="Arial" w:cs="Arial"/>
          <w:sz w:val="24"/>
          <w:szCs w:val="24"/>
        </w:rPr>
      </w:pPr>
    </w:p>
    <w:p w14:paraId="539B6184" w14:textId="77777777" w:rsidR="006F4E6D" w:rsidRDefault="006F4E6D" w:rsidP="00B9184B">
      <w:pPr>
        <w:spacing w:after="0" w:line="360" w:lineRule="auto"/>
        <w:jc w:val="both"/>
        <w:rPr>
          <w:rFonts w:ascii="Arial" w:hAnsi="Arial" w:cs="Arial"/>
          <w:sz w:val="24"/>
          <w:szCs w:val="24"/>
        </w:rPr>
      </w:pPr>
    </w:p>
    <w:p w14:paraId="0AF8ED08" w14:textId="77777777" w:rsidR="006F4E6D" w:rsidRDefault="006F4E6D" w:rsidP="00B9184B">
      <w:pPr>
        <w:spacing w:after="0" w:line="360" w:lineRule="auto"/>
        <w:jc w:val="both"/>
        <w:rPr>
          <w:rFonts w:ascii="Arial" w:hAnsi="Arial" w:cs="Arial"/>
          <w:sz w:val="24"/>
          <w:szCs w:val="24"/>
        </w:rPr>
      </w:pPr>
    </w:p>
    <w:p w14:paraId="0AAA0AD9" w14:textId="77777777" w:rsidR="006850B9" w:rsidRDefault="006850B9" w:rsidP="00B9184B">
      <w:pPr>
        <w:spacing w:after="0" w:line="360" w:lineRule="auto"/>
        <w:jc w:val="both"/>
        <w:rPr>
          <w:rFonts w:ascii="Arial" w:hAnsi="Arial" w:cs="Arial"/>
          <w:sz w:val="24"/>
          <w:szCs w:val="24"/>
        </w:rPr>
      </w:pPr>
    </w:p>
    <w:p w14:paraId="386EF07D" w14:textId="77777777" w:rsidR="006850B9" w:rsidRDefault="006850B9" w:rsidP="00B9184B">
      <w:pPr>
        <w:spacing w:after="0" w:line="360" w:lineRule="auto"/>
        <w:jc w:val="both"/>
        <w:rPr>
          <w:rFonts w:ascii="Arial" w:hAnsi="Arial" w:cs="Arial"/>
          <w:sz w:val="24"/>
          <w:szCs w:val="24"/>
        </w:rPr>
      </w:pPr>
    </w:p>
    <w:p w14:paraId="130CB418" w14:textId="77777777" w:rsidR="006F4E6D" w:rsidRPr="00B9184B" w:rsidRDefault="006F4E6D" w:rsidP="00B9184B">
      <w:pPr>
        <w:spacing w:after="0" w:line="360" w:lineRule="auto"/>
        <w:jc w:val="both"/>
        <w:rPr>
          <w:rFonts w:ascii="Arial" w:hAnsi="Arial" w:cs="Arial"/>
          <w:sz w:val="24"/>
          <w:szCs w:val="24"/>
        </w:rPr>
      </w:pPr>
    </w:p>
    <w:p w14:paraId="6965B789" w14:textId="77777777" w:rsidR="00C27C91" w:rsidRPr="006F4E6D" w:rsidRDefault="00C27C91" w:rsidP="006F4E6D">
      <w:pPr>
        <w:numPr>
          <w:ilvl w:val="0"/>
          <w:numId w:val="5"/>
        </w:numPr>
        <w:spacing w:after="0" w:line="360" w:lineRule="auto"/>
        <w:jc w:val="both"/>
        <w:rPr>
          <w:rFonts w:ascii="Arial" w:hAnsi="Arial" w:cs="Arial"/>
          <w:b/>
          <w:bCs/>
          <w:sz w:val="28"/>
          <w:szCs w:val="28"/>
        </w:rPr>
      </w:pPr>
      <w:r w:rsidRPr="006F4E6D">
        <w:rPr>
          <w:rFonts w:ascii="Arial" w:hAnsi="Arial" w:cs="Arial"/>
          <w:b/>
          <w:bCs/>
          <w:sz w:val="28"/>
          <w:szCs w:val="28"/>
        </w:rPr>
        <w:lastRenderedPageBreak/>
        <w:t xml:space="preserve">Hall’s High- and Low-Context </w:t>
      </w:r>
      <w:r w:rsidR="00DF192F">
        <w:rPr>
          <w:rFonts w:ascii="Arial" w:hAnsi="Arial" w:cs="Arial"/>
          <w:b/>
          <w:bCs/>
          <w:sz w:val="28"/>
          <w:szCs w:val="28"/>
        </w:rPr>
        <w:t>c</w:t>
      </w:r>
      <w:r w:rsidRPr="006F4E6D">
        <w:rPr>
          <w:rFonts w:ascii="Arial" w:hAnsi="Arial" w:cs="Arial"/>
          <w:b/>
          <w:bCs/>
          <w:sz w:val="28"/>
          <w:szCs w:val="28"/>
        </w:rPr>
        <w:t xml:space="preserve">ommunication </w:t>
      </w:r>
      <w:r w:rsidR="00DF192F">
        <w:rPr>
          <w:rFonts w:ascii="Arial" w:hAnsi="Arial" w:cs="Arial"/>
          <w:b/>
          <w:bCs/>
          <w:sz w:val="28"/>
          <w:szCs w:val="28"/>
        </w:rPr>
        <w:t>t</w:t>
      </w:r>
      <w:r w:rsidRPr="006F4E6D">
        <w:rPr>
          <w:rFonts w:ascii="Arial" w:hAnsi="Arial" w:cs="Arial"/>
          <w:b/>
          <w:bCs/>
          <w:sz w:val="28"/>
          <w:szCs w:val="28"/>
        </w:rPr>
        <w:t>heory</w:t>
      </w:r>
    </w:p>
    <w:p w14:paraId="7E3EF329" w14:textId="77777777" w:rsidR="00C27C91" w:rsidRDefault="00C27C91" w:rsidP="00FF5CDE">
      <w:pPr>
        <w:spacing w:after="0" w:line="360" w:lineRule="auto"/>
        <w:jc w:val="center"/>
        <w:rPr>
          <w:rFonts w:ascii="Arial" w:hAnsi="Arial" w:cs="Arial"/>
          <w:sz w:val="24"/>
          <w:szCs w:val="24"/>
        </w:rPr>
      </w:pPr>
    </w:p>
    <w:p w14:paraId="5003576A" w14:textId="77777777" w:rsidR="006850B9" w:rsidRPr="00B9184B" w:rsidRDefault="006850B9" w:rsidP="00FF5CDE">
      <w:pPr>
        <w:spacing w:after="0" w:line="360" w:lineRule="auto"/>
        <w:jc w:val="center"/>
        <w:rPr>
          <w:rFonts w:ascii="Arial" w:hAnsi="Arial" w:cs="Arial"/>
          <w:sz w:val="24"/>
          <w:szCs w:val="24"/>
        </w:rPr>
      </w:pPr>
    </w:p>
    <w:p w14:paraId="2B3D7086" w14:textId="77777777" w:rsidR="00FB5E96" w:rsidRDefault="00FB5E96" w:rsidP="00B9184B">
      <w:pPr>
        <w:spacing w:after="0" w:line="360" w:lineRule="auto"/>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56"/>
        <w:gridCol w:w="3449"/>
        <w:gridCol w:w="3511"/>
      </w:tblGrid>
      <w:tr w:rsidR="006F4E6D" w14:paraId="374CD204" w14:textId="77777777">
        <w:tc>
          <w:tcPr>
            <w:tcW w:w="9242" w:type="dxa"/>
            <w:gridSpan w:val="3"/>
            <w:shd w:val="clear" w:color="auto" w:fill="FFCC66"/>
          </w:tcPr>
          <w:p w14:paraId="6F12978C" w14:textId="77777777" w:rsidR="006F4E6D" w:rsidRDefault="006F4E6D">
            <w:pPr>
              <w:spacing w:after="0" w:line="360" w:lineRule="auto"/>
              <w:jc w:val="center"/>
              <w:rPr>
                <w:rFonts w:ascii="Arial" w:hAnsi="Arial" w:cs="Arial"/>
                <w:b/>
                <w:bCs/>
                <w:sz w:val="28"/>
                <w:szCs w:val="28"/>
              </w:rPr>
            </w:pPr>
            <w:r>
              <w:rPr>
                <w:rFonts w:ascii="Arial" w:hAnsi="Arial" w:cs="Arial"/>
                <w:b/>
                <w:bCs/>
                <w:sz w:val="28"/>
                <w:szCs w:val="28"/>
              </w:rPr>
              <w:t>High- and Low-Context Communication</w:t>
            </w:r>
          </w:p>
        </w:tc>
      </w:tr>
      <w:tr w:rsidR="006F4E6D" w14:paraId="5712F306" w14:textId="77777777">
        <w:tc>
          <w:tcPr>
            <w:tcW w:w="2093" w:type="dxa"/>
            <w:shd w:val="clear" w:color="auto" w:fill="auto"/>
          </w:tcPr>
          <w:p w14:paraId="1921BC8C" w14:textId="77777777" w:rsidR="006F4E6D" w:rsidRDefault="006F4E6D">
            <w:pPr>
              <w:spacing w:after="0" w:line="360" w:lineRule="auto"/>
              <w:jc w:val="both"/>
              <w:rPr>
                <w:rFonts w:ascii="Arial" w:hAnsi="Arial" w:cs="Arial"/>
                <w:b/>
                <w:bCs/>
              </w:rPr>
            </w:pPr>
            <w:r>
              <w:rPr>
                <w:rFonts w:ascii="Arial" w:hAnsi="Arial" w:cs="Arial"/>
                <w:b/>
                <w:bCs/>
              </w:rPr>
              <w:t>Dimension</w:t>
            </w:r>
          </w:p>
        </w:tc>
        <w:tc>
          <w:tcPr>
            <w:tcW w:w="3544" w:type="dxa"/>
            <w:shd w:val="clear" w:color="auto" w:fill="auto"/>
          </w:tcPr>
          <w:p w14:paraId="3E4AF936" w14:textId="039954CA" w:rsidR="00661075" w:rsidRDefault="008E7C07">
            <w:pPr>
              <w:spacing w:after="0" w:line="360" w:lineRule="auto"/>
              <w:rPr>
                <w:rFonts w:ascii="Arial" w:hAnsi="Arial" w:cs="Arial"/>
                <w:b/>
                <w:bCs/>
                <w:sz w:val="28"/>
                <w:szCs w:val="28"/>
              </w:rPr>
            </w:pPr>
            <w:r>
              <w:rPr>
                <w:rFonts w:ascii="Arial" w:hAnsi="Arial" w:cs="Arial"/>
                <w:noProof/>
              </w:rPr>
              <w:drawing>
                <wp:anchor distT="0" distB="0" distL="114300" distR="114300" simplePos="0" relativeHeight="251657216" behindDoc="0" locked="0" layoutInCell="1" allowOverlap="1" wp14:anchorId="4378D6EB" wp14:editId="4CCE0D43">
                  <wp:simplePos x="0" y="0"/>
                  <wp:positionH relativeFrom="column">
                    <wp:posOffset>1236980</wp:posOffset>
                  </wp:positionH>
                  <wp:positionV relativeFrom="paragraph">
                    <wp:posOffset>90805</wp:posOffset>
                  </wp:positionV>
                  <wp:extent cx="807720" cy="678815"/>
                  <wp:effectExtent l="0" t="0" r="0" b="0"/>
                  <wp:wrapSquare wrapText="bothSides"/>
                  <wp:docPr id="14" name="Picture 6" descr="Face Face Concept Japanese Vs British Stock Vector (Royalty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ace Face Concept Japanese Vs British Stock Vector (Royalty Free ..."/>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r="50896" b="7715"/>
                          <a:stretch>
                            <a:fillRect/>
                          </a:stretch>
                        </pic:blipFill>
                        <pic:spPr bwMode="auto">
                          <a:xfrm>
                            <a:off x="0" y="0"/>
                            <a:ext cx="807720" cy="678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4768DA" w14:textId="77777777" w:rsidR="00FF5CDE" w:rsidRDefault="006F4E6D">
            <w:pPr>
              <w:spacing w:after="0" w:line="360" w:lineRule="auto"/>
              <w:jc w:val="center"/>
              <w:rPr>
                <w:rFonts w:ascii="Arial" w:hAnsi="Arial" w:cs="Arial"/>
                <w:b/>
                <w:bCs/>
                <w:sz w:val="28"/>
                <w:szCs w:val="28"/>
              </w:rPr>
            </w:pPr>
            <w:r>
              <w:rPr>
                <w:rFonts w:ascii="Arial" w:hAnsi="Arial" w:cs="Arial"/>
                <w:b/>
                <w:bCs/>
                <w:sz w:val="28"/>
                <w:szCs w:val="28"/>
              </w:rPr>
              <w:t>Japan</w:t>
            </w:r>
          </w:p>
          <w:p w14:paraId="178E640A" w14:textId="77777777" w:rsidR="006F4E6D" w:rsidRDefault="006F4E6D">
            <w:pPr>
              <w:spacing w:after="0" w:line="360" w:lineRule="auto"/>
              <w:jc w:val="both"/>
              <w:rPr>
                <w:rFonts w:ascii="Arial" w:hAnsi="Arial" w:cs="Arial"/>
              </w:rPr>
            </w:pPr>
          </w:p>
        </w:tc>
        <w:tc>
          <w:tcPr>
            <w:tcW w:w="3605" w:type="dxa"/>
            <w:shd w:val="clear" w:color="auto" w:fill="auto"/>
          </w:tcPr>
          <w:p w14:paraId="4CA09C3D" w14:textId="69CB739E" w:rsidR="00661075" w:rsidRDefault="008E7C07">
            <w:pPr>
              <w:spacing w:after="0" w:line="360" w:lineRule="auto"/>
              <w:jc w:val="center"/>
              <w:rPr>
                <w:rFonts w:ascii="Arial" w:hAnsi="Arial" w:cs="Arial"/>
                <w:b/>
                <w:bCs/>
              </w:rPr>
            </w:pPr>
            <w:r>
              <w:rPr>
                <w:rFonts w:ascii="Arial" w:hAnsi="Arial" w:cs="Arial"/>
                <w:b/>
                <w:bCs/>
                <w:noProof/>
              </w:rPr>
              <w:drawing>
                <wp:anchor distT="0" distB="0" distL="114300" distR="114300" simplePos="0" relativeHeight="251658240" behindDoc="0" locked="0" layoutInCell="1" allowOverlap="1" wp14:anchorId="0DD9C4B9" wp14:editId="0C379EA6">
                  <wp:simplePos x="0" y="0"/>
                  <wp:positionH relativeFrom="column">
                    <wp:posOffset>3175</wp:posOffset>
                  </wp:positionH>
                  <wp:positionV relativeFrom="paragraph">
                    <wp:posOffset>90805</wp:posOffset>
                  </wp:positionV>
                  <wp:extent cx="814070" cy="681355"/>
                  <wp:effectExtent l="0" t="0" r="0" b="0"/>
                  <wp:wrapSquare wrapText="bothSides"/>
                  <wp:docPr id="15" name="Picture 5" descr="Face Face Concept Japanese Vs British Stock Vector (Royalty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ace Face Concept Japanese Vs British Stock Vector (Royalty Free ..."/>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l="50511" t="285" b="7143"/>
                          <a:stretch>
                            <a:fillRect/>
                          </a:stretch>
                        </pic:blipFill>
                        <pic:spPr bwMode="auto">
                          <a:xfrm>
                            <a:off x="0" y="0"/>
                            <a:ext cx="814070" cy="6813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96AA60" w14:textId="77777777" w:rsidR="006F4E6D" w:rsidRDefault="006F4E6D">
            <w:pPr>
              <w:spacing w:after="0" w:line="360" w:lineRule="auto"/>
              <w:jc w:val="center"/>
              <w:rPr>
                <w:rFonts w:ascii="Arial" w:hAnsi="Arial" w:cs="Arial"/>
                <w:b/>
                <w:bCs/>
              </w:rPr>
            </w:pPr>
            <w:r>
              <w:rPr>
                <w:rFonts w:ascii="Arial" w:hAnsi="Arial" w:cs="Arial"/>
                <w:b/>
                <w:bCs/>
                <w:sz w:val="28"/>
                <w:szCs w:val="28"/>
              </w:rPr>
              <w:t>UK</w:t>
            </w:r>
          </w:p>
        </w:tc>
      </w:tr>
      <w:tr w:rsidR="006F4E6D" w14:paraId="2BAEA58A" w14:textId="77777777">
        <w:tc>
          <w:tcPr>
            <w:tcW w:w="2093" w:type="dxa"/>
            <w:shd w:val="clear" w:color="auto" w:fill="auto"/>
          </w:tcPr>
          <w:p w14:paraId="0D021855" w14:textId="77777777" w:rsidR="006F4E6D" w:rsidRDefault="00FF5CDE">
            <w:pPr>
              <w:spacing w:after="0" w:line="360" w:lineRule="auto"/>
              <w:jc w:val="both"/>
              <w:rPr>
                <w:rFonts w:ascii="Arial" w:hAnsi="Arial" w:cs="Arial"/>
                <w:b/>
                <w:bCs/>
              </w:rPr>
            </w:pPr>
            <w:r>
              <w:rPr>
                <w:rFonts w:ascii="Arial" w:hAnsi="Arial" w:cs="Arial"/>
                <w:b/>
                <w:bCs/>
              </w:rPr>
              <w:t>Context level</w:t>
            </w:r>
          </w:p>
        </w:tc>
        <w:tc>
          <w:tcPr>
            <w:tcW w:w="3544" w:type="dxa"/>
            <w:shd w:val="clear" w:color="auto" w:fill="auto"/>
          </w:tcPr>
          <w:p w14:paraId="246C1E9E" w14:textId="77777777" w:rsidR="006F4E6D" w:rsidRDefault="00FF5CDE">
            <w:pPr>
              <w:spacing w:after="0" w:line="360" w:lineRule="auto"/>
              <w:rPr>
                <w:rFonts w:ascii="Arial" w:hAnsi="Arial" w:cs="Arial"/>
              </w:rPr>
            </w:pPr>
            <w:r>
              <w:rPr>
                <w:rFonts w:ascii="Arial" w:hAnsi="Arial" w:cs="Arial"/>
              </w:rPr>
              <w:t>High context: relies on subtle cues and shared understanding</w:t>
            </w:r>
          </w:p>
        </w:tc>
        <w:tc>
          <w:tcPr>
            <w:tcW w:w="3605" w:type="dxa"/>
            <w:shd w:val="clear" w:color="auto" w:fill="auto"/>
          </w:tcPr>
          <w:p w14:paraId="62DF4D8A" w14:textId="77777777" w:rsidR="006F4E6D" w:rsidRDefault="00FF5CDE">
            <w:pPr>
              <w:spacing w:after="0" w:line="360" w:lineRule="auto"/>
              <w:rPr>
                <w:rFonts w:ascii="Arial" w:hAnsi="Arial" w:cs="Arial"/>
              </w:rPr>
            </w:pPr>
            <w:r>
              <w:rPr>
                <w:rFonts w:ascii="Arial" w:hAnsi="Arial" w:cs="Arial"/>
              </w:rPr>
              <w:t>Low context: clear, direct communication</w:t>
            </w:r>
          </w:p>
        </w:tc>
      </w:tr>
      <w:tr w:rsidR="006F4E6D" w14:paraId="15EA550E" w14:textId="77777777">
        <w:tc>
          <w:tcPr>
            <w:tcW w:w="2093" w:type="dxa"/>
            <w:shd w:val="clear" w:color="auto" w:fill="auto"/>
          </w:tcPr>
          <w:p w14:paraId="66116304" w14:textId="77777777" w:rsidR="006F4E6D" w:rsidRDefault="00FF5CDE">
            <w:pPr>
              <w:spacing w:after="0" w:line="360" w:lineRule="auto"/>
              <w:jc w:val="both"/>
              <w:rPr>
                <w:rFonts w:ascii="Arial" w:hAnsi="Arial" w:cs="Arial"/>
                <w:b/>
                <w:bCs/>
              </w:rPr>
            </w:pPr>
            <w:r>
              <w:rPr>
                <w:rFonts w:ascii="Arial" w:hAnsi="Arial" w:cs="Arial"/>
                <w:b/>
                <w:bCs/>
              </w:rPr>
              <w:t>Directness</w:t>
            </w:r>
          </w:p>
        </w:tc>
        <w:tc>
          <w:tcPr>
            <w:tcW w:w="3544" w:type="dxa"/>
            <w:shd w:val="clear" w:color="auto" w:fill="auto"/>
          </w:tcPr>
          <w:p w14:paraId="44108005" w14:textId="77777777" w:rsidR="006F4E6D" w:rsidRDefault="00FF5CDE">
            <w:pPr>
              <w:spacing w:after="0" w:line="360" w:lineRule="auto"/>
              <w:jc w:val="both"/>
              <w:rPr>
                <w:rFonts w:ascii="Arial" w:hAnsi="Arial" w:cs="Arial"/>
              </w:rPr>
            </w:pPr>
            <w:r>
              <w:rPr>
                <w:rFonts w:ascii="Arial" w:hAnsi="Arial" w:cs="Arial"/>
              </w:rPr>
              <w:t>Indirect: avoids direct conflict, values subtlety</w:t>
            </w:r>
          </w:p>
        </w:tc>
        <w:tc>
          <w:tcPr>
            <w:tcW w:w="3605" w:type="dxa"/>
            <w:shd w:val="clear" w:color="auto" w:fill="auto"/>
          </w:tcPr>
          <w:p w14:paraId="480C2B6A" w14:textId="77777777" w:rsidR="006F4E6D" w:rsidRDefault="00FF5CDE">
            <w:pPr>
              <w:spacing w:after="0" w:line="360" w:lineRule="auto"/>
              <w:rPr>
                <w:rFonts w:ascii="Arial" w:hAnsi="Arial" w:cs="Arial"/>
              </w:rPr>
            </w:pPr>
            <w:r>
              <w:rPr>
                <w:rFonts w:ascii="Arial" w:hAnsi="Arial" w:cs="Arial"/>
              </w:rPr>
              <w:t>Direct: straightforward</w:t>
            </w:r>
          </w:p>
        </w:tc>
      </w:tr>
      <w:tr w:rsidR="006F4E6D" w14:paraId="1243065E" w14:textId="77777777">
        <w:tc>
          <w:tcPr>
            <w:tcW w:w="2093" w:type="dxa"/>
            <w:shd w:val="clear" w:color="auto" w:fill="auto"/>
          </w:tcPr>
          <w:p w14:paraId="59CDC1DE" w14:textId="77777777" w:rsidR="006F4E6D" w:rsidRDefault="00FF5CDE">
            <w:pPr>
              <w:spacing w:after="0" w:line="360" w:lineRule="auto"/>
              <w:jc w:val="both"/>
              <w:rPr>
                <w:rFonts w:ascii="Arial" w:hAnsi="Arial" w:cs="Arial"/>
                <w:b/>
                <w:bCs/>
              </w:rPr>
            </w:pPr>
            <w:r>
              <w:rPr>
                <w:rFonts w:ascii="Arial" w:hAnsi="Arial" w:cs="Arial"/>
                <w:b/>
                <w:bCs/>
              </w:rPr>
              <w:t>Non-verbal cues</w:t>
            </w:r>
          </w:p>
        </w:tc>
        <w:tc>
          <w:tcPr>
            <w:tcW w:w="3544" w:type="dxa"/>
            <w:shd w:val="clear" w:color="auto" w:fill="auto"/>
          </w:tcPr>
          <w:p w14:paraId="45933BF0" w14:textId="77777777" w:rsidR="006F4E6D" w:rsidRDefault="00FF5CDE">
            <w:pPr>
              <w:spacing w:after="0" w:line="360" w:lineRule="auto"/>
              <w:jc w:val="both"/>
              <w:rPr>
                <w:rFonts w:ascii="Arial" w:hAnsi="Arial" w:cs="Arial"/>
              </w:rPr>
            </w:pPr>
            <w:r>
              <w:rPr>
                <w:rFonts w:ascii="Arial" w:hAnsi="Arial" w:cs="Arial"/>
              </w:rPr>
              <w:t>High reliance on non-verbal cues like tone and silence</w:t>
            </w:r>
          </w:p>
        </w:tc>
        <w:tc>
          <w:tcPr>
            <w:tcW w:w="3605" w:type="dxa"/>
            <w:shd w:val="clear" w:color="auto" w:fill="auto"/>
          </w:tcPr>
          <w:p w14:paraId="3C6F3B4E" w14:textId="77777777" w:rsidR="006F4E6D" w:rsidRDefault="00FF5CDE">
            <w:pPr>
              <w:spacing w:after="0" w:line="360" w:lineRule="auto"/>
              <w:rPr>
                <w:rFonts w:ascii="Arial" w:hAnsi="Arial" w:cs="Arial"/>
              </w:rPr>
            </w:pPr>
            <w:r>
              <w:rPr>
                <w:rFonts w:ascii="Arial" w:hAnsi="Arial" w:cs="Arial"/>
              </w:rPr>
              <w:t>Moderate reliance</w:t>
            </w:r>
          </w:p>
        </w:tc>
      </w:tr>
      <w:tr w:rsidR="006F4E6D" w14:paraId="7DF6E860" w14:textId="77777777">
        <w:tc>
          <w:tcPr>
            <w:tcW w:w="2093" w:type="dxa"/>
            <w:shd w:val="clear" w:color="auto" w:fill="auto"/>
          </w:tcPr>
          <w:p w14:paraId="3057EE42" w14:textId="77777777" w:rsidR="006F4E6D" w:rsidRDefault="00FF5CDE">
            <w:pPr>
              <w:spacing w:after="0" w:line="360" w:lineRule="auto"/>
              <w:jc w:val="both"/>
              <w:rPr>
                <w:rFonts w:ascii="Arial" w:hAnsi="Arial" w:cs="Arial"/>
                <w:b/>
                <w:bCs/>
              </w:rPr>
            </w:pPr>
            <w:r>
              <w:rPr>
                <w:rFonts w:ascii="Arial" w:hAnsi="Arial" w:cs="Arial"/>
                <w:b/>
                <w:bCs/>
              </w:rPr>
              <w:t>Feedback</w:t>
            </w:r>
          </w:p>
        </w:tc>
        <w:tc>
          <w:tcPr>
            <w:tcW w:w="3544" w:type="dxa"/>
            <w:shd w:val="clear" w:color="auto" w:fill="auto"/>
          </w:tcPr>
          <w:p w14:paraId="385C36F7" w14:textId="77777777" w:rsidR="006F4E6D" w:rsidRDefault="00FF5CDE">
            <w:pPr>
              <w:spacing w:after="0" w:line="360" w:lineRule="auto"/>
              <w:jc w:val="both"/>
              <w:rPr>
                <w:rFonts w:ascii="Arial" w:hAnsi="Arial" w:cs="Arial"/>
              </w:rPr>
            </w:pPr>
            <w:r>
              <w:rPr>
                <w:rFonts w:ascii="Arial" w:hAnsi="Arial" w:cs="Arial"/>
              </w:rPr>
              <w:t>Prefers indirect feedback to maintain harmony</w:t>
            </w:r>
          </w:p>
        </w:tc>
        <w:tc>
          <w:tcPr>
            <w:tcW w:w="3605" w:type="dxa"/>
            <w:shd w:val="clear" w:color="auto" w:fill="auto"/>
          </w:tcPr>
          <w:p w14:paraId="44B5652A" w14:textId="77777777" w:rsidR="006F4E6D" w:rsidRDefault="00FF5CDE">
            <w:pPr>
              <w:spacing w:after="0" w:line="360" w:lineRule="auto"/>
              <w:rPr>
                <w:rFonts w:ascii="Arial" w:hAnsi="Arial" w:cs="Arial"/>
              </w:rPr>
            </w:pPr>
            <w:r>
              <w:rPr>
                <w:rFonts w:ascii="Arial" w:hAnsi="Arial" w:cs="Arial"/>
              </w:rPr>
              <w:t>Open to direct feedback</w:t>
            </w:r>
          </w:p>
        </w:tc>
      </w:tr>
      <w:tr w:rsidR="003B5D80" w14:paraId="4D7708F9" w14:textId="77777777">
        <w:tc>
          <w:tcPr>
            <w:tcW w:w="9242" w:type="dxa"/>
            <w:gridSpan w:val="3"/>
            <w:shd w:val="clear" w:color="auto" w:fill="auto"/>
          </w:tcPr>
          <w:p w14:paraId="043DAF34" w14:textId="77777777" w:rsidR="003B5D80" w:rsidRPr="005D6D6C" w:rsidRDefault="005D6D6C" w:rsidP="005D6D6C">
            <w:pPr>
              <w:spacing w:after="0" w:line="360" w:lineRule="auto"/>
              <w:jc w:val="center"/>
              <w:rPr>
                <w:rFonts w:ascii="Arial" w:hAnsi="Arial" w:cs="Arial"/>
                <w:b/>
                <w:bCs/>
                <w:sz w:val="20"/>
                <w:szCs w:val="20"/>
              </w:rPr>
            </w:pPr>
            <w:r w:rsidRPr="005D6D6C">
              <w:rPr>
                <w:rFonts w:ascii="Arial" w:hAnsi="Arial" w:cs="Arial"/>
                <w:b/>
                <w:bCs/>
                <w:sz w:val="20"/>
                <w:szCs w:val="20"/>
              </w:rPr>
              <w:t xml:space="preserve">(An, 2007, pp.302-332), (Brodbeck </w:t>
            </w:r>
            <w:r w:rsidRPr="005D6D6C">
              <w:rPr>
                <w:rFonts w:ascii="Arial" w:hAnsi="Arial" w:cs="Arial"/>
                <w:b/>
                <w:bCs/>
                <w:i/>
                <w:iCs/>
                <w:sz w:val="20"/>
                <w:szCs w:val="20"/>
              </w:rPr>
              <w:t xml:space="preserve">et al. </w:t>
            </w:r>
            <w:r w:rsidRPr="005D6D6C">
              <w:rPr>
                <w:rFonts w:ascii="Arial" w:hAnsi="Arial" w:cs="Arial"/>
                <w:b/>
                <w:bCs/>
                <w:sz w:val="20"/>
                <w:szCs w:val="20"/>
              </w:rPr>
              <w:t>2000, pp.1-29), (</w:t>
            </w:r>
            <w:r w:rsidR="00B22FB6">
              <w:rPr>
                <w:rFonts w:ascii="Arial" w:hAnsi="Arial" w:cs="Arial"/>
                <w:b/>
                <w:bCs/>
                <w:sz w:val="20"/>
                <w:szCs w:val="20"/>
              </w:rPr>
              <w:t>Zijun</w:t>
            </w:r>
            <w:r w:rsidRPr="005D6D6C">
              <w:rPr>
                <w:rFonts w:ascii="Arial" w:hAnsi="Arial" w:cs="Arial"/>
                <w:b/>
                <w:bCs/>
                <w:sz w:val="20"/>
                <w:szCs w:val="20"/>
              </w:rPr>
              <w:t xml:space="preserve"> et al. 2024, pp. 60-72)</w:t>
            </w:r>
          </w:p>
        </w:tc>
      </w:tr>
    </w:tbl>
    <w:p w14:paraId="6AA0234D" w14:textId="77777777" w:rsidR="006F4E6D" w:rsidRDefault="006F4E6D" w:rsidP="00B9184B">
      <w:pPr>
        <w:spacing w:after="0" w:line="360" w:lineRule="auto"/>
        <w:jc w:val="both"/>
        <w:rPr>
          <w:rFonts w:ascii="Arial" w:hAnsi="Arial" w:cs="Arial"/>
          <w:sz w:val="24"/>
          <w:szCs w:val="24"/>
        </w:rPr>
      </w:pPr>
    </w:p>
    <w:p w14:paraId="1C7741ED" w14:textId="77777777" w:rsidR="006850B9" w:rsidRDefault="006850B9" w:rsidP="00151C48">
      <w:pPr>
        <w:spacing w:after="0" w:line="360" w:lineRule="auto"/>
        <w:jc w:val="both"/>
        <w:rPr>
          <w:rFonts w:ascii="Arial" w:hAnsi="Arial" w:cs="Arial"/>
          <w:sz w:val="24"/>
          <w:szCs w:val="24"/>
        </w:rPr>
      </w:pPr>
    </w:p>
    <w:p w14:paraId="2628EBBA" w14:textId="77777777" w:rsidR="006850B9" w:rsidRDefault="006850B9" w:rsidP="00151C48">
      <w:pPr>
        <w:spacing w:after="0" w:line="360" w:lineRule="auto"/>
        <w:jc w:val="both"/>
        <w:rPr>
          <w:rFonts w:ascii="Arial" w:hAnsi="Arial" w:cs="Arial"/>
          <w:sz w:val="24"/>
          <w:szCs w:val="24"/>
        </w:rPr>
      </w:pPr>
    </w:p>
    <w:p w14:paraId="0AE8151E" w14:textId="77777777" w:rsidR="00151C48" w:rsidRDefault="00151C48" w:rsidP="00151C48">
      <w:pPr>
        <w:spacing w:after="0" w:line="360" w:lineRule="auto"/>
        <w:jc w:val="both"/>
        <w:rPr>
          <w:rFonts w:ascii="Arial" w:hAnsi="Arial" w:cs="Arial"/>
          <w:sz w:val="24"/>
          <w:szCs w:val="24"/>
        </w:rPr>
      </w:pPr>
      <w:r w:rsidRPr="00B9184B">
        <w:rPr>
          <w:rFonts w:ascii="Arial" w:hAnsi="Arial" w:cs="Arial"/>
          <w:sz w:val="24"/>
          <w:szCs w:val="24"/>
        </w:rPr>
        <w:t>Hall's model of high- and low-context cultures explains differences in communication styles across societies. High-context cultures communicate indirectly, using non-verbal cues, while low-context cultures are more direct and explicit in language. Although influential in cross-cultural studies, the model has faced criticism for its generalizations, limited empirical support, and relevance in a globally connected world. Despite these critiques, it remains a helpful framework for understanding the impact of cultural backgrounds on communication and improving intercultural understanding</w:t>
      </w:r>
      <w:r w:rsidR="002C2BC2">
        <w:rPr>
          <w:rFonts w:ascii="Arial" w:hAnsi="Arial" w:cs="Arial"/>
          <w:sz w:val="24"/>
          <w:szCs w:val="24"/>
        </w:rPr>
        <w:t xml:space="preserve"> (</w:t>
      </w:r>
      <w:r w:rsidR="002C2BC2" w:rsidRPr="00B9184B">
        <w:rPr>
          <w:rFonts w:ascii="Arial" w:hAnsi="Arial" w:cs="Arial"/>
          <w:sz w:val="24"/>
          <w:szCs w:val="24"/>
        </w:rPr>
        <w:t>Kittler</w:t>
      </w:r>
      <w:r w:rsidR="002C2BC2">
        <w:rPr>
          <w:rFonts w:ascii="Arial" w:hAnsi="Arial" w:cs="Arial"/>
          <w:sz w:val="24"/>
          <w:szCs w:val="24"/>
        </w:rPr>
        <w:t xml:space="preserve"> </w:t>
      </w:r>
      <w:r w:rsidR="002C2BC2" w:rsidRPr="00B9184B">
        <w:rPr>
          <w:rFonts w:ascii="Arial" w:hAnsi="Arial" w:cs="Arial"/>
          <w:i/>
          <w:iCs/>
          <w:sz w:val="24"/>
          <w:szCs w:val="24"/>
        </w:rPr>
        <w:t>et al.</w:t>
      </w:r>
      <w:r w:rsidR="002C2BC2">
        <w:rPr>
          <w:rFonts w:ascii="Arial" w:hAnsi="Arial" w:cs="Arial"/>
          <w:sz w:val="24"/>
          <w:szCs w:val="24"/>
        </w:rPr>
        <w:t xml:space="preserve"> </w:t>
      </w:r>
      <w:r w:rsidR="002C2BC2" w:rsidRPr="00B9184B">
        <w:rPr>
          <w:rFonts w:ascii="Arial" w:hAnsi="Arial" w:cs="Arial"/>
          <w:sz w:val="24"/>
          <w:szCs w:val="24"/>
        </w:rPr>
        <w:t>2011</w:t>
      </w:r>
      <w:r w:rsidR="002C2BC2">
        <w:rPr>
          <w:rFonts w:ascii="Arial" w:hAnsi="Arial" w:cs="Arial"/>
          <w:sz w:val="24"/>
          <w:szCs w:val="24"/>
        </w:rPr>
        <w:t>, pp.63-82)</w:t>
      </w:r>
      <w:r w:rsidRPr="00B9184B">
        <w:rPr>
          <w:rFonts w:ascii="Arial" w:hAnsi="Arial" w:cs="Arial"/>
          <w:sz w:val="24"/>
          <w:szCs w:val="24"/>
        </w:rPr>
        <w:t>.</w:t>
      </w:r>
    </w:p>
    <w:p w14:paraId="047ECB83" w14:textId="77777777" w:rsidR="00151C48" w:rsidRPr="00B9184B" w:rsidRDefault="00151C48" w:rsidP="00151C48">
      <w:pPr>
        <w:spacing w:after="0" w:line="360" w:lineRule="auto"/>
        <w:jc w:val="both"/>
        <w:rPr>
          <w:rFonts w:ascii="Arial" w:hAnsi="Arial" w:cs="Arial"/>
          <w:sz w:val="24"/>
          <w:szCs w:val="24"/>
        </w:rPr>
      </w:pPr>
    </w:p>
    <w:p w14:paraId="0F520921" w14:textId="77777777" w:rsidR="00151C48" w:rsidRPr="00B9184B" w:rsidRDefault="00151C48" w:rsidP="00B9184B">
      <w:pPr>
        <w:spacing w:after="0" w:line="360" w:lineRule="auto"/>
        <w:jc w:val="both"/>
        <w:rPr>
          <w:rFonts w:ascii="Arial" w:hAnsi="Arial" w:cs="Arial"/>
          <w:sz w:val="24"/>
          <w:szCs w:val="24"/>
        </w:rPr>
      </w:pPr>
    </w:p>
    <w:p w14:paraId="5934F4BA" w14:textId="66BE7D85" w:rsidR="009644D7" w:rsidRPr="00B9184B" w:rsidRDefault="008E7C07" w:rsidP="00B9184B">
      <w:pPr>
        <w:spacing w:after="0" w:line="360" w:lineRule="auto"/>
        <w:jc w:val="both"/>
        <w:rPr>
          <w:rFonts w:ascii="Arial" w:hAnsi="Arial" w:cs="Arial"/>
          <w:sz w:val="24"/>
          <w:szCs w:val="24"/>
        </w:rPr>
      </w:pPr>
      <w:r w:rsidRPr="00B9184B">
        <w:rPr>
          <w:rFonts w:ascii="Arial" w:hAnsi="Arial" w:cs="Arial"/>
          <w:noProof/>
          <w:sz w:val="24"/>
          <w:szCs w:val="24"/>
        </w:rPr>
        <w:lastRenderedPageBreak/>
        <w:drawing>
          <wp:inline distT="0" distB="0" distL="0" distR="0" wp14:anchorId="764FDC63" wp14:editId="27619C86">
            <wp:extent cx="5722620" cy="445008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2620" cy="4450080"/>
                    </a:xfrm>
                    <a:prstGeom prst="rect">
                      <a:avLst/>
                    </a:prstGeom>
                    <a:noFill/>
                    <a:ln>
                      <a:noFill/>
                    </a:ln>
                  </pic:spPr>
                </pic:pic>
              </a:graphicData>
            </a:graphic>
          </wp:inline>
        </w:drawing>
      </w:r>
    </w:p>
    <w:p w14:paraId="5F9D772F" w14:textId="77777777" w:rsidR="009644D7" w:rsidRPr="00B9184B" w:rsidRDefault="009644D7" w:rsidP="00B9184B">
      <w:pPr>
        <w:spacing w:after="0" w:line="360" w:lineRule="auto"/>
        <w:jc w:val="both"/>
        <w:rPr>
          <w:rFonts w:ascii="Arial" w:hAnsi="Arial" w:cs="Arial"/>
          <w:sz w:val="24"/>
          <w:szCs w:val="24"/>
        </w:rPr>
      </w:pPr>
      <w:r w:rsidRPr="00B9184B">
        <w:rPr>
          <w:rFonts w:ascii="Arial" w:hAnsi="Arial" w:cs="Arial"/>
          <w:sz w:val="24"/>
          <w:szCs w:val="24"/>
        </w:rPr>
        <w:t>Fig.1</w:t>
      </w:r>
      <w:r w:rsidR="00F54F00">
        <w:rPr>
          <w:rFonts w:ascii="Arial" w:hAnsi="Arial" w:cs="Arial"/>
          <w:sz w:val="24"/>
          <w:szCs w:val="24"/>
        </w:rPr>
        <w:t xml:space="preserve">: </w:t>
      </w:r>
      <w:r w:rsidRPr="00B9184B">
        <w:rPr>
          <w:rFonts w:ascii="Arial" w:hAnsi="Arial" w:cs="Arial"/>
          <w:sz w:val="24"/>
          <w:szCs w:val="24"/>
        </w:rPr>
        <w:t>Example of a potentially flawed country classification based on the context concept</w:t>
      </w:r>
      <w:r w:rsidR="00F54F00">
        <w:rPr>
          <w:rFonts w:ascii="Arial" w:hAnsi="Arial" w:cs="Arial"/>
          <w:sz w:val="24"/>
          <w:szCs w:val="24"/>
        </w:rPr>
        <w:t xml:space="preserve"> </w:t>
      </w:r>
      <w:r w:rsidR="00BA1F72">
        <w:rPr>
          <w:rFonts w:ascii="Arial" w:hAnsi="Arial" w:cs="Arial"/>
          <w:sz w:val="24"/>
          <w:szCs w:val="24"/>
        </w:rPr>
        <w:t>(</w:t>
      </w:r>
      <w:r w:rsidR="00BA1F72" w:rsidRPr="00B9184B">
        <w:rPr>
          <w:rFonts w:ascii="Arial" w:hAnsi="Arial" w:cs="Arial"/>
          <w:sz w:val="24"/>
          <w:szCs w:val="24"/>
        </w:rPr>
        <w:t>Kittler</w:t>
      </w:r>
      <w:r w:rsidR="00BA1F72">
        <w:rPr>
          <w:rFonts w:ascii="Arial" w:hAnsi="Arial" w:cs="Arial"/>
          <w:sz w:val="24"/>
          <w:szCs w:val="24"/>
        </w:rPr>
        <w:t xml:space="preserve"> </w:t>
      </w:r>
      <w:r w:rsidR="00BA1F72" w:rsidRPr="00B9184B">
        <w:rPr>
          <w:rFonts w:ascii="Arial" w:hAnsi="Arial" w:cs="Arial"/>
          <w:i/>
          <w:iCs/>
          <w:sz w:val="24"/>
          <w:szCs w:val="24"/>
        </w:rPr>
        <w:t>et al.</w:t>
      </w:r>
      <w:r w:rsidR="00BA1F72">
        <w:rPr>
          <w:rFonts w:ascii="Arial" w:hAnsi="Arial" w:cs="Arial"/>
          <w:sz w:val="24"/>
          <w:szCs w:val="24"/>
        </w:rPr>
        <w:t xml:space="preserve"> </w:t>
      </w:r>
      <w:r w:rsidR="00BA1F72" w:rsidRPr="00B9184B">
        <w:rPr>
          <w:rFonts w:ascii="Arial" w:hAnsi="Arial" w:cs="Arial"/>
          <w:sz w:val="24"/>
          <w:szCs w:val="24"/>
        </w:rPr>
        <w:t>2011</w:t>
      </w:r>
      <w:r w:rsidR="00BA1F72">
        <w:rPr>
          <w:rFonts w:ascii="Arial" w:hAnsi="Arial" w:cs="Arial"/>
          <w:sz w:val="24"/>
          <w:szCs w:val="24"/>
        </w:rPr>
        <w:t>, p. 69)</w:t>
      </w:r>
      <w:r w:rsidR="00F54F00">
        <w:rPr>
          <w:rFonts w:ascii="Arial" w:hAnsi="Arial" w:cs="Arial"/>
          <w:sz w:val="24"/>
          <w:szCs w:val="24"/>
        </w:rPr>
        <w:t>.</w:t>
      </w:r>
    </w:p>
    <w:p w14:paraId="36F22A54" w14:textId="77777777" w:rsidR="009644D7" w:rsidRPr="00B9184B" w:rsidRDefault="009644D7" w:rsidP="00B9184B">
      <w:pPr>
        <w:spacing w:after="0" w:line="360" w:lineRule="auto"/>
        <w:jc w:val="both"/>
        <w:rPr>
          <w:rFonts w:ascii="Arial" w:hAnsi="Arial" w:cs="Arial"/>
          <w:sz w:val="24"/>
          <w:szCs w:val="24"/>
        </w:rPr>
      </w:pPr>
    </w:p>
    <w:p w14:paraId="034EB3B5" w14:textId="77777777" w:rsidR="007E530A" w:rsidRPr="00B9184B" w:rsidRDefault="007E530A" w:rsidP="00B9184B">
      <w:pPr>
        <w:spacing w:after="0" w:line="360" w:lineRule="auto"/>
        <w:jc w:val="both"/>
        <w:rPr>
          <w:rFonts w:ascii="Arial" w:hAnsi="Arial" w:cs="Arial"/>
          <w:sz w:val="24"/>
          <w:szCs w:val="24"/>
        </w:rPr>
      </w:pPr>
      <w:r w:rsidRPr="00B9184B">
        <w:rPr>
          <w:rFonts w:ascii="Arial" w:hAnsi="Arial" w:cs="Arial"/>
          <w:sz w:val="24"/>
          <w:szCs w:val="24"/>
        </w:rPr>
        <w:t xml:space="preserve">Hall’s theory on high- and low-context communication further elucidates the challenges faced by GSK and Takeda. </w:t>
      </w:r>
      <w:r w:rsidRPr="00453798">
        <w:rPr>
          <w:rFonts w:ascii="Arial" w:hAnsi="Arial" w:cs="Arial"/>
          <w:b/>
          <w:bCs/>
          <w:sz w:val="24"/>
          <w:szCs w:val="24"/>
        </w:rPr>
        <w:t>In low-context cultures like the UK</w:t>
      </w:r>
      <w:r w:rsidRPr="00B9184B">
        <w:rPr>
          <w:rFonts w:ascii="Arial" w:hAnsi="Arial" w:cs="Arial"/>
          <w:sz w:val="24"/>
          <w:szCs w:val="24"/>
        </w:rPr>
        <w:t>, communication is direct and explicit, with an expectation that messages will be clear and straightforward. GSK employees might interpret silence or vague responses from Takeda as agreement or approval, which can lead to frustration when actions do not align with expectations</w:t>
      </w:r>
      <w:r w:rsidR="00E04629">
        <w:rPr>
          <w:rFonts w:ascii="Arial" w:hAnsi="Arial" w:cs="Arial"/>
          <w:sz w:val="24"/>
          <w:szCs w:val="24"/>
        </w:rPr>
        <w:t xml:space="preserve"> (</w:t>
      </w:r>
      <w:r w:rsidRPr="00E04629">
        <w:rPr>
          <w:rFonts w:ascii="Arial" w:hAnsi="Arial" w:cs="Arial"/>
          <w:sz w:val="24"/>
          <w:szCs w:val="24"/>
        </w:rPr>
        <w:t>Brodbeck</w:t>
      </w:r>
      <w:r w:rsidR="00E04629" w:rsidRPr="00E04629">
        <w:rPr>
          <w:rFonts w:ascii="Arial" w:hAnsi="Arial" w:cs="Arial"/>
          <w:sz w:val="24"/>
          <w:szCs w:val="24"/>
        </w:rPr>
        <w:t xml:space="preserve"> </w:t>
      </w:r>
      <w:r w:rsidRPr="00E04629">
        <w:rPr>
          <w:rFonts w:ascii="Arial" w:hAnsi="Arial" w:cs="Arial"/>
          <w:sz w:val="24"/>
          <w:szCs w:val="24"/>
        </w:rPr>
        <w:t>et al</w:t>
      </w:r>
      <w:r w:rsidRPr="00B9184B">
        <w:rPr>
          <w:rFonts w:ascii="Arial" w:hAnsi="Arial" w:cs="Arial"/>
          <w:i/>
          <w:iCs/>
          <w:sz w:val="24"/>
          <w:szCs w:val="24"/>
        </w:rPr>
        <w:t>.</w:t>
      </w:r>
      <w:r w:rsidRPr="00B9184B">
        <w:rPr>
          <w:rFonts w:ascii="Arial" w:hAnsi="Arial" w:cs="Arial"/>
          <w:sz w:val="24"/>
          <w:szCs w:val="24"/>
        </w:rPr>
        <w:t> 2000</w:t>
      </w:r>
      <w:r w:rsidR="00E04629">
        <w:rPr>
          <w:rFonts w:ascii="Arial" w:hAnsi="Arial" w:cs="Arial"/>
          <w:sz w:val="24"/>
          <w:szCs w:val="24"/>
        </w:rPr>
        <w:t>, pp.1-29</w:t>
      </w:r>
      <w:r w:rsidRPr="00B9184B">
        <w:rPr>
          <w:rFonts w:ascii="Arial" w:hAnsi="Arial" w:cs="Arial"/>
          <w:sz w:val="24"/>
          <w:szCs w:val="24"/>
        </w:rPr>
        <w:t>)</w:t>
      </w:r>
      <w:r w:rsidR="00E04629">
        <w:rPr>
          <w:rFonts w:ascii="Arial" w:hAnsi="Arial" w:cs="Arial"/>
          <w:sz w:val="24"/>
          <w:szCs w:val="24"/>
        </w:rPr>
        <w:t>.</w:t>
      </w:r>
    </w:p>
    <w:p w14:paraId="7D50DC66" w14:textId="77777777" w:rsidR="007E530A" w:rsidRPr="00B9184B" w:rsidRDefault="007E530A" w:rsidP="00B9184B">
      <w:pPr>
        <w:spacing w:after="0" w:line="360" w:lineRule="auto"/>
        <w:jc w:val="both"/>
        <w:rPr>
          <w:rFonts w:ascii="Arial" w:hAnsi="Arial" w:cs="Arial"/>
          <w:sz w:val="24"/>
          <w:szCs w:val="24"/>
        </w:rPr>
      </w:pPr>
      <w:r w:rsidRPr="00B9184B">
        <w:rPr>
          <w:rFonts w:ascii="Arial" w:hAnsi="Arial" w:cs="Arial"/>
          <w:sz w:val="24"/>
          <w:szCs w:val="24"/>
        </w:rPr>
        <w:t>On the other hand, Takeda’s high-context communication style relies on contextual cues and implied meanings. A Takeda employee may use non-verbal gestures, pauses, or even silence to convey understanding or uncertainty. GSK team members, unfamiliar with these subtle cues, may misinterpret them as a lack of interest or engagement. This can lead to a disconnect in collaboration, where both teams feel misunderstood</w:t>
      </w:r>
      <w:r w:rsidR="0090485A">
        <w:rPr>
          <w:rFonts w:ascii="Arial" w:hAnsi="Arial" w:cs="Arial"/>
          <w:sz w:val="24"/>
          <w:szCs w:val="24"/>
        </w:rPr>
        <w:t xml:space="preserve"> (</w:t>
      </w:r>
      <w:r w:rsidRPr="00B9184B">
        <w:rPr>
          <w:rFonts w:ascii="Arial" w:hAnsi="Arial" w:cs="Arial"/>
          <w:sz w:val="24"/>
          <w:szCs w:val="24"/>
        </w:rPr>
        <w:t>An,</w:t>
      </w:r>
      <w:r w:rsidR="0090485A">
        <w:rPr>
          <w:rFonts w:ascii="Arial" w:hAnsi="Arial" w:cs="Arial"/>
          <w:sz w:val="24"/>
          <w:szCs w:val="24"/>
        </w:rPr>
        <w:t xml:space="preserve"> </w:t>
      </w:r>
      <w:r w:rsidRPr="00B9184B">
        <w:rPr>
          <w:rFonts w:ascii="Arial" w:hAnsi="Arial" w:cs="Arial"/>
          <w:sz w:val="24"/>
          <w:szCs w:val="24"/>
        </w:rPr>
        <w:t>2007</w:t>
      </w:r>
      <w:r w:rsidR="0090485A">
        <w:rPr>
          <w:rFonts w:ascii="Arial" w:hAnsi="Arial" w:cs="Arial"/>
          <w:sz w:val="24"/>
          <w:szCs w:val="24"/>
        </w:rPr>
        <w:t>, pp.303-332</w:t>
      </w:r>
      <w:r w:rsidRPr="00B9184B">
        <w:rPr>
          <w:rFonts w:ascii="Arial" w:hAnsi="Arial" w:cs="Arial"/>
          <w:sz w:val="24"/>
          <w:szCs w:val="24"/>
        </w:rPr>
        <w:t>)</w:t>
      </w:r>
      <w:r w:rsidR="0090485A">
        <w:rPr>
          <w:rFonts w:ascii="Arial" w:hAnsi="Arial" w:cs="Arial"/>
          <w:sz w:val="24"/>
          <w:szCs w:val="24"/>
        </w:rPr>
        <w:t>.</w:t>
      </w:r>
    </w:p>
    <w:p w14:paraId="2224375C" w14:textId="77777777" w:rsidR="007E530A" w:rsidRPr="00B9184B" w:rsidRDefault="007E530A" w:rsidP="00B9184B">
      <w:pPr>
        <w:spacing w:after="0" w:line="360" w:lineRule="auto"/>
        <w:jc w:val="both"/>
        <w:rPr>
          <w:rFonts w:ascii="Arial" w:hAnsi="Arial" w:cs="Arial"/>
          <w:sz w:val="24"/>
          <w:szCs w:val="24"/>
        </w:rPr>
      </w:pPr>
    </w:p>
    <w:p w14:paraId="626C8A07" w14:textId="77777777" w:rsidR="007E530A" w:rsidRPr="00B9184B" w:rsidRDefault="00B905CB" w:rsidP="00B9184B">
      <w:pPr>
        <w:spacing w:after="0" w:line="360" w:lineRule="auto"/>
        <w:jc w:val="both"/>
        <w:rPr>
          <w:rFonts w:ascii="Arial" w:hAnsi="Arial" w:cs="Arial"/>
          <w:sz w:val="24"/>
          <w:szCs w:val="24"/>
        </w:rPr>
      </w:pPr>
      <w:r w:rsidRPr="00B9184B">
        <w:rPr>
          <w:rFonts w:ascii="Arial" w:hAnsi="Arial" w:cs="Arial"/>
          <w:sz w:val="24"/>
          <w:szCs w:val="24"/>
        </w:rPr>
        <w:lastRenderedPageBreak/>
        <w:t>GSK’s corporate communication style reflects British cultural values of clarity and directness, promoting an open, low-context environment where employees are encouraged to express themselves clearly</w:t>
      </w:r>
      <w:r w:rsidR="00C00D61">
        <w:rPr>
          <w:rFonts w:ascii="Arial" w:hAnsi="Arial" w:cs="Arial"/>
          <w:sz w:val="24"/>
          <w:szCs w:val="24"/>
        </w:rPr>
        <w:t xml:space="preserve"> (GSK, 2024)</w:t>
      </w:r>
      <w:r w:rsidRPr="00B9184B">
        <w:rPr>
          <w:rFonts w:ascii="Arial" w:hAnsi="Arial" w:cs="Arial"/>
          <w:sz w:val="24"/>
          <w:szCs w:val="24"/>
        </w:rPr>
        <w:t>. This straightforward approach is beneficial in the pharmaceutical industry, where unambiguous communication supports patient safety and regulatory compliance. However, while it enhances efficiency and accountability, colleagues from high-context cultures, such as Japan, may find this style overly blunt or aggressive</w:t>
      </w:r>
      <w:r w:rsidR="00C00D61">
        <w:rPr>
          <w:rFonts w:ascii="Arial" w:hAnsi="Arial" w:cs="Arial"/>
          <w:sz w:val="24"/>
          <w:szCs w:val="24"/>
        </w:rPr>
        <w:t>.</w:t>
      </w:r>
    </w:p>
    <w:p w14:paraId="78F824ED" w14:textId="77777777" w:rsidR="00B905CB" w:rsidRPr="00B9184B" w:rsidRDefault="00B905CB" w:rsidP="00B9184B">
      <w:pPr>
        <w:spacing w:after="0" w:line="360" w:lineRule="auto"/>
        <w:jc w:val="both"/>
        <w:rPr>
          <w:rFonts w:ascii="Arial" w:hAnsi="Arial" w:cs="Arial"/>
          <w:sz w:val="24"/>
          <w:szCs w:val="24"/>
        </w:rPr>
      </w:pPr>
      <w:r w:rsidRPr="00B9184B">
        <w:rPr>
          <w:rFonts w:ascii="Arial" w:hAnsi="Arial" w:cs="Arial"/>
          <w:sz w:val="24"/>
          <w:szCs w:val="24"/>
        </w:rPr>
        <w:t>GlaxoSmithKline (GSK) emphasizes authenticity, transparency, and integrity in its corporate culture, prioritizing open communication, trust, and talent development. By setting clear goals, encouraging feedback, and aligning employees with its long-term vision, GSK fosters a motivating and inclusive environment. This approach supports sustainable growth, innovation, and a shared purpose, which have been central to GSK's global impact and success in healthcare</w:t>
      </w:r>
      <w:r w:rsidR="00C00D61">
        <w:rPr>
          <w:rFonts w:ascii="Arial" w:hAnsi="Arial" w:cs="Arial"/>
          <w:sz w:val="24"/>
          <w:szCs w:val="24"/>
        </w:rPr>
        <w:t xml:space="preserve"> (Hidayat, 2024).</w:t>
      </w:r>
      <w:r w:rsidR="00C00D61" w:rsidRPr="00B9184B">
        <w:rPr>
          <w:rFonts w:ascii="Arial" w:hAnsi="Arial" w:cs="Arial"/>
          <w:sz w:val="24"/>
          <w:szCs w:val="24"/>
        </w:rPr>
        <w:t xml:space="preserve"> </w:t>
      </w:r>
    </w:p>
    <w:p w14:paraId="62AD9800" w14:textId="77777777" w:rsidR="00C00D61" w:rsidRPr="00B9184B" w:rsidRDefault="00C00D61" w:rsidP="00B9184B">
      <w:pPr>
        <w:spacing w:after="0" w:line="360" w:lineRule="auto"/>
        <w:jc w:val="both"/>
        <w:rPr>
          <w:rFonts w:ascii="Arial" w:hAnsi="Arial" w:cs="Arial"/>
          <w:sz w:val="24"/>
          <w:szCs w:val="24"/>
        </w:rPr>
      </w:pPr>
    </w:p>
    <w:p w14:paraId="38AD143D" w14:textId="77777777" w:rsidR="00452B17" w:rsidRPr="009458F4" w:rsidRDefault="00452B17" w:rsidP="00B9184B">
      <w:pPr>
        <w:spacing w:after="0" w:line="360" w:lineRule="auto"/>
        <w:jc w:val="both"/>
        <w:rPr>
          <w:rFonts w:ascii="Arial" w:hAnsi="Arial" w:cs="Arial"/>
          <w:sz w:val="24"/>
          <w:szCs w:val="24"/>
        </w:rPr>
      </w:pPr>
      <w:r w:rsidRPr="00453798">
        <w:rPr>
          <w:rFonts w:ascii="Arial" w:hAnsi="Arial" w:cs="Arial"/>
          <w:b/>
          <w:bCs/>
          <w:sz w:val="24"/>
          <w:szCs w:val="24"/>
        </w:rPr>
        <w:t>In Japanese business contexts</w:t>
      </w:r>
      <w:r w:rsidRPr="00B9184B">
        <w:rPr>
          <w:rFonts w:ascii="Arial" w:hAnsi="Arial" w:cs="Arial"/>
          <w:sz w:val="24"/>
          <w:szCs w:val="24"/>
        </w:rPr>
        <w:t>, communication is often high context, meaning that much of the message is conveyed through non-verbal cues and shared understanding rather than explicit statements. This can create a rich tapestry of meaning but also lead to potential misinterpretations</w:t>
      </w:r>
      <w:r w:rsidR="009458F4">
        <w:rPr>
          <w:rFonts w:ascii="Arial" w:hAnsi="Arial" w:cs="Arial"/>
          <w:sz w:val="24"/>
          <w:szCs w:val="24"/>
        </w:rPr>
        <w:t xml:space="preserve"> (Zijun et al. 2024, pp.60-72)</w:t>
      </w:r>
      <w:r w:rsidRPr="00B9184B">
        <w:rPr>
          <w:rFonts w:ascii="Arial" w:hAnsi="Arial" w:cs="Arial"/>
          <w:sz w:val="24"/>
          <w:szCs w:val="24"/>
        </w:rPr>
        <w:t>.</w:t>
      </w:r>
    </w:p>
    <w:p w14:paraId="62EE32A3" w14:textId="77777777" w:rsidR="00452B17" w:rsidRPr="00452B17" w:rsidRDefault="00452B17" w:rsidP="00B9184B">
      <w:pPr>
        <w:spacing w:after="0" w:line="360" w:lineRule="auto"/>
        <w:jc w:val="both"/>
        <w:rPr>
          <w:rFonts w:ascii="Arial" w:hAnsi="Arial" w:cs="Arial"/>
          <w:sz w:val="24"/>
          <w:szCs w:val="24"/>
        </w:rPr>
      </w:pPr>
      <w:r w:rsidRPr="00452B17">
        <w:rPr>
          <w:rFonts w:ascii="Arial" w:hAnsi="Arial" w:cs="Arial"/>
          <w:sz w:val="24"/>
          <w:szCs w:val="24"/>
        </w:rPr>
        <w:t>In collaborative projects, Takeda employees might use polite, indirect phrases like “we will consider this,” which, while respectful, can be misinterpreted by GSK colleagues as agreement rather than hesitation or the need for further discussion. This indirect communication style reflects Japanese cultural values of harmony and conflict avoidance, which may lead to misunderstandings for GSK’s more direct communication style.</w:t>
      </w:r>
    </w:p>
    <w:p w14:paraId="6719862E" w14:textId="77777777" w:rsidR="00452B17" w:rsidRDefault="00452B17" w:rsidP="00B9184B">
      <w:pPr>
        <w:spacing w:after="0" w:line="360" w:lineRule="auto"/>
        <w:jc w:val="both"/>
        <w:rPr>
          <w:rFonts w:ascii="Arial" w:hAnsi="Arial" w:cs="Arial"/>
          <w:sz w:val="24"/>
          <w:szCs w:val="24"/>
        </w:rPr>
      </w:pPr>
      <w:r w:rsidRPr="00452B17">
        <w:rPr>
          <w:rFonts w:ascii="Arial" w:hAnsi="Arial" w:cs="Arial"/>
          <w:sz w:val="24"/>
          <w:szCs w:val="24"/>
        </w:rPr>
        <w:t>Christophe Weber, Takeda’s CEO with over 20 years at GSK, is well-positioned to bridge these cultural differences. His experience enables him to promote effective communication within Takeda by balancing local sensibilities with a global approach, emphasizing the importance of cultural flexibility in multinational collaborations</w:t>
      </w:r>
      <w:r w:rsidR="00453798">
        <w:rPr>
          <w:rFonts w:ascii="Arial" w:hAnsi="Arial" w:cs="Arial"/>
          <w:sz w:val="24"/>
          <w:szCs w:val="24"/>
        </w:rPr>
        <w:t xml:space="preserve"> (McKinsey, 2020)</w:t>
      </w:r>
      <w:r w:rsidRPr="00452B17">
        <w:rPr>
          <w:rFonts w:ascii="Arial" w:hAnsi="Arial" w:cs="Arial"/>
          <w:sz w:val="24"/>
          <w:szCs w:val="24"/>
        </w:rPr>
        <w:t>.</w:t>
      </w:r>
    </w:p>
    <w:p w14:paraId="593D9349" w14:textId="77777777" w:rsidR="00CF631A" w:rsidRDefault="00CF631A" w:rsidP="00B9184B">
      <w:pPr>
        <w:spacing w:after="0" w:line="360" w:lineRule="auto"/>
        <w:jc w:val="both"/>
        <w:rPr>
          <w:rFonts w:ascii="Arial" w:hAnsi="Arial" w:cs="Arial"/>
          <w:sz w:val="24"/>
          <w:szCs w:val="24"/>
        </w:rPr>
      </w:pPr>
    </w:p>
    <w:p w14:paraId="2A484C09" w14:textId="77777777" w:rsidR="00CF631A" w:rsidRDefault="00CF631A" w:rsidP="00B9184B">
      <w:pPr>
        <w:spacing w:after="0" w:line="360" w:lineRule="auto"/>
        <w:jc w:val="both"/>
        <w:rPr>
          <w:rFonts w:ascii="Arial" w:hAnsi="Arial" w:cs="Arial"/>
          <w:sz w:val="24"/>
          <w:szCs w:val="24"/>
        </w:rPr>
      </w:pPr>
    </w:p>
    <w:p w14:paraId="3299BA0E" w14:textId="77777777" w:rsidR="00CF631A" w:rsidRDefault="00CF631A" w:rsidP="00B9184B">
      <w:pPr>
        <w:spacing w:after="0" w:line="360" w:lineRule="auto"/>
        <w:jc w:val="both"/>
        <w:rPr>
          <w:rFonts w:ascii="Arial" w:hAnsi="Arial" w:cs="Arial"/>
          <w:sz w:val="24"/>
          <w:szCs w:val="24"/>
        </w:rPr>
      </w:pPr>
    </w:p>
    <w:p w14:paraId="4E837B2F" w14:textId="77777777" w:rsidR="006850B9" w:rsidRDefault="006850B9" w:rsidP="00B9184B">
      <w:pPr>
        <w:spacing w:after="0" w:line="360" w:lineRule="auto"/>
        <w:jc w:val="both"/>
        <w:rPr>
          <w:rFonts w:ascii="Arial" w:hAnsi="Arial" w:cs="Arial"/>
          <w:sz w:val="24"/>
          <w:szCs w:val="24"/>
        </w:rPr>
      </w:pPr>
    </w:p>
    <w:p w14:paraId="25199A95" w14:textId="77777777" w:rsidR="00CF631A" w:rsidRPr="00CF631A" w:rsidRDefault="00CF631A" w:rsidP="00CF631A">
      <w:pPr>
        <w:numPr>
          <w:ilvl w:val="0"/>
          <w:numId w:val="5"/>
        </w:numPr>
        <w:spacing w:after="0" w:line="360" w:lineRule="auto"/>
        <w:jc w:val="both"/>
        <w:rPr>
          <w:rFonts w:ascii="Arial" w:hAnsi="Arial" w:cs="Arial"/>
          <w:b/>
          <w:bCs/>
          <w:sz w:val="28"/>
          <w:szCs w:val="28"/>
        </w:rPr>
      </w:pPr>
      <w:r w:rsidRPr="00CF631A">
        <w:rPr>
          <w:rFonts w:ascii="Arial" w:hAnsi="Arial" w:cs="Arial"/>
          <w:b/>
          <w:bCs/>
          <w:sz w:val="28"/>
          <w:szCs w:val="28"/>
        </w:rPr>
        <w:lastRenderedPageBreak/>
        <w:t xml:space="preserve">Hofstede’s </w:t>
      </w:r>
      <w:r w:rsidR="00DF192F">
        <w:rPr>
          <w:rFonts w:ascii="Arial" w:hAnsi="Arial" w:cs="Arial"/>
          <w:b/>
          <w:bCs/>
          <w:sz w:val="28"/>
          <w:szCs w:val="28"/>
        </w:rPr>
        <w:t>c</w:t>
      </w:r>
      <w:r w:rsidRPr="00CF631A">
        <w:rPr>
          <w:rFonts w:ascii="Arial" w:hAnsi="Arial" w:cs="Arial"/>
          <w:b/>
          <w:bCs/>
          <w:sz w:val="28"/>
          <w:szCs w:val="28"/>
        </w:rPr>
        <w:t xml:space="preserve">ultural </w:t>
      </w:r>
      <w:r w:rsidR="00DF192F">
        <w:rPr>
          <w:rFonts w:ascii="Arial" w:hAnsi="Arial" w:cs="Arial"/>
          <w:b/>
          <w:bCs/>
          <w:sz w:val="28"/>
          <w:szCs w:val="28"/>
        </w:rPr>
        <w:t>d</w:t>
      </w:r>
      <w:r w:rsidRPr="00CF631A">
        <w:rPr>
          <w:rFonts w:ascii="Arial" w:hAnsi="Arial" w:cs="Arial"/>
          <w:b/>
          <w:bCs/>
          <w:sz w:val="28"/>
          <w:szCs w:val="28"/>
        </w:rPr>
        <w:t>imensions</w:t>
      </w:r>
    </w:p>
    <w:p w14:paraId="624C1E2B" w14:textId="77777777" w:rsidR="00CF631A" w:rsidRPr="00452B17" w:rsidRDefault="00CF631A" w:rsidP="00B9184B">
      <w:pPr>
        <w:spacing w:after="0" w:line="360" w:lineRule="auto"/>
        <w:jc w:val="both"/>
        <w:rPr>
          <w:rFonts w:ascii="Arial" w:hAnsi="Arial" w:cs="Arial"/>
          <w:sz w:val="24"/>
          <w:szCs w:val="24"/>
        </w:rPr>
      </w:pPr>
    </w:p>
    <w:p w14:paraId="1D2E41DF" w14:textId="77777777" w:rsidR="005B1DDA" w:rsidRDefault="005B1DDA" w:rsidP="00B9184B">
      <w:pPr>
        <w:spacing w:after="0" w:line="360" w:lineRule="auto"/>
        <w:jc w:val="both"/>
        <w:rPr>
          <w:rFonts w:ascii="Arial" w:hAnsi="Arial" w:cs="Arial"/>
          <w:sz w:val="24"/>
          <w:szCs w:val="24"/>
        </w:rPr>
      </w:pPr>
    </w:p>
    <w:p w14:paraId="12A1D138" w14:textId="77777777" w:rsidR="005B1DDA" w:rsidRPr="00B9184B" w:rsidRDefault="005B1DDA" w:rsidP="00B9184B">
      <w:pPr>
        <w:spacing w:after="0" w:line="360" w:lineRule="auto"/>
        <w:jc w:val="both"/>
        <w:rPr>
          <w:rFonts w:ascii="Arial" w:hAnsi="Arial" w:cs="Arial"/>
          <w:sz w:val="24"/>
          <w:szCs w:val="24"/>
        </w:rPr>
      </w:pPr>
    </w:p>
    <w:p w14:paraId="64E41693" w14:textId="31EF67C1" w:rsidR="003B120C" w:rsidRPr="00B9184B" w:rsidRDefault="008E7C07" w:rsidP="00B9184B">
      <w:pPr>
        <w:spacing w:after="0" w:line="360" w:lineRule="auto"/>
        <w:jc w:val="both"/>
        <w:rPr>
          <w:rFonts w:ascii="Arial" w:hAnsi="Arial" w:cs="Arial"/>
          <w:sz w:val="24"/>
          <w:szCs w:val="24"/>
        </w:rPr>
      </w:pPr>
      <w:r w:rsidRPr="00B9184B">
        <w:rPr>
          <w:rFonts w:ascii="Arial" w:hAnsi="Arial" w:cs="Arial"/>
          <w:noProof/>
          <w:sz w:val="24"/>
          <w:szCs w:val="24"/>
        </w:rPr>
        <w:drawing>
          <wp:inline distT="0" distB="0" distL="0" distR="0" wp14:anchorId="70C6C696" wp14:editId="2C56779D">
            <wp:extent cx="5730240" cy="282702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240" cy="2827020"/>
                    </a:xfrm>
                    <a:prstGeom prst="rect">
                      <a:avLst/>
                    </a:prstGeom>
                    <a:noFill/>
                    <a:ln>
                      <a:noFill/>
                    </a:ln>
                  </pic:spPr>
                </pic:pic>
              </a:graphicData>
            </a:graphic>
          </wp:inline>
        </w:drawing>
      </w:r>
    </w:p>
    <w:p w14:paraId="1D42FF50" w14:textId="77777777" w:rsidR="00CF631A" w:rsidRDefault="00CF631A" w:rsidP="00CF631A">
      <w:pPr>
        <w:spacing w:after="0" w:line="360" w:lineRule="auto"/>
        <w:jc w:val="right"/>
        <w:rPr>
          <w:rFonts w:ascii="Arial" w:hAnsi="Arial" w:cs="Arial"/>
          <w:sz w:val="24"/>
          <w:szCs w:val="24"/>
        </w:rPr>
      </w:pPr>
      <w:r>
        <w:rPr>
          <w:rFonts w:ascii="Arial" w:hAnsi="Arial" w:cs="Arial"/>
          <w:sz w:val="24"/>
          <w:szCs w:val="24"/>
        </w:rPr>
        <w:t>(The Culture Factor Group, 2024)</w:t>
      </w:r>
    </w:p>
    <w:p w14:paraId="2E4967D8" w14:textId="77777777" w:rsidR="003B120C" w:rsidRPr="00B9184B" w:rsidRDefault="003B120C" w:rsidP="00CF631A">
      <w:pPr>
        <w:spacing w:after="0" w:line="360" w:lineRule="auto"/>
        <w:jc w:val="both"/>
        <w:rPr>
          <w:rFonts w:ascii="Arial" w:hAnsi="Arial" w:cs="Arial"/>
          <w:sz w:val="24"/>
          <w:szCs w:val="24"/>
        </w:rPr>
      </w:pPr>
    </w:p>
    <w:p w14:paraId="5121A3C2" w14:textId="77777777" w:rsidR="003B120C" w:rsidRPr="00B9184B" w:rsidRDefault="003B120C" w:rsidP="00B9184B">
      <w:pPr>
        <w:spacing w:after="0" w:line="360" w:lineRule="auto"/>
        <w:jc w:val="both"/>
        <w:rPr>
          <w:rFonts w:ascii="Arial" w:hAnsi="Arial" w:cs="Arial"/>
          <w:sz w:val="24"/>
          <w:szCs w:val="24"/>
        </w:rPr>
      </w:pPr>
    </w:p>
    <w:p w14:paraId="12941E99" w14:textId="77777777" w:rsidR="003B120C" w:rsidRPr="00B9184B" w:rsidRDefault="003B120C" w:rsidP="00B9184B">
      <w:pPr>
        <w:spacing w:after="0" w:line="360" w:lineRule="auto"/>
        <w:jc w:val="both"/>
        <w:rPr>
          <w:rFonts w:ascii="Arial" w:hAnsi="Arial" w:cs="Arial"/>
          <w:sz w:val="24"/>
          <w:szCs w:val="24"/>
        </w:rPr>
      </w:pPr>
    </w:p>
    <w:p w14:paraId="5766943E" w14:textId="77777777" w:rsidR="003B120C" w:rsidRPr="003B120C" w:rsidRDefault="003B120C" w:rsidP="00B9184B">
      <w:pPr>
        <w:spacing w:after="0" w:line="360" w:lineRule="auto"/>
        <w:jc w:val="both"/>
        <w:rPr>
          <w:rFonts w:ascii="Arial" w:hAnsi="Arial" w:cs="Arial"/>
          <w:sz w:val="24"/>
          <w:szCs w:val="24"/>
        </w:rPr>
      </w:pPr>
      <w:r w:rsidRPr="003B120C">
        <w:rPr>
          <w:rFonts w:ascii="Arial" w:hAnsi="Arial" w:cs="Arial"/>
          <w:sz w:val="24"/>
          <w:szCs w:val="24"/>
        </w:rPr>
        <w:t>Hofstede’s cultural dimensions highlight key differences between GSK and Takeda’s communication and work styles</w:t>
      </w:r>
      <w:r w:rsidR="00037296">
        <w:rPr>
          <w:rFonts w:ascii="Arial" w:hAnsi="Arial" w:cs="Arial"/>
          <w:sz w:val="24"/>
          <w:szCs w:val="24"/>
        </w:rPr>
        <w:t>.</w:t>
      </w:r>
    </w:p>
    <w:p w14:paraId="1552055D" w14:textId="77777777" w:rsidR="00037296" w:rsidRDefault="003B120C" w:rsidP="00037296">
      <w:pPr>
        <w:spacing w:after="0" w:line="360" w:lineRule="auto"/>
        <w:jc w:val="both"/>
        <w:rPr>
          <w:rFonts w:ascii="Arial" w:hAnsi="Arial" w:cs="Arial"/>
          <w:sz w:val="24"/>
          <w:szCs w:val="24"/>
        </w:rPr>
      </w:pPr>
      <w:r w:rsidRPr="003B120C">
        <w:rPr>
          <w:rFonts w:ascii="Arial" w:hAnsi="Arial" w:cs="Arial"/>
          <w:sz w:val="24"/>
          <w:szCs w:val="24"/>
        </w:rPr>
        <w:t xml:space="preserve">Japan’s high </w:t>
      </w:r>
      <w:r w:rsidRPr="00037296">
        <w:rPr>
          <w:rFonts w:ascii="Arial" w:hAnsi="Arial" w:cs="Arial"/>
          <w:b/>
          <w:bCs/>
          <w:sz w:val="24"/>
          <w:szCs w:val="24"/>
        </w:rPr>
        <w:t>power distance</w:t>
      </w:r>
      <w:r w:rsidRPr="003B120C">
        <w:rPr>
          <w:rFonts w:ascii="Arial" w:hAnsi="Arial" w:cs="Arial"/>
          <w:sz w:val="24"/>
          <w:szCs w:val="24"/>
        </w:rPr>
        <w:t xml:space="preserve"> fosters hierarchy and deference at Takeda, where employees may hesitate to voice opinions before senior leaders, contrasting with GSK’s low power distance, which encourages open, egalitarian dialogue.</w:t>
      </w:r>
    </w:p>
    <w:p w14:paraId="06A47769" w14:textId="77777777" w:rsidR="003B120C" w:rsidRPr="003B120C" w:rsidRDefault="003B120C" w:rsidP="00037296">
      <w:pPr>
        <w:spacing w:after="0" w:line="360" w:lineRule="auto"/>
        <w:jc w:val="both"/>
        <w:rPr>
          <w:rFonts w:ascii="Arial" w:hAnsi="Arial" w:cs="Arial"/>
          <w:sz w:val="24"/>
          <w:szCs w:val="24"/>
        </w:rPr>
      </w:pPr>
      <w:r w:rsidRPr="003B120C">
        <w:rPr>
          <w:rFonts w:ascii="Arial" w:hAnsi="Arial" w:cs="Arial"/>
          <w:sz w:val="24"/>
          <w:szCs w:val="24"/>
        </w:rPr>
        <w:t xml:space="preserve">The UK’s </w:t>
      </w:r>
      <w:r w:rsidRPr="00037296">
        <w:rPr>
          <w:rFonts w:ascii="Arial" w:hAnsi="Arial" w:cs="Arial"/>
          <w:b/>
          <w:bCs/>
          <w:sz w:val="24"/>
          <w:szCs w:val="24"/>
        </w:rPr>
        <w:t>individualism</w:t>
      </w:r>
      <w:r w:rsidRPr="003B120C">
        <w:rPr>
          <w:rFonts w:ascii="Arial" w:hAnsi="Arial" w:cs="Arial"/>
          <w:sz w:val="24"/>
          <w:szCs w:val="24"/>
        </w:rPr>
        <w:t xml:space="preserve"> promotes personal initiative and accountability at GSK, while Japan’s </w:t>
      </w:r>
      <w:r w:rsidRPr="00037296">
        <w:rPr>
          <w:rFonts w:ascii="Arial" w:hAnsi="Arial" w:cs="Arial"/>
          <w:b/>
          <w:bCs/>
          <w:sz w:val="24"/>
          <w:szCs w:val="24"/>
        </w:rPr>
        <w:t>collectivism</w:t>
      </w:r>
      <w:r w:rsidRPr="003B120C">
        <w:rPr>
          <w:rFonts w:ascii="Arial" w:hAnsi="Arial" w:cs="Arial"/>
          <w:sz w:val="24"/>
          <w:szCs w:val="24"/>
        </w:rPr>
        <w:t xml:space="preserve"> emphasizes group harmony, making Takeda employees more reserved and focused on group consensus.</w:t>
      </w:r>
    </w:p>
    <w:p w14:paraId="6E85BA94" w14:textId="77777777" w:rsidR="003B120C" w:rsidRPr="003B120C" w:rsidRDefault="003B120C" w:rsidP="00037296">
      <w:pPr>
        <w:spacing w:after="0" w:line="360" w:lineRule="auto"/>
        <w:jc w:val="both"/>
        <w:rPr>
          <w:rFonts w:ascii="Arial" w:hAnsi="Arial" w:cs="Arial"/>
          <w:sz w:val="24"/>
          <w:szCs w:val="24"/>
        </w:rPr>
      </w:pPr>
      <w:r w:rsidRPr="003B120C">
        <w:rPr>
          <w:rFonts w:ascii="Arial" w:hAnsi="Arial" w:cs="Arial"/>
          <w:sz w:val="24"/>
          <w:szCs w:val="24"/>
        </w:rPr>
        <w:t xml:space="preserve">Japan’s strong </w:t>
      </w:r>
      <w:r w:rsidRPr="00037296">
        <w:rPr>
          <w:rFonts w:ascii="Arial" w:hAnsi="Arial" w:cs="Arial"/>
          <w:b/>
          <w:bCs/>
          <w:sz w:val="24"/>
          <w:szCs w:val="24"/>
        </w:rPr>
        <w:t>achievement</w:t>
      </w:r>
      <w:r w:rsidRPr="003B120C">
        <w:rPr>
          <w:rFonts w:ascii="Arial" w:hAnsi="Arial" w:cs="Arial"/>
          <w:sz w:val="24"/>
          <w:szCs w:val="24"/>
        </w:rPr>
        <w:t xml:space="preserve"> orientation values group success, long hours, and perfectionism, whereas the UK, while achievement-oriented, emphasizes individual success with a better work-life balance.</w:t>
      </w:r>
    </w:p>
    <w:p w14:paraId="1B53ABE4" w14:textId="77777777" w:rsidR="003B120C" w:rsidRPr="003B120C" w:rsidRDefault="003B120C" w:rsidP="00037296">
      <w:pPr>
        <w:spacing w:after="0" w:line="360" w:lineRule="auto"/>
        <w:jc w:val="both"/>
        <w:rPr>
          <w:rFonts w:ascii="Arial" w:hAnsi="Arial" w:cs="Arial"/>
          <w:sz w:val="24"/>
          <w:szCs w:val="24"/>
        </w:rPr>
      </w:pPr>
      <w:r w:rsidRPr="003B120C">
        <w:rPr>
          <w:rFonts w:ascii="Arial" w:hAnsi="Arial" w:cs="Arial"/>
          <w:sz w:val="24"/>
          <w:szCs w:val="24"/>
        </w:rPr>
        <w:t xml:space="preserve">Japan’s high </w:t>
      </w:r>
      <w:r w:rsidRPr="00037296">
        <w:rPr>
          <w:rFonts w:ascii="Arial" w:hAnsi="Arial" w:cs="Arial"/>
          <w:b/>
          <w:bCs/>
          <w:sz w:val="24"/>
          <w:szCs w:val="24"/>
        </w:rPr>
        <w:t>uncertainty avoidance</w:t>
      </w:r>
      <w:r w:rsidRPr="003B120C">
        <w:rPr>
          <w:rFonts w:ascii="Arial" w:hAnsi="Arial" w:cs="Arial"/>
          <w:sz w:val="24"/>
          <w:szCs w:val="24"/>
        </w:rPr>
        <w:t xml:space="preserve"> means Takeda prefers stable, detailed planning, while GSK’s moderate approach </w:t>
      </w:r>
      <w:r w:rsidRPr="00B9184B">
        <w:rPr>
          <w:rFonts w:ascii="Arial" w:hAnsi="Arial" w:cs="Arial"/>
          <w:sz w:val="24"/>
          <w:szCs w:val="24"/>
        </w:rPr>
        <w:t>favours</w:t>
      </w:r>
      <w:r w:rsidRPr="003B120C">
        <w:rPr>
          <w:rFonts w:ascii="Arial" w:hAnsi="Arial" w:cs="Arial"/>
          <w:sz w:val="24"/>
          <w:szCs w:val="24"/>
        </w:rPr>
        <w:t xml:space="preserve"> flexibility and adaptability, leading to potential friction over speed and risk tolerance in projects.</w:t>
      </w:r>
    </w:p>
    <w:p w14:paraId="73F6017F" w14:textId="77777777" w:rsidR="003B120C" w:rsidRPr="003B120C" w:rsidRDefault="003B120C" w:rsidP="00037296">
      <w:pPr>
        <w:spacing w:after="0" w:line="360" w:lineRule="auto"/>
        <w:jc w:val="both"/>
        <w:rPr>
          <w:rFonts w:ascii="Arial" w:hAnsi="Arial" w:cs="Arial"/>
          <w:sz w:val="24"/>
          <w:szCs w:val="24"/>
        </w:rPr>
      </w:pPr>
      <w:r w:rsidRPr="003B120C">
        <w:rPr>
          <w:rFonts w:ascii="Arial" w:hAnsi="Arial" w:cs="Arial"/>
          <w:sz w:val="24"/>
          <w:szCs w:val="24"/>
        </w:rPr>
        <w:lastRenderedPageBreak/>
        <w:t xml:space="preserve">Takeda’s </w:t>
      </w:r>
      <w:r w:rsidRPr="00037296">
        <w:rPr>
          <w:rFonts w:ascii="Arial" w:hAnsi="Arial" w:cs="Arial"/>
          <w:b/>
          <w:bCs/>
          <w:sz w:val="24"/>
          <w:szCs w:val="24"/>
        </w:rPr>
        <w:t>long-term orientation</w:t>
      </w:r>
      <w:r w:rsidRPr="003B120C">
        <w:rPr>
          <w:rFonts w:ascii="Arial" w:hAnsi="Arial" w:cs="Arial"/>
          <w:sz w:val="24"/>
          <w:szCs w:val="24"/>
        </w:rPr>
        <w:t xml:space="preserve"> </w:t>
      </w:r>
      <w:r w:rsidRPr="00B9184B">
        <w:rPr>
          <w:rFonts w:ascii="Arial" w:hAnsi="Arial" w:cs="Arial"/>
          <w:sz w:val="24"/>
          <w:szCs w:val="24"/>
        </w:rPr>
        <w:t>favours</w:t>
      </w:r>
      <w:r w:rsidRPr="003B120C">
        <w:rPr>
          <w:rFonts w:ascii="Arial" w:hAnsi="Arial" w:cs="Arial"/>
          <w:sz w:val="24"/>
          <w:szCs w:val="24"/>
        </w:rPr>
        <w:t xml:space="preserve"> relationship-building and future planning, whereas GSK focuses more on achieving </w:t>
      </w:r>
      <w:r w:rsidRPr="00037296">
        <w:rPr>
          <w:rFonts w:ascii="Arial" w:hAnsi="Arial" w:cs="Arial"/>
          <w:b/>
          <w:bCs/>
          <w:sz w:val="24"/>
          <w:szCs w:val="24"/>
        </w:rPr>
        <w:t>short-term results</w:t>
      </w:r>
      <w:r w:rsidRPr="003B120C">
        <w:rPr>
          <w:rFonts w:ascii="Arial" w:hAnsi="Arial" w:cs="Arial"/>
          <w:sz w:val="24"/>
          <w:szCs w:val="24"/>
        </w:rPr>
        <w:t>, impacting project timelines and expectations.</w:t>
      </w:r>
    </w:p>
    <w:p w14:paraId="3FA463C4" w14:textId="77777777" w:rsidR="003B120C" w:rsidRPr="003B120C" w:rsidRDefault="003B120C" w:rsidP="00037296">
      <w:pPr>
        <w:spacing w:after="0" w:line="360" w:lineRule="auto"/>
        <w:jc w:val="both"/>
        <w:rPr>
          <w:rFonts w:ascii="Arial" w:hAnsi="Arial" w:cs="Arial"/>
          <w:sz w:val="24"/>
          <w:szCs w:val="24"/>
        </w:rPr>
      </w:pPr>
      <w:r w:rsidRPr="003B120C">
        <w:rPr>
          <w:rFonts w:ascii="Arial" w:hAnsi="Arial" w:cs="Arial"/>
          <w:sz w:val="24"/>
          <w:szCs w:val="24"/>
        </w:rPr>
        <w:t xml:space="preserve">Japan’s restrained culture at Takeda values self-discipline over leisure, while GSK’s </w:t>
      </w:r>
      <w:r w:rsidRPr="00037296">
        <w:rPr>
          <w:rFonts w:ascii="Arial" w:hAnsi="Arial" w:cs="Arial"/>
          <w:b/>
          <w:bCs/>
          <w:sz w:val="24"/>
          <w:szCs w:val="24"/>
        </w:rPr>
        <w:t>indulgent</w:t>
      </w:r>
      <w:r w:rsidRPr="003B120C">
        <w:rPr>
          <w:rFonts w:ascii="Arial" w:hAnsi="Arial" w:cs="Arial"/>
          <w:sz w:val="24"/>
          <w:szCs w:val="24"/>
        </w:rPr>
        <w:t xml:space="preserve"> UK culture promotes work-life balance and personal enjoyment, reflecting a difference in workplace values.</w:t>
      </w:r>
    </w:p>
    <w:p w14:paraId="20942F25" w14:textId="77777777" w:rsidR="003B120C" w:rsidRPr="00B9184B" w:rsidRDefault="003B120C" w:rsidP="00B9184B">
      <w:pPr>
        <w:spacing w:after="0" w:line="360" w:lineRule="auto"/>
        <w:jc w:val="both"/>
        <w:rPr>
          <w:rFonts w:ascii="Arial" w:hAnsi="Arial" w:cs="Arial"/>
          <w:sz w:val="24"/>
          <w:szCs w:val="24"/>
        </w:rPr>
      </w:pPr>
      <w:r w:rsidRPr="003B120C">
        <w:rPr>
          <w:rFonts w:ascii="Arial" w:hAnsi="Arial" w:cs="Arial"/>
          <w:sz w:val="24"/>
          <w:szCs w:val="24"/>
        </w:rPr>
        <w:t>These cultural differences can create challenges in collaboration but provide insight into fostering mutual understanding and adapting communication styles.</w:t>
      </w:r>
    </w:p>
    <w:p w14:paraId="6FE16938" w14:textId="77777777" w:rsidR="003B120C" w:rsidRDefault="003B120C" w:rsidP="00B9184B">
      <w:pPr>
        <w:spacing w:after="0" w:line="360" w:lineRule="auto"/>
        <w:jc w:val="both"/>
        <w:rPr>
          <w:rFonts w:ascii="Arial" w:hAnsi="Arial" w:cs="Arial"/>
          <w:sz w:val="24"/>
          <w:szCs w:val="24"/>
        </w:rPr>
      </w:pPr>
    </w:p>
    <w:p w14:paraId="358E6DD3" w14:textId="77777777" w:rsidR="006850B9" w:rsidRDefault="006850B9" w:rsidP="00B9184B">
      <w:pPr>
        <w:spacing w:after="0" w:line="360" w:lineRule="auto"/>
        <w:jc w:val="both"/>
        <w:rPr>
          <w:rFonts w:ascii="Arial" w:hAnsi="Arial" w:cs="Arial"/>
          <w:sz w:val="24"/>
          <w:szCs w:val="24"/>
        </w:rPr>
      </w:pPr>
    </w:p>
    <w:p w14:paraId="34180175" w14:textId="77777777" w:rsidR="006850B9" w:rsidRDefault="006850B9" w:rsidP="00B9184B">
      <w:pPr>
        <w:spacing w:after="0" w:line="360" w:lineRule="auto"/>
        <w:jc w:val="both"/>
        <w:rPr>
          <w:rFonts w:ascii="Arial" w:hAnsi="Arial" w:cs="Arial"/>
          <w:sz w:val="24"/>
          <w:szCs w:val="24"/>
        </w:rPr>
      </w:pPr>
    </w:p>
    <w:p w14:paraId="17FCBC20" w14:textId="77777777" w:rsidR="006850B9" w:rsidRDefault="006850B9" w:rsidP="00B9184B">
      <w:pPr>
        <w:spacing w:after="0" w:line="360" w:lineRule="auto"/>
        <w:jc w:val="both"/>
        <w:rPr>
          <w:rFonts w:ascii="Arial" w:hAnsi="Arial" w:cs="Arial"/>
          <w:sz w:val="24"/>
          <w:szCs w:val="24"/>
        </w:rPr>
      </w:pPr>
    </w:p>
    <w:p w14:paraId="55C9CA33" w14:textId="77777777" w:rsidR="006850B9" w:rsidRDefault="006850B9" w:rsidP="00B9184B">
      <w:pPr>
        <w:spacing w:after="0" w:line="360" w:lineRule="auto"/>
        <w:jc w:val="both"/>
        <w:rPr>
          <w:rFonts w:ascii="Arial" w:hAnsi="Arial" w:cs="Arial"/>
          <w:sz w:val="24"/>
          <w:szCs w:val="24"/>
        </w:rPr>
      </w:pPr>
    </w:p>
    <w:p w14:paraId="395EF7AB" w14:textId="77777777" w:rsidR="006850B9" w:rsidRDefault="006850B9" w:rsidP="00B9184B">
      <w:pPr>
        <w:spacing w:after="0" w:line="360" w:lineRule="auto"/>
        <w:jc w:val="both"/>
        <w:rPr>
          <w:rFonts w:ascii="Arial" w:hAnsi="Arial" w:cs="Arial"/>
          <w:sz w:val="24"/>
          <w:szCs w:val="24"/>
        </w:rPr>
      </w:pPr>
    </w:p>
    <w:p w14:paraId="0B503F9A" w14:textId="77777777" w:rsidR="006850B9" w:rsidRDefault="006850B9" w:rsidP="00B9184B">
      <w:pPr>
        <w:spacing w:after="0" w:line="360" w:lineRule="auto"/>
        <w:jc w:val="both"/>
        <w:rPr>
          <w:rFonts w:ascii="Arial" w:hAnsi="Arial" w:cs="Arial"/>
          <w:sz w:val="24"/>
          <w:szCs w:val="24"/>
        </w:rPr>
      </w:pPr>
    </w:p>
    <w:p w14:paraId="20A4C0AD" w14:textId="77777777" w:rsidR="006850B9" w:rsidRDefault="006850B9" w:rsidP="00B9184B">
      <w:pPr>
        <w:spacing w:after="0" w:line="360" w:lineRule="auto"/>
        <w:jc w:val="both"/>
        <w:rPr>
          <w:rFonts w:ascii="Arial" w:hAnsi="Arial" w:cs="Arial"/>
          <w:sz w:val="24"/>
          <w:szCs w:val="24"/>
        </w:rPr>
      </w:pPr>
    </w:p>
    <w:p w14:paraId="6B807C7E" w14:textId="77777777" w:rsidR="006850B9" w:rsidRDefault="006850B9" w:rsidP="00B9184B">
      <w:pPr>
        <w:spacing w:after="0" w:line="360" w:lineRule="auto"/>
        <w:jc w:val="both"/>
        <w:rPr>
          <w:rFonts w:ascii="Arial" w:hAnsi="Arial" w:cs="Arial"/>
          <w:sz w:val="24"/>
          <w:szCs w:val="24"/>
        </w:rPr>
      </w:pPr>
    </w:p>
    <w:p w14:paraId="3B34F133" w14:textId="77777777" w:rsidR="006850B9" w:rsidRDefault="006850B9" w:rsidP="00B9184B">
      <w:pPr>
        <w:spacing w:after="0" w:line="360" w:lineRule="auto"/>
        <w:jc w:val="both"/>
        <w:rPr>
          <w:rFonts w:ascii="Arial" w:hAnsi="Arial" w:cs="Arial"/>
          <w:sz w:val="24"/>
          <w:szCs w:val="24"/>
        </w:rPr>
      </w:pPr>
    </w:p>
    <w:p w14:paraId="7915FC14" w14:textId="77777777" w:rsidR="006850B9" w:rsidRDefault="006850B9" w:rsidP="00B9184B">
      <w:pPr>
        <w:spacing w:after="0" w:line="360" w:lineRule="auto"/>
        <w:jc w:val="both"/>
        <w:rPr>
          <w:rFonts w:ascii="Arial" w:hAnsi="Arial" w:cs="Arial"/>
          <w:sz w:val="24"/>
          <w:szCs w:val="24"/>
        </w:rPr>
      </w:pPr>
    </w:p>
    <w:p w14:paraId="5B748134" w14:textId="77777777" w:rsidR="006850B9" w:rsidRDefault="006850B9" w:rsidP="00B9184B">
      <w:pPr>
        <w:spacing w:after="0" w:line="360" w:lineRule="auto"/>
        <w:jc w:val="both"/>
        <w:rPr>
          <w:rFonts w:ascii="Arial" w:hAnsi="Arial" w:cs="Arial"/>
          <w:sz w:val="24"/>
          <w:szCs w:val="24"/>
        </w:rPr>
      </w:pPr>
    </w:p>
    <w:p w14:paraId="1F8D7E23" w14:textId="77777777" w:rsidR="006850B9" w:rsidRDefault="006850B9" w:rsidP="00B9184B">
      <w:pPr>
        <w:spacing w:after="0" w:line="360" w:lineRule="auto"/>
        <w:jc w:val="both"/>
        <w:rPr>
          <w:rFonts w:ascii="Arial" w:hAnsi="Arial" w:cs="Arial"/>
          <w:sz w:val="24"/>
          <w:szCs w:val="24"/>
        </w:rPr>
      </w:pPr>
    </w:p>
    <w:p w14:paraId="122CBAD1" w14:textId="77777777" w:rsidR="006850B9" w:rsidRDefault="006850B9" w:rsidP="00B9184B">
      <w:pPr>
        <w:spacing w:after="0" w:line="360" w:lineRule="auto"/>
        <w:jc w:val="both"/>
        <w:rPr>
          <w:rFonts w:ascii="Arial" w:hAnsi="Arial" w:cs="Arial"/>
          <w:sz w:val="24"/>
          <w:szCs w:val="24"/>
        </w:rPr>
      </w:pPr>
    </w:p>
    <w:p w14:paraId="59079CF2" w14:textId="77777777" w:rsidR="006850B9" w:rsidRDefault="006850B9" w:rsidP="00B9184B">
      <w:pPr>
        <w:spacing w:after="0" w:line="360" w:lineRule="auto"/>
        <w:jc w:val="both"/>
        <w:rPr>
          <w:rFonts w:ascii="Arial" w:hAnsi="Arial" w:cs="Arial"/>
          <w:sz w:val="24"/>
          <w:szCs w:val="24"/>
        </w:rPr>
      </w:pPr>
    </w:p>
    <w:p w14:paraId="141CD286" w14:textId="77777777" w:rsidR="006850B9" w:rsidRDefault="006850B9" w:rsidP="00B9184B">
      <w:pPr>
        <w:spacing w:after="0" w:line="360" w:lineRule="auto"/>
        <w:jc w:val="both"/>
        <w:rPr>
          <w:rFonts w:ascii="Arial" w:hAnsi="Arial" w:cs="Arial"/>
          <w:sz w:val="24"/>
          <w:szCs w:val="24"/>
        </w:rPr>
      </w:pPr>
    </w:p>
    <w:p w14:paraId="30C513A8" w14:textId="77777777" w:rsidR="006850B9" w:rsidRDefault="006850B9" w:rsidP="00B9184B">
      <w:pPr>
        <w:spacing w:after="0" w:line="360" w:lineRule="auto"/>
        <w:jc w:val="both"/>
        <w:rPr>
          <w:rFonts w:ascii="Arial" w:hAnsi="Arial" w:cs="Arial"/>
          <w:sz w:val="24"/>
          <w:szCs w:val="24"/>
        </w:rPr>
      </w:pPr>
    </w:p>
    <w:p w14:paraId="138FD79F" w14:textId="77777777" w:rsidR="006850B9" w:rsidRDefault="006850B9" w:rsidP="00B9184B">
      <w:pPr>
        <w:spacing w:after="0" w:line="360" w:lineRule="auto"/>
        <w:jc w:val="both"/>
        <w:rPr>
          <w:rFonts w:ascii="Arial" w:hAnsi="Arial" w:cs="Arial"/>
          <w:sz w:val="24"/>
          <w:szCs w:val="24"/>
        </w:rPr>
      </w:pPr>
    </w:p>
    <w:p w14:paraId="104F9C19" w14:textId="77777777" w:rsidR="006850B9" w:rsidRDefault="006850B9" w:rsidP="00B9184B">
      <w:pPr>
        <w:spacing w:after="0" w:line="360" w:lineRule="auto"/>
        <w:jc w:val="both"/>
        <w:rPr>
          <w:rFonts w:ascii="Arial" w:hAnsi="Arial" w:cs="Arial"/>
          <w:sz w:val="24"/>
          <w:szCs w:val="24"/>
        </w:rPr>
      </w:pPr>
    </w:p>
    <w:p w14:paraId="59241A6F" w14:textId="77777777" w:rsidR="006850B9" w:rsidRDefault="006850B9" w:rsidP="00B9184B">
      <w:pPr>
        <w:spacing w:after="0" w:line="360" w:lineRule="auto"/>
        <w:jc w:val="both"/>
        <w:rPr>
          <w:rFonts w:ascii="Arial" w:hAnsi="Arial" w:cs="Arial"/>
          <w:sz w:val="24"/>
          <w:szCs w:val="24"/>
        </w:rPr>
      </w:pPr>
    </w:p>
    <w:p w14:paraId="59170CBC" w14:textId="77777777" w:rsidR="006850B9" w:rsidRDefault="006850B9" w:rsidP="00B9184B">
      <w:pPr>
        <w:spacing w:after="0" w:line="360" w:lineRule="auto"/>
        <w:jc w:val="both"/>
        <w:rPr>
          <w:rFonts w:ascii="Arial" w:hAnsi="Arial" w:cs="Arial"/>
          <w:sz w:val="24"/>
          <w:szCs w:val="24"/>
        </w:rPr>
      </w:pPr>
    </w:p>
    <w:p w14:paraId="64505E2A" w14:textId="77777777" w:rsidR="006850B9" w:rsidRDefault="006850B9" w:rsidP="00B9184B">
      <w:pPr>
        <w:spacing w:after="0" w:line="360" w:lineRule="auto"/>
        <w:jc w:val="both"/>
        <w:rPr>
          <w:rFonts w:ascii="Arial" w:hAnsi="Arial" w:cs="Arial"/>
          <w:sz w:val="24"/>
          <w:szCs w:val="24"/>
        </w:rPr>
      </w:pPr>
    </w:p>
    <w:p w14:paraId="7A39513D" w14:textId="77777777" w:rsidR="006850B9" w:rsidRDefault="006850B9" w:rsidP="00B9184B">
      <w:pPr>
        <w:spacing w:after="0" w:line="360" w:lineRule="auto"/>
        <w:jc w:val="both"/>
        <w:rPr>
          <w:rFonts w:ascii="Arial" w:hAnsi="Arial" w:cs="Arial"/>
          <w:sz w:val="24"/>
          <w:szCs w:val="24"/>
        </w:rPr>
      </w:pPr>
    </w:p>
    <w:p w14:paraId="03EE8527" w14:textId="77777777" w:rsidR="006850B9" w:rsidRPr="00B9184B" w:rsidRDefault="006850B9" w:rsidP="00B9184B">
      <w:pPr>
        <w:spacing w:after="0" w:line="360" w:lineRule="auto"/>
        <w:jc w:val="both"/>
        <w:rPr>
          <w:rFonts w:ascii="Arial" w:hAnsi="Arial" w:cs="Arial"/>
          <w:sz w:val="24"/>
          <w:szCs w:val="24"/>
        </w:rPr>
      </w:pPr>
    </w:p>
    <w:p w14:paraId="7076E389" w14:textId="77777777" w:rsidR="003B120C" w:rsidRPr="003B120C" w:rsidRDefault="003B120C" w:rsidP="00B9184B">
      <w:pPr>
        <w:spacing w:after="0" w:line="360" w:lineRule="auto"/>
        <w:jc w:val="both"/>
        <w:rPr>
          <w:rFonts w:ascii="Arial" w:hAnsi="Arial" w:cs="Arial"/>
          <w:sz w:val="24"/>
          <w:szCs w:val="24"/>
        </w:rPr>
      </w:pPr>
    </w:p>
    <w:p w14:paraId="1C03EBB8" w14:textId="77777777" w:rsidR="003B120C" w:rsidRPr="00B31758" w:rsidRDefault="003B120C" w:rsidP="00B31758">
      <w:pPr>
        <w:numPr>
          <w:ilvl w:val="0"/>
          <w:numId w:val="5"/>
        </w:numPr>
        <w:spacing w:after="0" w:line="360" w:lineRule="auto"/>
        <w:jc w:val="both"/>
        <w:rPr>
          <w:rFonts w:ascii="Arial" w:hAnsi="Arial" w:cs="Arial"/>
          <w:b/>
          <w:bCs/>
          <w:sz w:val="28"/>
          <w:szCs w:val="28"/>
        </w:rPr>
      </w:pPr>
      <w:r w:rsidRPr="00B31758">
        <w:rPr>
          <w:rFonts w:ascii="Arial" w:hAnsi="Arial" w:cs="Arial"/>
          <w:b/>
          <w:bCs/>
          <w:sz w:val="28"/>
          <w:szCs w:val="28"/>
        </w:rPr>
        <w:lastRenderedPageBreak/>
        <w:t xml:space="preserve">Strategies to </w:t>
      </w:r>
      <w:r w:rsidR="00DF192F">
        <w:rPr>
          <w:rFonts w:ascii="Arial" w:hAnsi="Arial" w:cs="Arial"/>
          <w:b/>
          <w:bCs/>
          <w:sz w:val="28"/>
          <w:szCs w:val="28"/>
        </w:rPr>
        <w:t>i</w:t>
      </w:r>
      <w:r w:rsidRPr="00B31758">
        <w:rPr>
          <w:rFonts w:ascii="Arial" w:hAnsi="Arial" w:cs="Arial"/>
          <w:b/>
          <w:bCs/>
          <w:sz w:val="28"/>
          <w:szCs w:val="28"/>
        </w:rPr>
        <w:t xml:space="preserve">mprove </w:t>
      </w:r>
      <w:r w:rsidR="00DF192F">
        <w:rPr>
          <w:rFonts w:ascii="Arial" w:hAnsi="Arial" w:cs="Arial"/>
          <w:b/>
          <w:bCs/>
          <w:sz w:val="28"/>
          <w:szCs w:val="28"/>
        </w:rPr>
        <w:t>c</w:t>
      </w:r>
      <w:r w:rsidRPr="00B31758">
        <w:rPr>
          <w:rFonts w:ascii="Arial" w:hAnsi="Arial" w:cs="Arial"/>
          <w:b/>
          <w:bCs/>
          <w:sz w:val="28"/>
          <w:szCs w:val="28"/>
        </w:rPr>
        <w:t>ross-</w:t>
      </w:r>
      <w:r w:rsidR="00DF192F">
        <w:rPr>
          <w:rFonts w:ascii="Arial" w:hAnsi="Arial" w:cs="Arial"/>
          <w:b/>
          <w:bCs/>
          <w:sz w:val="28"/>
          <w:szCs w:val="28"/>
        </w:rPr>
        <w:t>c</w:t>
      </w:r>
      <w:r w:rsidRPr="00B31758">
        <w:rPr>
          <w:rFonts w:ascii="Arial" w:hAnsi="Arial" w:cs="Arial"/>
          <w:b/>
          <w:bCs/>
          <w:sz w:val="28"/>
          <w:szCs w:val="28"/>
        </w:rPr>
        <w:t xml:space="preserve">ultural </w:t>
      </w:r>
      <w:r w:rsidR="00DF192F">
        <w:rPr>
          <w:rFonts w:ascii="Arial" w:hAnsi="Arial" w:cs="Arial"/>
          <w:b/>
          <w:bCs/>
          <w:sz w:val="28"/>
          <w:szCs w:val="28"/>
        </w:rPr>
        <w:t>c</w:t>
      </w:r>
      <w:r w:rsidRPr="00B31758">
        <w:rPr>
          <w:rFonts w:ascii="Arial" w:hAnsi="Arial" w:cs="Arial"/>
          <w:b/>
          <w:bCs/>
          <w:sz w:val="28"/>
          <w:szCs w:val="28"/>
        </w:rPr>
        <w:t>ommunication</w:t>
      </w:r>
    </w:p>
    <w:p w14:paraId="5D76A984" w14:textId="77777777" w:rsidR="004C1919" w:rsidRPr="00B9184B" w:rsidRDefault="003B120C" w:rsidP="00B9184B">
      <w:pPr>
        <w:spacing w:after="0" w:line="360" w:lineRule="auto"/>
        <w:jc w:val="both"/>
        <w:rPr>
          <w:rFonts w:ascii="Arial" w:hAnsi="Arial" w:cs="Arial"/>
          <w:sz w:val="24"/>
          <w:szCs w:val="24"/>
        </w:rPr>
      </w:pPr>
      <w:r w:rsidRPr="00B9184B">
        <w:rPr>
          <w:rFonts w:ascii="Arial" w:hAnsi="Arial" w:cs="Arial"/>
          <w:sz w:val="24"/>
          <w:szCs w:val="24"/>
        </w:rPr>
        <w:t>As the UK Country Director of GSK, I’m confident that Christophe Weber’s experience at both GSK and Takeda will enable us to work very well together. With his deep understanding of both cultures, he’s in a unique position to help ensure clear and respectful communication between our teams. By blending GSK’s directness with Takeda’s more subtle, hierarchical approach, Weber will help guide our collaboration smoothly, making sure we navigate cultural differences effectively and work towards our shared goals.</w:t>
      </w:r>
    </w:p>
    <w:p w14:paraId="2C520538" w14:textId="77777777" w:rsidR="003B120C" w:rsidRDefault="003B120C" w:rsidP="00B9184B">
      <w:pPr>
        <w:spacing w:after="0" w:line="360" w:lineRule="auto"/>
        <w:jc w:val="both"/>
        <w:rPr>
          <w:rFonts w:ascii="Arial" w:hAnsi="Arial" w:cs="Arial"/>
          <w:sz w:val="24"/>
          <w:szCs w:val="24"/>
        </w:rPr>
      </w:pPr>
      <w:r w:rsidRPr="00B9184B">
        <w:rPr>
          <w:rFonts w:ascii="Arial" w:hAnsi="Arial" w:cs="Arial"/>
          <w:sz w:val="24"/>
          <w:szCs w:val="24"/>
        </w:rPr>
        <w:t xml:space="preserve">Effective collaboration between GSK and Takeda is crucial for the successful development of treatments for metastatic gastric cancer and other complex conditions. However, to achieve this, both companies must address the cultural and communication differences that exist between them. By implementing strategies that promote understanding, open communication, and trust-building, both organizations can work together seamlessly. </w:t>
      </w:r>
    </w:p>
    <w:p w14:paraId="619F0E22" w14:textId="77777777" w:rsidR="00B31758" w:rsidRPr="00B9184B" w:rsidRDefault="00B31758" w:rsidP="00B9184B">
      <w:pPr>
        <w:spacing w:after="0" w:line="360" w:lineRule="auto"/>
        <w:jc w:val="both"/>
        <w:rPr>
          <w:rFonts w:ascii="Arial" w:hAnsi="Arial" w:cs="Arial"/>
          <w:sz w:val="24"/>
          <w:szCs w:val="24"/>
        </w:rPr>
      </w:pPr>
    </w:p>
    <w:p w14:paraId="2DEE118F" w14:textId="77777777" w:rsidR="004C1919" w:rsidRPr="00B31758" w:rsidRDefault="004C1919" w:rsidP="00B9184B">
      <w:pPr>
        <w:spacing w:after="0" w:line="360" w:lineRule="auto"/>
        <w:jc w:val="both"/>
        <w:rPr>
          <w:rFonts w:ascii="Arial" w:hAnsi="Arial" w:cs="Arial"/>
          <w:b/>
          <w:bCs/>
          <w:sz w:val="24"/>
          <w:szCs w:val="24"/>
        </w:rPr>
      </w:pPr>
      <w:r w:rsidRPr="00B9184B">
        <w:rPr>
          <w:rFonts w:ascii="Arial" w:hAnsi="Arial" w:cs="Arial"/>
          <w:sz w:val="24"/>
          <w:szCs w:val="24"/>
        </w:rPr>
        <w:t xml:space="preserve"> </w:t>
      </w:r>
      <w:r w:rsidRPr="00B31758">
        <w:rPr>
          <w:rFonts w:ascii="Arial" w:hAnsi="Arial" w:cs="Arial"/>
          <w:b/>
          <w:bCs/>
          <w:sz w:val="24"/>
          <w:szCs w:val="24"/>
        </w:rPr>
        <w:t xml:space="preserve">Adapting </w:t>
      </w:r>
      <w:r w:rsidR="00DF192F">
        <w:rPr>
          <w:rFonts w:ascii="Arial" w:hAnsi="Arial" w:cs="Arial"/>
          <w:b/>
          <w:bCs/>
          <w:sz w:val="24"/>
          <w:szCs w:val="24"/>
        </w:rPr>
        <w:t>c</w:t>
      </w:r>
      <w:r w:rsidRPr="00B31758">
        <w:rPr>
          <w:rFonts w:ascii="Arial" w:hAnsi="Arial" w:cs="Arial"/>
          <w:b/>
          <w:bCs/>
          <w:sz w:val="24"/>
          <w:szCs w:val="24"/>
        </w:rPr>
        <w:t xml:space="preserve">ommunication </w:t>
      </w:r>
      <w:r w:rsidR="00DF192F">
        <w:rPr>
          <w:rFonts w:ascii="Arial" w:hAnsi="Arial" w:cs="Arial"/>
          <w:b/>
          <w:bCs/>
          <w:sz w:val="24"/>
          <w:szCs w:val="24"/>
        </w:rPr>
        <w:t>s</w:t>
      </w:r>
      <w:r w:rsidRPr="00B31758">
        <w:rPr>
          <w:rFonts w:ascii="Arial" w:hAnsi="Arial" w:cs="Arial"/>
          <w:b/>
          <w:bCs/>
          <w:sz w:val="24"/>
          <w:szCs w:val="24"/>
        </w:rPr>
        <w:t>tyles</w:t>
      </w:r>
    </w:p>
    <w:p w14:paraId="2124614F" w14:textId="77777777" w:rsidR="0050384A" w:rsidRPr="0050384A" w:rsidRDefault="0050384A" w:rsidP="00B9184B">
      <w:pPr>
        <w:spacing w:after="0" w:line="360" w:lineRule="auto"/>
        <w:jc w:val="both"/>
        <w:rPr>
          <w:rFonts w:ascii="Arial" w:hAnsi="Arial" w:cs="Arial"/>
          <w:sz w:val="24"/>
          <w:szCs w:val="24"/>
        </w:rPr>
      </w:pPr>
      <w:r w:rsidRPr="0050384A">
        <w:rPr>
          <w:rFonts w:ascii="Arial" w:hAnsi="Arial" w:cs="Arial"/>
          <w:sz w:val="24"/>
          <w:szCs w:val="24"/>
        </w:rPr>
        <w:t>To ensure clarity and reduce misunderstandings, both GSK and Takeda need to adapt their communication styles. GSK should prioritize clear communication, providing detailed follow-ups and seeking clarification when necessary. For example, if Takeda says, "we will consider this," GSK should follow up with specific next steps. Takeda, on the other hand, should be encouraged to communicate more directly to avoid ambiguity and ensure alignment on expectations.</w:t>
      </w:r>
    </w:p>
    <w:p w14:paraId="0BB5DCAF" w14:textId="77777777" w:rsidR="0050384A" w:rsidRPr="0050384A" w:rsidRDefault="0050384A" w:rsidP="00B9184B">
      <w:pPr>
        <w:spacing w:after="0" w:line="360" w:lineRule="auto"/>
        <w:jc w:val="both"/>
        <w:rPr>
          <w:rFonts w:ascii="Arial" w:hAnsi="Arial" w:cs="Arial"/>
          <w:sz w:val="24"/>
          <w:szCs w:val="24"/>
        </w:rPr>
      </w:pPr>
      <w:r w:rsidRPr="0050384A">
        <w:rPr>
          <w:rFonts w:ascii="Arial" w:hAnsi="Arial" w:cs="Arial"/>
          <w:sz w:val="24"/>
          <w:szCs w:val="24"/>
        </w:rPr>
        <w:t>Both companies should also standardize their communication tools, using consistent methods like follow-up emails, written summaries, and visual aids to reinforce key messages. Digital collaboration tools like Slack or Microsoft Teams can support cultural awareness by providing platforms for sharing cultural tips, insights, and region-specific reminders, ensuring transparent communication.</w:t>
      </w:r>
    </w:p>
    <w:p w14:paraId="5ADFD5E7" w14:textId="77777777" w:rsidR="004C1919" w:rsidRPr="00B9184B" w:rsidRDefault="0050384A" w:rsidP="00B9184B">
      <w:pPr>
        <w:spacing w:after="0" w:line="360" w:lineRule="auto"/>
        <w:jc w:val="both"/>
        <w:rPr>
          <w:rFonts w:ascii="Arial" w:hAnsi="Arial" w:cs="Arial"/>
          <w:sz w:val="24"/>
          <w:szCs w:val="24"/>
        </w:rPr>
      </w:pPr>
      <w:r w:rsidRPr="0050384A">
        <w:rPr>
          <w:rFonts w:ascii="Arial" w:hAnsi="Arial" w:cs="Arial"/>
          <w:sz w:val="24"/>
          <w:szCs w:val="24"/>
        </w:rPr>
        <w:t>Regular check-ins and real-time updates, such as Takeda’s “TETtalks,” are essential for maintaining alignment on project goals and progress, reducing misunderstandings, and fostering continuous collaboration</w:t>
      </w:r>
      <w:r w:rsidR="00B31758">
        <w:rPr>
          <w:rFonts w:ascii="Arial" w:hAnsi="Arial" w:cs="Arial"/>
          <w:sz w:val="24"/>
          <w:szCs w:val="24"/>
        </w:rPr>
        <w:t xml:space="preserve"> (McKinsey, 2020)</w:t>
      </w:r>
      <w:r w:rsidRPr="0050384A">
        <w:rPr>
          <w:rFonts w:ascii="Arial" w:hAnsi="Arial" w:cs="Arial"/>
          <w:sz w:val="24"/>
          <w:szCs w:val="24"/>
        </w:rPr>
        <w:t>.</w:t>
      </w:r>
    </w:p>
    <w:p w14:paraId="581DDED3" w14:textId="77777777" w:rsidR="004C1919" w:rsidRPr="00B9184B" w:rsidRDefault="004C1919" w:rsidP="00B9184B">
      <w:pPr>
        <w:spacing w:after="0" w:line="360" w:lineRule="auto"/>
        <w:jc w:val="both"/>
        <w:rPr>
          <w:rFonts w:ascii="Arial" w:hAnsi="Arial" w:cs="Arial"/>
          <w:sz w:val="24"/>
          <w:szCs w:val="24"/>
        </w:rPr>
      </w:pPr>
    </w:p>
    <w:p w14:paraId="0CFA31AD" w14:textId="77777777" w:rsidR="004C1919" w:rsidRDefault="004C1919" w:rsidP="00B9184B">
      <w:pPr>
        <w:spacing w:after="0" w:line="360" w:lineRule="auto"/>
        <w:jc w:val="both"/>
        <w:rPr>
          <w:rFonts w:ascii="Arial" w:hAnsi="Arial" w:cs="Arial"/>
          <w:sz w:val="24"/>
          <w:szCs w:val="24"/>
        </w:rPr>
      </w:pPr>
    </w:p>
    <w:p w14:paraId="75507856" w14:textId="77777777" w:rsidR="006850B9" w:rsidRPr="00B9184B" w:rsidRDefault="006850B9" w:rsidP="00B9184B">
      <w:pPr>
        <w:spacing w:after="0" w:line="360" w:lineRule="auto"/>
        <w:jc w:val="both"/>
        <w:rPr>
          <w:rFonts w:ascii="Arial" w:hAnsi="Arial" w:cs="Arial"/>
          <w:sz w:val="24"/>
          <w:szCs w:val="24"/>
        </w:rPr>
      </w:pPr>
    </w:p>
    <w:p w14:paraId="2B2567D1" w14:textId="77777777" w:rsidR="004C1919" w:rsidRPr="00E24B3C" w:rsidRDefault="004C1919" w:rsidP="00B9184B">
      <w:pPr>
        <w:spacing w:after="0" w:line="360" w:lineRule="auto"/>
        <w:jc w:val="both"/>
        <w:rPr>
          <w:rFonts w:ascii="Arial" w:hAnsi="Arial" w:cs="Arial"/>
          <w:b/>
          <w:bCs/>
          <w:sz w:val="24"/>
          <w:szCs w:val="24"/>
        </w:rPr>
      </w:pPr>
      <w:r w:rsidRPr="00E24B3C">
        <w:rPr>
          <w:rFonts w:ascii="Arial" w:hAnsi="Arial" w:cs="Arial"/>
          <w:b/>
          <w:bCs/>
          <w:sz w:val="24"/>
          <w:szCs w:val="24"/>
        </w:rPr>
        <w:lastRenderedPageBreak/>
        <w:t xml:space="preserve">Cultural </w:t>
      </w:r>
      <w:r w:rsidR="00DF192F">
        <w:rPr>
          <w:rFonts w:ascii="Arial" w:hAnsi="Arial" w:cs="Arial"/>
          <w:b/>
          <w:bCs/>
          <w:sz w:val="24"/>
          <w:szCs w:val="24"/>
        </w:rPr>
        <w:t>a</w:t>
      </w:r>
      <w:r w:rsidRPr="00E24B3C">
        <w:rPr>
          <w:rFonts w:ascii="Arial" w:hAnsi="Arial" w:cs="Arial"/>
          <w:b/>
          <w:bCs/>
          <w:sz w:val="24"/>
          <w:szCs w:val="24"/>
        </w:rPr>
        <w:t xml:space="preserve">wareness and </w:t>
      </w:r>
      <w:r w:rsidR="00DF192F">
        <w:rPr>
          <w:rFonts w:ascii="Arial" w:hAnsi="Arial" w:cs="Arial"/>
          <w:b/>
          <w:bCs/>
          <w:sz w:val="24"/>
          <w:szCs w:val="24"/>
        </w:rPr>
        <w:t>t</w:t>
      </w:r>
      <w:r w:rsidRPr="00E24B3C">
        <w:rPr>
          <w:rFonts w:ascii="Arial" w:hAnsi="Arial" w:cs="Arial"/>
          <w:b/>
          <w:bCs/>
          <w:sz w:val="24"/>
          <w:szCs w:val="24"/>
        </w:rPr>
        <w:t>raining</w:t>
      </w:r>
    </w:p>
    <w:p w14:paraId="550C780B" w14:textId="77777777" w:rsidR="004C1919" w:rsidRPr="00B9184B" w:rsidRDefault="004C1919" w:rsidP="00B9184B">
      <w:pPr>
        <w:spacing w:after="0" w:line="360" w:lineRule="auto"/>
        <w:jc w:val="both"/>
        <w:rPr>
          <w:rFonts w:ascii="Arial" w:hAnsi="Arial" w:cs="Arial"/>
          <w:sz w:val="24"/>
          <w:szCs w:val="24"/>
        </w:rPr>
      </w:pPr>
      <w:r w:rsidRPr="00B9184B">
        <w:rPr>
          <w:rFonts w:ascii="Arial" w:hAnsi="Arial" w:cs="Arial"/>
          <w:sz w:val="24"/>
          <w:szCs w:val="24"/>
        </w:rPr>
        <w:t>One of the foundational steps in improving communication between GSK and Takeda is cultural awareness training. Both companies should invest in programs that help employees understand each other’s communication styles and values. GSK employees need to gain a deeper understanding of Japan’s indirect communication style, while Takeda employees should familiarize themselves with GSK’s preference for clear, direct communication. Workshops that include role-playing scenarios can provide employees with firsthand experience of these cultural differences, helping them develop the skills to communicate more effectively.</w:t>
      </w:r>
    </w:p>
    <w:p w14:paraId="5A6623E6" w14:textId="77777777" w:rsidR="004C1919" w:rsidRPr="00B9184B" w:rsidRDefault="004C1919" w:rsidP="00B9184B">
      <w:pPr>
        <w:spacing w:after="0" w:line="360" w:lineRule="auto"/>
        <w:jc w:val="both"/>
        <w:rPr>
          <w:rFonts w:ascii="Arial" w:hAnsi="Arial" w:cs="Arial"/>
          <w:sz w:val="24"/>
          <w:szCs w:val="24"/>
        </w:rPr>
      </w:pPr>
    </w:p>
    <w:p w14:paraId="1B7C0998" w14:textId="77777777" w:rsidR="003B120C" w:rsidRPr="00E24B3C" w:rsidRDefault="003B120C" w:rsidP="00B9184B">
      <w:pPr>
        <w:spacing w:after="0" w:line="360" w:lineRule="auto"/>
        <w:jc w:val="both"/>
        <w:rPr>
          <w:rFonts w:ascii="Arial" w:hAnsi="Arial" w:cs="Arial"/>
          <w:b/>
          <w:bCs/>
          <w:sz w:val="24"/>
          <w:szCs w:val="24"/>
        </w:rPr>
      </w:pPr>
      <w:r w:rsidRPr="00E24B3C">
        <w:rPr>
          <w:rFonts w:ascii="Arial" w:hAnsi="Arial" w:cs="Arial"/>
          <w:b/>
          <w:bCs/>
          <w:sz w:val="24"/>
          <w:szCs w:val="24"/>
        </w:rPr>
        <w:t xml:space="preserve">Building </w:t>
      </w:r>
      <w:r w:rsidR="00DF192F">
        <w:rPr>
          <w:rFonts w:ascii="Arial" w:hAnsi="Arial" w:cs="Arial"/>
          <w:b/>
          <w:bCs/>
          <w:sz w:val="24"/>
          <w:szCs w:val="24"/>
        </w:rPr>
        <w:t>t</w:t>
      </w:r>
      <w:r w:rsidRPr="00E24B3C">
        <w:rPr>
          <w:rFonts w:ascii="Arial" w:hAnsi="Arial" w:cs="Arial"/>
          <w:b/>
          <w:bCs/>
          <w:sz w:val="24"/>
          <w:szCs w:val="24"/>
        </w:rPr>
        <w:t xml:space="preserve">rust </w:t>
      </w:r>
      <w:r w:rsidR="00DF192F">
        <w:rPr>
          <w:rFonts w:ascii="Arial" w:hAnsi="Arial" w:cs="Arial"/>
          <w:b/>
          <w:bCs/>
          <w:sz w:val="24"/>
          <w:szCs w:val="24"/>
        </w:rPr>
        <w:t>t</w:t>
      </w:r>
      <w:r w:rsidRPr="00E24B3C">
        <w:rPr>
          <w:rFonts w:ascii="Arial" w:hAnsi="Arial" w:cs="Arial"/>
          <w:b/>
          <w:bCs/>
          <w:sz w:val="24"/>
          <w:szCs w:val="24"/>
        </w:rPr>
        <w:t xml:space="preserve">hrough </w:t>
      </w:r>
      <w:r w:rsidR="00DF192F">
        <w:rPr>
          <w:rFonts w:ascii="Arial" w:hAnsi="Arial" w:cs="Arial"/>
          <w:b/>
          <w:bCs/>
          <w:sz w:val="24"/>
          <w:szCs w:val="24"/>
        </w:rPr>
        <w:t>r</w:t>
      </w:r>
      <w:r w:rsidRPr="00E24B3C">
        <w:rPr>
          <w:rFonts w:ascii="Arial" w:hAnsi="Arial" w:cs="Arial"/>
          <w:b/>
          <w:bCs/>
          <w:sz w:val="24"/>
          <w:szCs w:val="24"/>
        </w:rPr>
        <w:t>elationships</w:t>
      </w:r>
    </w:p>
    <w:p w14:paraId="0088DA4C" w14:textId="77777777" w:rsidR="003B120C" w:rsidRPr="00B9184B" w:rsidRDefault="003B120C" w:rsidP="00B9184B">
      <w:pPr>
        <w:spacing w:after="0" w:line="360" w:lineRule="auto"/>
        <w:jc w:val="both"/>
        <w:rPr>
          <w:rFonts w:ascii="Arial" w:hAnsi="Arial" w:cs="Arial"/>
          <w:sz w:val="24"/>
          <w:szCs w:val="24"/>
        </w:rPr>
      </w:pPr>
      <w:r w:rsidRPr="00B9184B">
        <w:rPr>
          <w:rFonts w:ascii="Arial" w:hAnsi="Arial" w:cs="Arial"/>
          <w:sz w:val="24"/>
          <w:szCs w:val="24"/>
        </w:rPr>
        <w:t>Trust is a critical element in any successful partnership, and it is especially important in the context of a cross-cultural collaboration. GSK should invest in building personal connections with Takeda, as Japanese culture places a high value on relationships. Organizing informal events and social gatherings will create opportunities for both teams to build trust in a more relaxed setting. Furthermore, GSK employees should be mindful of Takeda’s hierarchical structure and show respect by deferring to senior leaders during meetings, reflecting the respect for authority that is ingrained in Takeda’s corporate culture.</w:t>
      </w:r>
    </w:p>
    <w:p w14:paraId="1D2B536D" w14:textId="77777777" w:rsidR="00E24B3C" w:rsidRDefault="00E24B3C" w:rsidP="00B9184B">
      <w:pPr>
        <w:spacing w:after="0" w:line="360" w:lineRule="auto"/>
        <w:jc w:val="both"/>
        <w:rPr>
          <w:rFonts w:ascii="Arial" w:hAnsi="Arial" w:cs="Arial"/>
          <w:sz w:val="24"/>
          <w:szCs w:val="24"/>
        </w:rPr>
      </w:pPr>
    </w:p>
    <w:p w14:paraId="222C50D2" w14:textId="77777777" w:rsidR="004C1919" w:rsidRPr="00E24B3C" w:rsidRDefault="004C1919" w:rsidP="00B9184B">
      <w:pPr>
        <w:spacing w:after="0" w:line="360" w:lineRule="auto"/>
        <w:jc w:val="both"/>
        <w:rPr>
          <w:rFonts w:ascii="Arial" w:hAnsi="Arial" w:cs="Arial"/>
          <w:b/>
          <w:bCs/>
          <w:sz w:val="24"/>
          <w:szCs w:val="24"/>
        </w:rPr>
      </w:pPr>
      <w:r w:rsidRPr="00E24B3C">
        <w:rPr>
          <w:rFonts w:ascii="Arial" w:hAnsi="Arial" w:cs="Arial"/>
          <w:b/>
          <w:bCs/>
          <w:sz w:val="24"/>
          <w:szCs w:val="24"/>
        </w:rPr>
        <w:t xml:space="preserve">Cross-Cultural </w:t>
      </w:r>
      <w:r w:rsidR="00DF192F">
        <w:rPr>
          <w:rFonts w:ascii="Arial" w:hAnsi="Arial" w:cs="Arial"/>
          <w:b/>
          <w:bCs/>
          <w:sz w:val="24"/>
          <w:szCs w:val="24"/>
        </w:rPr>
        <w:t>t</w:t>
      </w:r>
      <w:r w:rsidRPr="00E24B3C">
        <w:rPr>
          <w:rFonts w:ascii="Arial" w:hAnsi="Arial" w:cs="Arial"/>
          <w:b/>
          <w:bCs/>
          <w:sz w:val="24"/>
          <w:szCs w:val="24"/>
        </w:rPr>
        <w:t xml:space="preserve">eam </w:t>
      </w:r>
      <w:r w:rsidR="00DF192F">
        <w:rPr>
          <w:rFonts w:ascii="Arial" w:hAnsi="Arial" w:cs="Arial"/>
          <w:b/>
          <w:bCs/>
          <w:sz w:val="24"/>
          <w:szCs w:val="24"/>
        </w:rPr>
        <w:t>b</w:t>
      </w:r>
      <w:r w:rsidRPr="00E24B3C">
        <w:rPr>
          <w:rFonts w:ascii="Arial" w:hAnsi="Arial" w:cs="Arial"/>
          <w:b/>
          <w:bCs/>
          <w:sz w:val="24"/>
          <w:szCs w:val="24"/>
        </w:rPr>
        <w:t>uilding</w:t>
      </w:r>
    </w:p>
    <w:p w14:paraId="19254D90" w14:textId="77777777" w:rsidR="004C1919" w:rsidRPr="00B9184B" w:rsidRDefault="004C1919" w:rsidP="00B9184B">
      <w:pPr>
        <w:spacing w:after="0" w:line="360" w:lineRule="auto"/>
        <w:jc w:val="both"/>
        <w:rPr>
          <w:rFonts w:ascii="Arial" w:hAnsi="Arial" w:cs="Arial"/>
          <w:sz w:val="24"/>
          <w:szCs w:val="24"/>
        </w:rPr>
      </w:pPr>
      <w:r w:rsidRPr="00B9184B">
        <w:rPr>
          <w:rFonts w:ascii="Arial" w:hAnsi="Arial" w:cs="Arial"/>
          <w:sz w:val="24"/>
          <w:szCs w:val="24"/>
        </w:rPr>
        <w:t>Creating mixed teams with both GSK and Takeda employees will allow individuals to experience each other’s work styles firsthand. This cross-cultural approach will help integrate GSK’s focus on individual achievements with Takeda’s emphasis on collective success. By recognizing both personal contributions and group accomplishments, the teams will foster a collaborative environment that values both individual initiative and teamwork.</w:t>
      </w:r>
    </w:p>
    <w:p w14:paraId="471D5129" w14:textId="77777777" w:rsidR="004C1919" w:rsidRPr="00B9184B" w:rsidRDefault="004C1919" w:rsidP="00B9184B">
      <w:pPr>
        <w:spacing w:after="0" w:line="360" w:lineRule="auto"/>
        <w:jc w:val="both"/>
        <w:rPr>
          <w:rFonts w:ascii="Arial" w:hAnsi="Arial" w:cs="Arial"/>
          <w:sz w:val="24"/>
          <w:szCs w:val="24"/>
        </w:rPr>
      </w:pPr>
    </w:p>
    <w:p w14:paraId="4ABF6ACC" w14:textId="77777777" w:rsidR="004C1919" w:rsidRPr="00E24B3C" w:rsidRDefault="004C1919" w:rsidP="00B9184B">
      <w:pPr>
        <w:spacing w:after="0" w:line="360" w:lineRule="auto"/>
        <w:jc w:val="both"/>
        <w:rPr>
          <w:rFonts w:ascii="Arial" w:hAnsi="Arial" w:cs="Arial"/>
          <w:b/>
          <w:bCs/>
          <w:sz w:val="24"/>
          <w:szCs w:val="24"/>
        </w:rPr>
      </w:pPr>
      <w:r w:rsidRPr="00E24B3C">
        <w:rPr>
          <w:rFonts w:ascii="Arial" w:hAnsi="Arial" w:cs="Arial"/>
          <w:b/>
          <w:bCs/>
          <w:sz w:val="24"/>
          <w:szCs w:val="24"/>
        </w:rPr>
        <w:t xml:space="preserve">Aligning on </w:t>
      </w:r>
      <w:r w:rsidR="00DF192F">
        <w:rPr>
          <w:rFonts w:ascii="Arial" w:hAnsi="Arial" w:cs="Arial"/>
          <w:b/>
          <w:bCs/>
          <w:sz w:val="24"/>
          <w:szCs w:val="24"/>
        </w:rPr>
        <w:t>s</w:t>
      </w:r>
      <w:r w:rsidRPr="00E24B3C">
        <w:rPr>
          <w:rFonts w:ascii="Arial" w:hAnsi="Arial" w:cs="Arial"/>
          <w:b/>
          <w:bCs/>
          <w:sz w:val="24"/>
          <w:szCs w:val="24"/>
        </w:rPr>
        <w:t xml:space="preserve">trategic </w:t>
      </w:r>
      <w:r w:rsidR="00DF192F">
        <w:rPr>
          <w:rFonts w:ascii="Arial" w:hAnsi="Arial" w:cs="Arial"/>
          <w:b/>
          <w:bCs/>
          <w:sz w:val="24"/>
          <w:szCs w:val="24"/>
        </w:rPr>
        <w:t>o</w:t>
      </w:r>
      <w:r w:rsidRPr="00E24B3C">
        <w:rPr>
          <w:rFonts w:ascii="Arial" w:hAnsi="Arial" w:cs="Arial"/>
          <w:b/>
          <w:bCs/>
          <w:sz w:val="24"/>
          <w:szCs w:val="24"/>
        </w:rPr>
        <w:t>bjectives</w:t>
      </w:r>
    </w:p>
    <w:p w14:paraId="2C70EEA0" w14:textId="77777777" w:rsidR="004C1919" w:rsidRPr="00B9184B" w:rsidRDefault="004C1919" w:rsidP="00B9184B">
      <w:pPr>
        <w:spacing w:after="0" w:line="360" w:lineRule="auto"/>
        <w:jc w:val="both"/>
        <w:rPr>
          <w:rFonts w:ascii="Arial" w:hAnsi="Arial" w:cs="Arial"/>
          <w:sz w:val="24"/>
          <w:szCs w:val="24"/>
        </w:rPr>
      </w:pPr>
      <w:r w:rsidRPr="00B9184B">
        <w:rPr>
          <w:rFonts w:ascii="Arial" w:hAnsi="Arial" w:cs="Arial"/>
          <w:sz w:val="24"/>
          <w:szCs w:val="24"/>
        </w:rPr>
        <w:t xml:space="preserve">Both companies should ensure that their strategic objectives are aligned, balancing Takeda’s long-term focus with GSK’s emphasis on short-term objectives. By setting clear milestones and checkpoints, both organizations can track progress while keeping their broader strategic priorities in mind. This alignment will help both teams </w:t>
      </w:r>
      <w:r w:rsidRPr="00B9184B">
        <w:rPr>
          <w:rFonts w:ascii="Arial" w:hAnsi="Arial" w:cs="Arial"/>
          <w:sz w:val="24"/>
          <w:szCs w:val="24"/>
        </w:rPr>
        <w:lastRenderedPageBreak/>
        <w:t>stay focused on shared goals and ensure that they are working towards the same outcomes.</w:t>
      </w:r>
    </w:p>
    <w:p w14:paraId="037F33CA" w14:textId="77777777" w:rsidR="004C1919" w:rsidRPr="00B9184B" w:rsidRDefault="004C1919" w:rsidP="00B9184B">
      <w:pPr>
        <w:spacing w:after="0" w:line="360" w:lineRule="auto"/>
        <w:jc w:val="both"/>
        <w:rPr>
          <w:rFonts w:ascii="Arial" w:hAnsi="Arial" w:cs="Arial"/>
          <w:sz w:val="24"/>
          <w:szCs w:val="24"/>
        </w:rPr>
      </w:pPr>
    </w:p>
    <w:p w14:paraId="41F280AF" w14:textId="77777777" w:rsidR="003B120C" w:rsidRPr="00E24B3C" w:rsidRDefault="003B120C" w:rsidP="00B9184B">
      <w:pPr>
        <w:spacing w:after="0" w:line="360" w:lineRule="auto"/>
        <w:jc w:val="both"/>
        <w:rPr>
          <w:rFonts w:ascii="Arial" w:hAnsi="Arial" w:cs="Arial"/>
          <w:b/>
          <w:bCs/>
          <w:sz w:val="24"/>
          <w:szCs w:val="24"/>
        </w:rPr>
      </w:pPr>
      <w:r w:rsidRPr="00E24B3C">
        <w:rPr>
          <w:rFonts w:ascii="Arial" w:hAnsi="Arial" w:cs="Arial"/>
          <w:b/>
          <w:bCs/>
          <w:sz w:val="24"/>
          <w:szCs w:val="24"/>
        </w:rPr>
        <w:t xml:space="preserve">Adjusting </w:t>
      </w:r>
      <w:r w:rsidR="00DF192F">
        <w:rPr>
          <w:rFonts w:ascii="Arial" w:hAnsi="Arial" w:cs="Arial"/>
          <w:b/>
          <w:bCs/>
          <w:sz w:val="24"/>
          <w:szCs w:val="24"/>
        </w:rPr>
        <w:t>d</w:t>
      </w:r>
      <w:r w:rsidRPr="00E24B3C">
        <w:rPr>
          <w:rFonts w:ascii="Arial" w:hAnsi="Arial" w:cs="Arial"/>
          <w:b/>
          <w:bCs/>
          <w:sz w:val="24"/>
          <w:szCs w:val="24"/>
        </w:rPr>
        <w:t>ecision-</w:t>
      </w:r>
      <w:r w:rsidR="00DF192F">
        <w:rPr>
          <w:rFonts w:ascii="Arial" w:hAnsi="Arial" w:cs="Arial"/>
          <w:b/>
          <w:bCs/>
          <w:sz w:val="24"/>
          <w:szCs w:val="24"/>
        </w:rPr>
        <w:t>m</w:t>
      </w:r>
      <w:r w:rsidRPr="00E24B3C">
        <w:rPr>
          <w:rFonts w:ascii="Arial" w:hAnsi="Arial" w:cs="Arial"/>
          <w:b/>
          <w:bCs/>
          <w:sz w:val="24"/>
          <w:szCs w:val="24"/>
        </w:rPr>
        <w:t xml:space="preserve">aking </w:t>
      </w:r>
      <w:r w:rsidR="00DF192F">
        <w:rPr>
          <w:rFonts w:ascii="Arial" w:hAnsi="Arial" w:cs="Arial"/>
          <w:b/>
          <w:bCs/>
          <w:sz w:val="24"/>
          <w:szCs w:val="24"/>
        </w:rPr>
        <w:t>n</w:t>
      </w:r>
      <w:r w:rsidRPr="00E24B3C">
        <w:rPr>
          <w:rFonts w:ascii="Arial" w:hAnsi="Arial" w:cs="Arial"/>
          <w:b/>
          <w:bCs/>
          <w:sz w:val="24"/>
          <w:szCs w:val="24"/>
        </w:rPr>
        <w:t>orms</w:t>
      </w:r>
    </w:p>
    <w:p w14:paraId="0F3F8B2D" w14:textId="77777777" w:rsidR="003B120C" w:rsidRDefault="003B120C" w:rsidP="00B9184B">
      <w:pPr>
        <w:spacing w:after="0" w:line="360" w:lineRule="auto"/>
        <w:jc w:val="both"/>
        <w:rPr>
          <w:rFonts w:ascii="Arial" w:hAnsi="Arial" w:cs="Arial"/>
          <w:sz w:val="24"/>
          <w:szCs w:val="24"/>
        </w:rPr>
      </w:pPr>
      <w:r w:rsidRPr="00B9184B">
        <w:rPr>
          <w:rFonts w:ascii="Arial" w:hAnsi="Arial" w:cs="Arial"/>
          <w:sz w:val="24"/>
          <w:szCs w:val="24"/>
        </w:rPr>
        <w:t xml:space="preserve">The decision-making processes at GSK and Takeda differ significantly due to their distinct organizational cultures. GSK’s decentralized decision-making style contrasts with Takeda’s more hierarchical and group-focused approach. To bridge this gap, a hybrid decision-making process can be introduced. GSK can allow for more consensus-building in the early stages of decision-making, while Takeda can show flexibility with timelines and adjustments as needed. This approach will ensure that decisions are made collaboratively while respecting each company’s </w:t>
      </w:r>
      <w:r w:rsidR="00FC223C">
        <w:rPr>
          <w:rFonts w:ascii="Arial" w:hAnsi="Arial" w:cs="Arial"/>
          <w:sz w:val="24"/>
          <w:szCs w:val="24"/>
        </w:rPr>
        <w:t xml:space="preserve">             </w:t>
      </w:r>
      <w:r w:rsidRPr="00B9184B">
        <w:rPr>
          <w:rFonts w:ascii="Arial" w:hAnsi="Arial" w:cs="Arial"/>
          <w:sz w:val="24"/>
          <w:szCs w:val="24"/>
        </w:rPr>
        <w:t>decision-making norms.</w:t>
      </w:r>
    </w:p>
    <w:p w14:paraId="13CAE969" w14:textId="77777777" w:rsidR="00E24B3C" w:rsidRPr="00B9184B" w:rsidRDefault="00E24B3C" w:rsidP="00B9184B">
      <w:pPr>
        <w:spacing w:after="0" w:line="360" w:lineRule="auto"/>
        <w:jc w:val="both"/>
        <w:rPr>
          <w:rFonts w:ascii="Arial" w:hAnsi="Arial" w:cs="Arial"/>
          <w:sz w:val="24"/>
          <w:szCs w:val="24"/>
        </w:rPr>
      </w:pPr>
    </w:p>
    <w:p w14:paraId="6A690D20" w14:textId="77777777" w:rsidR="00E24B3C" w:rsidRPr="00E24B3C" w:rsidRDefault="003B120C" w:rsidP="00B9184B">
      <w:pPr>
        <w:spacing w:after="0" w:line="360" w:lineRule="auto"/>
        <w:jc w:val="both"/>
        <w:rPr>
          <w:rFonts w:ascii="Arial" w:hAnsi="Arial" w:cs="Arial"/>
          <w:b/>
          <w:bCs/>
          <w:sz w:val="24"/>
          <w:szCs w:val="24"/>
        </w:rPr>
      </w:pPr>
      <w:r w:rsidRPr="00E24B3C">
        <w:rPr>
          <w:rFonts w:ascii="Arial" w:hAnsi="Arial" w:cs="Arial"/>
          <w:b/>
          <w:bCs/>
          <w:sz w:val="24"/>
          <w:szCs w:val="24"/>
        </w:rPr>
        <w:t>Feedback loop</w:t>
      </w:r>
    </w:p>
    <w:p w14:paraId="5B29765D" w14:textId="77777777" w:rsidR="003B120C" w:rsidRPr="00B9184B" w:rsidRDefault="003B120C" w:rsidP="00B9184B">
      <w:pPr>
        <w:spacing w:after="0" w:line="360" w:lineRule="auto"/>
        <w:jc w:val="both"/>
        <w:rPr>
          <w:rFonts w:ascii="Arial" w:hAnsi="Arial" w:cs="Arial"/>
          <w:sz w:val="24"/>
          <w:szCs w:val="24"/>
        </w:rPr>
      </w:pPr>
      <w:r w:rsidRPr="00B9184B">
        <w:rPr>
          <w:rFonts w:ascii="Arial" w:hAnsi="Arial" w:cs="Arial"/>
          <w:sz w:val="24"/>
          <w:szCs w:val="24"/>
        </w:rPr>
        <w:t>Creating a structured feedback system where employees can regularly discuss their cross-cultural experiences would help strengthen adaptability and ongoing learning. These sessions could be part of routine project debriefs or held as specific intercultural review meetings. By providing a space for sharing insights and clarifying cultural differences, GSK and Takeda employees would gain a better grasp of how these nuances impact teamwork, allowing them to make adjustments that prevent misunderstandings.</w:t>
      </w:r>
    </w:p>
    <w:p w14:paraId="60AEC3A5" w14:textId="77777777" w:rsidR="003B120C" w:rsidRPr="00B9184B" w:rsidRDefault="0050384A" w:rsidP="00B9184B">
      <w:pPr>
        <w:spacing w:after="0" w:line="360" w:lineRule="auto"/>
        <w:jc w:val="both"/>
        <w:rPr>
          <w:rFonts w:ascii="Arial" w:hAnsi="Arial" w:cs="Arial"/>
          <w:sz w:val="24"/>
          <w:szCs w:val="24"/>
        </w:rPr>
      </w:pPr>
      <w:r w:rsidRPr="00B9184B">
        <w:rPr>
          <w:rFonts w:ascii="Arial" w:hAnsi="Arial" w:cs="Arial"/>
          <w:sz w:val="24"/>
          <w:szCs w:val="24"/>
        </w:rPr>
        <w:t>These strategies aim to reduce cultural friction, enhance mutual understanding, and build a cohesive, productive partnership.</w:t>
      </w:r>
    </w:p>
    <w:p w14:paraId="2B94866E" w14:textId="77777777" w:rsidR="00CE67CA" w:rsidRDefault="00CE67CA" w:rsidP="00B9184B">
      <w:pPr>
        <w:spacing w:after="0" w:line="360" w:lineRule="auto"/>
        <w:jc w:val="both"/>
        <w:rPr>
          <w:rFonts w:ascii="Arial" w:hAnsi="Arial" w:cs="Arial"/>
          <w:sz w:val="24"/>
          <w:szCs w:val="24"/>
        </w:rPr>
      </w:pPr>
    </w:p>
    <w:p w14:paraId="7BF5FC9A" w14:textId="77777777" w:rsidR="006850B9" w:rsidRDefault="006850B9" w:rsidP="00B9184B">
      <w:pPr>
        <w:spacing w:after="0" w:line="360" w:lineRule="auto"/>
        <w:jc w:val="both"/>
        <w:rPr>
          <w:rFonts w:ascii="Arial" w:hAnsi="Arial" w:cs="Arial"/>
          <w:sz w:val="24"/>
          <w:szCs w:val="24"/>
        </w:rPr>
      </w:pPr>
    </w:p>
    <w:p w14:paraId="26E8AD90" w14:textId="77777777" w:rsidR="006850B9" w:rsidRDefault="006850B9" w:rsidP="00B9184B">
      <w:pPr>
        <w:spacing w:after="0" w:line="360" w:lineRule="auto"/>
        <w:jc w:val="both"/>
        <w:rPr>
          <w:rFonts w:ascii="Arial" w:hAnsi="Arial" w:cs="Arial"/>
          <w:sz w:val="24"/>
          <w:szCs w:val="24"/>
        </w:rPr>
      </w:pPr>
    </w:p>
    <w:p w14:paraId="47572C7A" w14:textId="77777777" w:rsidR="006850B9" w:rsidRDefault="006850B9" w:rsidP="00B9184B">
      <w:pPr>
        <w:spacing w:after="0" w:line="360" w:lineRule="auto"/>
        <w:jc w:val="both"/>
        <w:rPr>
          <w:rFonts w:ascii="Arial" w:hAnsi="Arial" w:cs="Arial"/>
          <w:sz w:val="24"/>
          <w:szCs w:val="24"/>
        </w:rPr>
      </w:pPr>
    </w:p>
    <w:p w14:paraId="765222E0" w14:textId="77777777" w:rsidR="006850B9" w:rsidRDefault="006850B9" w:rsidP="00B9184B">
      <w:pPr>
        <w:spacing w:after="0" w:line="360" w:lineRule="auto"/>
        <w:jc w:val="both"/>
        <w:rPr>
          <w:rFonts w:ascii="Arial" w:hAnsi="Arial" w:cs="Arial"/>
          <w:sz w:val="24"/>
          <w:szCs w:val="24"/>
        </w:rPr>
      </w:pPr>
    </w:p>
    <w:p w14:paraId="4810F46B" w14:textId="77777777" w:rsidR="006850B9" w:rsidRDefault="006850B9" w:rsidP="00B9184B">
      <w:pPr>
        <w:spacing w:after="0" w:line="360" w:lineRule="auto"/>
        <w:jc w:val="both"/>
        <w:rPr>
          <w:rFonts w:ascii="Arial" w:hAnsi="Arial" w:cs="Arial"/>
          <w:sz w:val="24"/>
          <w:szCs w:val="24"/>
        </w:rPr>
      </w:pPr>
    </w:p>
    <w:p w14:paraId="4D7D8F40" w14:textId="77777777" w:rsidR="006850B9" w:rsidRDefault="006850B9" w:rsidP="00B9184B">
      <w:pPr>
        <w:spacing w:after="0" w:line="360" w:lineRule="auto"/>
        <w:jc w:val="both"/>
        <w:rPr>
          <w:rFonts w:ascii="Arial" w:hAnsi="Arial" w:cs="Arial"/>
          <w:sz w:val="24"/>
          <w:szCs w:val="24"/>
        </w:rPr>
      </w:pPr>
    </w:p>
    <w:p w14:paraId="64ED770B" w14:textId="77777777" w:rsidR="006850B9" w:rsidRDefault="006850B9" w:rsidP="00B9184B">
      <w:pPr>
        <w:spacing w:after="0" w:line="360" w:lineRule="auto"/>
        <w:jc w:val="both"/>
        <w:rPr>
          <w:rFonts w:ascii="Arial" w:hAnsi="Arial" w:cs="Arial"/>
          <w:sz w:val="24"/>
          <w:szCs w:val="24"/>
        </w:rPr>
      </w:pPr>
    </w:p>
    <w:p w14:paraId="04FCD750" w14:textId="77777777" w:rsidR="006850B9" w:rsidRDefault="006850B9" w:rsidP="00B9184B">
      <w:pPr>
        <w:spacing w:after="0" w:line="360" w:lineRule="auto"/>
        <w:jc w:val="both"/>
        <w:rPr>
          <w:rFonts w:ascii="Arial" w:hAnsi="Arial" w:cs="Arial"/>
          <w:sz w:val="24"/>
          <w:szCs w:val="24"/>
        </w:rPr>
      </w:pPr>
    </w:p>
    <w:p w14:paraId="72DCC444" w14:textId="77777777" w:rsidR="006850B9" w:rsidRPr="00B9184B" w:rsidRDefault="006850B9" w:rsidP="00B9184B">
      <w:pPr>
        <w:spacing w:after="0" w:line="360" w:lineRule="auto"/>
        <w:jc w:val="both"/>
        <w:rPr>
          <w:rFonts w:ascii="Arial" w:hAnsi="Arial" w:cs="Arial"/>
          <w:sz w:val="24"/>
          <w:szCs w:val="24"/>
        </w:rPr>
      </w:pPr>
    </w:p>
    <w:p w14:paraId="1A626B5A" w14:textId="77777777" w:rsidR="0050384A" w:rsidRPr="00E24B3C" w:rsidRDefault="0050384A" w:rsidP="00E24B3C">
      <w:pPr>
        <w:numPr>
          <w:ilvl w:val="0"/>
          <w:numId w:val="5"/>
        </w:numPr>
        <w:spacing w:after="0" w:line="360" w:lineRule="auto"/>
        <w:jc w:val="both"/>
        <w:rPr>
          <w:rFonts w:ascii="Arial" w:hAnsi="Arial" w:cs="Arial"/>
          <w:b/>
          <w:bCs/>
          <w:sz w:val="28"/>
          <w:szCs w:val="28"/>
        </w:rPr>
      </w:pPr>
      <w:r w:rsidRPr="00E24B3C">
        <w:rPr>
          <w:rFonts w:ascii="Arial" w:hAnsi="Arial" w:cs="Arial"/>
          <w:b/>
          <w:bCs/>
          <w:sz w:val="28"/>
          <w:szCs w:val="28"/>
        </w:rPr>
        <w:lastRenderedPageBreak/>
        <w:t>Conclusion</w:t>
      </w:r>
    </w:p>
    <w:p w14:paraId="4CBD1EE8" w14:textId="77777777" w:rsidR="004C039A" w:rsidRPr="00B9184B" w:rsidRDefault="004C039A" w:rsidP="00B9184B">
      <w:pPr>
        <w:spacing w:after="0" w:line="360" w:lineRule="auto"/>
        <w:jc w:val="both"/>
        <w:rPr>
          <w:rFonts w:ascii="Arial" w:hAnsi="Arial" w:cs="Arial"/>
          <w:sz w:val="24"/>
          <w:szCs w:val="24"/>
        </w:rPr>
      </w:pPr>
    </w:p>
    <w:p w14:paraId="0E578180" w14:textId="77777777" w:rsidR="004C039A" w:rsidRPr="004C039A" w:rsidRDefault="004C039A" w:rsidP="00B9184B">
      <w:pPr>
        <w:spacing w:after="0" w:line="360" w:lineRule="auto"/>
        <w:jc w:val="both"/>
        <w:rPr>
          <w:rFonts w:ascii="Arial" w:hAnsi="Arial" w:cs="Arial"/>
          <w:sz w:val="24"/>
          <w:szCs w:val="24"/>
        </w:rPr>
      </w:pPr>
      <w:r w:rsidRPr="004C039A">
        <w:rPr>
          <w:rFonts w:ascii="Arial" w:hAnsi="Arial" w:cs="Arial"/>
          <w:sz w:val="24"/>
          <w:szCs w:val="24"/>
        </w:rPr>
        <w:t>In conclusion, GSK and Takeda’s communication challenges stem from cultural differences, especially in how they express emotions, handle hierarchy, and communicate. GSK’s direct style can clash with Takeda’s more subtle approach, leading to misunderstandings. However, these differences also offer a chance to strengthen their partnership. By adjusting their communication styles, focusing on cultural training, and building trust, both companies can improve collaboration. Aligning their goals, adapting decision-making processes, and working in mixed teams will help bridge cultural gaps, ensuring a more successful and harmonious partnership in the global pharmaceutical industry.</w:t>
      </w:r>
    </w:p>
    <w:p w14:paraId="4E0FCF76" w14:textId="77777777" w:rsidR="004C039A" w:rsidRPr="004C039A" w:rsidRDefault="004C039A" w:rsidP="00B9184B">
      <w:pPr>
        <w:spacing w:after="0" w:line="360" w:lineRule="auto"/>
        <w:jc w:val="both"/>
        <w:rPr>
          <w:rFonts w:ascii="Arial" w:hAnsi="Arial" w:cs="Arial"/>
          <w:sz w:val="24"/>
          <w:szCs w:val="24"/>
        </w:rPr>
      </w:pPr>
    </w:p>
    <w:p w14:paraId="4F96B20A" w14:textId="77777777" w:rsidR="004C039A" w:rsidRPr="00B9184B" w:rsidRDefault="004C039A" w:rsidP="00B9184B">
      <w:pPr>
        <w:spacing w:after="0" w:line="360" w:lineRule="auto"/>
        <w:jc w:val="both"/>
        <w:rPr>
          <w:rFonts w:ascii="Arial" w:hAnsi="Arial" w:cs="Arial"/>
          <w:sz w:val="24"/>
          <w:szCs w:val="24"/>
        </w:rPr>
      </w:pPr>
    </w:p>
    <w:p w14:paraId="6339111B" w14:textId="77777777" w:rsidR="007E530A" w:rsidRPr="00B9184B" w:rsidRDefault="007E530A" w:rsidP="00B9184B">
      <w:pPr>
        <w:spacing w:after="0" w:line="360" w:lineRule="auto"/>
        <w:jc w:val="both"/>
        <w:rPr>
          <w:rFonts w:ascii="Arial" w:hAnsi="Arial" w:cs="Arial"/>
          <w:sz w:val="24"/>
          <w:szCs w:val="24"/>
        </w:rPr>
      </w:pPr>
    </w:p>
    <w:p w14:paraId="1F523318" w14:textId="77777777" w:rsidR="007E530A" w:rsidRPr="00B9184B" w:rsidRDefault="007E530A" w:rsidP="00B9184B">
      <w:pPr>
        <w:spacing w:after="0" w:line="360" w:lineRule="auto"/>
        <w:jc w:val="both"/>
        <w:rPr>
          <w:rFonts w:ascii="Arial" w:hAnsi="Arial" w:cs="Arial"/>
          <w:sz w:val="24"/>
          <w:szCs w:val="24"/>
        </w:rPr>
      </w:pPr>
    </w:p>
    <w:p w14:paraId="2F7EE3FB" w14:textId="77777777" w:rsidR="009644D7" w:rsidRPr="00B9184B" w:rsidRDefault="009644D7" w:rsidP="00B9184B">
      <w:pPr>
        <w:spacing w:after="0" w:line="360" w:lineRule="auto"/>
        <w:jc w:val="both"/>
        <w:rPr>
          <w:rFonts w:ascii="Arial" w:hAnsi="Arial" w:cs="Arial"/>
          <w:sz w:val="24"/>
          <w:szCs w:val="24"/>
        </w:rPr>
      </w:pPr>
    </w:p>
    <w:p w14:paraId="31FCD9DE" w14:textId="77777777" w:rsidR="009644D7" w:rsidRDefault="009644D7" w:rsidP="00B9184B">
      <w:pPr>
        <w:spacing w:after="0" w:line="360" w:lineRule="auto"/>
        <w:jc w:val="both"/>
        <w:rPr>
          <w:rFonts w:ascii="Arial" w:hAnsi="Arial" w:cs="Arial"/>
          <w:sz w:val="24"/>
          <w:szCs w:val="24"/>
        </w:rPr>
      </w:pPr>
    </w:p>
    <w:p w14:paraId="4C3EF0A4" w14:textId="77777777" w:rsidR="00AD5768" w:rsidRDefault="00AD5768" w:rsidP="00B9184B">
      <w:pPr>
        <w:spacing w:after="0" w:line="360" w:lineRule="auto"/>
        <w:jc w:val="both"/>
        <w:rPr>
          <w:rFonts w:ascii="Arial" w:hAnsi="Arial" w:cs="Arial"/>
          <w:sz w:val="24"/>
          <w:szCs w:val="24"/>
        </w:rPr>
      </w:pPr>
    </w:p>
    <w:p w14:paraId="25A29900" w14:textId="77777777" w:rsidR="00AD5768" w:rsidRDefault="00AD5768" w:rsidP="00B9184B">
      <w:pPr>
        <w:spacing w:after="0" w:line="360" w:lineRule="auto"/>
        <w:jc w:val="both"/>
        <w:rPr>
          <w:rFonts w:ascii="Arial" w:hAnsi="Arial" w:cs="Arial"/>
          <w:sz w:val="24"/>
          <w:szCs w:val="24"/>
        </w:rPr>
      </w:pPr>
    </w:p>
    <w:p w14:paraId="69D44B2C" w14:textId="77777777" w:rsidR="00AD5768" w:rsidRDefault="00AD5768" w:rsidP="00B9184B">
      <w:pPr>
        <w:spacing w:after="0" w:line="360" w:lineRule="auto"/>
        <w:jc w:val="both"/>
        <w:rPr>
          <w:rFonts w:ascii="Arial" w:hAnsi="Arial" w:cs="Arial"/>
          <w:sz w:val="24"/>
          <w:szCs w:val="24"/>
        </w:rPr>
      </w:pPr>
    </w:p>
    <w:p w14:paraId="1054BD57" w14:textId="77777777" w:rsidR="00AD5768" w:rsidRDefault="00AD5768" w:rsidP="00B9184B">
      <w:pPr>
        <w:spacing w:after="0" w:line="360" w:lineRule="auto"/>
        <w:jc w:val="both"/>
        <w:rPr>
          <w:rFonts w:ascii="Arial" w:hAnsi="Arial" w:cs="Arial"/>
          <w:sz w:val="24"/>
          <w:szCs w:val="24"/>
        </w:rPr>
      </w:pPr>
    </w:p>
    <w:p w14:paraId="1DF06ABB" w14:textId="77777777" w:rsidR="00AD5768" w:rsidRDefault="00AD5768" w:rsidP="00B9184B">
      <w:pPr>
        <w:spacing w:after="0" w:line="360" w:lineRule="auto"/>
        <w:jc w:val="both"/>
        <w:rPr>
          <w:rFonts w:ascii="Arial" w:hAnsi="Arial" w:cs="Arial"/>
          <w:sz w:val="24"/>
          <w:szCs w:val="24"/>
        </w:rPr>
      </w:pPr>
    </w:p>
    <w:p w14:paraId="2B3B3D49" w14:textId="77777777" w:rsidR="00AD5768" w:rsidRDefault="00AD5768" w:rsidP="00B9184B">
      <w:pPr>
        <w:spacing w:after="0" w:line="360" w:lineRule="auto"/>
        <w:jc w:val="both"/>
        <w:rPr>
          <w:rFonts w:ascii="Arial" w:hAnsi="Arial" w:cs="Arial"/>
          <w:sz w:val="24"/>
          <w:szCs w:val="24"/>
        </w:rPr>
      </w:pPr>
    </w:p>
    <w:p w14:paraId="1AAAD996" w14:textId="77777777" w:rsidR="00AD5768" w:rsidRDefault="00AD5768" w:rsidP="00B9184B">
      <w:pPr>
        <w:spacing w:after="0" w:line="360" w:lineRule="auto"/>
        <w:jc w:val="both"/>
        <w:rPr>
          <w:rFonts w:ascii="Arial" w:hAnsi="Arial" w:cs="Arial"/>
          <w:sz w:val="24"/>
          <w:szCs w:val="24"/>
        </w:rPr>
      </w:pPr>
    </w:p>
    <w:p w14:paraId="276A0E95" w14:textId="77777777" w:rsidR="00AD5768" w:rsidRDefault="00AD5768" w:rsidP="00B9184B">
      <w:pPr>
        <w:spacing w:after="0" w:line="360" w:lineRule="auto"/>
        <w:jc w:val="both"/>
        <w:rPr>
          <w:rFonts w:ascii="Arial" w:hAnsi="Arial" w:cs="Arial"/>
          <w:sz w:val="24"/>
          <w:szCs w:val="24"/>
        </w:rPr>
      </w:pPr>
    </w:p>
    <w:p w14:paraId="2ABE41B9" w14:textId="77777777" w:rsidR="00AD5768" w:rsidRDefault="00AD5768" w:rsidP="00B9184B">
      <w:pPr>
        <w:spacing w:after="0" w:line="360" w:lineRule="auto"/>
        <w:jc w:val="both"/>
        <w:rPr>
          <w:rFonts w:ascii="Arial" w:hAnsi="Arial" w:cs="Arial"/>
          <w:sz w:val="24"/>
          <w:szCs w:val="24"/>
        </w:rPr>
      </w:pPr>
    </w:p>
    <w:p w14:paraId="5FEC16A5" w14:textId="77777777" w:rsidR="00AD5768" w:rsidRDefault="00AD5768" w:rsidP="00B9184B">
      <w:pPr>
        <w:spacing w:after="0" w:line="360" w:lineRule="auto"/>
        <w:jc w:val="both"/>
        <w:rPr>
          <w:rFonts w:ascii="Arial" w:hAnsi="Arial" w:cs="Arial"/>
          <w:sz w:val="24"/>
          <w:szCs w:val="24"/>
        </w:rPr>
      </w:pPr>
    </w:p>
    <w:p w14:paraId="7F2D99DF" w14:textId="77777777" w:rsidR="00AD5768" w:rsidRDefault="00AD5768" w:rsidP="00B9184B">
      <w:pPr>
        <w:spacing w:after="0" w:line="360" w:lineRule="auto"/>
        <w:jc w:val="both"/>
        <w:rPr>
          <w:rFonts w:ascii="Arial" w:hAnsi="Arial" w:cs="Arial"/>
          <w:sz w:val="24"/>
          <w:szCs w:val="24"/>
        </w:rPr>
      </w:pPr>
    </w:p>
    <w:p w14:paraId="1374E95D" w14:textId="77777777" w:rsidR="00AD5768" w:rsidRDefault="00AD5768" w:rsidP="00B9184B">
      <w:pPr>
        <w:spacing w:after="0" w:line="360" w:lineRule="auto"/>
        <w:jc w:val="both"/>
        <w:rPr>
          <w:rFonts w:ascii="Arial" w:hAnsi="Arial" w:cs="Arial"/>
          <w:sz w:val="24"/>
          <w:szCs w:val="24"/>
        </w:rPr>
      </w:pPr>
    </w:p>
    <w:p w14:paraId="07295740" w14:textId="77777777" w:rsidR="00AD5768" w:rsidRDefault="00AD5768" w:rsidP="00B9184B">
      <w:pPr>
        <w:spacing w:after="0" w:line="360" w:lineRule="auto"/>
        <w:jc w:val="both"/>
        <w:rPr>
          <w:rFonts w:ascii="Arial" w:hAnsi="Arial" w:cs="Arial"/>
          <w:sz w:val="24"/>
          <w:szCs w:val="24"/>
        </w:rPr>
      </w:pPr>
    </w:p>
    <w:p w14:paraId="5804EA25" w14:textId="77777777" w:rsidR="006850B9" w:rsidRDefault="006850B9" w:rsidP="00B9184B">
      <w:pPr>
        <w:spacing w:after="0" w:line="360" w:lineRule="auto"/>
        <w:jc w:val="both"/>
        <w:rPr>
          <w:rFonts w:ascii="Arial" w:hAnsi="Arial" w:cs="Arial"/>
          <w:sz w:val="24"/>
          <w:szCs w:val="24"/>
        </w:rPr>
      </w:pPr>
    </w:p>
    <w:p w14:paraId="4F977A9C" w14:textId="77777777" w:rsidR="006850B9" w:rsidRDefault="006850B9" w:rsidP="00B9184B">
      <w:pPr>
        <w:spacing w:after="0" w:line="360" w:lineRule="auto"/>
        <w:jc w:val="both"/>
        <w:rPr>
          <w:rFonts w:ascii="Arial" w:hAnsi="Arial" w:cs="Arial"/>
          <w:sz w:val="24"/>
          <w:szCs w:val="24"/>
        </w:rPr>
      </w:pPr>
    </w:p>
    <w:p w14:paraId="0147A577" w14:textId="77777777" w:rsidR="006850B9" w:rsidRDefault="006850B9" w:rsidP="00B9184B">
      <w:pPr>
        <w:spacing w:after="0" w:line="360" w:lineRule="auto"/>
        <w:jc w:val="both"/>
        <w:rPr>
          <w:rFonts w:ascii="Arial" w:hAnsi="Arial" w:cs="Arial"/>
          <w:sz w:val="24"/>
          <w:szCs w:val="24"/>
        </w:rPr>
      </w:pPr>
    </w:p>
    <w:p w14:paraId="34A38432" w14:textId="77777777" w:rsidR="00E24B3C" w:rsidRPr="00E24B3C" w:rsidRDefault="00E24B3C" w:rsidP="006850B9">
      <w:pPr>
        <w:numPr>
          <w:ilvl w:val="0"/>
          <w:numId w:val="5"/>
        </w:numPr>
        <w:spacing w:after="0" w:line="360" w:lineRule="auto"/>
        <w:jc w:val="both"/>
        <w:rPr>
          <w:rFonts w:ascii="Arial" w:hAnsi="Arial" w:cs="Arial"/>
          <w:b/>
          <w:bCs/>
          <w:sz w:val="28"/>
          <w:szCs w:val="28"/>
        </w:rPr>
      </w:pPr>
      <w:r w:rsidRPr="00E24B3C">
        <w:rPr>
          <w:rFonts w:ascii="Arial" w:hAnsi="Arial" w:cs="Arial"/>
          <w:b/>
          <w:bCs/>
          <w:sz w:val="28"/>
          <w:szCs w:val="28"/>
        </w:rPr>
        <w:lastRenderedPageBreak/>
        <w:t>References list:</w:t>
      </w:r>
    </w:p>
    <w:p w14:paraId="00135453" w14:textId="77777777" w:rsidR="00AD5768" w:rsidRDefault="00AD5768" w:rsidP="00B9184B">
      <w:pPr>
        <w:spacing w:after="0" w:line="360" w:lineRule="auto"/>
        <w:jc w:val="both"/>
        <w:rPr>
          <w:rFonts w:ascii="Arial" w:hAnsi="Arial" w:cs="Arial"/>
          <w:sz w:val="24"/>
          <w:szCs w:val="24"/>
        </w:rPr>
      </w:pPr>
    </w:p>
    <w:p w14:paraId="0096B130" w14:textId="77777777" w:rsidR="00455B2F" w:rsidRDefault="00455B2F" w:rsidP="00AD5768">
      <w:pPr>
        <w:numPr>
          <w:ilvl w:val="0"/>
          <w:numId w:val="6"/>
        </w:numPr>
        <w:spacing w:after="0" w:line="360" w:lineRule="auto"/>
        <w:jc w:val="both"/>
        <w:rPr>
          <w:rFonts w:ascii="Arial" w:hAnsi="Arial" w:cs="Arial"/>
          <w:sz w:val="24"/>
          <w:szCs w:val="24"/>
        </w:rPr>
      </w:pPr>
      <w:r w:rsidRPr="00B9184B">
        <w:rPr>
          <w:rFonts w:ascii="Arial" w:hAnsi="Arial" w:cs="Arial"/>
          <w:sz w:val="24"/>
          <w:szCs w:val="24"/>
        </w:rPr>
        <w:t>An, D. (2007) ‘Advertising visuals in global brands’ local websites: a six-country comparison’, </w:t>
      </w:r>
      <w:r w:rsidRPr="00B9184B">
        <w:rPr>
          <w:rFonts w:ascii="Arial" w:hAnsi="Arial" w:cs="Arial"/>
          <w:i/>
          <w:iCs/>
          <w:sz w:val="24"/>
          <w:szCs w:val="24"/>
        </w:rPr>
        <w:t>International journal of advertising</w:t>
      </w:r>
      <w:r w:rsidRPr="00B9184B">
        <w:rPr>
          <w:rFonts w:ascii="Arial" w:hAnsi="Arial" w:cs="Arial"/>
          <w:sz w:val="24"/>
          <w:szCs w:val="24"/>
        </w:rPr>
        <w:t xml:space="preserve">, 26(3), pp. 303–332. Available at: </w:t>
      </w:r>
      <w:hyperlink r:id="rId14" w:history="1">
        <w:r w:rsidRPr="00B9184B">
          <w:rPr>
            <w:rStyle w:val="Hyperlink"/>
            <w:rFonts w:ascii="Arial" w:hAnsi="Arial" w:cs="Arial"/>
            <w:sz w:val="24"/>
            <w:szCs w:val="24"/>
          </w:rPr>
          <w:t>https://doi.org/10.1080/02650487.2007.11073016</w:t>
        </w:r>
      </w:hyperlink>
      <w:r w:rsidRPr="00B9184B">
        <w:rPr>
          <w:rFonts w:ascii="Arial" w:hAnsi="Arial" w:cs="Arial"/>
          <w:sz w:val="24"/>
          <w:szCs w:val="24"/>
        </w:rPr>
        <w:t>.</w:t>
      </w:r>
    </w:p>
    <w:p w14:paraId="30181CAC" w14:textId="77777777" w:rsidR="00455B2F" w:rsidRDefault="00455B2F" w:rsidP="00AD5768">
      <w:pPr>
        <w:numPr>
          <w:ilvl w:val="0"/>
          <w:numId w:val="6"/>
        </w:numPr>
        <w:spacing w:after="0" w:line="360" w:lineRule="auto"/>
        <w:jc w:val="both"/>
        <w:rPr>
          <w:rFonts w:ascii="Arial" w:hAnsi="Arial" w:cs="Arial"/>
          <w:sz w:val="24"/>
          <w:szCs w:val="24"/>
        </w:rPr>
      </w:pPr>
      <w:r w:rsidRPr="00B9184B">
        <w:rPr>
          <w:rFonts w:ascii="Arial" w:hAnsi="Arial" w:cs="Arial"/>
          <w:sz w:val="24"/>
          <w:szCs w:val="24"/>
        </w:rPr>
        <w:t>Brodbeck, F.C. </w:t>
      </w:r>
      <w:r w:rsidRPr="00D07654">
        <w:rPr>
          <w:rFonts w:ascii="Arial" w:hAnsi="Arial" w:cs="Arial"/>
          <w:sz w:val="24"/>
          <w:szCs w:val="24"/>
        </w:rPr>
        <w:t>et al.</w:t>
      </w:r>
      <w:r w:rsidRPr="00B9184B">
        <w:rPr>
          <w:rFonts w:ascii="Arial" w:hAnsi="Arial" w:cs="Arial"/>
          <w:sz w:val="24"/>
          <w:szCs w:val="24"/>
        </w:rPr>
        <w:t> (2000) ‘Cultural variation of leadership prototypes across 22 European countries’, </w:t>
      </w:r>
      <w:r w:rsidRPr="00B9184B">
        <w:rPr>
          <w:rFonts w:ascii="Arial" w:hAnsi="Arial" w:cs="Arial"/>
          <w:i/>
          <w:iCs/>
          <w:sz w:val="24"/>
          <w:szCs w:val="24"/>
        </w:rPr>
        <w:t>Journal of occupational and organizational psychology</w:t>
      </w:r>
      <w:r w:rsidRPr="00B9184B">
        <w:rPr>
          <w:rFonts w:ascii="Arial" w:hAnsi="Arial" w:cs="Arial"/>
          <w:sz w:val="24"/>
          <w:szCs w:val="24"/>
        </w:rPr>
        <w:t xml:space="preserve">, 73(1), pp. 1–29. Available at: </w:t>
      </w:r>
      <w:hyperlink r:id="rId15" w:history="1">
        <w:r w:rsidRPr="00B9184B">
          <w:rPr>
            <w:rStyle w:val="Hyperlink"/>
            <w:rFonts w:ascii="Arial" w:hAnsi="Arial" w:cs="Arial"/>
            <w:sz w:val="24"/>
            <w:szCs w:val="24"/>
          </w:rPr>
          <w:t>https://doi.org/10.1348/096317900166859</w:t>
        </w:r>
      </w:hyperlink>
      <w:r>
        <w:rPr>
          <w:rFonts w:ascii="Arial" w:hAnsi="Arial" w:cs="Arial"/>
          <w:sz w:val="24"/>
          <w:szCs w:val="24"/>
        </w:rPr>
        <w:t>.</w:t>
      </w:r>
    </w:p>
    <w:p w14:paraId="2810D200" w14:textId="77777777" w:rsidR="00455B2F" w:rsidRPr="00BE7C0A" w:rsidRDefault="00455B2F" w:rsidP="00BE7C0A">
      <w:pPr>
        <w:numPr>
          <w:ilvl w:val="0"/>
          <w:numId w:val="6"/>
        </w:numPr>
        <w:spacing w:line="360" w:lineRule="auto"/>
        <w:jc w:val="both"/>
        <w:rPr>
          <w:rFonts w:ascii="Arial" w:hAnsi="Arial" w:cs="Arial"/>
          <w:sz w:val="24"/>
          <w:szCs w:val="24"/>
        </w:rPr>
      </w:pPr>
      <w:r>
        <w:rPr>
          <w:rFonts w:ascii="Arial" w:hAnsi="Arial" w:cs="Arial"/>
          <w:sz w:val="24"/>
          <w:szCs w:val="24"/>
        </w:rPr>
        <w:t xml:space="preserve">GSK (2024) </w:t>
      </w:r>
      <w:r w:rsidRPr="00BE7C0A">
        <w:rPr>
          <w:rFonts w:ascii="Arial" w:hAnsi="Arial" w:cs="Arial"/>
          <w:i/>
          <w:iCs/>
          <w:sz w:val="24"/>
          <w:szCs w:val="24"/>
        </w:rPr>
        <w:t>Purpose, strategy and culture.</w:t>
      </w:r>
      <w:r w:rsidRPr="00BE7C0A">
        <w:rPr>
          <w:rFonts w:ascii="Arial" w:hAnsi="Arial" w:cs="Arial"/>
          <w:sz w:val="24"/>
          <w:szCs w:val="24"/>
        </w:rPr>
        <w:t xml:space="preserve"> </w:t>
      </w:r>
      <w:r>
        <w:rPr>
          <w:rFonts w:ascii="Arial" w:hAnsi="Arial" w:cs="Arial"/>
          <w:sz w:val="24"/>
          <w:szCs w:val="24"/>
        </w:rPr>
        <w:t>Available at:</w:t>
      </w:r>
      <w:r w:rsidRPr="00BE7C0A">
        <w:t xml:space="preserve"> </w:t>
      </w:r>
      <w:hyperlink r:id="rId16" w:history="1">
        <w:r w:rsidRPr="00BE7C0A">
          <w:rPr>
            <w:rStyle w:val="Hyperlink"/>
            <w:rFonts w:ascii="Arial" w:hAnsi="Arial" w:cs="Arial"/>
            <w:sz w:val="24"/>
            <w:szCs w:val="24"/>
          </w:rPr>
          <w:t>Purpose, strategy and culture | GSK</w:t>
        </w:r>
      </w:hyperlink>
      <w:r>
        <w:rPr>
          <w:rFonts w:ascii="Arial" w:hAnsi="Arial" w:cs="Arial"/>
          <w:sz w:val="24"/>
          <w:szCs w:val="24"/>
        </w:rPr>
        <w:t xml:space="preserve"> (Accessed: 01.2024).</w:t>
      </w:r>
    </w:p>
    <w:p w14:paraId="28551647" w14:textId="77777777" w:rsidR="00455B2F" w:rsidRPr="00C470ED" w:rsidRDefault="00455B2F" w:rsidP="00C470ED">
      <w:pPr>
        <w:numPr>
          <w:ilvl w:val="0"/>
          <w:numId w:val="6"/>
        </w:numPr>
        <w:spacing w:line="360" w:lineRule="auto"/>
        <w:jc w:val="both"/>
        <w:rPr>
          <w:rFonts w:ascii="Arial" w:hAnsi="Arial" w:cs="Arial"/>
          <w:sz w:val="24"/>
          <w:szCs w:val="24"/>
        </w:rPr>
      </w:pPr>
      <w:r>
        <w:rPr>
          <w:rFonts w:ascii="Arial" w:hAnsi="Arial" w:cs="Arial"/>
          <w:sz w:val="24"/>
          <w:szCs w:val="24"/>
        </w:rPr>
        <w:t xml:space="preserve">GSK (2024) </w:t>
      </w:r>
      <w:r w:rsidRPr="00C470ED">
        <w:rPr>
          <w:rFonts w:ascii="Arial" w:hAnsi="Arial" w:cs="Arial"/>
          <w:i/>
          <w:iCs/>
          <w:sz w:val="24"/>
          <w:szCs w:val="24"/>
        </w:rPr>
        <w:t>Purpose, strategy and culture</w:t>
      </w:r>
      <w:r>
        <w:rPr>
          <w:rFonts w:ascii="Arial" w:hAnsi="Arial" w:cs="Arial"/>
          <w:i/>
          <w:iCs/>
          <w:sz w:val="24"/>
          <w:szCs w:val="24"/>
        </w:rPr>
        <w:t>.</w:t>
      </w:r>
      <w:r>
        <w:rPr>
          <w:rFonts w:ascii="Arial" w:hAnsi="Arial" w:cs="Arial"/>
          <w:sz w:val="24"/>
          <w:szCs w:val="24"/>
        </w:rPr>
        <w:t xml:space="preserve"> Available at: </w:t>
      </w:r>
      <w:hyperlink r:id="rId17" w:history="1">
        <w:r w:rsidRPr="00C470ED">
          <w:rPr>
            <w:rStyle w:val="Hyperlink"/>
            <w:rFonts w:ascii="Arial" w:hAnsi="Arial" w:cs="Arial"/>
            <w:sz w:val="24"/>
            <w:szCs w:val="24"/>
          </w:rPr>
          <w:t>Purpose, strategy and culture | GSK</w:t>
        </w:r>
      </w:hyperlink>
      <w:r>
        <w:rPr>
          <w:rFonts w:ascii="Arial" w:hAnsi="Arial" w:cs="Arial"/>
          <w:sz w:val="24"/>
          <w:szCs w:val="24"/>
        </w:rPr>
        <w:t xml:space="preserve"> (Accessed: 05.11.2024).</w:t>
      </w:r>
    </w:p>
    <w:p w14:paraId="6344782F" w14:textId="77777777" w:rsidR="00455B2F" w:rsidRPr="006242B4" w:rsidRDefault="00455B2F" w:rsidP="006242B4">
      <w:pPr>
        <w:numPr>
          <w:ilvl w:val="0"/>
          <w:numId w:val="6"/>
        </w:numPr>
        <w:spacing w:after="0" w:line="360" w:lineRule="auto"/>
        <w:jc w:val="both"/>
        <w:rPr>
          <w:rFonts w:ascii="Arial" w:hAnsi="Arial" w:cs="Arial"/>
          <w:b/>
          <w:bCs/>
          <w:sz w:val="24"/>
          <w:szCs w:val="24"/>
        </w:rPr>
      </w:pPr>
      <w:r>
        <w:rPr>
          <w:rFonts w:ascii="Arial" w:hAnsi="Arial" w:cs="Arial"/>
          <w:sz w:val="24"/>
          <w:szCs w:val="24"/>
        </w:rPr>
        <w:t>Hidayat, R. (2024</w:t>
      </w:r>
      <w:r w:rsidRPr="006242B4">
        <w:rPr>
          <w:rFonts w:ascii="Arial" w:hAnsi="Arial" w:cs="Arial"/>
          <w:sz w:val="24"/>
          <w:szCs w:val="24"/>
        </w:rPr>
        <w:t>) ‘Emma Walmsley Leadership Style: Fostering a Culture of Excellence at GSK’</w:t>
      </w:r>
      <w:r>
        <w:rPr>
          <w:rFonts w:ascii="Arial" w:hAnsi="Arial" w:cs="Arial"/>
          <w:sz w:val="24"/>
          <w:szCs w:val="24"/>
        </w:rPr>
        <w:t xml:space="preserve">, </w:t>
      </w:r>
      <w:r>
        <w:rPr>
          <w:rFonts w:ascii="Arial" w:hAnsi="Arial" w:cs="Arial"/>
          <w:i/>
          <w:iCs/>
          <w:sz w:val="24"/>
          <w:szCs w:val="24"/>
        </w:rPr>
        <w:t xml:space="preserve">Hidayat Rizvi </w:t>
      </w:r>
      <w:r>
        <w:rPr>
          <w:rFonts w:ascii="Arial" w:hAnsi="Arial" w:cs="Arial"/>
          <w:sz w:val="24"/>
          <w:szCs w:val="24"/>
        </w:rPr>
        <w:t xml:space="preserve">[blog]. 6 September. Available at: </w:t>
      </w:r>
      <w:hyperlink r:id="rId18" w:history="1">
        <w:r w:rsidRPr="00CB1069">
          <w:rPr>
            <w:rStyle w:val="Hyperlink"/>
            <w:rFonts w:ascii="Arial" w:hAnsi="Arial" w:cs="Arial"/>
            <w:sz w:val="24"/>
            <w:szCs w:val="24"/>
          </w:rPr>
          <w:t>Emma Walmsley Leadership Style: Fostering a Culture of Excellence at GSK - Hidayat Rizvi</w:t>
        </w:r>
      </w:hyperlink>
      <w:r>
        <w:rPr>
          <w:rFonts w:ascii="Arial" w:hAnsi="Arial" w:cs="Arial"/>
          <w:sz w:val="24"/>
          <w:szCs w:val="24"/>
        </w:rPr>
        <w:t xml:space="preserve"> (Accessed: 07.11.2024).</w:t>
      </w:r>
    </w:p>
    <w:p w14:paraId="54C38D79" w14:textId="77777777" w:rsidR="00455B2F" w:rsidRDefault="00455B2F" w:rsidP="00AD5768">
      <w:pPr>
        <w:numPr>
          <w:ilvl w:val="0"/>
          <w:numId w:val="6"/>
        </w:numPr>
        <w:spacing w:after="0" w:line="360" w:lineRule="auto"/>
        <w:jc w:val="both"/>
        <w:rPr>
          <w:rFonts w:ascii="Arial" w:hAnsi="Arial" w:cs="Arial"/>
          <w:sz w:val="24"/>
          <w:szCs w:val="24"/>
        </w:rPr>
      </w:pPr>
      <w:r w:rsidRPr="00B9184B">
        <w:rPr>
          <w:rFonts w:ascii="Arial" w:hAnsi="Arial" w:cs="Arial"/>
          <w:sz w:val="24"/>
          <w:szCs w:val="24"/>
        </w:rPr>
        <w:t>Kittler, M.G. </w:t>
      </w:r>
      <w:r w:rsidRPr="00D07654">
        <w:rPr>
          <w:rFonts w:ascii="Arial" w:hAnsi="Arial" w:cs="Arial"/>
          <w:sz w:val="24"/>
          <w:szCs w:val="24"/>
        </w:rPr>
        <w:t>et al.</w:t>
      </w:r>
      <w:r w:rsidRPr="00B9184B">
        <w:rPr>
          <w:rFonts w:ascii="Arial" w:hAnsi="Arial" w:cs="Arial"/>
          <w:sz w:val="24"/>
          <w:szCs w:val="24"/>
        </w:rPr>
        <w:t> (2011) ‘Special Review Article: Beyond culture or beyond control? Reviewing the use of Hall’s high-/low-context concept’, </w:t>
      </w:r>
      <w:r w:rsidRPr="00B9184B">
        <w:rPr>
          <w:rFonts w:ascii="Arial" w:hAnsi="Arial" w:cs="Arial"/>
          <w:i/>
          <w:iCs/>
          <w:sz w:val="24"/>
          <w:szCs w:val="24"/>
        </w:rPr>
        <w:t>International Journal of Cross-Cultural Management</w:t>
      </w:r>
      <w:r w:rsidRPr="00B9184B">
        <w:rPr>
          <w:rFonts w:ascii="Arial" w:hAnsi="Arial" w:cs="Arial"/>
          <w:sz w:val="24"/>
          <w:szCs w:val="24"/>
        </w:rPr>
        <w:t xml:space="preserve">, 11(1), pp. 63–82. Available at: </w:t>
      </w:r>
      <w:hyperlink r:id="rId19" w:history="1">
        <w:r w:rsidRPr="00B9184B">
          <w:rPr>
            <w:rStyle w:val="Hyperlink"/>
            <w:rFonts w:ascii="Arial" w:hAnsi="Arial" w:cs="Arial"/>
            <w:sz w:val="24"/>
            <w:szCs w:val="24"/>
          </w:rPr>
          <w:t>https://doi.org/10.1177/1470595811398797</w:t>
        </w:r>
      </w:hyperlink>
      <w:r>
        <w:rPr>
          <w:rFonts w:ascii="Arial" w:hAnsi="Arial" w:cs="Arial"/>
          <w:sz w:val="24"/>
          <w:szCs w:val="24"/>
        </w:rPr>
        <w:t>.</w:t>
      </w:r>
    </w:p>
    <w:p w14:paraId="6D173219" w14:textId="77777777" w:rsidR="00455B2F" w:rsidRPr="00B94032" w:rsidRDefault="00455B2F" w:rsidP="00B94032">
      <w:pPr>
        <w:numPr>
          <w:ilvl w:val="0"/>
          <w:numId w:val="6"/>
        </w:numPr>
        <w:spacing w:after="0" w:line="360" w:lineRule="auto"/>
        <w:jc w:val="both"/>
        <w:rPr>
          <w:rFonts w:ascii="Arial" w:hAnsi="Arial" w:cs="Arial"/>
          <w:b/>
          <w:bCs/>
          <w:sz w:val="24"/>
          <w:szCs w:val="24"/>
        </w:rPr>
      </w:pPr>
      <w:r w:rsidRPr="00B94032">
        <w:rPr>
          <w:rFonts w:ascii="Arial" w:hAnsi="Arial" w:cs="Arial"/>
          <w:sz w:val="24"/>
          <w:szCs w:val="24"/>
        </w:rPr>
        <w:t xml:space="preserve">Market Screener (2024) </w:t>
      </w:r>
      <w:r w:rsidRPr="00B94032">
        <w:rPr>
          <w:rFonts w:ascii="Arial" w:hAnsi="Arial" w:cs="Arial"/>
          <w:i/>
          <w:iCs/>
          <w:sz w:val="24"/>
          <w:szCs w:val="24"/>
        </w:rPr>
        <w:t>Japan's Takeda raises full-year profit forecast amid restructurings.</w:t>
      </w:r>
      <w:r w:rsidRPr="00B94032">
        <w:rPr>
          <w:rFonts w:ascii="Arial" w:hAnsi="Arial" w:cs="Arial"/>
          <w:sz w:val="24"/>
          <w:szCs w:val="24"/>
        </w:rPr>
        <w:t xml:space="preserve"> Available at: </w:t>
      </w:r>
      <w:hyperlink r:id="rId20" w:history="1">
        <w:r w:rsidRPr="00B94032">
          <w:rPr>
            <w:rStyle w:val="Hyperlink"/>
            <w:rFonts w:ascii="Arial" w:hAnsi="Arial" w:cs="Arial"/>
            <w:color w:val="auto"/>
            <w:sz w:val="24"/>
            <w:szCs w:val="24"/>
          </w:rPr>
          <w:t xml:space="preserve">Japan's Takeda raises full-year profit forecast amid restructuring - </w:t>
        </w:r>
        <w:r w:rsidR="006838A4" w:rsidRPr="00B94032">
          <w:rPr>
            <w:rStyle w:val="Hyperlink"/>
            <w:rFonts w:ascii="Arial" w:hAnsi="Arial" w:cs="Arial"/>
            <w:color w:val="auto"/>
            <w:sz w:val="24"/>
            <w:szCs w:val="24"/>
          </w:rPr>
          <w:t>Market Screener</w:t>
        </w:r>
      </w:hyperlink>
      <w:r w:rsidRPr="00B94032">
        <w:rPr>
          <w:rFonts w:ascii="Arial" w:hAnsi="Arial" w:cs="Arial"/>
          <w:sz w:val="24"/>
          <w:szCs w:val="24"/>
        </w:rPr>
        <w:t xml:space="preserve"> (Accessed: 04.11.2024).</w:t>
      </w:r>
    </w:p>
    <w:p w14:paraId="2DE9CC70" w14:textId="77777777" w:rsidR="00455B2F" w:rsidRDefault="00455B2F" w:rsidP="00AD5E1B">
      <w:pPr>
        <w:numPr>
          <w:ilvl w:val="0"/>
          <w:numId w:val="6"/>
        </w:numPr>
        <w:spacing w:after="0" w:line="360" w:lineRule="auto"/>
        <w:jc w:val="both"/>
        <w:rPr>
          <w:rFonts w:ascii="Arial" w:hAnsi="Arial" w:cs="Arial"/>
          <w:sz w:val="24"/>
          <w:szCs w:val="24"/>
        </w:rPr>
      </w:pPr>
      <w:r>
        <w:rPr>
          <w:rFonts w:ascii="Arial" w:hAnsi="Arial" w:cs="Arial"/>
          <w:sz w:val="24"/>
          <w:szCs w:val="24"/>
        </w:rPr>
        <w:t xml:space="preserve">McKinsey, Q. (2020) </w:t>
      </w:r>
      <w:r w:rsidRPr="00DA64B7">
        <w:rPr>
          <w:rFonts w:ascii="Arial" w:hAnsi="Arial" w:cs="Arial"/>
          <w:sz w:val="24"/>
          <w:szCs w:val="24"/>
        </w:rPr>
        <w:t>‘How Asia’s largest pharma is leveraging its values to navigate the COVID-19 crisis’</w:t>
      </w:r>
      <w:r>
        <w:rPr>
          <w:rFonts w:ascii="Arial" w:hAnsi="Arial" w:cs="Arial"/>
          <w:sz w:val="24"/>
          <w:szCs w:val="24"/>
        </w:rPr>
        <w:t xml:space="preserve">, </w:t>
      </w:r>
      <w:r w:rsidRPr="00DA64B7">
        <w:rPr>
          <w:rFonts w:ascii="Arial" w:hAnsi="Arial" w:cs="Arial"/>
          <w:i/>
          <w:iCs/>
          <w:sz w:val="24"/>
          <w:szCs w:val="24"/>
        </w:rPr>
        <w:t>McKinsey &amp; Company</w:t>
      </w:r>
      <w:r>
        <w:rPr>
          <w:rFonts w:ascii="Arial" w:hAnsi="Arial" w:cs="Arial"/>
          <w:i/>
          <w:iCs/>
          <w:sz w:val="24"/>
          <w:szCs w:val="24"/>
        </w:rPr>
        <w:t xml:space="preserve"> </w:t>
      </w:r>
      <w:r>
        <w:rPr>
          <w:rFonts w:ascii="Arial" w:hAnsi="Arial" w:cs="Arial"/>
          <w:sz w:val="24"/>
          <w:szCs w:val="24"/>
        </w:rPr>
        <w:t xml:space="preserve">[blog]. 08 November. Available at: </w:t>
      </w:r>
      <w:r w:rsidRPr="00DA64B7">
        <w:rPr>
          <w:rFonts w:ascii="Arial" w:hAnsi="Arial" w:cs="Arial"/>
          <w:i/>
          <w:iCs/>
          <w:sz w:val="24"/>
          <w:szCs w:val="24"/>
        </w:rPr>
        <w:t xml:space="preserve"> </w:t>
      </w:r>
      <w:hyperlink r:id="rId21" w:history="1">
        <w:r w:rsidRPr="00B9184B">
          <w:rPr>
            <w:rStyle w:val="Hyperlink"/>
            <w:rFonts w:ascii="Arial" w:hAnsi="Arial" w:cs="Arial"/>
            <w:sz w:val="24"/>
            <w:szCs w:val="24"/>
          </w:rPr>
          <w:t>An interview with the CEO of Takeda | McKinsey</w:t>
        </w:r>
      </w:hyperlink>
      <w:r>
        <w:rPr>
          <w:rFonts w:ascii="Arial" w:hAnsi="Arial" w:cs="Arial"/>
          <w:sz w:val="24"/>
          <w:szCs w:val="24"/>
        </w:rPr>
        <w:t xml:space="preserve"> (Accessed: 08.11.2024).</w:t>
      </w:r>
    </w:p>
    <w:p w14:paraId="7D54B921" w14:textId="77777777" w:rsidR="00455B2F" w:rsidRPr="008B389D" w:rsidRDefault="00455B2F" w:rsidP="008B389D">
      <w:pPr>
        <w:numPr>
          <w:ilvl w:val="0"/>
          <w:numId w:val="6"/>
        </w:numPr>
        <w:spacing w:after="0" w:line="360" w:lineRule="auto"/>
        <w:jc w:val="both"/>
        <w:rPr>
          <w:rFonts w:ascii="Arial" w:hAnsi="Arial" w:cs="Arial"/>
          <w:sz w:val="24"/>
          <w:szCs w:val="24"/>
        </w:rPr>
      </w:pPr>
      <w:r w:rsidRPr="000B5793">
        <w:rPr>
          <w:rFonts w:ascii="Arial" w:hAnsi="Arial" w:cs="Arial"/>
          <w:sz w:val="24"/>
          <w:szCs w:val="24"/>
        </w:rPr>
        <w:t xml:space="preserve">Nixon, Y. and Bull, P. (2006) </w:t>
      </w:r>
      <w:r>
        <w:rPr>
          <w:rFonts w:ascii="Arial" w:hAnsi="Arial" w:cs="Arial"/>
          <w:sz w:val="24"/>
          <w:szCs w:val="24"/>
        </w:rPr>
        <w:t>‘</w:t>
      </w:r>
      <w:r w:rsidRPr="000B5793">
        <w:rPr>
          <w:rFonts w:ascii="Arial" w:hAnsi="Arial" w:cs="Arial"/>
          <w:sz w:val="24"/>
          <w:szCs w:val="24"/>
        </w:rPr>
        <w:t>Cultural communication styles and accuracy in cross-cultural perception: A British and Japanese study</w:t>
      </w:r>
      <w:r>
        <w:rPr>
          <w:rFonts w:ascii="Arial" w:hAnsi="Arial" w:cs="Arial"/>
          <w:sz w:val="24"/>
          <w:szCs w:val="24"/>
        </w:rPr>
        <w:t>’</w:t>
      </w:r>
      <w:r w:rsidRPr="000B5793">
        <w:rPr>
          <w:rFonts w:ascii="Arial" w:hAnsi="Arial" w:cs="Arial"/>
          <w:sz w:val="24"/>
          <w:szCs w:val="24"/>
        </w:rPr>
        <w:t>, </w:t>
      </w:r>
      <w:r w:rsidRPr="000B5793">
        <w:rPr>
          <w:rFonts w:ascii="Arial" w:hAnsi="Arial" w:cs="Arial"/>
          <w:i/>
          <w:iCs/>
          <w:sz w:val="24"/>
          <w:szCs w:val="24"/>
        </w:rPr>
        <w:t>Journal of Intercultural Communication</w:t>
      </w:r>
      <w:r>
        <w:rPr>
          <w:rFonts w:ascii="Arial" w:hAnsi="Arial" w:cs="Arial"/>
          <w:sz w:val="24"/>
          <w:szCs w:val="24"/>
        </w:rPr>
        <w:t xml:space="preserve">, </w:t>
      </w:r>
      <w:r w:rsidRPr="000B5793">
        <w:rPr>
          <w:rFonts w:ascii="Arial" w:hAnsi="Arial" w:cs="Arial"/>
          <w:sz w:val="24"/>
          <w:szCs w:val="24"/>
        </w:rPr>
        <w:t>6(2), pp. 1–21.</w:t>
      </w:r>
      <w:r>
        <w:rPr>
          <w:rFonts w:ascii="Arial" w:hAnsi="Arial" w:cs="Arial"/>
          <w:sz w:val="24"/>
          <w:szCs w:val="24"/>
        </w:rPr>
        <w:t xml:space="preserve"> Available at:</w:t>
      </w:r>
      <w:r w:rsidRPr="000B5793">
        <w:rPr>
          <w:rFonts w:ascii="Arial" w:hAnsi="Arial" w:cs="Arial"/>
          <w:sz w:val="24"/>
          <w:szCs w:val="24"/>
        </w:rPr>
        <w:t xml:space="preserve"> </w:t>
      </w:r>
      <w:hyperlink r:id="rId22" w:history="1">
        <w:r w:rsidRPr="005E6546">
          <w:rPr>
            <w:rStyle w:val="Hyperlink"/>
            <w:rFonts w:ascii="Arial" w:hAnsi="Arial" w:cs="Arial"/>
            <w:sz w:val="24"/>
            <w:szCs w:val="24"/>
          </w:rPr>
          <w:t>https://doi.org/10.36923/jicc.v6i2.429</w:t>
        </w:r>
      </w:hyperlink>
      <w:r>
        <w:rPr>
          <w:rFonts w:ascii="Arial" w:hAnsi="Arial" w:cs="Arial"/>
          <w:sz w:val="24"/>
          <w:szCs w:val="24"/>
        </w:rPr>
        <w:t xml:space="preserve"> (Accessed: 28.10.2024).</w:t>
      </w:r>
    </w:p>
    <w:p w14:paraId="364F1C07" w14:textId="77777777" w:rsidR="00455B2F" w:rsidRPr="00F61E49" w:rsidRDefault="00455B2F" w:rsidP="00F61E49">
      <w:pPr>
        <w:numPr>
          <w:ilvl w:val="0"/>
          <w:numId w:val="6"/>
        </w:numPr>
        <w:spacing w:after="0" w:line="360" w:lineRule="auto"/>
        <w:jc w:val="both"/>
        <w:rPr>
          <w:rFonts w:ascii="Arial" w:hAnsi="Arial" w:cs="Arial"/>
          <w:sz w:val="24"/>
          <w:szCs w:val="24"/>
        </w:rPr>
      </w:pPr>
      <w:r>
        <w:rPr>
          <w:rFonts w:ascii="Arial" w:hAnsi="Arial" w:cs="Arial"/>
          <w:sz w:val="24"/>
          <w:szCs w:val="24"/>
        </w:rPr>
        <w:lastRenderedPageBreak/>
        <w:t xml:space="preserve">Statista (2024) </w:t>
      </w:r>
      <w:r w:rsidRPr="00F61E49">
        <w:rPr>
          <w:rFonts w:ascii="Arial" w:hAnsi="Arial" w:cs="Arial"/>
          <w:i/>
          <w:iCs/>
          <w:sz w:val="24"/>
          <w:szCs w:val="24"/>
        </w:rPr>
        <w:t>GSK - Statistics &amp; Facts</w:t>
      </w:r>
      <w:r>
        <w:rPr>
          <w:rFonts w:ascii="Arial" w:hAnsi="Arial" w:cs="Arial"/>
          <w:sz w:val="24"/>
          <w:szCs w:val="24"/>
        </w:rPr>
        <w:t>. Available at:</w:t>
      </w:r>
      <w:r w:rsidRPr="00F61E49">
        <w:rPr>
          <w:rFonts w:ascii="Arial" w:hAnsi="Arial" w:cs="Arial"/>
          <w:sz w:val="24"/>
          <w:szCs w:val="24"/>
        </w:rPr>
        <w:t xml:space="preserve"> </w:t>
      </w:r>
      <w:hyperlink r:id="rId23" w:anchor="topicOverview" w:history="1">
        <w:r w:rsidRPr="00F61E49">
          <w:rPr>
            <w:rStyle w:val="Hyperlink"/>
            <w:rFonts w:ascii="Arial" w:hAnsi="Arial" w:cs="Arial"/>
            <w:sz w:val="24"/>
            <w:szCs w:val="24"/>
          </w:rPr>
          <w:t>GSK - Statistics &amp; Facts | Statista</w:t>
        </w:r>
      </w:hyperlink>
      <w:r>
        <w:rPr>
          <w:rFonts w:ascii="Arial" w:hAnsi="Arial" w:cs="Arial"/>
          <w:sz w:val="24"/>
          <w:szCs w:val="24"/>
        </w:rPr>
        <w:t xml:space="preserve"> (Accessed: 01.11.2024).</w:t>
      </w:r>
    </w:p>
    <w:p w14:paraId="13F307E5" w14:textId="77777777" w:rsidR="00455B2F" w:rsidRPr="0046043E" w:rsidRDefault="00455B2F" w:rsidP="0046043E">
      <w:pPr>
        <w:numPr>
          <w:ilvl w:val="0"/>
          <w:numId w:val="6"/>
        </w:numPr>
        <w:spacing w:after="0" w:line="360" w:lineRule="auto"/>
        <w:jc w:val="both"/>
        <w:rPr>
          <w:rFonts w:ascii="Arial" w:hAnsi="Arial" w:cs="Arial"/>
          <w:b/>
          <w:bCs/>
          <w:sz w:val="24"/>
          <w:szCs w:val="24"/>
        </w:rPr>
      </w:pPr>
      <w:r>
        <w:rPr>
          <w:rFonts w:ascii="Arial" w:hAnsi="Arial" w:cs="Arial"/>
          <w:sz w:val="24"/>
          <w:szCs w:val="24"/>
        </w:rPr>
        <w:t xml:space="preserve">Takeda (2024) </w:t>
      </w:r>
      <w:r w:rsidRPr="0046043E">
        <w:rPr>
          <w:rFonts w:ascii="Arial" w:hAnsi="Arial" w:cs="Arial"/>
          <w:i/>
          <w:iCs/>
          <w:sz w:val="24"/>
          <w:szCs w:val="24"/>
        </w:rPr>
        <w:t>Better Health, Brighter Future</w:t>
      </w:r>
      <w:r>
        <w:rPr>
          <w:rFonts w:ascii="Arial" w:hAnsi="Arial" w:cs="Arial"/>
          <w:i/>
          <w:iCs/>
          <w:sz w:val="24"/>
          <w:szCs w:val="24"/>
        </w:rPr>
        <w:t xml:space="preserve">. </w:t>
      </w:r>
      <w:r>
        <w:rPr>
          <w:rFonts w:ascii="Arial" w:hAnsi="Arial" w:cs="Arial"/>
          <w:sz w:val="24"/>
          <w:szCs w:val="24"/>
        </w:rPr>
        <w:t xml:space="preserve">Available at: </w:t>
      </w:r>
      <w:hyperlink r:id="rId24" w:history="1">
        <w:r w:rsidRPr="0046043E">
          <w:rPr>
            <w:rStyle w:val="Hyperlink"/>
            <w:rFonts w:ascii="Arial" w:hAnsi="Arial" w:cs="Arial"/>
            <w:sz w:val="24"/>
            <w:szCs w:val="24"/>
          </w:rPr>
          <w:t>Takeda Pharmaceuticals: Global Homepage</w:t>
        </w:r>
      </w:hyperlink>
      <w:r>
        <w:rPr>
          <w:rFonts w:ascii="Arial" w:hAnsi="Arial" w:cs="Arial"/>
          <w:b/>
          <w:bCs/>
          <w:sz w:val="24"/>
          <w:szCs w:val="24"/>
        </w:rPr>
        <w:t xml:space="preserve"> </w:t>
      </w:r>
      <w:r w:rsidRPr="0046043E">
        <w:rPr>
          <w:rFonts w:ascii="Arial" w:hAnsi="Arial" w:cs="Arial"/>
          <w:sz w:val="24"/>
          <w:szCs w:val="24"/>
        </w:rPr>
        <w:t>(Accessed: 05.11.2024).</w:t>
      </w:r>
    </w:p>
    <w:p w14:paraId="6D829D60" w14:textId="77777777" w:rsidR="00455B2F" w:rsidRPr="003549E2" w:rsidRDefault="00455B2F" w:rsidP="003549E2">
      <w:pPr>
        <w:numPr>
          <w:ilvl w:val="0"/>
          <w:numId w:val="6"/>
        </w:numPr>
        <w:spacing w:after="0" w:line="360" w:lineRule="auto"/>
        <w:jc w:val="both"/>
        <w:rPr>
          <w:rFonts w:ascii="Arial" w:hAnsi="Arial" w:cs="Arial"/>
          <w:sz w:val="24"/>
          <w:szCs w:val="24"/>
        </w:rPr>
      </w:pPr>
      <w:r>
        <w:rPr>
          <w:rFonts w:ascii="Arial" w:hAnsi="Arial" w:cs="Arial"/>
          <w:sz w:val="24"/>
          <w:szCs w:val="24"/>
        </w:rPr>
        <w:t>The Culture Factor Group (2024) ‘</w:t>
      </w:r>
      <w:r w:rsidRPr="003549E2">
        <w:rPr>
          <w:rFonts w:ascii="Arial" w:hAnsi="Arial" w:cs="Arial"/>
          <w:sz w:val="24"/>
          <w:szCs w:val="24"/>
        </w:rPr>
        <w:t>Country Comparison tool’</w:t>
      </w:r>
      <w:r>
        <w:rPr>
          <w:rFonts w:ascii="Arial" w:hAnsi="Arial" w:cs="Arial"/>
          <w:sz w:val="24"/>
          <w:szCs w:val="24"/>
        </w:rPr>
        <w:t xml:space="preserve">, </w:t>
      </w:r>
      <w:r>
        <w:rPr>
          <w:rFonts w:ascii="Arial" w:hAnsi="Arial" w:cs="Arial"/>
          <w:i/>
          <w:iCs/>
          <w:sz w:val="24"/>
          <w:szCs w:val="24"/>
        </w:rPr>
        <w:t xml:space="preserve">The Culture Factor Group, </w:t>
      </w:r>
      <w:r>
        <w:rPr>
          <w:rFonts w:ascii="Arial" w:hAnsi="Arial" w:cs="Arial"/>
          <w:sz w:val="24"/>
          <w:szCs w:val="24"/>
        </w:rPr>
        <w:t xml:space="preserve">[blog]. 10 November. Available at: </w:t>
      </w:r>
      <w:hyperlink w:history="1">
        <w:r w:rsidRPr="00683708">
          <w:rPr>
            <w:rStyle w:val="Hyperlink"/>
            <w:rFonts w:ascii="Arial" w:hAnsi="Arial" w:cs="Arial"/>
            <w:sz w:val="24"/>
            <w:szCs w:val="24"/>
          </w:rPr>
          <w:t>Country comparison tool</w:t>
        </w:r>
      </w:hyperlink>
      <w:r>
        <w:rPr>
          <w:rFonts w:ascii="Arial" w:hAnsi="Arial" w:cs="Arial"/>
          <w:sz w:val="24"/>
          <w:szCs w:val="24"/>
        </w:rPr>
        <w:t xml:space="preserve"> (Accessed: 10.11.2024).</w:t>
      </w:r>
    </w:p>
    <w:p w14:paraId="46DC6D20" w14:textId="77777777" w:rsidR="00455B2F" w:rsidRDefault="00455B2F" w:rsidP="00B22FB6">
      <w:pPr>
        <w:numPr>
          <w:ilvl w:val="0"/>
          <w:numId w:val="6"/>
        </w:numPr>
        <w:spacing w:after="0" w:line="360" w:lineRule="auto"/>
        <w:jc w:val="both"/>
        <w:rPr>
          <w:rFonts w:ascii="Arial" w:hAnsi="Arial" w:cs="Arial"/>
          <w:sz w:val="24"/>
          <w:szCs w:val="24"/>
        </w:rPr>
      </w:pPr>
      <w:r w:rsidRPr="00C66C8F">
        <w:rPr>
          <w:rFonts w:ascii="Arial" w:hAnsi="Arial" w:cs="Arial"/>
          <w:sz w:val="24"/>
          <w:szCs w:val="24"/>
        </w:rPr>
        <w:t>Zijun et al. (2024) ‘Exploration of Japanese Cultural Dynamics Communication Practices through Social Pragmatics</w:t>
      </w:r>
      <w:r>
        <w:rPr>
          <w:rFonts w:ascii="Arial" w:hAnsi="Arial" w:cs="Arial"/>
          <w:sz w:val="24"/>
          <w:szCs w:val="24"/>
        </w:rPr>
        <w:t>’,</w:t>
      </w:r>
      <w:r w:rsidRPr="00C66C8F">
        <w:rPr>
          <w:rFonts w:ascii="Arial" w:hAnsi="Arial" w:cs="Arial"/>
          <w:sz w:val="24"/>
          <w:szCs w:val="24"/>
        </w:rPr>
        <w:t xml:space="preserve"> </w:t>
      </w:r>
      <w:r w:rsidRPr="00C66C8F">
        <w:rPr>
          <w:rFonts w:ascii="Arial" w:hAnsi="Arial" w:cs="Arial"/>
          <w:i/>
          <w:iCs/>
          <w:sz w:val="24"/>
          <w:szCs w:val="24"/>
        </w:rPr>
        <w:t>Journal of Pragmatics and Discourse Analysis</w:t>
      </w:r>
      <w:r>
        <w:rPr>
          <w:rFonts w:ascii="Arial" w:hAnsi="Arial" w:cs="Arial"/>
          <w:sz w:val="24"/>
          <w:szCs w:val="24"/>
        </w:rPr>
        <w:t>,</w:t>
      </w:r>
      <w:r w:rsidRPr="00C66C8F">
        <w:rPr>
          <w:rFonts w:ascii="Arial" w:hAnsi="Arial" w:cs="Arial"/>
          <w:sz w:val="24"/>
          <w:szCs w:val="24"/>
        </w:rPr>
        <w:t xml:space="preserve"> 3(1), pp. 60-72. Available at: 10.32996/jpda.2024.3.1.4.</w:t>
      </w:r>
    </w:p>
    <w:p w14:paraId="11534B34" w14:textId="77777777" w:rsidR="009644D7" w:rsidRPr="0076296B" w:rsidRDefault="009644D7" w:rsidP="0076296B">
      <w:pPr>
        <w:spacing w:after="0" w:line="360" w:lineRule="auto"/>
        <w:ind w:left="720"/>
        <w:jc w:val="both"/>
        <w:rPr>
          <w:rFonts w:ascii="Arial" w:hAnsi="Arial" w:cs="Arial"/>
          <w:sz w:val="24"/>
          <w:szCs w:val="24"/>
        </w:rPr>
      </w:pPr>
    </w:p>
    <w:sectPr w:rsidR="009644D7" w:rsidRPr="0076296B" w:rsidSect="0090485A">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65BDB4" w14:textId="77777777" w:rsidR="004911D8" w:rsidRDefault="004911D8" w:rsidP="0090485A">
      <w:pPr>
        <w:spacing w:after="0" w:line="240" w:lineRule="auto"/>
      </w:pPr>
      <w:r>
        <w:separator/>
      </w:r>
    </w:p>
  </w:endnote>
  <w:endnote w:type="continuationSeparator" w:id="0">
    <w:p w14:paraId="6AB15BF5" w14:textId="77777777" w:rsidR="004911D8" w:rsidRDefault="004911D8" w:rsidP="00904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77A682" w14:textId="77777777" w:rsidR="0090485A" w:rsidRDefault="0090485A">
    <w:pPr>
      <w:pStyle w:val="Footer"/>
      <w:jc w:val="center"/>
    </w:pPr>
    <w:r>
      <w:fldChar w:fldCharType="begin"/>
    </w:r>
    <w:r>
      <w:instrText xml:space="preserve"> PAGE   \* MERGEFORMAT </w:instrText>
    </w:r>
    <w:r>
      <w:fldChar w:fldCharType="separate"/>
    </w:r>
    <w:r>
      <w:rPr>
        <w:noProof/>
      </w:rPr>
      <w:t>2</w:t>
    </w:r>
    <w:r>
      <w:rPr>
        <w:noProof/>
      </w:rPr>
      <w:fldChar w:fldCharType="end"/>
    </w:r>
  </w:p>
  <w:p w14:paraId="033BAC96" w14:textId="77777777" w:rsidR="0090485A" w:rsidRDefault="00904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BB6B1F" w14:textId="77777777" w:rsidR="004911D8" w:rsidRDefault="004911D8" w:rsidP="0090485A">
      <w:pPr>
        <w:spacing w:after="0" w:line="240" w:lineRule="auto"/>
      </w:pPr>
      <w:r>
        <w:separator/>
      </w:r>
    </w:p>
  </w:footnote>
  <w:footnote w:type="continuationSeparator" w:id="0">
    <w:p w14:paraId="6AD5E14F" w14:textId="77777777" w:rsidR="004911D8" w:rsidRDefault="004911D8" w:rsidP="009048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FD0161"/>
    <w:multiLevelType w:val="hybridMultilevel"/>
    <w:tmpl w:val="3C829C7A"/>
    <w:lvl w:ilvl="0" w:tplc="BC0A7A8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FA45AE"/>
    <w:multiLevelType w:val="multilevel"/>
    <w:tmpl w:val="E56E6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3A52CC"/>
    <w:multiLevelType w:val="hybridMultilevel"/>
    <w:tmpl w:val="301E5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AA57DD"/>
    <w:multiLevelType w:val="hybridMultilevel"/>
    <w:tmpl w:val="0FEAC4D4"/>
    <w:lvl w:ilvl="0" w:tplc="4C5833F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112E3A"/>
    <w:multiLevelType w:val="hybridMultilevel"/>
    <w:tmpl w:val="3E385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2523B4"/>
    <w:multiLevelType w:val="hybridMultilevel"/>
    <w:tmpl w:val="0FEAC4D4"/>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91D30C2"/>
    <w:multiLevelType w:val="multilevel"/>
    <w:tmpl w:val="8C449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8263031">
    <w:abstractNumId w:val="1"/>
  </w:num>
  <w:num w:numId="2" w16cid:durableId="2072384597">
    <w:abstractNumId w:val="6"/>
  </w:num>
  <w:num w:numId="3" w16cid:durableId="788741826">
    <w:abstractNumId w:val="4"/>
  </w:num>
  <w:num w:numId="4" w16cid:durableId="1374889722">
    <w:abstractNumId w:val="0"/>
  </w:num>
  <w:num w:numId="5" w16cid:durableId="67578571">
    <w:abstractNumId w:val="3"/>
  </w:num>
  <w:num w:numId="6" w16cid:durableId="1617978223">
    <w:abstractNumId w:val="2"/>
  </w:num>
  <w:num w:numId="7" w16cid:durableId="19811133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A56"/>
    <w:rsid w:val="00033A56"/>
    <w:rsid w:val="00037296"/>
    <w:rsid w:val="000B5793"/>
    <w:rsid w:val="000F6F5A"/>
    <w:rsid w:val="00147048"/>
    <w:rsid w:val="00151C48"/>
    <w:rsid w:val="00181706"/>
    <w:rsid w:val="00202225"/>
    <w:rsid w:val="002676D7"/>
    <w:rsid w:val="002C2BC2"/>
    <w:rsid w:val="002D3DC9"/>
    <w:rsid w:val="003468B7"/>
    <w:rsid w:val="003549E2"/>
    <w:rsid w:val="003853A3"/>
    <w:rsid w:val="003A2012"/>
    <w:rsid w:val="003B120C"/>
    <w:rsid w:val="003B5D80"/>
    <w:rsid w:val="00452B17"/>
    <w:rsid w:val="00453798"/>
    <w:rsid w:val="00455B2F"/>
    <w:rsid w:val="0046043E"/>
    <w:rsid w:val="004911D8"/>
    <w:rsid w:val="004C039A"/>
    <w:rsid w:val="004C1919"/>
    <w:rsid w:val="0050384A"/>
    <w:rsid w:val="005149F3"/>
    <w:rsid w:val="00590A0F"/>
    <w:rsid w:val="005B1DDA"/>
    <w:rsid w:val="005C31EA"/>
    <w:rsid w:val="005D6D6C"/>
    <w:rsid w:val="005D76D4"/>
    <w:rsid w:val="005F3559"/>
    <w:rsid w:val="006242B4"/>
    <w:rsid w:val="00661075"/>
    <w:rsid w:val="006838A4"/>
    <w:rsid w:val="006850B9"/>
    <w:rsid w:val="00690D6C"/>
    <w:rsid w:val="006B3BA5"/>
    <w:rsid w:val="006F4E6D"/>
    <w:rsid w:val="0076296B"/>
    <w:rsid w:val="007E530A"/>
    <w:rsid w:val="008B389D"/>
    <w:rsid w:val="008E7C07"/>
    <w:rsid w:val="0090485A"/>
    <w:rsid w:val="009458F4"/>
    <w:rsid w:val="009644D7"/>
    <w:rsid w:val="009A0A17"/>
    <w:rsid w:val="00A9728D"/>
    <w:rsid w:val="00AD5768"/>
    <w:rsid w:val="00AD5E1B"/>
    <w:rsid w:val="00B22FB6"/>
    <w:rsid w:val="00B31758"/>
    <w:rsid w:val="00B410EB"/>
    <w:rsid w:val="00B905CB"/>
    <w:rsid w:val="00B9115E"/>
    <w:rsid w:val="00B9184B"/>
    <w:rsid w:val="00B94032"/>
    <w:rsid w:val="00BA1F72"/>
    <w:rsid w:val="00BB525B"/>
    <w:rsid w:val="00BD3A62"/>
    <w:rsid w:val="00BD4E1E"/>
    <w:rsid w:val="00BE7C0A"/>
    <w:rsid w:val="00C00D61"/>
    <w:rsid w:val="00C27C91"/>
    <w:rsid w:val="00C43704"/>
    <w:rsid w:val="00C470ED"/>
    <w:rsid w:val="00C66C8F"/>
    <w:rsid w:val="00CB1069"/>
    <w:rsid w:val="00CE67CA"/>
    <w:rsid w:val="00CF631A"/>
    <w:rsid w:val="00D07654"/>
    <w:rsid w:val="00D10C09"/>
    <w:rsid w:val="00DA64B7"/>
    <w:rsid w:val="00DF0873"/>
    <w:rsid w:val="00DF192F"/>
    <w:rsid w:val="00E04629"/>
    <w:rsid w:val="00E24B3C"/>
    <w:rsid w:val="00EA38A3"/>
    <w:rsid w:val="00F54F00"/>
    <w:rsid w:val="00F61E49"/>
    <w:rsid w:val="00FB5E96"/>
    <w:rsid w:val="00FC223C"/>
    <w:rsid w:val="00FF5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D96BD"/>
  <w15:chartTrackingRefBased/>
  <w15:docId w15:val="{3B521141-4761-470A-976E-C37C0E394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eastAsia="en-US"/>
    </w:rPr>
  </w:style>
  <w:style w:type="paragraph" w:styleId="Heading1">
    <w:name w:val="heading 1"/>
    <w:basedOn w:val="Normal"/>
    <w:next w:val="Normal"/>
    <w:link w:val="Heading1Char"/>
    <w:uiPriority w:val="9"/>
    <w:qFormat/>
    <w:rsid w:val="00033A56"/>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033A56"/>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033A56"/>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033A56"/>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033A56"/>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033A56"/>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033A56"/>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033A56"/>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033A56"/>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033A56"/>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033A56"/>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033A56"/>
    <w:rPr>
      <w:rFonts w:eastAsia="Times New Roman" w:cs="Times New Roman"/>
      <w:color w:val="0F4761"/>
      <w:sz w:val="28"/>
      <w:szCs w:val="28"/>
    </w:rPr>
  </w:style>
  <w:style w:type="character" w:customStyle="1" w:styleId="Heading4Char">
    <w:name w:val="Heading 4 Char"/>
    <w:link w:val="Heading4"/>
    <w:uiPriority w:val="9"/>
    <w:semiHidden/>
    <w:rsid w:val="00033A56"/>
    <w:rPr>
      <w:rFonts w:eastAsia="Times New Roman" w:cs="Times New Roman"/>
      <w:i/>
      <w:iCs/>
      <w:color w:val="0F4761"/>
    </w:rPr>
  </w:style>
  <w:style w:type="character" w:customStyle="1" w:styleId="Heading5Char">
    <w:name w:val="Heading 5 Char"/>
    <w:link w:val="Heading5"/>
    <w:uiPriority w:val="9"/>
    <w:semiHidden/>
    <w:rsid w:val="00033A56"/>
    <w:rPr>
      <w:rFonts w:eastAsia="Times New Roman" w:cs="Times New Roman"/>
      <w:color w:val="0F4761"/>
    </w:rPr>
  </w:style>
  <w:style w:type="character" w:customStyle="1" w:styleId="Heading6Char">
    <w:name w:val="Heading 6 Char"/>
    <w:link w:val="Heading6"/>
    <w:uiPriority w:val="9"/>
    <w:semiHidden/>
    <w:rsid w:val="00033A56"/>
    <w:rPr>
      <w:rFonts w:eastAsia="Times New Roman" w:cs="Times New Roman"/>
      <w:i/>
      <w:iCs/>
      <w:color w:val="595959"/>
    </w:rPr>
  </w:style>
  <w:style w:type="character" w:customStyle="1" w:styleId="Heading7Char">
    <w:name w:val="Heading 7 Char"/>
    <w:link w:val="Heading7"/>
    <w:uiPriority w:val="9"/>
    <w:semiHidden/>
    <w:rsid w:val="00033A56"/>
    <w:rPr>
      <w:rFonts w:eastAsia="Times New Roman" w:cs="Times New Roman"/>
      <w:color w:val="595959"/>
    </w:rPr>
  </w:style>
  <w:style w:type="character" w:customStyle="1" w:styleId="Heading8Char">
    <w:name w:val="Heading 8 Char"/>
    <w:link w:val="Heading8"/>
    <w:uiPriority w:val="9"/>
    <w:semiHidden/>
    <w:rsid w:val="00033A56"/>
    <w:rPr>
      <w:rFonts w:eastAsia="Times New Roman" w:cs="Times New Roman"/>
      <w:i/>
      <w:iCs/>
      <w:color w:val="272727"/>
    </w:rPr>
  </w:style>
  <w:style w:type="character" w:customStyle="1" w:styleId="Heading9Char">
    <w:name w:val="Heading 9 Char"/>
    <w:link w:val="Heading9"/>
    <w:uiPriority w:val="9"/>
    <w:semiHidden/>
    <w:rsid w:val="00033A56"/>
    <w:rPr>
      <w:rFonts w:eastAsia="Times New Roman" w:cs="Times New Roman"/>
      <w:color w:val="272727"/>
    </w:rPr>
  </w:style>
  <w:style w:type="paragraph" w:styleId="Title">
    <w:name w:val="Title"/>
    <w:basedOn w:val="Normal"/>
    <w:next w:val="Normal"/>
    <w:link w:val="TitleChar"/>
    <w:uiPriority w:val="10"/>
    <w:qFormat/>
    <w:rsid w:val="00033A56"/>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033A56"/>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033A56"/>
    <w:pPr>
      <w:numPr>
        <w:ilvl w:val="1"/>
      </w:numPr>
    </w:pPr>
    <w:rPr>
      <w:rFonts w:eastAsia="Times New Roman"/>
      <w:color w:val="595959"/>
      <w:spacing w:val="15"/>
      <w:sz w:val="28"/>
      <w:szCs w:val="28"/>
    </w:rPr>
  </w:style>
  <w:style w:type="character" w:customStyle="1" w:styleId="SubtitleChar">
    <w:name w:val="Subtitle Char"/>
    <w:link w:val="Subtitle"/>
    <w:uiPriority w:val="11"/>
    <w:rsid w:val="00033A56"/>
    <w:rPr>
      <w:rFonts w:eastAsia="Times New Roman" w:cs="Times New Roman"/>
      <w:color w:val="595959"/>
      <w:spacing w:val="15"/>
      <w:sz w:val="28"/>
      <w:szCs w:val="28"/>
    </w:rPr>
  </w:style>
  <w:style w:type="paragraph" w:styleId="Quote">
    <w:name w:val="Quote"/>
    <w:basedOn w:val="Normal"/>
    <w:next w:val="Normal"/>
    <w:link w:val="QuoteChar"/>
    <w:uiPriority w:val="29"/>
    <w:qFormat/>
    <w:rsid w:val="00033A56"/>
    <w:pPr>
      <w:spacing w:before="160"/>
      <w:jc w:val="center"/>
    </w:pPr>
    <w:rPr>
      <w:i/>
      <w:iCs/>
      <w:color w:val="404040"/>
    </w:rPr>
  </w:style>
  <w:style w:type="character" w:customStyle="1" w:styleId="QuoteChar">
    <w:name w:val="Quote Char"/>
    <w:link w:val="Quote"/>
    <w:uiPriority w:val="29"/>
    <w:rsid w:val="00033A56"/>
    <w:rPr>
      <w:i/>
      <w:iCs/>
      <w:color w:val="404040"/>
    </w:rPr>
  </w:style>
  <w:style w:type="paragraph" w:styleId="ListParagraph">
    <w:name w:val="List Paragraph"/>
    <w:basedOn w:val="Normal"/>
    <w:uiPriority w:val="34"/>
    <w:qFormat/>
    <w:rsid w:val="00033A56"/>
    <w:pPr>
      <w:ind w:left="720"/>
      <w:contextualSpacing/>
    </w:pPr>
  </w:style>
  <w:style w:type="character" w:styleId="IntenseEmphasis">
    <w:name w:val="Intense Emphasis"/>
    <w:uiPriority w:val="21"/>
    <w:qFormat/>
    <w:rsid w:val="00033A56"/>
    <w:rPr>
      <w:i/>
      <w:iCs/>
      <w:color w:val="0F4761"/>
    </w:rPr>
  </w:style>
  <w:style w:type="paragraph" w:styleId="IntenseQuote">
    <w:name w:val="Intense Quote"/>
    <w:basedOn w:val="Normal"/>
    <w:next w:val="Normal"/>
    <w:link w:val="IntenseQuoteChar"/>
    <w:uiPriority w:val="30"/>
    <w:qFormat/>
    <w:rsid w:val="00033A56"/>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033A56"/>
    <w:rPr>
      <w:i/>
      <w:iCs/>
      <w:color w:val="0F4761"/>
    </w:rPr>
  </w:style>
  <w:style w:type="character" w:styleId="IntenseReference">
    <w:name w:val="Intense Reference"/>
    <w:uiPriority w:val="32"/>
    <w:qFormat/>
    <w:rsid w:val="00033A56"/>
    <w:rPr>
      <w:b/>
      <w:bCs/>
      <w:smallCaps/>
      <w:color w:val="0F4761"/>
      <w:spacing w:val="5"/>
    </w:rPr>
  </w:style>
  <w:style w:type="character" w:styleId="Hyperlink">
    <w:name w:val="Hyperlink"/>
    <w:uiPriority w:val="99"/>
    <w:unhideWhenUsed/>
    <w:rsid w:val="00FB5E96"/>
    <w:rPr>
      <w:color w:val="467886"/>
      <w:u w:val="single"/>
    </w:rPr>
  </w:style>
  <w:style w:type="character" w:styleId="UnresolvedMention">
    <w:name w:val="Unresolved Mention"/>
    <w:uiPriority w:val="99"/>
    <w:semiHidden/>
    <w:unhideWhenUsed/>
    <w:rsid w:val="009644D7"/>
    <w:rPr>
      <w:color w:val="605E5C"/>
      <w:shd w:val="clear" w:color="auto" w:fill="E1DFDD"/>
    </w:rPr>
  </w:style>
  <w:style w:type="paragraph" w:styleId="TOCHeading">
    <w:name w:val="TOC Heading"/>
    <w:basedOn w:val="Heading1"/>
    <w:next w:val="Normal"/>
    <w:rsid w:val="00B9184B"/>
    <w:pPr>
      <w:suppressAutoHyphens/>
      <w:autoSpaceDN w:val="0"/>
      <w:spacing w:before="240" w:after="0" w:line="240" w:lineRule="auto"/>
    </w:pPr>
    <w:rPr>
      <w:rFonts w:ascii="Calibri Light" w:hAnsi="Calibri Light"/>
      <w:color w:val="2F5496"/>
      <w:kern w:val="0"/>
      <w:sz w:val="32"/>
      <w:szCs w:val="32"/>
      <w:lang w:val="en-US"/>
    </w:rPr>
  </w:style>
  <w:style w:type="paragraph" w:styleId="TOC2">
    <w:name w:val="toc 2"/>
    <w:basedOn w:val="Normal"/>
    <w:next w:val="Normal"/>
    <w:autoRedefine/>
    <w:rsid w:val="00B9184B"/>
    <w:pPr>
      <w:suppressAutoHyphens/>
      <w:autoSpaceDN w:val="0"/>
      <w:spacing w:after="100" w:line="240" w:lineRule="auto"/>
      <w:ind w:left="220"/>
    </w:pPr>
    <w:rPr>
      <w:rFonts w:ascii="Calibri" w:eastAsia="Times New Roman" w:hAnsi="Calibri"/>
      <w:kern w:val="0"/>
      <w:lang w:val="en-US"/>
    </w:rPr>
  </w:style>
  <w:style w:type="paragraph" w:styleId="TOC1">
    <w:name w:val="toc 1"/>
    <w:basedOn w:val="Normal"/>
    <w:next w:val="Normal"/>
    <w:autoRedefine/>
    <w:rsid w:val="00B9184B"/>
    <w:pPr>
      <w:suppressAutoHyphens/>
      <w:autoSpaceDN w:val="0"/>
      <w:spacing w:after="100" w:line="240" w:lineRule="auto"/>
    </w:pPr>
    <w:rPr>
      <w:rFonts w:ascii="Calibri" w:eastAsia="Times New Roman" w:hAnsi="Calibri"/>
      <w:kern w:val="0"/>
      <w:lang w:val="en-US"/>
    </w:rPr>
  </w:style>
  <w:style w:type="paragraph" w:styleId="TOC3">
    <w:name w:val="toc 3"/>
    <w:basedOn w:val="Normal"/>
    <w:next w:val="Normal"/>
    <w:autoRedefine/>
    <w:rsid w:val="00B9184B"/>
    <w:pPr>
      <w:suppressAutoHyphens/>
      <w:autoSpaceDN w:val="0"/>
      <w:spacing w:after="100" w:line="240" w:lineRule="auto"/>
      <w:ind w:left="440"/>
    </w:pPr>
    <w:rPr>
      <w:rFonts w:ascii="Calibri" w:eastAsia="Times New Roman" w:hAnsi="Calibri"/>
      <w:kern w:val="0"/>
      <w:lang w:val="en-US"/>
    </w:rPr>
  </w:style>
  <w:style w:type="table" w:styleId="TableGrid">
    <w:name w:val="Table Grid"/>
    <w:basedOn w:val="TableNormal"/>
    <w:uiPriority w:val="39"/>
    <w:rsid w:val="006F4E6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0485A"/>
    <w:pPr>
      <w:tabs>
        <w:tab w:val="center" w:pos="4513"/>
        <w:tab w:val="right" w:pos="9026"/>
      </w:tabs>
    </w:pPr>
  </w:style>
  <w:style w:type="character" w:customStyle="1" w:styleId="HeaderChar">
    <w:name w:val="Header Char"/>
    <w:link w:val="Header"/>
    <w:uiPriority w:val="99"/>
    <w:rsid w:val="0090485A"/>
    <w:rPr>
      <w:kern w:val="2"/>
      <w:sz w:val="22"/>
      <w:szCs w:val="22"/>
      <w:lang w:eastAsia="en-US"/>
    </w:rPr>
  </w:style>
  <w:style w:type="paragraph" w:styleId="Footer">
    <w:name w:val="footer"/>
    <w:basedOn w:val="Normal"/>
    <w:link w:val="FooterChar"/>
    <w:uiPriority w:val="99"/>
    <w:unhideWhenUsed/>
    <w:rsid w:val="0090485A"/>
    <w:pPr>
      <w:tabs>
        <w:tab w:val="center" w:pos="4513"/>
        <w:tab w:val="right" w:pos="9026"/>
      </w:tabs>
    </w:pPr>
  </w:style>
  <w:style w:type="character" w:customStyle="1" w:styleId="FooterChar">
    <w:name w:val="Footer Char"/>
    <w:link w:val="Footer"/>
    <w:uiPriority w:val="99"/>
    <w:rsid w:val="0090485A"/>
    <w:rPr>
      <w:kern w:val="2"/>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039197">
      <w:bodyDiv w:val="1"/>
      <w:marLeft w:val="0"/>
      <w:marRight w:val="0"/>
      <w:marTop w:val="0"/>
      <w:marBottom w:val="0"/>
      <w:divBdr>
        <w:top w:val="none" w:sz="0" w:space="0" w:color="auto"/>
        <w:left w:val="none" w:sz="0" w:space="0" w:color="auto"/>
        <w:bottom w:val="none" w:sz="0" w:space="0" w:color="auto"/>
        <w:right w:val="none" w:sz="0" w:space="0" w:color="auto"/>
      </w:divBdr>
    </w:div>
    <w:div w:id="194580227">
      <w:bodyDiv w:val="1"/>
      <w:marLeft w:val="0"/>
      <w:marRight w:val="0"/>
      <w:marTop w:val="0"/>
      <w:marBottom w:val="0"/>
      <w:divBdr>
        <w:top w:val="none" w:sz="0" w:space="0" w:color="auto"/>
        <w:left w:val="none" w:sz="0" w:space="0" w:color="auto"/>
        <w:bottom w:val="none" w:sz="0" w:space="0" w:color="auto"/>
        <w:right w:val="none" w:sz="0" w:space="0" w:color="auto"/>
      </w:divBdr>
    </w:div>
    <w:div w:id="244917595">
      <w:bodyDiv w:val="1"/>
      <w:marLeft w:val="0"/>
      <w:marRight w:val="0"/>
      <w:marTop w:val="0"/>
      <w:marBottom w:val="0"/>
      <w:divBdr>
        <w:top w:val="none" w:sz="0" w:space="0" w:color="auto"/>
        <w:left w:val="none" w:sz="0" w:space="0" w:color="auto"/>
        <w:bottom w:val="none" w:sz="0" w:space="0" w:color="auto"/>
        <w:right w:val="none" w:sz="0" w:space="0" w:color="auto"/>
      </w:divBdr>
    </w:div>
    <w:div w:id="285283336">
      <w:bodyDiv w:val="1"/>
      <w:marLeft w:val="0"/>
      <w:marRight w:val="0"/>
      <w:marTop w:val="0"/>
      <w:marBottom w:val="0"/>
      <w:divBdr>
        <w:top w:val="none" w:sz="0" w:space="0" w:color="auto"/>
        <w:left w:val="none" w:sz="0" w:space="0" w:color="auto"/>
        <w:bottom w:val="none" w:sz="0" w:space="0" w:color="auto"/>
        <w:right w:val="none" w:sz="0" w:space="0" w:color="auto"/>
      </w:divBdr>
    </w:div>
    <w:div w:id="336424786">
      <w:bodyDiv w:val="1"/>
      <w:marLeft w:val="0"/>
      <w:marRight w:val="0"/>
      <w:marTop w:val="0"/>
      <w:marBottom w:val="0"/>
      <w:divBdr>
        <w:top w:val="none" w:sz="0" w:space="0" w:color="auto"/>
        <w:left w:val="none" w:sz="0" w:space="0" w:color="auto"/>
        <w:bottom w:val="none" w:sz="0" w:space="0" w:color="auto"/>
        <w:right w:val="none" w:sz="0" w:space="0" w:color="auto"/>
      </w:divBdr>
    </w:div>
    <w:div w:id="363945062">
      <w:bodyDiv w:val="1"/>
      <w:marLeft w:val="0"/>
      <w:marRight w:val="0"/>
      <w:marTop w:val="0"/>
      <w:marBottom w:val="0"/>
      <w:divBdr>
        <w:top w:val="none" w:sz="0" w:space="0" w:color="auto"/>
        <w:left w:val="none" w:sz="0" w:space="0" w:color="auto"/>
        <w:bottom w:val="none" w:sz="0" w:space="0" w:color="auto"/>
        <w:right w:val="none" w:sz="0" w:space="0" w:color="auto"/>
      </w:divBdr>
    </w:div>
    <w:div w:id="447159504">
      <w:bodyDiv w:val="1"/>
      <w:marLeft w:val="0"/>
      <w:marRight w:val="0"/>
      <w:marTop w:val="0"/>
      <w:marBottom w:val="0"/>
      <w:divBdr>
        <w:top w:val="none" w:sz="0" w:space="0" w:color="auto"/>
        <w:left w:val="none" w:sz="0" w:space="0" w:color="auto"/>
        <w:bottom w:val="none" w:sz="0" w:space="0" w:color="auto"/>
        <w:right w:val="none" w:sz="0" w:space="0" w:color="auto"/>
      </w:divBdr>
    </w:div>
    <w:div w:id="459500294">
      <w:bodyDiv w:val="1"/>
      <w:marLeft w:val="0"/>
      <w:marRight w:val="0"/>
      <w:marTop w:val="0"/>
      <w:marBottom w:val="0"/>
      <w:divBdr>
        <w:top w:val="none" w:sz="0" w:space="0" w:color="auto"/>
        <w:left w:val="none" w:sz="0" w:space="0" w:color="auto"/>
        <w:bottom w:val="none" w:sz="0" w:space="0" w:color="auto"/>
        <w:right w:val="none" w:sz="0" w:space="0" w:color="auto"/>
      </w:divBdr>
      <w:divsChild>
        <w:div w:id="1819150250">
          <w:marLeft w:val="0"/>
          <w:marRight w:val="0"/>
          <w:marTop w:val="0"/>
          <w:marBottom w:val="0"/>
          <w:divBdr>
            <w:top w:val="none" w:sz="0" w:space="0" w:color="auto"/>
            <w:left w:val="none" w:sz="0" w:space="0" w:color="auto"/>
            <w:bottom w:val="none" w:sz="0" w:space="0" w:color="auto"/>
            <w:right w:val="none" w:sz="0" w:space="0" w:color="auto"/>
          </w:divBdr>
          <w:divsChild>
            <w:div w:id="1384789555">
              <w:marLeft w:val="0"/>
              <w:marRight w:val="0"/>
              <w:marTop w:val="0"/>
              <w:marBottom w:val="0"/>
              <w:divBdr>
                <w:top w:val="none" w:sz="0" w:space="0" w:color="auto"/>
                <w:left w:val="none" w:sz="0" w:space="0" w:color="auto"/>
                <w:bottom w:val="none" w:sz="0" w:space="0" w:color="auto"/>
                <w:right w:val="none" w:sz="0" w:space="0" w:color="auto"/>
              </w:divBdr>
              <w:divsChild>
                <w:div w:id="1065487510">
                  <w:marLeft w:val="0"/>
                  <w:marRight w:val="0"/>
                  <w:marTop w:val="0"/>
                  <w:marBottom w:val="0"/>
                  <w:divBdr>
                    <w:top w:val="none" w:sz="0" w:space="0" w:color="auto"/>
                    <w:left w:val="none" w:sz="0" w:space="0" w:color="auto"/>
                    <w:bottom w:val="none" w:sz="0" w:space="0" w:color="auto"/>
                    <w:right w:val="none" w:sz="0" w:space="0" w:color="auto"/>
                  </w:divBdr>
                  <w:divsChild>
                    <w:div w:id="1175338483">
                      <w:marLeft w:val="0"/>
                      <w:marRight w:val="0"/>
                      <w:marTop w:val="0"/>
                      <w:marBottom w:val="0"/>
                      <w:divBdr>
                        <w:top w:val="none" w:sz="0" w:space="0" w:color="auto"/>
                        <w:left w:val="none" w:sz="0" w:space="0" w:color="auto"/>
                        <w:bottom w:val="none" w:sz="0" w:space="0" w:color="auto"/>
                        <w:right w:val="none" w:sz="0" w:space="0" w:color="auto"/>
                      </w:divBdr>
                      <w:divsChild>
                        <w:div w:id="544215003">
                          <w:marLeft w:val="0"/>
                          <w:marRight w:val="0"/>
                          <w:marTop w:val="0"/>
                          <w:marBottom w:val="0"/>
                          <w:divBdr>
                            <w:top w:val="none" w:sz="0" w:space="0" w:color="auto"/>
                            <w:left w:val="none" w:sz="0" w:space="0" w:color="auto"/>
                            <w:bottom w:val="none" w:sz="0" w:space="0" w:color="auto"/>
                            <w:right w:val="none" w:sz="0" w:space="0" w:color="auto"/>
                          </w:divBdr>
                          <w:divsChild>
                            <w:div w:id="207693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9454581">
      <w:bodyDiv w:val="1"/>
      <w:marLeft w:val="0"/>
      <w:marRight w:val="0"/>
      <w:marTop w:val="0"/>
      <w:marBottom w:val="0"/>
      <w:divBdr>
        <w:top w:val="none" w:sz="0" w:space="0" w:color="auto"/>
        <w:left w:val="none" w:sz="0" w:space="0" w:color="auto"/>
        <w:bottom w:val="none" w:sz="0" w:space="0" w:color="auto"/>
        <w:right w:val="none" w:sz="0" w:space="0" w:color="auto"/>
      </w:divBdr>
    </w:div>
    <w:div w:id="652955208">
      <w:bodyDiv w:val="1"/>
      <w:marLeft w:val="0"/>
      <w:marRight w:val="0"/>
      <w:marTop w:val="0"/>
      <w:marBottom w:val="0"/>
      <w:divBdr>
        <w:top w:val="none" w:sz="0" w:space="0" w:color="auto"/>
        <w:left w:val="none" w:sz="0" w:space="0" w:color="auto"/>
        <w:bottom w:val="none" w:sz="0" w:space="0" w:color="auto"/>
        <w:right w:val="none" w:sz="0" w:space="0" w:color="auto"/>
      </w:divBdr>
      <w:divsChild>
        <w:div w:id="1480993934">
          <w:marLeft w:val="0"/>
          <w:marRight w:val="0"/>
          <w:marTop w:val="0"/>
          <w:marBottom w:val="0"/>
          <w:divBdr>
            <w:top w:val="none" w:sz="0" w:space="0" w:color="auto"/>
            <w:left w:val="none" w:sz="0" w:space="0" w:color="auto"/>
            <w:bottom w:val="none" w:sz="0" w:space="0" w:color="auto"/>
            <w:right w:val="none" w:sz="0" w:space="0" w:color="auto"/>
          </w:divBdr>
          <w:divsChild>
            <w:div w:id="1667632121">
              <w:marLeft w:val="0"/>
              <w:marRight w:val="0"/>
              <w:marTop w:val="0"/>
              <w:marBottom w:val="0"/>
              <w:divBdr>
                <w:top w:val="none" w:sz="0" w:space="0" w:color="auto"/>
                <w:left w:val="none" w:sz="0" w:space="0" w:color="auto"/>
                <w:bottom w:val="none" w:sz="0" w:space="0" w:color="auto"/>
                <w:right w:val="none" w:sz="0" w:space="0" w:color="auto"/>
              </w:divBdr>
            </w:div>
            <w:div w:id="2088073871">
              <w:marLeft w:val="0"/>
              <w:marRight w:val="0"/>
              <w:marTop w:val="0"/>
              <w:marBottom w:val="225"/>
              <w:divBdr>
                <w:top w:val="none" w:sz="0" w:space="0" w:color="auto"/>
                <w:left w:val="none" w:sz="0" w:space="0" w:color="auto"/>
                <w:bottom w:val="none" w:sz="0" w:space="0" w:color="auto"/>
                <w:right w:val="none" w:sz="0" w:space="0" w:color="auto"/>
              </w:divBdr>
              <w:divsChild>
                <w:div w:id="1376924288">
                  <w:marLeft w:val="0"/>
                  <w:marRight w:val="0"/>
                  <w:marTop w:val="0"/>
                  <w:marBottom w:val="225"/>
                  <w:divBdr>
                    <w:top w:val="none" w:sz="0" w:space="0" w:color="auto"/>
                    <w:left w:val="none" w:sz="0" w:space="0" w:color="auto"/>
                    <w:bottom w:val="none" w:sz="0" w:space="0" w:color="auto"/>
                    <w:right w:val="none" w:sz="0" w:space="0" w:color="auto"/>
                  </w:divBdr>
                  <w:divsChild>
                    <w:div w:id="184917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653961">
      <w:bodyDiv w:val="1"/>
      <w:marLeft w:val="0"/>
      <w:marRight w:val="0"/>
      <w:marTop w:val="0"/>
      <w:marBottom w:val="0"/>
      <w:divBdr>
        <w:top w:val="none" w:sz="0" w:space="0" w:color="auto"/>
        <w:left w:val="none" w:sz="0" w:space="0" w:color="auto"/>
        <w:bottom w:val="none" w:sz="0" w:space="0" w:color="auto"/>
        <w:right w:val="none" w:sz="0" w:space="0" w:color="auto"/>
      </w:divBdr>
    </w:div>
    <w:div w:id="796994626">
      <w:bodyDiv w:val="1"/>
      <w:marLeft w:val="0"/>
      <w:marRight w:val="0"/>
      <w:marTop w:val="0"/>
      <w:marBottom w:val="0"/>
      <w:divBdr>
        <w:top w:val="none" w:sz="0" w:space="0" w:color="auto"/>
        <w:left w:val="none" w:sz="0" w:space="0" w:color="auto"/>
        <w:bottom w:val="none" w:sz="0" w:space="0" w:color="auto"/>
        <w:right w:val="none" w:sz="0" w:space="0" w:color="auto"/>
      </w:divBdr>
    </w:div>
    <w:div w:id="841356398">
      <w:bodyDiv w:val="1"/>
      <w:marLeft w:val="0"/>
      <w:marRight w:val="0"/>
      <w:marTop w:val="0"/>
      <w:marBottom w:val="0"/>
      <w:divBdr>
        <w:top w:val="none" w:sz="0" w:space="0" w:color="auto"/>
        <w:left w:val="none" w:sz="0" w:space="0" w:color="auto"/>
        <w:bottom w:val="none" w:sz="0" w:space="0" w:color="auto"/>
        <w:right w:val="none" w:sz="0" w:space="0" w:color="auto"/>
      </w:divBdr>
    </w:div>
    <w:div w:id="1087266532">
      <w:bodyDiv w:val="1"/>
      <w:marLeft w:val="0"/>
      <w:marRight w:val="0"/>
      <w:marTop w:val="0"/>
      <w:marBottom w:val="0"/>
      <w:divBdr>
        <w:top w:val="none" w:sz="0" w:space="0" w:color="auto"/>
        <w:left w:val="none" w:sz="0" w:space="0" w:color="auto"/>
        <w:bottom w:val="none" w:sz="0" w:space="0" w:color="auto"/>
        <w:right w:val="none" w:sz="0" w:space="0" w:color="auto"/>
      </w:divBdr>
    </w:div>
    <w:div w:id="1091900223">
      <w:bodyDiv w:val="1"/>
      <w:marLeft w:val="0"/>
      <w:marRight w:val="0"/>
      <w:marTop w:val="0"/>
      <w:marBottom w:val="0"/>
      <w:divBdr>
        <w:top w:val="none" w:sz="0" w:space="0" w:color="auto"/>
        <w:left w:val="none" w:sz="0" w:space="0" w:color="auto"/>
        <w:bottom w:val="none" w:sz="0" w:space="0" w:color="auto"/>
        <w:right w:val="none" w:sz="0" w:space="0" w:color="auto"/>
      </w:divBdr>
      <w:divsChild>
        <w:div w:id="632175337">
          <w:marLeft w:val="0"/>
          <w:marRight w:val="0"/>
          <w:marTop w:val="0"/>
          <w:marBottom w:val="0"/>
          <w:divBdr>
            <w:top w:val="none" w:sz="0" w:space="0" w:color="auto"/>
            <w:left w:val="none" w:sz="0" w:space="0" w:color="auto"/>
            <w:bottom w:val="none" w:sz="0" w:space="0" w:color="auto"/>
            <w:right w:val="none" w:sz="0" w:space="0" w:color="auto"/>
          </w:divBdr>
          <w:divsChild>
            <w:div w:id="2122455206">
              <w:marLeft w:val="0"/>
              <w:marRight w:val="0"/>
              <w:marTop w:val="0"/>
              <w:marBottom w:val="0"/>
              <w:divBdr>
                <w:top w:val="none" w:sz="0" w:space="0" w:color="auto"/>
                <w:left w:val="none" w:sz="0" w:space="0" w:color="auto"/>
                <w:bottom w:val="none" w:sz="0" w:space="0" w:color="auto"/>
                <w:right w:val="none" w:sz="0" w:space="0" w:color="auto"/>
              </w:divBdr>
              <w:divsChild>
                <w:div w:id="1380478510">
                  <w:marLeft w:val="0"/>
                  <w:marRight w:val="0"/>
                  <w:marTop w:val="0"/>
                  <w:marBottom w:val="0"/>
                  <w:divBdr>
                    <w:top w:val="none" w:sz="0" w:space="0" w:color="auto"/>
                    <w:left w:val="none" w:sz="0" w:space="0" w:color="auto"/>
                    <w:bottom w:val="none" w:sz="0" w:space="0" w:color="auto"/>
                    <w:right w:val="none" w:sz="0" w:space="0" w:color="auto"/>
                  </w:divBdr>
                  <w:divsChild>
                    <w:div w:id="142607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316533">
          <w:marLeft w:val="0"/>
          <w:marRight w:val="0"/>
          <w:marTop w:val="0"/>
          <w:marBottom w:val="0"/>
          <w:divBdr>
            <w:top w:val="none" w:sz="0" w:space="0" w:color="auto"/>
            <w:left w:val="none" w:sz="0" w:space="0" w:color="auto"/>
            <w:bottom w:val="none" w:sz="0" w:space="0" w:color="auto"/>
            <w:right w:val="none" w:sz="0" w:space="0" w:color="auto"/>
          </w:divBdr>
          <w:divsChild>
            <w:div w:id="1862161478">
              <w:marLeft w:val="0"/>
              <w:marRight w:val="0"/>
              <w:marTop w:val="0"/>
              <w:marBottom w:val="0"/>
              <w:divBdr>
                <w:top w:val="none" w:sz="0" w:space="0" w:color="auto"/>
                <w:left w:val="none" w:sz="0" w:space="0" w:color="auto"/>
                <w:bottom w:val="none" w:sz="0" w:space="0" w:color="auto"/>
                <w:right w:val="none" w:sz="0" w:space="0" w:color="auto"/>
              </w:divBdr>
              <w:divsChild>
                <w:div w:id="1329744330">
                  <w:marLeft w:val="0"/>
                  <w:marRight w:val="0"/>
                  <w:marTop w:val="0"/>
                  <w:marBottom w:val="0"/>
                  <w:divBdr>
                    <w:top w:val="none" w:sz="0" w:space="0" w:color="auto"/>
                    <w:left w:val="none" w:sz="0" w:space="0" w:color="auto"/>
                    <w:bottom w:val="none" w:sz="0" w:space="0" w:color="auto"/>
                    <w:right w:val="none" w:sz="0" w:space="0" w:color="auto"/>
                  </w:divBdr>
                  <w:divsChild>
                    <w:div w:id="60896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244633">
      <w:bodyDiv w:val="1"/>
      <w:marLeft w:val="0"/>
      <w:marRight w:val="0"/>
      <w:marTop w:val="0"/>
      <w:marBottom w:val="0"/>
      <w:divBdr>
        <w:top w:val="none" w:sz="0" w:space="0" w:color="auto"/>
        <w:left w:val="none" w:sz="0" w:space="0" w:color="auto"/>
        <w:bottom w:val="none" w:sz="0" w:space="0" w:color="auto"/>
        <w:right w:val="none" w:sz="0" w:space="0" w:color="auto"/>
      </w:divBdr>
    </w:div>
    <w:div w:id="1296987207">
      <w:bodyDiv w:val="1"/>
      <w:marLeft w:val="0"/>
      <w:marRight w:val="0"/>
      <w:marTop w:val="0"/>
      <w:marBottom w:val="0"/>
      <w:divBdr>
        <w:top w:val="none" w:sz="0" w:space="0" w:color="auto"/>
        <w:left w:val="none" w:sz="0" w:space="0" w:color="auto"/>
        <w:bottom w:val="none" w:sz="0" w:space="0" w:color="auto"/>
        <w:right w:val="none" w:sz="0" w:space="0" w:color="auto"/>
      </w:divBdr>
    </w:div>
    <w:div w:id="1319529334">
      <w:bodyDiv w:val="1"/>
      <w:marLeft w:val="0"/>
      <w:marRight w:val="0"/>
      <w:marTop w:val="0"/>
      <w:marBottom w:val="0"/>
      <w:divBdr>
        <w:top w:val="none" w:sz="0" w:space="0" w:color="auto"/>
        <w:left w:val="none" w:sz="0" w:space="0" w:color="auto"/>
        <w:bottom w:val="none" w:sz="0" w:space="0" w:color="auto"/>
        <w:right w:val="none" w:sz="0" w:space="0" w:color="auto"/>
      </w:divBdr>
    </w:div>
    <w:div w:id="1466852595">
      <w:bodyDiv w:val="1"/>
      <w:marLeft w:val="0"/>
      <w:marRight w:val="0"/>
      <w:marTop w:val="0"/>
      <w:marBottom w:val="0"/>
      <w:divBdr>
        <w:top w:val="none" w:sz="0" w:space="0" w:color="auto"/>
        <w:left w:val="none" w:sz="0" w:space="0" w:color="auto"/>
        <w:bottom w:val="none" w:sz="0" w:space="0" w:color="auto"/>
        <w:right w:val="none" w:sz="0" w:space="0" w:color="auto"/>
      </w:divBdr>
    </w:div>
    <w:div w:id="1491673613">
      <w:bodyDiv w:val="1"/>
      <w:marLeft w:val="0"/>
      <w:marRight w:val="0"/>
      <w:marTop w:val="0"/>
      <w:marBottom w:val="0"/>
      <w:divBdr>
        <w:top w:val="none" w:sz="0" w:space="0" w:color="auto"/>
        <w:left w:val="none" w:sz="0" w:space="0" w:color="auto"/>
        <w:bottom w:val="none" w:sz="0" w:space="0" w:color="auto"/>
        <w:right w:val="none" w:sz="0" w:space="0" w:color="auto"/>
      </w:divBdr>
    </w:div>
    <w:div w:id="1491870488">
      <w:bodyDiv w:val="1"/>
      <w:marLeft w:val="0"/>
      <w:marRight w:val="0"/>
      <w:marTop w:val="0"/>
      <w:marBottom w:val="0"/>
      <w:divBdr>
        <w:top w:val="none" w:sz="0" w:space="0" w:color="auto"/>
        <w:left w:val="none" w:sz="0" w:space="0" w:color="auto"/>
        <w:bottom w:val="none" w:sz="0" w:space="0" w:color="auto"/>
        <w:right w:val="none" w:sz="0" w:space="0" w:color="auto"/>
      </w:divBdr>
      <w:divsChild>
        <w:div w:id="1222449728">
          <w:marLeft w:val="0"/>
          <w:marRight w:val="0"/>
          <w:marTop w:val="0"/>
          <w:marBottom w:val="0"/>
          <w:divBdr>
            <w:top w:val="none" w:sz="0" w:space="0" w:color="auto"/>
            <w:left w:val="none" w:sz="0" w:space="0" w:color="auto"/>
            <w:bottom w:val="none" w:sz="0" w:space="0" w:color="auto"/>
            <w:right w:val="none" w:sz="0" w:space="0" w:color="auto"/>
          </w:divBdr>
          <w:divsChild>
            <w:div w:id="1135947411">
              <w:marLeft w:val="0"/>
              <w:marRight w:val="0"/>
              <w:marTop w:val="0"/>
              <w:marBottom w:val="0"/>
              <w:divBdr>
                <w:top w:val="none" w:sz="0" w:space="0" w:color="auto"/>
                <w:left w:val="none" w:sz="0" w:space="0" w:color="auto"/>
                <w:bottom w:val="none" w:sz="0" w:space="0" w:color="auto"/>
                <w:right w:val="none" w:sz="0" w:space="0" w:color="auto"/>
              </w:divBdr>
              <w:divsChild>
                <w:div w:id="1791893371">
                  <w:marLeft w:val="0"/>
                  <w:marRight w:val="0"/>
                  <w:marTop w:val="0"/>
                  <w:marBottom w:val="0"/>
                  <w:divBdr>
                    <w:top w:val="none" w:sz="0" w:space="0" w:color="auto"/>
                    <w:left w:val="none" w:sz="0" w:space="0" w:color="auto"/>
                    <w:bottom w:val="none" w:sz="0" w:space="0" w:color="auto"/>
                    <w:right w:val="none" w:sz="0" w:space="0" w:color="auto"/>
                  </w:divBdr>
                  <w:divsChild>
                    <w:div w:id="99032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730093">
          <w:marLeft w:val="0"/>
          <w:marRight w:val="0"/>
          <w:marTop w:val="0"/>
          <w:marBottom w:val="0"/>
          <w:divBdr>
            <w:top w:val="none" w:sz="0" w:space="0" w:color="auto"/>
            <w:left w:val="none" w:sz="0" w:space="0" w:color="auto"/>
            <w:bottom w:val="none" w:sz="0" w:space="0" w:color="auto"/>
            <w:right w:val="none" w:sz="0" w:space="0" w:color="auto"/>
          </w:divBdr>
          <w:divsChild>
            <w:div w:id="626085566">
              <w:marLeft w:val="0"/>
              <w:marRight w:val="0"/>
              <w:marTop w:val="0"/>
              <w:marBottom w:val="0"/>
              <w:divBdr>
                <w:top w:val="none" w:sz="0" w:space="0" w:color="auto"/>
                <w:left w:val="none" w:sz="0" w:space="0" w:color="auto"/>
                <w:bottom w:val="none" w:sz="0" w:space="0" w:color="auto"/>
                <w:right w:val="none" w:sz="0" w:space="0" w:color="auto"/>
              </w:divBdr>
              <w:divsChild>
                <w:div w:id="1637024772">
                  <w:marLeft w:val="0"/>
                  <w:marRight w:val="0"/>
                  <w:marTop w:val="0"/>
                  <w:marBottom w:val="0"/>
                  <w:divBdr>
                    <w:top w:val="none" w:sz="0" w:space="0" w:color="auto"/>
                    <w:left w:val="none" w:sz="0" w:space="0" w:color="auto"/>
                    <w:bottom w:val="none" w:sz="0" w:space="0" w:color="auto"/>
                    <w:right w:val="none" w:sz="0" w:space="0" w:color="auto"/>
                  </w:divBdr>
                  <w:divsChild>
                    <w:div w:id="44782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881970">
      <w:bodyDiv w:val="1"/>
      <w:marLeft w:val="0"/>
      <w:marRight w:val="0"/>
      <w:marTop w:val="0"/>
      <w:marBottom w:val="0"/>
      <w:divBdr>
        <w:top w:val="none" w:sz="0" w:space="0" w:color="auto"/>
        <w:left w:val="none" w:sz="0" w:space="0" w:color="auto"/>
        <w:bottom w:val="none" w:sz="0" w:space="0" w:color="auto"/>
        <w:right w:val="none" w:sz="0" w:space="0" w:color="auto"/>
      </w:divBdr>
    </w:div>
    <w:div w:id="1533766483">
      <w:bodyDiv w:val="1"/>
      <w:marLeft w:val="0"/>
      <w:marRight w:val="0"/>
      <w:marTop w:val="0"/>
      <w:marBottom w:val="0"/>
      <w:divBdr>
        <w:top w:val="none" w:sz="0" w:space="0" w:color="auto"/>
        <w:left w:val="none" w:sz="0" w:space="0" w:color="auto"/>
        <w:bottom w:val="none" w:sz="0" w:space="0" w:color="auto"/>
        <w:right w:val="none" w:sz="0" w:space="0" w:color="auto"/>
      </w:divBdr>
    </w:div>
    <w:div w:id="1602683122">
      <w:bodyDiv w:val="1"/>
      <w:marLeft w:val="0"/>
      <w:marRight w:val="0"/>
      <w:marTop w:val="0"/>
      <w:marBottom w:val="0"/>
      <w:divBdr>
        <w:top w:val="none" w:sz="0" w:space="0" w:color="auto"/>
        <w:left w:val="none" w:sz="0" w:space="0" w:color="auto"/>
        <w:bottom w:val="none" w:sz="0" w:space="0" w:color="auto"/>
        <w:right w:val="none" w:sz="0" w:space="0" w:color="auto"/>
      </w:divBdr>
    </w:div>
    <w:div w:id="1652516740">
      <w:bodyDiv w:val="1"/>
      <w:marLeft w:val="0"/>
      <w:marRight w:val="0"/>
      <w:marTop w:val="0"/>
      <w:marBottom w:val="0"/>
      <w:divBdr>
        <w:top w:val="none" w:sz="0" w:space="0" w:color="auto"/>
        <w:left w:val="none" w:sz="0" w:space="0" w:color="auto"/>
        <w:bottom w:val="none" w:sz="0" w:space="0" w:color="auto"/>
        <w:right w:val="none" w:sz="0" w:space="0" w:color="auto"/>
      </w:divBdr>
    </w:div>
    <w:div w:id="1729717645">
      <w:bodyDiv w:val="1"/>
      <w:marLeft w:val="0"/>
      <w:marRight w:val="0"/>
      <w:marTop w:val="0"/>
      <w:marBottom w:val="0"/>
      <w:divBdr>
        <w:top w:val="none" w:sz="0" w:space="0" w:color="auto"/>
        <w:left w:val="none" w:sz="0" w:space="0" w:color="auto"/>
        <w:bottom w:val="none" w:sz="0" w:space="0" w:color="auto"/>
        <w:right w:val="none" w:sz="0" w:space="0" w:color="auto"/>
      </w:divBdr>
      <w:divsChild>
        <w:div w:id="1425347477">
          <w:marLeft w:val="0"/>
          <w:marRight w:val="0"/>
          <w:marTop w:val="0"/>
          <w:marBottom w:val="0"/>
          <w:divBdr>
            <w:top w:val="none" w:sz="0" w:space="0" w:color="auto"/>
            <w:left w:val="none" w:sz="0" w:space="0" w:color="auto"/>
            <w:bottom w:val="none" w:sz="0" w:space="0" w:color="auto"/>
            <w:right w:val="none" w:sz="0" w:space="0" w:color="auto"/>
          </w:divBdr>
          <w:divsChild>
            <w:div w:id="160199883">
              <w:marLeft w:val="0"/>
              <w:marRight w:val="0"/>
              <w:marTop w:val="0"/>
              <w:marBottom w:val="225"/>
              <w:divBdr>
                <w:top w:val="none" w:sz="0" w:space="0" w:color="auto"/>
                <w:left w:val="none" w:sz="0" w:space="0" w:color="auto"/>
                <w:bottom w:val="none" w:sz="0" w:space="0" w:color="auto"/>
                <w:right w:val="none" w:sz="0" w:space="0" w:color="auto"/>
              </w:divBdr>
              <w:divsChild>
                <w:div w:id="1845707110">
                  <w:marLeft w:val="0"/>
                  <w:marRight w:val="0"/>
                  <w:marTop w:val="0"/>
                  <w:marBottom w:val="225"/>
                  <w:divBdr>
                    <w:top w:val="none" w:sz="0" w:space="0" w:color="auto"/>
                    <w:left w:val="none" w:sz="0" w:space="0" w:color="auto"/>
                    <w:bottom w:val="none" w:sz="0" w:space="0" w:color="auto"/>
                    <w:right w:val="none" w:sz="0" w:space="0" w:color="auto"/>
                  </w:divBdr>
                  <w:divsChild>
                    <w:div w:id="2925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41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106806">
      <w:bodyDiv w:val="1"/>
      <w:marLeft w:val="0"/>
      <w:marRight w:val="0"/>
      <w:marTop w:val="0"/>
      <w:marBottom w:val="0"/>
      <w:divBdr>
        <w:top w:val="none" w:sz="0" w:space="0" w:color="auto"/>
        <w:left w:val="none" w:sz="0" w:space="0" w:color="auto"/>
        <w:bottom w:val="none" w:sz="0" w:space="0" w:color="auto"/>
        <w:right w:val="none" w:sz="0" w:space="0" w:color="auto"/>
      </w:divBdr>
      <w:divsChild>
        <w:div w:id="724139213">
          <w:marLeft w:val="0"/>
          <w:marRight w:val="0"/>
          <w:marTop w:val="0"/>
          <w:marBottom w:val="0"/>
          <w:divBdr>
            <w:top w:val="none" w:sz="0" w:space="0" w:color="auto"/>
            <w:left w:val="none" w:sz="0" w:space="0" w:color="auto"/>
            <w:bottom w:val="none" w:sz="0" w:space="0" w:color="auto"/>
            <w:right w:val="none" w:sz="0" w:space="0" w:color="auto"/>
          </w:divBdr>
          <w:divsChild>
            <w:div w:id="73011426">
              <w:marLeft w:val="0"/>
              <w:marRight w:val="0"/>
              <w:marTop w:val="0"/>
              <w:marBottom w:val="0"/>
              <w:divBdr>
                <w:top w:val="none" w:sz="0" w:space="0" w:color="auto"/>
                <w:left w:val="none" w:sz="0" w:space="0" w:color="auto"/>
                <w:bottom w:val="none" w:sz="0" w:space="0" w:color="auto"/>
                <w:right w:val="none" w:sz="0" w:space="0" w:color="auto"/>
              </w:divBdr>
              <w:divsChild>
                <w:div w:id="1864398166">
                  <w:marLeft w:val="0"/>
                  <w:marRight w:val="0"/>
                  <w:marTop w:val="0"/>
                  <w:marBottom w:val="0"/>
                  <w:divBdr>
                    <w:top w:val="none" w:sz="0" w:space="0" w:color="auto"/>
                    <w:left w:val="none" w:sz="0" w:space="0" w:color="auto"/>
                    <w:bottom w:val="none" w:sz="0" w:space="0" w:color="auto"/>
                    <w:right w:val="none" w:sz="0" w:space="0" w:color="auto"/>
                  </w:divBdr>
                  <w:divsChild>
                    <w:div w:id="1777291846">
                      <w:marLeft w:val="0"/>
                      <w:marRight w:val="0"/>
                      <w:marTop w:val="0"/>
                      <w:marBottom w:val="0"/>
                      <w:divBdr>
                        <w:top w:val="none" w:sz="0" w:space="0" w:color="auto"/>
                        <w:left w:val="none" w:sz="0" w:space="0" w:color="auto"/>
                        <w:bottom w:val="none" w:sz="0" w:space="0" w:color="auto"/>
                        <w:right w:val="none" w:sz="0" w:space="0" w:color="auto"/>
                      </w:divBdr>
                      <w:divsChild>
                        <w:div w:id="1877698476">
                          <w:marLeft w:val="0"/>
                          <w:marRight w:val="0"/>
                          <w:marTop w:val="0"/>
                          <w:marBottom w:val="0"/>
                          <w:divBdr>
                            <w:top w:val="none" w:sz="0" w:space="0" w:color="auto"/>
                            <w:left w:val="none" w:sz="0" w:space="0" w:color="auto"/>
                            <w:bottom w:val="none" w:sz="0" w:space="0" w:color="auto"/>
                            <w:right w:val="none" w:sz="0" w:space="0" w:color="auto"/>
                          </w:divBdr>
                          <w:divsChild>
                            <w:div w:id="90295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5319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hyperlink" Target="https://hidayatrizvi.com/emma-walmsley-leadership-styl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ckinsey.com/capabilities/strategy-and-corporate-finance/our-insights/how-asias-largest-pharma-is-leveraging-its-values-to-navigate-the-covid-19-crisis"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gsk.com/en-gb/company/purpose-strategy-and-cultur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sk.com/en-gb/company/purpose-strategy-and-culture/" TargetMode="External"/><Relationship Id="rId20" Type="http://schemas.openxmlformats.org/officeDocument/2006/relationships/hyperlink" Target="https://www.marketscreener.com/quote/stock/TAKEDA-PHARMACEUTICAL-COM-6491073/news/Japan-s-Takeda-raises-full-year-profit-forecast-amid-restructuring-4821573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https://image.shutterstock.com/image-vector/face-concept-japanese-vs-british-260nw-2080181494.jpg" TargetMode="External"/><Relationship Id="rId24" Type="http://schemas.openxmlformats.org/officeDocument/2006/relationships/hyperlink" Target="https://www.takeda.com/" TargetMode="External"/><Relationship Id="rId5" Type="http://schemas.openxmlformats.org/officeDocument/2006/relationships/footnotes" Target="footnotes.xml"/><Relationship Id="rId15" Type="http://schemas.openxmlformats.org/officeDocument/2006/relationships/hyperlink" Target="https://doi.org/10.1348/096317900166859" TargetMode="External"/><Relationship Id="rId23" Type="http://schemas.openxmlformats.org/officeDocument/2006/relationships/hyperlink" Target="https://www.statista.com/topics/12090/gsk-glaxosmithkline/" TargetMode="External"/><Relationship Id="rId10" Type="http://schemas.openxmlformats.org/officeDocument/2006/relationships/image" Target="media/image4.jpeg"/><Relationship Id="rId19" Type="http://schemas.openxmlformats.org/officeDocument/2006/relationships/hyperlink" Target="https://doi.org/10.1177/1470595811398797"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080/02650487.2007.11073016" TargetMode="External"/><Relationship Id="rId22" Type="http://schemas.openxmlformats.org/officeDocument/2006/relationships/hyperlink" Target="https://doi.org/10.36923/jicc.v6i2.42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3154</Words>
  <Characters>17979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21091</CharactersWithSpaces>
  <SharedDoc>false</SharedDoc>
  <HLinks>
    <vt:vector size="78" baseType="variant">
      <vt:variant>
        <vt:i4>2293882</vt:i4>
      </vt:variant>
      <vt:variant>
        <vt:i4>36</vt:i4>
      </vt:variant>
      <vt:variant>
        <vt:i4>0</vt:i4>
      </vt:variant>
      <vt:variant>
        <vt:i4>5</vt:i4>
      </vt:variant>
      <vt:variant>
        <vt:lpwstr>https://www.takeda.com/</vt:lpwstr>
      </vt:variant>
      <vt:variant>
        <vt:lpwstr/>
      </vt:variant>
      <vt:variant>
        <vt:i4>3276916</vt:i4>
      </vt:variant>
      <vt:variant>
        <vt:i4>33</vt:i4>
      </vt:variant>
      <vt:variant>
        <vt:i4>0</vt:i4>
      </vt:variant>
      <vt:variant>
        <vt:i4>5</vt:i4>
      </vt:variant>
      <vt:variant>
        <vt:lpwstr>https://www.statista.com/topics/12090/gsk-glaxosmithkline/</vt:lpwstr>
      </vt:variant>
      <vt:variant>
        <vt:lpwstr>topicOverview</vt:lpwstr>
      </vt:variant>
      <vt:variant>
        <vt:i4>2752632</vt:i4>
      </vt:variant>
      <vt:variant>
        <vt:i4>30</vt:i4>
      </vt:variant>
      <vt:variant>
        <vt:i4>0</vt:i4>
      </vt:variant>
      <vt:variant>
        <vt:i4>5</vt:i4>
      </vt:variant>
      <vt:variant>
        <vt:lpwstr>https://doi.org/10.36923/jicc.v6i2.429</vt:lpwstr>
      </vt:variant>
      <vt:variant>
        <vt:lpwstr/>
      </vt:variant>
      <vt:variant>
        <vt:i4>7012450</vt:i4>
      </vt:variant>
      <vt:variant>
        <vt:i4>27</vt:i4>
      </vt:variant>
      <vt:variant>
        <vt:i4>0</vt:i4>
      </vt:variant>
      <vt:variant>
        <vt:i4>5</vt:i4>
      </vt:variant>
      <vt:variant>
        <vt:lpwstr>https://www.mckinsey.com/capabilities/strategy-and-corporate-finance/our-insights/how-asias-largest-pharma-is-leveraging-its-values-to-navigate-the-covid-19-crisis</vt:lpwstr>
      </vt:variant>
      <vt:variant>
        <vt:lpwstr/>
      </vt:variant>
      <vt:variant>
        <vt:i4>3604588</vt:i4>
      </vt:variant>
      <vt:variant>
        <vt:i4>24</vt:i4>
      </vt:variant>
      <vt:variant>
        <vt:i4>0</vt:i4>
      </vt:variant>
      <vt:variant>
        <vt:i4>5</vt:i4>
      </vt:variant>
      <vt:variant>
        <vt:lpwstr>https://www.marketscreener.com/quote/stock/TAKEDA-PHARMACEUTICAL-COM-6491073/news/Japan-s-Takeda-raises-full-year-profit-forecast-amid-restructuring-48215732/</vt:lpwstr>
      </vt:variant>
      <vt:variant>
        <vt:lpwstr/>
      </vt:variant>
      <vt:variant>
        <vt:i4>1638489</vt:i4>
      </vt:variant>
      <vt:variant>
        <vt:i4>21</vt:i4>
      </vt:variant>
      <vt:variant>
        <vt:i4>0</vt:i4>
      </vt:variant>
      <vt:variant>
        <vt:i4>5</vt:i4>
      </vt:variant>
      <vt:variant>
        <vt:lpwstr>https://doi.org/10.1177/1470595811398797</vt:lpwstr>
      </vt:variant>
      <vt:variant>
        <vt:lpwstr/>
      </vt:variant>
      <vt:variant>
        <vt:i4>4390936</vt:i4>
      </vt:variant>
      <vt:variant>
        <vt:i4>18</vt:i4>
      </vt:variant>
      <vt:variant>
        <vt:i4>0</vt:i4>
      </vt:variant>
      <vt:variant>
        <vt:i4>5</vt:i4>
      </vt:variant>
      <vt:variant>
        <vt:lpwstr>https://hidayatrizvi.com/emma-walmsley-leadership-style/</vt:lpwstr>
      </vt:variant>
      <vt:variant>
        <vt:lpwstr/>
      </vt:variant>
      <vt:variant>
        <vt:i4>6619257</vt:i4>
      </vt:variant>
      <vt:variant>
        <vt:i4>15</vt:i4>
      </vt:variant>
      <vt:variant>
        <vt:i4>0</vt:i4>
      </vt:variant>
      <vt:variant>
        <vt:i4>5</vt:i4>
      </vt:variant>
      <vt:variant>
        <vt:lpwstr>https://www.gsk.com/en-gb/company/purpose-strategy-and-culture/</vt:lpwstr>
      </vt:variant>
      <vt:variant>
        <vt:lpwstr/>
      </vt:variant>
      <vt:variant>
        <vt:i4>6619257</vt:i4>
      </vt:variant>
      <vt:variant>
        <vt:i4>12</vt:i4>
      </vt:variant>
      <vt:variant>
        <vt:i4>0</vt:i4>
      </vt:variant>
      <vt:variant>
        <vt:i4>5</vt:i4>
      </vt:variant>
      <vt:variant>
        <vt:lpwstr>https://www.gsk.com/en-gb/company/purpose-strategy-and-culture/</vt:lpwstr>
      </vt:variant>
      <vt:variant>
        <vt:lpwstr/>
      </vt:variant>
      <vt:variant>
        <vt:i4>2621537</vt:i4>
      </vt:variant>
      <vt:variant>
        <vt:i4>9</vt:i4>
      </vt:variant>
      <vt:variant>
        <vt:i4>0</vt:i4>
      </vt:variant>
      <vt:variant>
        <vt:i4>5</vt:i4>
      </vt:variant>
      <vt:variant>
        <vt:lpwstr>https://doi.org/10.1348/096317900166859</vt:lpwstr>
      </vt:variant>
      <vt:variant>
        <vt:lpwstr/>
      </vt:variant>
      <vt:variant>
        <vt:i4>3342462</vt:i4>
      </vt:variant>
      <vt:variant>
        <vt:i4>6</vt:i4>
      </vt:variant>
      <vt:variant>
        <vt:i4>0</vt:i4>
      </vt:variant>
      <vt:variant>
        <vt:i4>5</vt:i4>
      </vt:variant>
      <vt:variant>
        <vt:lpwstr>https://doi.org/10.1080/02650487.2007.11073016</vt:lpwstr>
      </vt:variant>
      <vt:variant>
        <vt:lpwstr/>
      </vt:variant>
      <vt:variant>
        <vt:i4>6160461</vt:i4>
      </vt:variant>
      <vt:variant>
        <vt:i4>-1</vt:i4>
      </vt:variant>
      <vt:variant>
        <vt:i4>1038</vt:i4>
      </vt:variant>
      <vt:variant>
        <vt:i4>1</vt:i4>
      </vt:variant>
      <vt:variant>
        <vt:lpwstr>https://image.shutterstock.com/image-vector/face-concept-japanese-vs-british-260nw-2080181494.jpg</vt:lpwstr>
      </vt:variant>
      <vt:variant>
        <vt:lpwstr/>
      </vt:variant>
      <vt:variant>
        <vt:i4>6160461</vt:i4>
      </vt:variant>
      <vt:variant>
        <vt:i4>-1</vt:i4>
      </vt:variant>
      <vt:variant>
        <vt:i4>1039</vt:i4>
      </vt:variant>
      <vt:variant>
        <vt:i4>1</vt:i4>
      </vt:variant>
      <vt:variant>
        <vt:lpwstr>https://image.shutterstock.com/image-vector/face-concept-japanese-vs-british-260nw-2080181494.jpg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chirilagm@gmail.com</dc:creator>
  <cp:keywords/>
  <dc:description/>
  <cp:lastModifiedBy>chirilagm@gmail.com</cp:lastModifiedBy>
  <cp:revision>2</cp:revision>
  <dcterms:created xsi:type="dcterms:W3CDTF">2024-11-19T17:42:00Z</dcterms:created>
  <dcterms:modified xsi:type="dcterms:W3CDTF">2024-11-19T17:42:00Z</dcterms:modified>
</cp:coreProperties>
</file>