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8BF" w:rsidRPr="008818BF" w:rsidRDefault="008818BF" w:rsidP="008818BF">
      <w:pPr>
        <w:spacing w:after="240"/>
        <w:rPr>
          <w:b/>
        </w:rPr>
      </w:pPr>
      <w:r w:rsidRPr="008818BF">
        <w:rPr>
          <w:rFonts w:hint="eastAsia"/>
          <w:b/>
        </w:rPr>
        <w:t>HPPH</w:t>
      </w:r>
      <w:r w:rsidRPr="008818BF">
        <w:rPr>
          <w:b/>
        </w:rPr>
        <w:t>7010 Knowledge, Reason, and Reality</w:t>
      </w:r>
    </w:p>
    <w:p w:rsidR="008818BF" w:rsidRPr="008818BF" w:rsidRDefault="008818BF" w:rsidP="008818BF">
      <w:pPr>
        <w:spacing w:after="240"/>
        <w:rPr>
          <w:b/>
        </w:rPr>
      </w:pPr>
      <w:r w:rsidRPr="008818BF">
        <w:rPr>
          <w:rFonts w:hint="eastAsia"/>
          <w:b/>
        </w:rPr>
        <w:t>Assignment 1</w:t>
      </w:r>
    </w:p>
    <w:p w:rsidR="008818BF" w:rsidRPr="008818BF" w:rsidRDefault="008818BF" w:rsidP="008818BF">
      <w:pPr>
        <w:spacing w:after="240"/>
        <w:rPr>
          <w:b/>
        </w:rPr>
      </w:pPr>
      <w:r w:rsidRPr="008818BF">
        <w:rPr>
          <w:rFonts w:hint="eastAsia"/>
          <w:b/>
        </w:rPr>
        <w:t xml:space="preserve">Andrew </w:t>
      </w:r>
      <w:proofErr w:type="spellStart"/>
      <w:r w:rsidRPr="008818BF">
        <w:rPr>
          <w:rFonts w:hint="eastAsia"/>
          <w:b/>
        </w:rPr>
        <w:t>Nesseler</w:t>
      </w:r>
      <w:proofErr w:type="spellEnd"/>
      <w:r w:rsidRPr="008818BF">
        <w:rPr>
          <w:rFonts w:hint="eastAsia"/>
          <w:b/>
        </w:rPr>
        <w:t xml:space="preserve"> </w:t>
      </w:r>
      <w:r w:rsidRPr="008818BF">
        <w:rPr>
          <w:b/>
        </w:rPr>
        <w:t xml:space="preserve">– </w:t>
      </w:r>
      <w:r w:rsidRPr="008818BF">
        <w:rPr>
          <w:rFonts w:hint="eastAsia"/>
          <w:b/>
        </w:rPr>
        <w:t>Student</w:t>
      </w:r>
      <w:r w:rsidRPr="008818BF">
        <w:rPr>
          <w:b/>
        </w:rPr>
        <w:t xml:space="preserve"> No. </w:t>
      </w:r>
      <w:r w:rsidR="003A15B1">
        <w:rPr>
          <w:b/>
        </w:rPr>
        <w:t>2236167</w:t>
      </w:r>
    </w:p>
    <w:p w:rsidR="008818BF" w:rsidRDefault="008818BF" w:rsidP="008818BF">
      <w:pPr>
        <w:spacing w:after="240"/>
        <w:rPr>
          <w:b/>
        </w:rPr>
      </w:pPr>
      <w:r w:rsidRPr="008818BF">
        <w:rPr>
          <w:b/>
        </w:rPr>
        <w:t>Annotated Bibliography</w:t>
      </w:r>
    </w:p>
    <w:p w:rsidR="008818BF" w:rsidRPr="006169D5" w:rsidRDefault="008818BF" w:rsidP="008818BF">
      <w:pPr>
        <w:spacing w:after="240"/>
        <w:rPr>
          <w:b/>
        </w:rPr>
      </w:pPr>
      <w:r w:rsidRPr="006169D5">
        <w:rPr>
          <w:b/>
        </w:rPr>
        <w:t xml:space="preserve">1. </w:t>
      </w:r>
      <w:r w:rsidR="00773603" w:rsidRPr="006169D5">
        <w:rPr>
          <w:b/>
        </w:rPr>
        <w:t>Asher Moore, ‘Rationalism, Empiricism and the A Priori’, in Philosophical Quarterly, Vol.9, No.36 (</w:t>
      </w:r>
      <w:proofErr w:type="gramStart"/>
      <w:r w:rsidR="00773603" w:rsidRPr="006169D5">
        <w:rPr>
          <w:b/>
        </w:rPr>
        <w:t>Jul.,</w:t>
      </w:r>
      <w:proofErr w:type="gramEnd"/>
      <w:r w:rsidR="00773603" w:rsidRPr="006169D5">
        <w:rPr>
          <w:b/>
        </w:rPr>
        <w:t xml:space="preserve"> 1959), pp.250-58.</w:t>
      </w:r>
    </w:p>
    <w:p w:rsidR="00773603" w:rsidRDefault="00773603" w:rsidP="008818BF">
      <w:pPr>
        <w:spacing w:after="240"/>
      </w:pPr>
    </w:p>
    <w:p w:rsidR="008818BF" w:rsidRDefault="008818BF" w:rsidP="008818BF">
      <w:pPr>
        <w:spacing w:after="240"/>
      </w:pPr>
      <w:r>
        <w:t>Word count:</w:t>
      </w:r>
    </w:p>
    <w:p w:rsidR="00CF212D" w:rsidRPr="00CF212D" w:rsidRDefault="00CF212D" w:rsidP="008818BF">
      <w:pPr>
        <w:spacing w:after="240"/>
        <w:rPr>
          <w:b/>
        </w:rPr>
      </w:pPr>
      <w:r w:rsidRPr="00CF212D">
        <w:rPr>
          <w:b/>
        </w:rPr>
        <w:t>References</w:t>
      </w:r>
    </w:p>
    <w:p w:rsidR="00CF212D" w:rsidRDefault="00CF212D" w:rsidP="008818BF">
      <w:pPr>
        <w:spacing w:after="240"/>
      </w:pPr>
    </w:p>
    <w:p w:rsidR="008818BF" w:rsidRPr="006169D5" w:rsidRDefault="008818BF" w:rsidP="008818BF">
      <w:pPr>
        <w:spacing w:after="240"/>
        <w:rPr>
          <w:b/>
        </w:rPr>
      </w:pPr>
      <w:r w:rsidRPr="006169D5">
        <w:rPr>
          <w:b/>
        </w:rPr>
        <w:t>2.</w:t>
      </w:r>
      <w:r w:rsidR="00310832" w:rsidRPr="006169D5">
        <w:rPr>
          <w:b/>
        </w:rPr>
        <w:t xml:space="preserve"> E. </w:t>
      </w:r>
      <w:proofErr w:type="spellStart"/>
      <w:r w:rsidR="00310832" w:rsidRPr="006169D5">
        <w:rPr>
          <w:b/>
        </w:rPr>
        <w:t>Gettier</w:t>
      </w:r>
      <w:proofErr w:type="spellEnd"/>
      <w:r w:rsidR="00310832" w:rsidRPr="006169D5">
        <w:rPr>
          <w:b/>
        </w:rPr>
        <w:t>, ‘Is Justified True Belief Knowledge’, Analysis, Vol.23, 1963, pp.121-23.</w:t>
      </w:r>
    </w:p>
    <w:p w:rsidR="00073A87" w:rsidRDefault="00CF212D" w:rsidP="008818BF">
      <w:pPr>
        <w:spacing w:after="240"/>
      </w:pPr>
      <w:proofErr w:type="spellStart"/>
      <w:r>
        <w:rPr>
          <w:rFonts w:hint="eastAsia"/>
        </w:rPr>
        <w:t>Gettier</w:t>
      </w:r>
      <w:r>
        <w:t>’s</w:t>
      </w:r>
      <w:proofErr w:type="spellEnd"/>
      <w:r>
        <w:t xml:space="preserve"> paper </w:t>
      </w:r>
      <w:r w:rsidR="0060529D">
        <w:t>raises concerns against</w:t>
      </w:r>
      <w:r>
        <w:t xml:space="preserve"> the </w:t>
      </w:r>
      <w:r w:rsidR="003A339A">
        <w:t xml:space="preserve">allegedly </w:t>
      </w:r>
      <w:r>
        <w:t>well-entrenched view of knowledge as justified true belief (JTB)</w:t>
      </w:r>
      <w:r w:rsidR="003A339A">
        <w:t xml:space="preserve">. Aside from </w:t>
      </w:r>
      <w:r w:rsidR="00EC234B">
        <w:t>any</w:t>
      </w:r>
      <w:r w:rsidR="003A339A">
        <w:t xml:space="preserve"> contentious historica</w:t>
      </w:r>
      <w:r w:rsidR="00EC234B">
        <w:t>l claim</w:t>
      </w:r>
      <w:r w:rsidR="003A339A">
        <w:t xml:space="preserve"> of the prominence of the JTB account (</w:t>
      </w:r>
      <w:proofErr w:type="spellStart"/>
      <w:r w:rsidR="003A339A">
        <w:t>Morvan</w:t>
      </w:r>
      <w:proofErr w:type="spellEnd"/>
      <w:r w:rsidR="003A339A">
        <w:t xml:space="preserve"> 2023),</w:t>
      </w:r>
      <w:r w:rsidR="0060529D">
        <w:t xml:space="preserve"> </w:t>
      </w:r>
      <w:proofErr w:type="spellStart"/>
      <w:r w:rsidR="003A339A">
        <w:t>Gettier’s</w:t>
      </w:r>
      <w:proofErr w:type="spellEnd"/>
      <w:r w:rsidR="003A339A">
        <w:t xml:space="preserve"> brief paper</w:t>
      </w:r>
      <w:r w:rsidR="0060529D">
        <w:t xml:space="preserve"> </w:t>
      </w:r>
      <w:r w:rsidR="00EC234B">
        <w:t>is</w:t>
      </w:r>
      <w:r w:rsidR="0060529D">
        <w:t xml:space="preserve"> famous for spawning a lot of literature in epistemology </w:t>
      </w:r>
      <w:r w:rsidR="003A339A">
        <w:t>in response to the</w:t>
      </w:r>
      <w:r w:rsidR="006B729C">
        <w:t xml:space="preserve"> </w:t>
      </w:r>
      <w:r w:rsidR="00574D3F">
        <w:t>eventually</w:t>
      </w:r>
      <w:r w:rsidR="006B729C">
        <w:t xml:space="preserve"> dubbed </w:t>
      </w:r>
      <w:r w:rsidR="0060529D">
        <w:t>“</w:t>
      </w:r>
      <w:proofErr w:type="spellStart"/>
      <w:r w:rsidR="0060529D">
        <w:t>Gettier</w:t>
      </w:r>
      <w:proofErr w:type="spellEnd"/>
      <w:r w:rsidR="0060529D">
        <w:t xml:space="preserve"> problem.” </w:t>
      </w:r>
      <w:r w:rsidR="00446095">
        <w:t xml:space="preserve">The problem </w:t>
      </w:r>
      <w:proofErr w:type="gramStart"/>
      <w:r w:rsidR="00446095">
        <w:t>is displayed</w:t>
      </w:r>
      <w:proofErr w:type="gramEnd"/>
      <w:r w:rsidR="00446095">
        <w:t xml:space="preserve"> in two cases given by </w:t>
      </w:r>
      <w:proofErr w:type="spellStart"/>
      <w:r w:rsidR="00446095">
        <w:t>Gettier</w:t>
      </w:r>
      <w:proofErr w:type="spellEnd"/>
      <w:r w:rsidR="00446095">
        <w:t xml:space="preserve">. For brevity, I will only focus on the first. </w:t>
      </w:r>
      <w:r w:rsidR="00D362CD">
        <w:t xml:space="preserve">Here, </w:t>
      </w:r>
      <w:r w:rsidR="000D239A">
        <w:t xml:space="preserve">we imagine two people, Smith and Jones, who are applying for the same job. </w:t>
      </w:r>
      <w:r w:rsidR="00726BBD">
        <w:t>Smith has good reason to believe Jones will get the job. Additionally, Smith knows Jones has ten coins in his pockets. From this, Smith has knowledge of</w:t>
      </w:r>
      <w:r w:rsidR="00BD4D46">
        <w:t xml:space="preserve"> </w:t>
      </w:r>
      <w:r w:rsidR="00726BBD">
        <w:t>proposition</w:t>
      </w:r>
      <w:r w:rsidR="00BD4D46">
        <w:t xml:space="preserve"> </w:t>
      </w:r>
      <w:r w:rsidR="00BD4D46">
        <w:rPr>
          <w:i/>
        </w:rPr>
        <w:t>e</w:t>
      </w:r>
      <w:r w:rsidR="00BD4D46">
        <w:t>, which states,</w:t>
      </w:r>
      <w:r w:rsidR="00726BBD">
        <w:t xml:space="preserve"> “The man who will get the job has ten coins in his pocket” (</w:t>
      </w:r>
      <w:proofErr w:type="spellStart"/>
      <w:r w:rsidR="00726BBD">
        <w:t>Gettier</w:t>
      </w:r>
      <w:proofErr w:type="spellEnd"/>
      <w:r w:rsidR="00726BBD">
        <w:t xml:space="preserve"> 1963, p. 122). </w:t>
      </w:r>
      <w:r w:rsidR="00BF1E45">
        <w:t>However, it turns out that Smith gets the job, and he, too, previously unbeknownst to himself, has ten coins in his pockets.</w:t>
      </w:r>
      <w:r w:rsidR="00BD4D46">
        <w:t xml:space="preserve"> Therefore, while Smith was wrong about Jones getting the job and was unaware that the true person who would be hired (himself) would have the ten coins, the JTB account, it seems, must grant that Smith knew </w:t>
      </w:r>
      <w:r w:rsidR="00BD4D46">
        <w:rPr>
          <w:i/>
        </w:rPr>
        <w:t>e</w:t>
      </w:r>
      <w:r w:rsidR="00BD4D46" w:rsidRPr="00BD4D46">
        <w:t>.</w:t>
      </w:r>
    </w:p>
    <w:p w:rsidR="00BF1E45" w:rsidRDefault="00516C2C" w:rsidP="008818BF">
      <w:pPr>
        <w:spacing w:after="240"/>
      </w:pPr>
      <w:proofErr w:type="spellStart"/>
      <w:r>
        <w:rPr>
          <w:rFonts w:hint="eastAsia"/>
        </w:rPr>
        <w:t>Gettier</w:t>
      </w:r>
      <w:proofErr w:type="spellEnd"/>
      <w:r w:rsidR="002E7882">
        <w:t xml:space="preserve"> (1963, p. 122)</w:t>
      </w:r>
      <w:r>
        <w:rPr>
          <w:rFonts w:hint="eastAsia"/>
        </w:rPr>
        <w:t xml:space="preserve">, however, </w:t>
      </w:r>
      <w:r w:rsidR="003F7D82">
        <w:t>outright denies the entailment of the JTB account above, saying it “is equally clear that Smith does not know that (</w:t>
      </w:r>
      <w:r w:rsidR="003F7D82" w:rsidRPr="00A27D42">
        <w:t>e</w:t>
      </w:r>
      <w:r w:rsidR="003F7D82">
        <w:t>) is true</w:t>
      </w:r>
      <w:r w:rsidR="002E7882">
        <w:t xml:space="preserve">.” </w:t>
      </w:r>
      <w:r w:rsidR="00425651">
        <w:t>Therefore</w:t>
      </w:r>
      <w:r w:rsidR="00C34612">
        <w:t xml:space="preserve">, knowledge cannot simply be justified true belief. </w:t>
      </w:r>
      <w:r w:rsidR="00425651">
        <w:t xml:space="preserve">Now, since </w:t>
      </w:r>
      <w:proofErr w:type="spellStart"/>
      <w:r w:rsidR="00425651">
        <w:t>Gettier’s</w:t>
      </w:r>
      <w:proofErr w:type="spellEnd"/>
      <w:r w:rsidR="00425651">
        <w:t xml:space="preserve"> paper itself is brief, I will turn to its history and the work it has inspired. </w:t>
      </w:r>
      <w:r w:rsidR="006E41E1">
        <w:t xml:space="preserve">For the former, Bertrand Russell (1932) raised the problem before </w:t>
      </w:r>
      <w:proofErr w:type="spellStart"/>
      <w:r w:rsidR="006E41E1">
        <w:t>Gettier</w:t>
      </w:r>
      <w:proofErr w:type="spellEnd"/>
      <w:r w:rsidR="006E41E1">
        <w:t xml:space="preserve">, in which he uses the example of correctly but unwittingly believing the name of a prime minister. Similar to </w:t>
      </w:r>
      <w:proofErr w:type="spellStart"/>
      <w:r w:rsidR="006E41E1">
        <w:t>Gettier</w:t>
      </w:r>
      <w:proofErr w:type="spellEnd"/>
      <w:r w:rsidR="006E41E1">
        <w:t xml:space="preserve">, Russell, too, denies the person in such case has knowledge. </w:t>
      </w:r>
      <w:r w:rsidR="00F85F13">
        <w:t xml:space="preserve">Russell (1932 p. 131-2) departs from, </w:t>
      </w:r>
      <w:proofErr w:type="spellStart"/>
      <w:r w:rsidR="00F85F13">
        <w:t>Gettier</w:t>
      </w:r>
      <w:proofErr w:type="spellEnd"/>
      <w:r w:rsidR="00F85F13">
        <w:t xml:space="preserve">, however, when he </w:t>
      </w:r>
      <w:r w:rsidR="006E41E1">
        <w:t>attempts to solve</w:t>
      </w:r>
      <w:r w:rsidR="001D059E">
        <w:t xml:space="preserve"> the problem</w:t>
      </w:r>
      <w:r w:rsidR="00F85F13">
        <w:t xml:space="preserve"> by stipulating that knowledge requires valid deduction and “known premises.”</w:t>
      </w:r>
    </w:p>
    <w:p w:rsidR="00095D6B" w:rsidRDefault="0002793D" w:rsidP="008818BF">
      <w:pPr>
        <w:spacing w:after="240"/>
      </w:pPr>
      <w:r>
        <w:lastRenderedPageBreak/>
        <w:t>In response to Russell, Timothy McGrew and Lydia McGrew (2007</w:t>
      </w:r>
      <w:r w:rsidR="007615DE">
        <w:t xml:space="preserve"> p. 9</w:t>
      </w:r>
      <w:r>
        <w:t xml:space="preserve">) </w:t>
      </w:r>
      <w:r w:rsidR="00754388">
        <w:t>discuss a</w:t>
      </w:r>
      <w:r w:rsidR="007615DE">
        <w:t xml:space="preserve"> critique </w:t>
      </w:r>
      <w:r w:rsidR="00754388">
        <w:t>of Russell’s solution—namely, his solution has</w:t>
      </w:r>
      <w:r w:rsidR="007615DE">
        <w:t xml:space="preserve"> true beliefs held high while there is a “downplay” of rationality. </w:t>
      </w:r>
      <w:r w:rsidR="00754388">
        <w:t xml:space="preserve">Additionally, Russell’s definition does not account for a </w:t>
      </w:r>
      <w:proofErr w:type="spellStart"/>
      <w:r w:rsidR="00754388">
        <w:t>founda</w:t>
      </w:r>
      <w:r w:rsidR="00F235B0">
        <w:t>tionalist</w:t>
      </w:r>
      <w:proofErr w:type="spellEnd"/>
      <w:r w:rsidR="00F235B0">
        <w:t xml:space="preserve"> picture of knowledge, as “foundational beliefs are exactly those that do not require </w:t>
      </w:r>
      <w:r w:rsidR="00F235B0" w:rsidRPr="00F235B0">
        <w:rPr>
          <w:i/>
        </w:rPr>
        <w:t>any</w:t>
      </w:r>
      <w:r w:rsidR="00F235B0">
        <w:t xml:space="preserve"> premises” (McGrew &amp; McGrew 2007</w:t>
      </w:r>
      <w:r w:rsidR="00F067EC">
        <w:t>, p. 10</w:t>
      </w:r>
      <w:r w:rsidR="00F235B0">
        <w:t xml:space="preserve">). </w:t>
      </w:r>
      <w:r w:rsidR="003056B9">
        <w:t>Importantly, however, McGrew</w:t>
      </w:r>
      <w:r w:rsidR="000F6320">
        <w:t xml:space="preserve"> </w:t>
      </w:r>
      <w:r w:rsidR="003056B9">
        <w:t xml:space="preserve">(2007) </w:t>
      </w:r>
      <w:r w:rsidR="00DF7881">
        <w:t xml:space="preserve">notes that both the critique </w:t>
      </w:r>
      <w:r w:rsidR="00574D3F">
        <w:t xml:space="preserve">of Russell </w:t>
      </w:r>
      <w:r w:rsidR="00DF7881">
        <w:t xml:space="preserve">and </w:t>
      </w:r>
      <w:r w:rsidR="00574D3F">
        <w:t xml:space="preserve">the </w:t>
      </w:r>
      <w:r w:rsidR="00DF7881">
        <w:t>consequence for foundationalism</w:t>
      </w:r>
      <w:r w:rsidR="00574D3F">
        <w:t xml:space="preserve"> from Russell’s view</w:t>
      </w:r>
      <w:r w:rsidR="00DF7881">
        <w:t xml:space="preserve"> arguably do not succeed for similar reasons</w:t>
      </w:r>
      <w:r w:rsidR="00095D6B">
        <w:t>.</w:t>
      </w:r>
    </w:p>
    <w:p w:rsidR="0002793D" w:rsidRDefault="00DF7881" w:rsidP="008818BF">
      <w:pPr>
        <w:spacing w:after="240"/>
      </w:pPr>
      <w:r>
        <w:t xml:space="preserve">Namely, </w:t>
      </w:r>
      <w:proofErr w:type="spellStart"/>
      <w:r w:rsidR="003056B9">
        <w:t>Gettier</w:t>
      </w:r>
      <w:proofErr w:type="spellEnd"/>
      <w:r w:rsidR="003056B9">
        <w:t xml:space="preserve"> cases are troublesome due to conflating two different senses of justification. For justification</w:t>
      </w:r>
      <w:r w:rsidR="003056B9" w:rsidRPr="003056B9">
        <w:rPr>
          <w:i/>
          <w:vertAlign w:val="subscript"/>
        </w:rPr>
        <w:t>1</w:t>
      </w:r>
      <w:r w:rsidR="003056B9">
        <w:rPr>
          <w:vertAlign w:val="subscript"/>
        </w:rPr>
        <w:t xml:space="preserve">, </w:t>
      </w:r>
      <w:r w:rsidR="003056B9">
        <w:t>we may think of supporting propositions that “provide adequate grounds for rationally believing” (McGrew &amp; McGrew 2007</w:t>
      </w:r>
      <w:r w:rsidR="00570EB9">
        <w:t>, p. 9</w:t>
      </w:r>
      <w:r w:rsidR="003056B9">
        <w:t xml:space="preserve">) the original proposition (such as who </w:t>
      </w:r>
      <w:proofErr w:type="gramStart"/>
      <w:r w:rsidR="003056B9">
        <w:t>will be hired</w:t>
      </w:r>
      <w:proofErr w:type="gramEnd"/>
      <w:r w:rsidR="003056B9">
        <w:t>). Here, McGrew concedes one would have justification</w:t>
      </w:r>
      <w:r w:rsidR="003056B9" w:rsidRPr="003056B9">
        <w:rPr>
          <w:i/>
          <w:vertAlign w:val="subscript"/>
        </w:rPr>
        <w:t>1</w:t>
      </w:r>
      <w:r w:rsidR="003056B9">
        <w:rPr>
          <w:vertAlign w:val="subscript"/>
        </w:rPr>
        <w:t xml:space="preserve"> </w:t>
      </w:r>
      <w:r w:rsidR="003056B9">
        <w:t xml:space="preserve">in the </w:t>
      </w:r>
      <w:proofErr w:type="spellStart"/>
      <w:r w:rsidR="003056B9">
        <w:t>Gettier</w:t>
      </w:r>
      <w:proofErr w:type="spellEnd"/>
      <w:r w:rsidR="003056B9">
        <w:t xml:space="preserve"> case. However, one would still lack justification</w:t>
      </w:r>
      <w:r w:rsidR="003056B9" w:rsidRPr="003056B9">
        <w:rPr>
          <w:i/>
          <w:vertAlign w:val="subscript"/>
        </w:rPr>
        <w:t>2</w:t>
      </w:r>
      <w:r w:rsidR="003056B9">
        <w:rPr>
          <w:vertAlign w:val="subscript"/>
        </w:rPr>
        <w:t xml:space="preserve">, </w:t>
      </w:r>
      <w:r w:rsidR="003056B9">
        <w:t xml:space="preserve">which </w:t>
      </w:r>
      <w:proofErr w:type="gramStart"/>
      <w:r w:rsidR="006E4E10">
        <w:t xml:space="preserve">is </w:t>
      </w:r>
      <w:r w:rsidR="003669BD">
        <w:t>similarly defined</w:t>
      </w:r>
      <w:proofErr w:type="gramEnd"/>
      <w:r w:rsidR="003669BD">
        <w:t xml:space="preserve"> as</w:t>
      </w:r>
      <w:r w:rsidR="006E4E10">
        <w:t xml:space="preserve"> justification</w:t>
      </w:r>
      <w:r w:rsidR="006E4E10" w:rsidRPr="003056B9">
        <w:rPr>
          <w:i/>
          <w:vertAlign w:val="subscript"/>
        </w:rPr>
        <w:t>1</w:t>
      </w:r>
      <w:r w:rsidR="006E4E10">
        <w:rPr>
          <w:vertAlign w:val="subscript"/>
        </w:rPr>
        <w:t xml:space="preserve"> </w:t>
      </w:r>
      <w:r w:rsidR="006E4E10">
        <w:t>but also</w:t>
      </w:r>
      <w:r w:rsidR="00095D6B">
        <w:t>—</w:t>
      </w:r>
      <w:r w:rsidR="003669BD">
        <w:t>and</w:t>
      </w:r>
      <w:r w:rsidR="00095D6B">
        <w:t xml:space="preserve"> </w:t>
      </w:r>
      <w:r w:rsidR="003669BD">
        <w:t>crucially</w:t>
      </w:r>
      <w:r w:rsidR="00095D6B">
        <w:t>—</w:t>
      </w:r>
      <w:r w:rsidR="006E4E10">
        <w:t xml:space="preserve">requiring that the </w:t>
      </w:r>
      <w:r w:rsidR="003669BD">
        <w:t xml:space="preserve">supporting proposition(s) be true. </w:t>
      </w:r>
      <w:r w:rsidR="007B40FC">
        <w:t>In this way, McGrew echoes Russell. Yet, o</w:t>
      </w:r>
      <w:r w:rsidR="007111D0">
        <w:t>ne may want to push back against McGrew and Russell’s solution here, as we want to say that justification can seemingly obtain even if one’s supporting premises turn out to be false. That is, something could be rational to believe even if false.</w:t>
      </w:r>
      <w:r w:rsidR="000B13B7">
        <w:t xml:space="preserve"> This is to take justification</w:t>
      </w:r>
      <w:r w:rsidR="000B13B7" w:rsidRPr="003056B9">
        <w:rPr>
          <w:i/>
          <w:vertAlign w:val="subscript"/>
        </w:rPr>
        <w:t>1</w:t>
      </w:r>
      <w:r w:rsidR="000B13B7">
        <w:rPr>
          <w:vertAlign w:val="subscript"/>
        </w:rPr>
        <w:t xml:space="preserve"> </w:t>
      </w:r>
      <w:r w:rsidR="000B13B7">
        <w:t xml:space="preserve">as being </w:t>
      </w:r>
      <w:proofErr w:type="gramStart"/>
      <w:r w:rsidR="000B13B7">
        <w:t>all-encompassing</w:t>
      </w:r>
      <w:proofErr w:type="gramEnd"/>
      <w:r w:rsidR="000B13B7">
        <w:t xml:space="preserve"> for justification in the JTB account</w:t>
      </w:r>
      <w:r w:rsidR="002E347F">
        <w:t xml:space="preserve">, and so the </w:t>
      </w:r>
      <w:proofErr w:type="spellStart"/>
      <w:r w:rsidR="002E347F">
        <w:t>Gettier</w:t>
      </w:r>
      <w:proofErr w:type="spellEnd"/>
      <w:r w:rsidR="002E347F">
        <w:t xml:space="preserve"> problem stands</w:t>
      </w:r>
      <w:r w:rsidR="000B13B7">
        <w:t>.</w:t>
      </w:r>
      <w:r w:rsidR="007111D0">
        <w:t xml:space="preserve"> However, the question here is not whether </w:t>
      </w:r>
      <w:proofErr w:type="spellStart"/>
      <w:r w:rsidR="007111D0">
        <w:t>Gettier</w:t>
      </w:r>
      <w:proofErr w:type="spellEnd"/>
      <w:r w:rsidR="007111D0">
        <w:t xml:space="preserve"> cases provide counterexamples to what is </w:t>
      </w:r>
      <w:r w:rsidR="007111D0" w:rsidRPr="007111D0">
        <w:rPr>
          <w:i/>
        </w:rPr>
        <w:t>rational</w:t>
      </w:r>
      <w:r w:rsidR="007111D0">
        <w:t xml:space="preserve"> to believe or not, but, rather, whether one has </w:t>
      </w:r>
      <w:r w:rsidR="007111D0" w:rsidRPr="007111D0">
        <w:rPr>
          <w:i/>
        </w:rPr>
        <w:t>knowledge</w:t>
      </w:r>
      <w:r w:rsidR="007111D0">
        <w:t xml:space="preserve"> in such cases.</w:t>
      </w:r>
      <w:r w:rsidR="000B13B7">
        <w:t xml:space="preserve"> Knowledge, as </w:t>
      </w:r>
      <w:proofErr w:type="spellStart"/>
      <w:r w:rsidR="000B13B7">
        <w:t>Gettier</w:t>
      </w:r>
      <w:proofErr w:type="spellEnd"/>
      <w:r w:rsidR="000B13B7">
        <w:t xml:space="preserve"> and Russell argue, requires justification to also </w:t>
      </w:r>
      <w:proofErr w:type="gramStart"/>
      <w:r w:rsidR="000B13B7">
        <w:t>be based</w:t>
      </w:r>
      <w:proofErr w:type="gramEnd"/>
      <w:r w:rsidR="000B13B7">
        <w:t xml:space="preserve"> on truth and not merely rationality.</w:t>
      </w:r>
      <w:r w:rsidR="002E4159">
        <w:t xml:space="preserve"> As for foundational beliefs, McGrew (2007, p. 10), notes that “it is </w:t>
      </w:r>
      <w:r w:rsidR="002E4159">
        <w:t xml:space="preserve">not possible for a </w:t>
      </w:r>
      <w:r w:rsidR="002E4159" w:rsidRPr="002E4159">
        <w:rPr>
          <w:i/>
        </w:rPr>
        <w:t>foundational</w:t>
      </w:r>
      <w:r w:rsidR="002E4159">
        <w:t xml:space="preserve"> belief to be rationally held but false</w:t>
      </w:r>
      <w:r w:rsidR="002E4159">
        <w:t xml:space="preserve">” and the proposition itself, under a </w:t>
      </w:r>
      <w:proofErr w:type="spellStart"/>
      <w:r w:rsidR="002E4159">
        <w:t>foundationalist</w:t>
      </w:r>
      <w:proofErr w:type="spellEnd"/>
      <w:r w:rsidR="002E4159">
        <w:t xml:space="preserve"> view, is supportive of itself.</w:t>
      </w:r>
    </w:p>
    <w:p w:rsidR="00300CEC" w:rsidRPr="003056B9" w:rsidRDefault="000C5826" w:rsidP="008818BF">
      <w:pPr>
        <w:spacing w:after="240"/>
      </w:pPr>
      <w:r>
        <w:t xml:space="preserve">While I am keen on McGrew and Russell’s response to the </w:t>
      </w:r>
      <w:proofErr w:type="spellStart"/>
      <w:r>
        <w:t>Gettier</w:t>
      </w:r>
      <w:proofErr w:type="spellEnd"/>
      <w:r>
        <w:t xml:space="preserve"> problem, it is worth acknowledging</w:t>
      </w:r>
      <w:r w:rsidR="007E79C3">
        <w:t xml:space="preserve"> </w:t>
      </w:r>
      <w:r w:rsidR="00763214">
        <w:t>it as</w:t>
      </w:r>
      <w:r w:rsidR="007E79C3">
        <w:t xml:space="preserve"> an inter</w:t>
      </w:r>
      <w:r w:rsidR="00763214">
        <w:t xml:space="preserve">esting epistemological </w:t>
      </w:r>
      <w:r w:rsidR="004C3BD3">
        <w:t>issue</w:t>
      </w:r>
      <w:r w:rsidR="00763214">
        <w:t>. Equally interesting is the numerous</w:t>
      </w:r>
      <w:r w:rsidR="002E4159">
        <w:t>,</w:t>
      </w:r>
      <w:r w:rsidR="00763214">
        <w:t xml:space="preserve"> conflicting responses to it. Specifically, philosophers have argued that the problem is definitive while others say it is inconclusive, or that there is a “clear and easy solution” while others deny any solution </w:t>
      </w:r>
      <w:r w:rsidR="00082701">
        <w:t xml:space="preserve">is possible </w:t>
      </w:r>
      <w:r w:rsidR="00763214">
        <w:t>(</w:t>
      </w:r>
      <w:proofErr w:type="spellStart"/>
      <w:r w:rsidR="00763214">
        <w:t>Gettier</w:t>
      </w:r>
      <w:proofErr w:type="spellEnd"/>
      <w:r w:rsidR="00763214">
        <w:t xml:space="preserve"> 2017, p. 1)</w:t>
      </w:r>
      <w:r w:rsidR="00F7029B">
        <w:t>.</w:t>
      </w:r>
      <w:r>
        <w:t xml:space="preserve"> </w:t>
      </w:r>
      <w:r w:rsidR="00095CD8">
        <w:t>The problem has also elucidated separate but connected issu</w:t>
      </w:r>
      <w:r w:rsidR="00F51EF6">
        <w:t>es within epistemology</w:t>
      </w:r>
      <w:r w:rsidR="00095CD8">
        <w:t xml:space="preserve">, such as questions of epistemic luck </w:t>
      </w:r>
      <w:r w:rsidR="009C008D">
        <w:t xml:space="preserve">and virtue epistemology </w:t>
      </w:r>
      <w:r w:rsidR="00095CD8">
        <w:t>(</w:t>
      </w:r>
      <w:r w:rsidR="002C3187">
        <w:t xml:space="preserve">Pritchard 2003, </w:t>
      </w:r>
      <w:proofErr w:type="spellStart"/>
      <w:r w:rsidR="00095CD8">
        <w:t>Broncano-Berrocal</w:t>
      </w:r>
      <w:proofErr w:type="spellEnd"/>
      <w:r w:rsidR="00095CD8">
        <w:t xml:space="preserve"> 2023), </w:t>
      </w:r>
      <w:r w:rsidR="009C008D">
        <w:t xml:space="preserve">the debate between </w:t>
      </w:r>
      <w:proofErr w:type="spellStart"/>
      <w:r w:rsidR="009C008D">
        <w:t>internalists</w:t>
      </w:r>
      <w:proofErr w:type="spellEnd"/>
      <w:r w:rsidR="009C008D">
        <w:t xml:space="preserve"> and externalists </w:t>
      </w:r>
      <w:r w:rsidR="00F51EF6">
        <w:t xml:space="preserve">on justification </w:t>
      </w:r>
      <w:r w:rsidR="009C008D">
        <w:t xml:space="preserve">(Hetherington 2018), and the prospects of </w:t>
      </w:r>
      <w:proofErr w:type="spellStart"/>
      <w:r w:rsidR="009C008D">
        <w:t>fallibilism</w:t>
      </w:r>
      <w:proofErr w:type="spellEnd"/>
      <w:r w:rsidR="009C008D">
        <w:t xml:space="preserve">, where one can have knowledge without certainty (Anderson 2018). </w:t>
      </w:r>
      <w:r w:rsidR="00F51EF6">
        <w:t>Taking from the above, one of the obvious and</w:t>
      </w:r>
      <w:r w:rsidR="00095CD8">
        <w:t xml:space="preserve"> notable</w:t>
      </w:r>
      <w:r w:rsidR="006A446A">
        <w:t xml:space="preserve"> benefits of this literature is that the varied responses to the Getter problem have helped philosophers refine positions </w:t>
      </w:r>
      <w:r w:rsidR="00F51EF6">
        <w:t>within epistemology</w:t>
      </w:r>
      <w:r w:rsidR="006A446A">
        <w:t xml:space="preserve">. Put generally, </w:t>
      </w:r>
      <w:proofErr w:type="spellStart"/>
      <w:r w:rsidR="006A446A">
        <w:t>Gettier</w:t>
      </w:r>
      <w:proofErr w:type="spellEnd"/>
      <w:r w:rsidR="006A446A">
        <w:t xml:space="preserve"> cases have produced both “orthodox” responses and “revisionary” responses (Cath 2015, p. 7) in giving an account of knowledge.</w:t>
      </w:r>
    </w:p>
    <w:p w:rsidR="008818BF" w:rsidRDefault="008818BF" w:rsidP="008818BF">
      <w:pPr>
        <w:spacing w:after="240"/>
      </w:pPr>
      <w:r>
        <w:t>Word count:</w:t>
      </w:r>
      <w:r w:rsidR="002158BF">
        <w:t xml:space="preserve"> 800</w:t>
      </w:r>
      <w:bookmarkStart w:id="0" w:name="_GoBack"/>
      <w:bookmarkEnd w:id="0"/>
    </w:p>
    <w:p w:rsidR="00CF212D" w:rsidRPr="00CF212D" w:rsidRDefault="00CF212D" w:rsidP="008818BF">
      <w:pPr>
        <w:spacing w:after="240"/>
        <w:rPr>
          <w:b/>
        </w:rPr>
      </w:pPr>
      <w:r w:rsidRPr="00CF212D">
        <w:rPr>
          <w:b/>
        </w:rPr>
        <w:t>References</w:t>
      </w:r>
    </w:p>
    <w:p w:rsidR="00CF212D" w:rsidRDefault="00432AD5" w:rsidP="008818BF">
      <w:pPr>
        <w:spacing w:after="240"/>
      </w:pPr>
      <w:r>
        <w:rPr>
          <w:rFonts w:hint="eastAsia"/>
        </w:rPr>
        <w:lastRenderedPageBreak/>
        <w:t>Russell Problems of Philosophy 1932</w:t>
      </w:r>
    </w:p>
    <w:p w:rsidR="00432AD5" w:rsidRDefault="003B4A3D" w:rsidP="008818BF">
      <w:pPr>
        <w:spacing w:after="240"/>
      </w:pPr>
      <w:r>
        <w:rPr>
          <w:rFonts w:hint="eastAsia"/>
        </w:rPr>
        <w:t xml:space="preserve">McGrew 2007 </w:t>
      </w:r>
      <w:proofErr w:type="spellStart"/>
      <w:r>
        <w:t>Internalism</w:t>
      </w:r>
      <w:proofErr w:type="spellEnd"/>
      <w:r>
        <w:t xml:space="preserve"> and Epistemology</w:t>
      </w:r>
    </w:p>
    <w:p w:rsidR="007A739E" w:rsidRDefault="007A739E" w:rsidP="008818BF">
      <w:pPr>
        <w:spacing w:after="240"/>
      </w:pPr>
      <w:proofErr w:type="spellStart"/>
      <w:r>
        <w:t>Morvan</w:t>
      </w:r>
      <w:proofErr w:type="spellEnd"/>
      <w:r>
        <w:t xml:space="preserve"> 2023 More on knowledge before </w:t>
      </w:r>
      <w:proofErr w:type="spellStart"/>
      <w:r>
        <w:t>Gettier</w:t>
      </w:r>
      <w:proofErr w:type="spellEnd"/>
      <w:r w:rsidR="005C192A">
        <w:t xml:space="preserve"> British Journal for the History of Philosophy</w:t>
      </w:r>
    </w:p>
    <w:p w:rsidR="006A446A" w:rsidRDefault="006A446A" w:rsidP="008818BF">
      <w:pPr>
        <w:spacing w:after="240"/>
      </w:pPr>
      <w:r>
        <w:t xml:space="preserve">Yuri Cath 2015 Revisionary intellectualism and </w:t>
      </w:r>
      <w:proofErr w:type="spellStart"/>
      <w:r>
        <w:t>Gettier</w:t>
      </w:r>
      <w:proofErr w:type="spellEnd"/>
    </w:p>
    <w:p w:rsidR="00763214" w:rsidRDefault="00763214" w:rsidP="008818BF">
      <w:pPr>
        <w:spacing w:after="240"/>
      </w:pPr>
      <w:proofErr w:type="spellStart"/>
      <w:r>
        <w:rPr>
          <w:rFonts w:hint="eastAsia"/>
        </w:rPr>
        <w:t>Gettier</w:t>
      </w:r>
      <w:proofErr w:type="spellEnd"/>
      <w:r>
        <w:rPr>
          <w:rFonts w:hint="eastAsia"/>
        </w:rPr>
        <w:t xml:space="preserve"> 2017</w:t>
      </w:r>
      <w:r>
        <w:t xml:space="preserve"> Explaining Knowledge: New Essays on the </w:t>
      </w:r>
      <w:proofErr w:type="spellStart"/>
      <w:r>
        <w:t>Gettier</w:t>
      </w:r>
      <w:proofErr w:type="spellEnd"/>
      <w:r>
        <w:t xml:space="preserve"> Problem Borges editor</w:t>
      </w:r>
    </w:p>
    <w:p w:rsidR="00095CD8" w:rsidRDefault="00095CD8" w:rsidP="008818BF">
      <w:pPr>
        <w:spacing w:after="240"/>
      </w:pPr>
      <w:proofErr w:type="spellStart"/>
      <w:r>
        <w:t>Broncano-Berrocal</w:t>
      </w:r>
      <w:proofErr w:type="spellEnd"/>
      <w:r>
        <w:t xml:space="preserve"> 2023</w:t>
      </w:r>
      <w:r>
        <w:t xml:space="preserve"> </w:t>
      </w:r>
      <w:proofErr w:type="gramStart"/>
      <w:r>
        <w:t>Is</w:t>
      </w:r>
      <w:proofErr w:type="gramEnd"/>
      <w:r>
        <w:t xml:space="preserve"> lucky belief justified?</w:t>
      </w:r>
    </w:p>
    <w:p w:rsidR="002C3187" w:rsidRDefault="002C3187" w:rsidP="008818BF">
      <w:pPr>
        <w:spacing w:after="240"/>
      </w:pPr>
      <w:r>
        <w:t>Pritchard 2003 Virtue Epistemology and Epistemic Luck</w:t>
      </w:r>
    </w:p>
    <w:p w:rsidR="00677F4F" w:rsidRDefault="00677F4F" w:rsidP="008818BF">
      <w:pPr>
        <w:spacing w:after="240"/>
      </w:pPr>
      <w:r>
        <w:t xml:space="preserve">The </w:t>
      </w:r>
      <w:proofErr w:type="spellStart"/>
      <w:r>
        <w:t>Gettier</w:t>
      </w:r>
      <w:proofErr w:type="spellEnd"/>
      <w:r>
        <w:t xml:space="preserve"> Problem and Externalism 2018 Stephen Hetherington Introduction: Meet the </w:t>
      </w:r>
      <w:proofErr w:type="spellStart"/>
      <w:r>
        <w:t>Gettier</w:t>
      </w:r>
      <w:proofErr w:type="spellEnd"/>
      <w:r>
        <w:t xml:space="preserve"> Problem</w:t>
      </w:r>
    </w:p>
    <w:p w:rsidR="00677F4F" w:rsidRDefault="00677F4F" w:rsidP="008818BF">
      <w:pPr>
        <w:spacing w:after="240"/>
      </w:pPr>
      <w:r>
        <w:t xml:space="preserve">The </w:t>
      </w:r>
      <w:proofErr w:type="spellStart"/>
      <w:r>
        <w:t>Gettier</w:t>
      </w:r>
      <w:proofErr w:type="spellEnd"/>
      <w:r>
        <w:t xml:space="preserve"> Problem and Externalism 2018 Charity Anderson Ch. 1</w:t>
      </w:r>
    </w:p>
    <w:p w:rsidR="008818BF" w:rsidRPr="006169D5" w:rsidRDefault="008818BF" w:rsidP="008818BF">
      <w:pPr>
        <w:spacing w:after="240"/>
        <w:rPr>
          <w:b/>
        </w:rPr>
      </w:pPr>
      <w:r w:rsidRPr="006169D5">
        <w:rPr>
          <w:b/>
        </w:rPr>
        <w:t>3.</w:t>
      </w:r>
      <w:r w:rsidR="001B0645" w:rsidRPr="006169D5">
        <w:rPr>
          <w:b/>
        </w:rPr>
        <w:t xml:space="preserve"> G. E. Moore, ‘Certainty’, in Willis </w:t>
      </w:r>
      <w:proofErr w:type="spellStart"/>
      <w:r w:rsidR="001B0645" w:rsidRPr="006169D5">
        <w:rPr>
          <w:b/>
        </w:rPr>
        <w:t>Doney</w:t>
      </w:r>
      <w:proofErr w:type="spellEnd"/>
      <w:r w:rsidR="001B0645" w:rsidRPr="006169D5">
        <w:rPr>
          <w:b/>
        </w:rPr>
        <w:t xml:space="preserve"> (ed.), Descartes: a collection of critical essays (London and Melbourne: Macmillan, 1968).</w:t>
      </w:r>
    </w:p>
    <w:p w:rsidR="001B0645" w:rsidRDefault="006169D5" w:rsidP="008818BF">
      <w:pPr>
        <w:spacing w:after="240"/>
      </w:pPr>
      <w:r>
        <w:rPr>
          <w:rFonts w:hint="eastAsia"/>
        </w:rPr>
        <w:t>In this paper</w:t>
      </w:r>
      <w:r w:rsidR="0011708F">
        <w:t xml:space="preserve">, G.E. Moore expounds realism in the shape of common sense and, in turn, argues against skepticism or an idealism about the external world or one’s own existence. </w:t>
      </w:r>
      <w:r w:rsidR="00FB6F16">
        <w:t xml:space="preserve">To do this, Moore (1968, p. 27) begins by making a few “assertions quite positively.” </w:t>
      </w:r>
      <w:r w:rsidR="00EF58EE">
        <w:t xml:space="preserve">Namely, he makes claims about the existence of his body and the room he occupies, such as that he has clothes on and that there are people, windows, and doors sharing the room with him. </w:t>
      </w:r>
      <w:r w:rsidR="00274819">
        <w:t>Importantly</w:t>
      </w:r>
      <w:r w:rsidR="007419CA">
        <w:t>,</w:t>
      </w:r>
      <w:r w:rsidR="00274819">
        <w:t xml:space="preserve"> too,</w:t>
      </w:r>
      <w:r w:rsidR="007419CA">
        <w:t xml:space="preserve"> is that Moore notes tha</w:t>
      </w:r>
      <w:r w:rsidR="000D1EE0">
        <w:t>t one could not be reasonably</w:t>
      </w:r>
      <w:r w:rsidR="007419CA">
        <w:t xml:space="preserve"> accused of dogmatism for claiming to know that, say, one is wearing clothes or the present room has doors and windows. </w:t>
      </w:r>
      <w:r w:rsidR="004C3593">
        <w:t xml:space="preserve">In fact, Moore (1968, p. 28) goes on to state that it would be absurd for one to say that they merely </w:t>
      </w:r>
      <w:r w:rsidR="004C3593" w:rsidRPr="004C3593">
        <w:rPr>
          <w:i/>
        </w:rPr>
        <w:t>think</w:t>
      </w:r>
      <w:r w:rsidR="004C3593">
        <w:t xml:space="preserve"> such thing</w:t>
      </w:r>
      <w:r w:rsidR="00BC3CA3">
        <w:t>s</w:t>
      </w:r>
      <w:r w:rsidR="004C3593">
        <w:t xml:space="preserve"> as opposed to </w:t>
      </w:r>
      <w:r w:rsidR="004C3593" w:rsidRPr="00BC3CA3">
        <w:rPr>
          <w:i/>
        </w:rPr>
        <w:t>knowing</w:t>
      </w:r>
      <w:r w:rsidR="004C3593">
        <w:t xml:space="preserve"> them. </w:t>
      </w:r>
      <w:r w:rsidR="007419CA">
        <w:t>This appears to support Moore’s notion of common sense realism, where there exists an external world and one has knowledge of it.</w:t>
      </w:r>
    </w:p>
    <w:p w:rsidR="00920BF9" w:rsidRDefault="00274819" w:rsidP="008818BF">
      <w:pPr>
        <w:spacing w:after="240"/>
      </w:pPr>
      <w:r>
        <w:t xml:space="preserve">Shortly after, </w:t>
      </w:r>
      <w:r>
        <w:rPr>
          <w:rFonts w:hint="eastAsia"/>
        </w:rPr>
        <w:t xml:space="preserve">Moore </w:t>
      </w:r>
      <w:r>
        <w:t xml:space="preserve">turns his attention to certainty itself. Explicitly, he argues that, simply because a proposition is contingent (such as that he is standing) it does not follow that it </w:t>
      </w:r>
      <w:proofErr w:type="gramStart"/>
      <w:r>
        <w:t>cannot be known</w:t>
      </w:r>
      <w:proofErr w:type="gramEnd"/>
      <w:r>
        <w:t>.</w:t>
      </w:r>
      <w:r w:rsidR="000D1EE0">
        <w:t xml:space="preserve"> Moore’s worry is that we equivocate on the use of “logical possibility” to suggest a proposition could be wrong and not </w:t>
      </w:r>
      <w:proofErr w:type="gramStart"/>
      <w:r w:rsidR="000D1EE0">
        <w:t>really known</w:t>
      </w:r>
      <w:proofErr w:type="gramEnd"/>
      <w:r w:rsidR="000D1EE0">
        <w:t>.</w:t>
      </w:r>
      <w:r w:rsidR="00BC3CA3">
        <w:t xml:space="preserve"> He grants that such contingent propositions may be false, but it does not follow, from this fact alone, that one cannot know them. As Moore (1968, p. 32) states, “some other argument must be brought forward for this contention, over and above the mere fact that this proposition is contingent . . .</w:t>
      </w:r>
      <w:r w:rsidR="00D40453">
        <w:t xml:space="preserve"> .</w:t>
      </w:r>
      <w:r w:rsidR="00BC3CA3">
        <w:t>” This point in particular, I believe, is very pertinent to Moore’s later (and arguably disappointing) discussion of the Cartesian skeptic’</w:t>
      </w:r>
      <w:r w:rsidR="00D40453">
        <w:t>s worry that one may be dreaming while confidently asserting claims about one’s body and the occupied room.</w:t>
      </w:r>
    </w:p>
    <w:p w:rsidR="00BE2D78" w:rsidRDefault="009331BD" w:rsidP="008818BF">
      <w:pPr>
        <w:spacing w:after="240"/>
      </w:pPr>
      <w:r>
        <w:rPr>
          <w:rFonts w:hint="eastAsia"/>
        </w:rPr>
        <w:lastRenderedPageBreak/>
        <w:t xml:space="preserve">After this, Moore goes on to </w:t>
      </w:r>
      <w:r>
        <w:t>dissect the use and meaning of “certain” itself. As Moore argues, it seems that when one claims “x is certain,” then there is a cl</w:t>
      </w:r>
      <w:r w:rsidR="00D257DB">
        <w:t>aim to truth—“he is asserting . . .</w:t>
      </w:r>
      <w:r>
        <w:t xml:space="preserve"> that he himself knows that </w:t>
      </w:r>
      <w:r w:rsidRPr="009331BD">
        <w:rPr>
          <w:i/>
        </w:rPr>
        <w:t>p</w:t>
      </w:r>
      <w:r>
        <w:t xml:space="preserve"> is true” (Moore 1963, p. 42). However, the inverse does not appear to follow, as one can claim “it is not certain that x,” which fails to contradict the one who claims “x is certain,” as the latter is only going so far as to saying, “he personally does not know that p is true” (Moore 1963, p. 42). Through this analysis of certainty, Moore puts the skeptic</w:t>
      </w:r>
      <w:r w:rsidR="00CF092F">
        <w:t>, I believe,</w:t>
      </w:r>
      <w:r>
        <w:t xml:space="preserve"> on the back foot, as both the skeptic and the realist can fail to agree on the certainty of x, and yet the skeptic’s denial seemingly fails to rebuke the realist’s certainty</w:t>
      </w:r>
      <w:r w:rsidR="00D257DB">
        <w:t xml:space="preserve"> or claim to knowledge</w:t>
      </w:r>
      <w:r>
        <w:t>.</w:t>
      </w:r>
    </w:p>
    <w:p w:rsidR="007419CA" w:rsidRDefault="00825930" w:rsidP="008818BF">
      <w:pPr>
        <w:spacing w:after="240"/>
      </w:pPr>
      <w:r>
        <w:rPr>
          <w:rFonts w:hint="eastAsia"/>
        </w:rPr>
        <w:t xml:space="preserve">Now, most strangely of all, we get the final four paragraphs of </w:t>
      </w:r>
      <w:r>
        <w:t xml:space="preserve">“Certainty” that, as noted in the text, “Moore was particularly dissatisfied with” (Moore 1963, p. 53). The dissatisfaction may come from the perception that </w:t>
      </w:r>
      <w:r w:rsidR="00CF092F">
        <w:t>“</w:t>
      </w:r>
      <w:r w:rsidR="00CF092F" w:rsidRPr="00CF092F">
        <w:t>Moore acknowledges defeat: having agreed that if he does not know that he is not dreaming</w:t>
      </w:r>
      <w:r w:rsidR="00CF092F">
        <w:t>”</w:t>
      </w:r>
      <w:r w:rsidR="00914588">
        <w:t xml:space="preserve"> (Baldwin 2010</w:t>
      </w:r>
      <w:r w:rsidR="00CF092F">
        <w:t xml:space="preserve">) </w:t>
      </w:r>
      <w:r w:rsidR="00006B65">
        <w:t>then the</w:t>
      </w:r>
      <w:r w:rsidR="00CF092F">
        <w:t xml:space="preserve"> initial claims of Moore about his body and the room are undercut by the worries of the Cartesian skeptic.</w:t>
      </w:r>
      <w:r w:rsidR="00065E6B">
        <w:t xml:space="preserve"> </w:t>
      </w:r>
      <w:r w:rsidR="00D257DB">
        <w:t>That is, h</w:t>
      </w:r>
      <w:r w:rsidR="00006B65">
        <w:t>e cannot really know there is a room with windows and a door if he does not know that he is not dreaming.</w:t>
      </w:r>
    </w:p>
    <w:p w:rsidR="00B000E3" w:rsidRDefault="00870148" w:rsidP="008818BF">
      <w:pPr>
        <w:spacing w:after="240"/>
      </w:pPr>
      <w:r>
        <w:rPr>
          <w:rFonts w:hint="eastAsia"/>
        </w:rPr>
        <w:t xml:space="preserve">Personally, I find it difficult to reconcile </w:t>
      </w:r>
      <w:r>
        <w:t>Moore’s earlier arguments in the paper with his supposed admission of defeat at the end. To salvage Moore’s arguments, I think one is left having to do a bit of heavy lifting that is missing from the paper (</w:t>
      </w:r>
      <w:r w:rsidR="00D257DB">
        <w:t xml:space="preserve">again, </w:t>
      </w:r>
      <w:r>
        <w:t>largely due to the ending). One defense I have read of Moore is that the Cartesian skeptic’s worry of dreaming may undermine one’s ability to prove p, but it does not undermine one’s abilit</w:t>
      </w:r>
      <w:r w:rsidR="00B000E3">
        <w:t>y to know p (</w:t>
      </w:r>
      <w:proofErr w:type="spellStart"/>
      <w:r w:rsidR="00B000E3">
        <w:t>Anandasagar</w:t>
      </w:r>
      <w:proofErr w:type="spellEnd"/>
      <w:r w:rsidR="00B000E3">
        <w:t xml:space="preserve"> 2022).</w:t>
      </w:r>
    </w:p>
    <w:p w:rsidR="002707AA" w:rsidRPr="00A757DD" w:rsidRDefault="00D257DB" w:rsidP="008818BF">
      <w:pPr>
        <w:spacing w:after="240"/>
      </w:pPr>
      <w:r>
        <w:t xml:space="preserve">This, I think, is </w:t>
      </w:r>
      <w:proofErr w:type="gramStart"/>
      <w:r>
        <w:t>plausible,</w:t>
      </w:r>
      <w:proofErr w:type="gramEnd"/>
      <w:r>
        <w:t xml:space="preserve"> as Moore’s earlier contention with certainty was that the skeptic seems to merely claim a lack of knowledge of p or it having not yet been proved. Meanwhile, the realist who claims certainty has expressed the truth and knowledge of p, but perhaps its proof remains ambiguous or untouched.</w:t>
      </w:r>
      <w:r w:rsidR="00A757DD">
        <w:t xml:space="preserve"> Of course, one may then accuse Moore of dogmatism as holding to knowledge without explicit proof, but Moore addresses this at the beginning by stating the absurdity of accusing one of dogmatism on such claims.</w:t>
      </w:r>
      <w:r w:rsidR="00B000E3">
        <w:t xml:space="preserve"> Lastly, Moore’s earlier discussion (it also appears near the end as well) on logical possibility may be telling. Namely, perhaps </w:t>
      </w:r>
      <w:r w:rsidR="00DD64F9">
        <w:t>Moore’s invocation of logical possibility helps bolster the distinction betwee</w:t>
      </w:r>
      <w:r w:rsidR="00B0467B">
        <w:t>n knowing p and proving p, as knowing p is not undercut by the logical possibility of p being false. Yet, a formal proof may require inescapable steps or premises that prove p.</w:t>
      </w:r>
    </w:p>
    <w:p w:rsidR="008818BF" w:rsidRDefault="008818BF" w:rsidP="008818BF">
      <w:pPr>
        <w:spacing w:after="240"/>
      </w:pPr>
      <w:r>
        <w:t>Word count:</w:t>
      </w:r>
      <w:r w:rsidR="00B0467B">
        <w:t xml:space="preserve"> 800</w:t>
      </w:r>
    </w:p>
    <w:p w:rsidR="004D743B" w:rsidRPr="004D743B" w:rsidRDefault="004D743B" w:rsidP="008818BF">
      <w:pPr>
        <w:spacing w:after="240"/>
        <w:rPr>
          <w:b/>
        </w:rPr>
      </w:pPr>
      <w:r w:rsidRPr="004D743B">
        <w:rPr>
          <w:b/>
        </w:rPr>
        <w:t>References</w:t>
      </w:r>
    </w:p>
    <w:p w:rsidR="004D743B" w:rsidRDefault="004D743B" w:rsidP="004D743B">
      <w:pPr>
        <w:spacing w:after="240"/>
        <w:jc w:val="left"/>
      </w:pPr>
      <w:r w:rsidRPr="00914588">
        <w:t>Baldwin, Tom, "George Edward Moore", The Stanford Encyclopedia of Philosophy (</w:t>
      </w:r>
      <w:proofErr w:type="gramStart"/>
      <w:r w:rsidRPr="00914588">
        <w:t>Summer</w:t>
      </w:r>
      <w:proofErr w:type="gramEnd"/>
      <w:r w:rsidRPr="00914588">
        <w:t xml:space="preserve"> 2010 Edition), Edward N. </w:t>
      </w:r>
      <w:proofErr w:type="spellStart"/>
      <w:r w:rsidRPr="00914588">
        <w:t>Zalta</w:t>
      </w:r>
      <w:proofErr w:type="spellEnd"/>
      <w:r w:rsidRPr="00914588">
        <w:t xml:space="preserve"> (ed.), URL = &lt;https://plato.stanford.edu/archives/sum2010/entries/moore/&gt;.</w:t>
      </w:r>
    </w:p>
    <w:p w:rsidR="004D743B" w:rsidRPr="004D743B" w:rsidRDefault="004D743B" w:rsidP="004D743B">
      <w:pPr>
        <w:spacing w:after="240"/>
        <w:jc w:val="left"/>
      </w:pPr>
      <w:proofErr w:type="spellStart"/>
      <w:r w:rsidRPr="00D257DB">
        <w:lastRenderedPageBreak/>
        <w:t>Anandasagar</w:t>
      </w:r>
      <w:proofErr w:type="spellEnd"/>
      <w:r w:rsidRPr="00D257DB">
        <w:t>, B.</w:t>
      </w:r>
      <w:r>
        <w:rPr>
          <w:rFonts w:ascii="MS Mincho" w:eastAsia="MS Mincho" w:hAnsi="MS Mincho" w:cs="MS Mincho" w:hint="eastAsia"/>
        </w:rPr>
        <w:t xml:space="preserve"> </w:t>
      </w:r>
      <w:r w:rsidRPr="00D257DB">
        <w:rPr>
          <w:rFonts w:eastAsiaTheme="minorHAnsi" w:cs="MS Mincho"/>
        </w:rPr>
        <w:t xml:space="preserve">Moore on </w:t>
      </w:r>
      <w:proofErr w:type="spellStart"/>
      <w:r w:rsidRPr="00D257DB">
        <w:rPr>
          <w:rFonts w:eastAsiaTheme="minorHAnsi" w:cs="MS Mincho"/>
        </w:rPr>
        <w:t>Scepticism</w:t>
      </w:r>
      <w:proofErr w:type="spellEnd"/>
      <w:r w:rsidRPr="00D257DB">
        <w:rPr>
          <w:rFonts w:eastAsiaTheme="minorHAnsi" w:cs="MS Mincho"/>
        </w:rPr>
        <w:t xml:space="preserve"> and Certainty.</w:t>
      </w:r>
      <w:r>
        <w:rPr>
          <w:rFonts w:ascii="MS Mincho" w:eastAsia="MS Mincho" w:hAnsi="MS Mincho" w:cs="MS Mincho"/>
        </w:rPr>
        <w:t xml:space="preserve"> </w:t>
      </w:r>
      <w:proofErr w:type="spellStart"/>
      <w:r w:rsidRPr="00D257DB">
        <w:t>Tattva</w:t>
      </w:r>
      <w:proofErr w:type="spellEnd"/>
      <w:r w:rsidRPr="00D257DB">
        <w:t xml:space="preserve"> Journal of Philosop</w:t>
      </w:r>
      <w:r>
        <w:t xml:space="preserve">hy; Bengaluru Vol. 14, </w:t>
      </w:r>
      <w:proofErr w:type="spellStart"/>
      <w:r>
        <w:t>Iss</w:t>
      </w:r>
      <w:proofErr w:type="spellEnd"/>
      <w:r>
        <w:t xml:space="preserve">. 2, </w:t>
      </w:r>
      <w:r w:rsidRPr="00D257DB">
        <w:t>(2022).</w:t>
      </w:r>
    </w:p>
    <w:p w:rsidR="001718B3" w:rsidRPr="006169D5" w:rsidRDefault="008818BF" w:rsidP="008818BF">
      <w:pPr>
        <w:spacing w:after="240"/>
        <w:rPr>
          <w:b/>
        </w:rPr>
      </w:pPr>
      <w:r w:rsidRPr="006169D5">
        <w:rPr>
          <w:b/>
        </w:rPr>
        <w:t>4.</w:t>
      </w:r>
      <w:r w:rsidR="00137B41" w:rsidRPr="006169D5">
        <w:rPr>
          <w:b/>
        </w:rPr>
        <w:t xml:space="preserve"> Hume, ‘Of the Idea of Necessary </w:t>
      </w:r>
      <w:proofErr w:type="spellStart"/>
      <w:r w:rsidR="00137B41" w:rsidRPr="006169D5">
        <w:rPr>
          <w:b/>
        </w:rPr>
        <w:t>Connexion</w:t>
      </w:r>
      <w:proofErr w:type="spellEnd"/>
      <w:r w:rsidR="00137B41" w:rsidRPr="006169D5">
        <w:rPr>
          <w:b/>
        </w:rPr>
        <w:t>’, in Enquiry Concerning Human Understanding (1748), Part 1, Section 7.</w:t>
      </w:r>
    </w:p>
    <w:p w:rsidR="00575994" w:rsidRDefault="00F125C0" w:rsidP="008818BF">
      <w:pPr>
        <w:spacing w:after="240"/>
      </w:pPr>
      <w:r>
        <w:t>Famously, parts</w:t>
      </w:r>
      <w:r w:rsidR="003C6D82">
        <w:t xml:space="preserve"> of the “Enquiry” has</w:t>
      </w:r>
      <w:r w:rsidR="001718B3">
        <w:t xml:space="preserve"> Hume concern</w:t>
      </w:r>
      <w:r w:rsidR="002318AB">
        <w:t xml:space="preserve">ed with inductive reasoning. </w:t>
      </w:r>
      <w:r w:rsidR="0008634F">
        <w:t>More precisely</w:t>
      </w:r>
      <w:r w:rsidR="00300A4D">
        <w:t xml:space="preserve">, the problem that concerns Hume is </w:t>
      </w:r>
      <w:r w:rsidR="002318AB">
        <w:t xml:space="preserve">that </w:t>
      </w:r>
      <w:r w:rsidR="00EB377E">
        <w:t xml:space="preserve">there is an apparent lack of justification for it. </w:t>
      </w:r>
      <w:r w:rsidR="0008634F">
        <w:t>In Section 7, Hume addresses</w:t>
      </w:r>
      <w:r w:rsidR="00EB377E">
        <w:t xml:space="preserve"> the supposed necessity of cause and effect relations. In this way, the problem of induction </w:t>
      </w:r>
      <w:proofErr w:type="gramStart"/>
      <w:r w:rsidR="00EB377E">
        <w:t xml:space="preserve">is </w:t>
      </w:r>
      <w:r w:rsidR="00300A4D">
        <w:t>bolstered</w:t>
      </w:r>
      <w:proofErr w:type="gramEnd"/>
      <w:r w:rsidR="00EB377E">
        <w:t xml:space="preserve">, as Hume argues that what we witness </w:t>
      </w:r>
      <w:r w:rsidR="0008634F">
        <w:t>with cause and effect is a matter of experience or habit, as opposed to seeing a necessary</w:t>
      </w:r>
      <w:r w:rsidR="00300A4D">
        <w:t xml:space="preserve"> connection between two events.</w:t>
      </w:r>
      <w:r w:rsidR="00DD5355">
        <w:t xml:space="preserve"> Additionally, although I </w:t>
      </w:r>
      <w:proofErr w:type="gramStart"/>
      <w:r w:rsidR="00DD5355">
        <w:t>won’t</w:t>
      </w:r>
      <w:proofErr w:type="gramEnd"/>
      <w:r w:rsidR="00DD5355">
        <w:t xml:space="preserve"> discuss it much here, Hume touches on the connection between the body and the soul.</w:t>
      </w:r>
    </w:p>
    <w:p w:rsidR="00300A4D" w:rsidRDefault="00300A4D" w:rsidP="008818BF">
      <w:pPr>
        <w:spacing w:after="240"/>
      </w:pPr>
      <w:r>
        <w:t xml:space="preserve">Hume’s conclusion is, to say the least, </w:t>
      </w:r>
      <w:r w:rsidR="000C267F">
        <w:t>counterintuitive to many</w:t>
      </w:r>
      <w:r>
        <w:t xml:space="preserve">. It amounts to denying </w:t>
      </w:r>
      <w:r w:rsidR="00433DBA">
        <w:t xml:space="preserve">the necessary connection within </w:t>
      </w:r>
      <w:r>
        <w:t>cause and effect and instead substitutes it with facts about our psychology</w:t>
      </w:r>
      <w:r w:rsidR="00433DBA">
        <w:t xml:space="preserve"> and a plain statement that</w:t>
      </w:r>
      <w:r w:rsidR="009C47E7">
        <w:t xml:space="preserve"> when we observe a supposed instance of cause and effect that</w:t>
      </w:r>
      <w:r w:rsidR="00433DBA">
        <w:t xml:space="preserve">, “We only find, that the one does actually, in fact, follow the other” (Hume 1748, p. </w:t>
      </w:r>
      <w:r w:rsidR="009C47E7">
        <w:t xml:space="preserve">44). </w:t>
      </w:r>
      <w:r w:rsidR="008177D6">
        <w:t xml:space="preserve">In other words, while we may see B follow A, the cause and effect relationship remains unsubstantiated, and we can only, at most, say B follows A, as opposed to saying </w:t>
      </w:r>
      <w:proofErr w:type="gramStart"/>
      <w:r w:rsidR="008177D6">
        <w:t>A</w:t>
      </w:r>
      <w:proofErr w:type="gramEnd"/>
      <w:r w:rsidR="008177D6">
        <w:t xml:space="preserve"> </w:t>
      </w:r>
      <w:r w:rsidR="008177D6" w:rsidRPr="008177D6">
        <w:rPr>
          <w:i/>
        </w:rPr>
        <w:t>causes</w:t>
      </w:r>
      <w:r w:rsidR="008177D6">
        <w:t xml:space="preserve"> B. </w:t>
      </w:r>
      <w:r w:rsidR="003731AB">
        <w:t xml:space="preserve">However, some philosophers have argued that Hume’s position on causation may be less radical, in that he either posits that the </w:t>
      </w:r>
      <w:r w:rsidR="00F14FC3">
        <w:t>problem of induction remains for rationalists and empiricists alike or, more ambitiously, that his “inductive skepticism is . . . consistent with various contemporary attempts to solve the problem of induction” (</w:t>
      </w:r>
      <w:proofErr w:type="spellStart"/>
      <w:r w:rsidR="00F14FC3">
        <w:t>Horgan</w:t>
      </w:r>
      <w:proofErr w:type="spellEnd"/>
      <w:r w:rsidR="00F14FC3">
        <w:t xml:space="preserve"> 1985, p. 278).</w:t>
      </w:r>
      <w:r w:rsidR="0005184A">
        <w:t xml:space="preserve"> For my interpretation of Hume, I see him as arguing for the radical conclusion that </w:t>
      </w:r>
      <w:r w:rsidR="000C267F">
        <w:t>denies causation as a necessary connection, and I believe this follows from his categorization of truth falling under either relations of ideas or matters of fact.</w:t>
      </w:r>
    </w:p>
    <w:p w:rsidR="00316497" w:rsidRDefault="005073EE" w:rsidP="008818BF">
      <w:pPr>
        <w:spacing w:after="240"/>
      </w:pPr>
      <w:r>
        <w:rPr>
          <w:rFonts w:hint="eastAsia"/>
        </w:rPr>
        <w:t>In contrast, we have Richard Price, a contemporary of Hume</w:t>
      </w:r>
      <w:r w:rsidR="00727748">
        <w:t>, offering a very direct account of causation</w:t>
      </w:r>
      <w:r>
        <w:rPr>
          <w:rFonts w:hint="eastAsia"/>
        </w:rPr>
        <w:t xml:space="preserve">. </w:t>
      </w:r>
      <w:r>
        <w:t>While many philosophers find the divvying up of Hume vs the rationalists as categories that are too crude or not entirely accurate (</w:t>
      </w:r>
      <w:proofErr w:type="spellStart"/>
      <w:r>
        <w:t>Kail</w:t>
      </w:r>
      <w:proofErr w:type="spellEnd"/>
      <w:r>
        <w:t xml:space="preserve"> 2008), Price represented what </w:t>
      </w:r>
      <w:proofErr w:type="gramStart"/>
      <w:r>
        <w:t>could be called</w:t>
      </w:r>
      <w:proofErr w:type="gramEnd"/>
      <w:r>
        <w:t xml:space="preserve"> the rationalist tradition. </w:t>
      </w:r>
      <w:r w:rsidR="00727748">
        <w:t xml:space="preserve">This can be seen when Price (1758, p. 11) </w:t>
      </w:r>
      <w:r w:rsidR="007A35F0">
        <w:t>states</w:t>
      </w:r>
      <w:r w:rsidR="00727748">
        <w:t xml:space="preserve"> that, “The necessity that everything that happens should have a cause is an essential principle, a primary perception of the understanding.”</w:t>
      </w:r>
      <w:r w:rsidR="000C267F">
        <w:t xml:space="preserve"> Yet, this alone would not refute Hume, as Hume argues that such primary perception lies not within the understanding (in other words, some sort of rationalist, intellectual insight) but is a matter of psychological projection. The debate similarly resembles the dispute had on morality between the “sentimentalists” (such as Hume and Adam Smith) and the rationalists (notably, Price again).</w:t>
      </w:r>
      <w:r w:rsidR="00147F8C">
        <w:t xml:space="preserve"> In fact, both Price and Hume (1748, p. 53) make explicit reference to limits of “the understanding” as a point of contention.</w:t>
      </w:r>
    </w:p>
    <w:p w:rsidR="000C267F" w:rsidRDefault="00AE450E" w:rsidP="008818BF">
      <w:pPr>
        <w:spacing w:after="240"/>
      </w:pPr>
      <w:r>
        <w:rPr>
          <w:rFonts w:hint="eastAsia"/>
        </w:rPr>
        <w:t>To further engage, Price</w:t>
      </w:r>
      <w:r w:rsidR="0001138C">
        <w:t xml:space="preserve"> (1758, p. 11)</w:t>
      </w:r>
      <w:r>
        <w:rPr>
          <w:rFonts w:hint="eastAsia"/>
        </w:rPr>
        <w:t xml:space="preserve"> argues that to deny cau</w:t>
      </w:r>
      <w:r w:rsidR="0001138C">
        <w:t xml:space="preserve">sation would be equal to </w:t>
      </w:r>
      <w:r w:rsidR="00DA2FF4">
        <w:t xml:space="preserve">asserting </w:t>
      </w:r>
      <w:r w:rsidR="00DA2FF4">
        <w:lastRenderedPageBreak/>
        <w:t xml:space="preserve">that </w:t>
      </w:r>
      <w:r w:rsidR="0001138C">
        <w:t>propositions such as “a change that has been derived from nothing” or “a body that has begun to move but hasn’</w:t>
      </w:r>
      <w:r w:rsidR="00DA2FF4">
        <w:t>t been moved</w:t>
      </w:r>
      <w:r w:rsidR="0001138C">
        <w:t>”</w:t>
      </w:r>
      <w:r w:rsidR="00DA2FF4">
        <w:t xml:space="preserve"> could be true. </w:t>
      </w:r>
      <w:r w:rsidR="00E536C1">
        <w:t xml:space="preserve">In this way, </w:t>
      </w:r>
      <w:r w:rsidR="000E59B1">
        <w:t xml:space="preserve">I believe a stalemate </w:t>
      </w:r>
      <w:r w:rsidR="00D04CFF">
        <w:t>occurs</w:t>
      </w:r>
      <w:r w:rsidR="000E59B1">
        <w:t xml:space="preserve"> between Hume and Price, and one would require a further exploration of the merits of the epistemology backing each one. That is, those leaning toward Hume’s skepticism would not grant that Price has pointed toward metaphysical truths that we can understand through </w:t>
      </w:r>
      <w:r w:rsidR="00D04CFF">
        <w:t>the understanding</w:t>
      </w:r>
      <w:r w:rsidR="000E59B1">
        <w:t xml:space="preserve"> alone, while those leaning toward Price’s rationalism would grant that the above </w:t>
      </w:r>
      <w:r w:rsidR="00A46F1C">
        <w:t>are serious con</w:t>
      </w:r>
      <w:r w:rsidR="00E9401B">
        <w:t>tenders for self-evident claims (and, so, vindicating causation).</w:t>
      </w:r>
    </w:p>
    <w:p w:rsidR="009B6966" w:rsidRPr="005F7C52" w:rsidRDefault="0015361D" w:rsidP="008818BF">
      <w:pPr>
        <w:spacing w:after="240"/>
      </w:pPr>
      <w:r>
        <w:rPr>
          <w:rFonts w:hint="eastAsia"/>
        </w:rPr>
        <w:t xml:space="preserve">In response, Hume, I believe, has a worthy counterargument. </w:t>
      </w:r>
      <w:r>
        <w:t xml:space="preserve">Specifically, </w:t>
      </w:r>
      <w:r w:rsidR="006D1365">
        <w:t xml:space="preserve">if causation were a matter of the understanding, then surely we should have an idea of how A will cause B prior to experiencing it. Yet, as Hume argues, it is only </w:t>
      </w:r>
      <w:r w:rsidR="00552E80">
        <w:t xml:space="preserve">through experience that we know how the supposed necessary </w:t>
      </w:r>
      <w:r w:rsidR="00681685">
        <w:t>connection will unfold.</w:t>
      </w:r>
      <w:r w:rsidR="005F7C52">
        <w:t xml:space="preserve"> The answer open to Price is that we may not have an idea, until after experience, what effect A will have on B, but we grasp the principle underlying it. It is analogous to W.D. Ross’ </w:t>
      </w:r>
      <w:r w:rsidR="002B4C87">
        <w:t xml:space="preserve">(1930) </w:t>
      </w:r>
      <w:r w:rsidR="005F7C52">
        <w:t xml:space="preserve">moral epistemology, in which we have an intuition of </w:t>
      </w:r>
      <w:r w:rsidR="005F7C52">
        <w:rPr>
          <w:i/>
        </w:rPr>
        <w:t xml:space="preserve">prima facie </w:t>
      </w:r>
      <w:r w:rsidR="005F7C52">
        <w:t xml:space="preserve">duties such as being benevolent, but our actual duties in concrete cases require an evaluation of </w:t>
      </w:r>
      <w:proofErr w:type="gramStart"/>
      <w:r w:rsidR="005F7C52">
        <w:t>all things considered</w:t>
      </w:r>
      <w:proofErr w:type="gramEnd"/>
      <w:r w:rsidR="005F7C52">
        <w:t>.</w:t>
      </w:r>
      <w:r w:rsidR="00D04CFF">
        <w:t xml:space="preserve"> Granted, Hume could reply that such an account for the actual duty may be reflected on and we may come to an answer similar to the initial </w:t>
      </w:r>
      <w:r w:rsidR="00D04CFF" w:rsidRPr="00D04CFF">
        <w:rPr>
          <w:i/>
        </w:rPr>
        <w:t>prima facie</w:t>
      </w:r>
      <w:r w:rsidR="00D04CFF">
        <w:t xml:space="preserve"> duties, while we could never reflect (and come to know) how previously unknown </w:t>
      </w:r>
      <w:r w:rsidR="00810923">
        <w:t>objects</w:t>
      </w:r>
      <w:r w:rsidR="00D04CFF">
        <w:t xml:space="preserve"> will interact.</w:t>
      </w:r>
    </w:p>
    <w:p w:rsidR="00681685" w:rsidRPr="0015361D" w:rsidRDefault="007454E3" w:rsidP="008818BF">
      <w:pPr>
        <w:spacing w:after="240"/>
      </w:pPr>
      <w:r>
        <w:rPr>
          <w:rFonts w:hint="eastAsia"/>
        </w:rPr>
        <w:t>Overall, I believe Hume</w:t>
      </w:r>
      <w:r w:rsidR="00620C3A">
        <w:t xml:space="preserve"> offers a very interesting problem that touches upon both epistemology and metaphysics. </w:t>
      </w:r>
      <w:r w:rsidR="00C73023">
        <w:t xml:space="preserve">In some ways, it is reminiscent of the skeptical worries raised by Descartes (1641) in “Meditations on First Philosophy,” but it is controversial whether Hume </w:t>
      </w:r>
      <w:r w:rsidR="004D743B">
        <w:t>accepts the skeptical position—</w:t>
      </w:r>
      <w:r w:rsidR="00D04CFF">
        <w:t>while</w:t>
      </w:r>
      <w:r w:rsidR="00C73023">
        <w:t xml:space="preserve"> Descartes</w:t>
      </w:r>
      <w:r w:rsidR="00D04CFF">
        <w:t xml:space="preserve"> hoped to overcome skepticism</w:t>
      </w:r>
      <w:r w:rsidR="004D743B">
        <w:t>—</w:t>
      </w:r>
      <w:r w:rsidR="00C73023">
        <w:t xml:space="preserve">or, as some contemporary accounts argue, merely raises an </w:t>
      </w:r>
      <w:r w:rsidR="00EB6750">
        <w:t>interesting puzzle for induction.</w:t>
      </w:r>
    </w:p>
    <w:p w:rsidR="008818BF" w:rsidRDefault="008818BF" w:rsidP="008818BF">
      <w:pPr>
        <w:spacing w:after="240"/>
      </w:pPr>
      <w:r>
        <w:t>Word count:</w:t>
      </w:r>
      <w:r w:rsidR="0073097B">
        <w:t xml:space="preserve"> 802</w:t>
      </w:r>
    </w:p>
    <w:p w:rsidR="004D743B" w:rsidRPr="004D743B" w:rsidRDefault="004D743B" w:rsidP="008818BF">
      <w:pPr>
        <w:spacing w:after="240"/>
        <w:rPr>
          <w:b/>
        </w:rPr>
      </w:pPr>
      <w:r w:rsidRPr="004D743B">
        <w:rPr>
          <w:b/>
        </w:rPr>
        <w:t>References</w:t>
      </w:r>
    </w:p>
    <w:p w:rsidR="004D743B" w:rsidRDefault="004D743B" w:rsidP="004D743B">
      <w:pPr>
        <w:spacing w:after="240"/>
        <w:jc w:val="left"/>
      </w:pPr>
      <w:r>
        <w:t>Reviewed Work: Hume and the Problem of Causation by Tom L. Beauchamp, Alexander Rosenberg</w:t>
      </w:r>
      <w:r>
        <w:rPr>
          <w:rFonts w:hint="eastAsia"/>
        </w:rPr>
        <w:t xml:space="preserve"> </w:t>
      </w:r>
      <w:r>
        <w:t xml:space="preserve">Review by: Terence </w:t>
      </w:r>
      <w:proofErr w:type="spellStart"/>
      <w:r>
        <w:t>Horgan</w:t>
      </w:r>
      <w:proofErr w:type="spellEnd"/>
      <w:r>
        <w:rPr>
          <w:rFonts w:hint="eastAsia"/>
        </w:rPr>
        <w:t xml:space="preserve"> </w:t>
      </w:r>
      <w:proofErr w:type="gramStart"/>
      <w:r>
        <w:t>The</w:t>
      </w:r>
      <w:proofErr w:type="gramEnd"/>
      <w:r>
        <w:t xml:space="preserve"> Philosophical Review</w:t>
      </w:r>
      <w:r>
        <w:rPr>
          <w:rFonts w:hint="eastAsia"/>
        </w:rPr>
        <w:t xml:space="preserve"> </w:t>
      </w:r>
      <w:r>
        <w:t>Vol. 94, No. 2 (Apr., 1985), pp. 278-281 (4 pages)</w:t>
      </w:r>
      <w:r>
        <w:rPr>
          <w:rFonts w:hint="eastAsia"/>
        </w:rPr>
        <w:t xml:space="preserve"> </w:t>
      </w:r>
      <w:r>
        <w:t>Published By: Duke University Press</w:t>
      </w:r>
    </w:p>
    <w:p w:rsidR="004D743B" w:rsidRDefault="004D743B" w:rsidP="004D743B">
      <w:pPr>
        <w:spacing w:after="240"/>
        <w:jc w:val="left"/>
      </w:pPr>
      <w:r>
        <w:t>Descartes Meditations on First Philosophy 1641</w:t>
      </w:r>
    </w:p>
    <w:p w:rsidR="004D743B" w:rsidRDefault="004D743B" w:rsidP="004D743B">
      <w:pPr>
        <w:spacing w:after="240"/>
        <w:jc w:val="left"/>
      </w:pPr>
      <w:r>
        <w:t xml:space="preserve">W.D. Ross </w:t>
      </w:r>
      <w:proofErr w:type="gramStart"/>
      <w:r>
        <w:t>The</w:t>
      </w:r>
      <w:proofErr w:type="gramEnd"/>
      <w:r>
        <w:t xml:space="preserve"> Right and the Good 1930</w:t>
      </w:r>
    </w:p>
    <w:p w:rsidR="004D743B" w:rsidRDefault="004D743B" w:rsidP="004D743B">
      <w:pPr>
        <w:spacing w:after="240"/>
        <w:jc w:val="left"/>
      </w:pPr>
      <w:r>
        <w:t xml:space="preserve">Richard Price </w:t>
      </w:r>
      <w:proofErr w:type="gramStart"/>
      <w:r>
        <w:t>A</w:t>
      </w:r>
      <w:proofErr w:type="gramEnd"/>
      <w:r>
        <w:t xml:space="preserve"> Review of the Principal Questions of Morals</w:t>
      </w:r>
    </w:p>
    <w:p w:rsidR="004D743B" w:rsidRDefault="004D743B" w:rsidP="004D743B">
      <w:pPr>
        <w:spacing w:after="240"/>
        <w:jc w:val="left"/>
      </w:pPr>
      <w:r>
        <w:t>Hume, Malebranche and ‘Rationalism’ P. J. E. KAIL</w:t>
      </w:r>
    </w:p>
    <w:p w:rsidR="008818BF" w:rsidRPr="006169D5" w:rsidRDefault="008818BF" w:rsidP="008818BF">
      <w:pPr>
        <w:spacing w:after="240"/>
        <w:rPr>
          <w:b/>
        </w:rPr>
      </w:pPr>
      <w:r w:rsidRPr="006169D5">
        <w:rPr>
          <w:b/>
        </w:rPr>
        <w:t>5.</w:t>
      </w:r>
      <w:r w:rsidR="001329C2" w:rsidRPr="006169D5">
        <w:rPr>
          <w:b/>
        </w:rPr>
        <w:t xml:space="preserve"> Peter Unger, ‘In Defense of Skepticism’, The Philosophical Review, Vo.80, No.2, 1971, pp.198-</w:t>
      </w:r>
      <w:r w:rsidR="001329C2" w:rsidRPr="006169D5">
        <w:rPr>
          <w:b/>
        </w:rPr>
        <w:lastRenderedPageBreak/>
        <w:t>219.</w:t>
      </w:r>
    </w:p>
    <w:p w:rsidR="001329C2" w:rsidRDefault="00B23FC0" w:rsidP="008818BF">
      <w:pPr>
        <w:spacing w:after="240"/>
      </w:pPr>
      <w:r>
        <w:rPr>
          <w:rFonts w:hint="eastAsia"/>
        </w:rPr>
        <w:t xml:space="preserve">Here, Peter Unger </w:t>
      </w:r>
      <w:r>
        <w:t>(1971, p. 198) defends a</w:t>
      </w:r>
      <w:r w:rsidR="005852E9">
        <w:t>n ostensibly</w:t>
      </w:r>
      <w:r>
        <w:t xml:space="preserve"> moderate form of skepticism, with the thesis explicitly being “every human being knows, at best, hardly anything to be so.” </w:t>
      </w:r>
      <w:r w:rsidR="0077593F">
        <w:t xml:space="preserve">The </w:t>
      </w:r>
      <w:proofErr w:type="gramStart"/>
      <w:r w:rsidR="0077593F">
        <w:t>things which we do not know</w:t>
      </w:r>
      <w:proofErr w:type="gramEnd"/>
      <w:r w:rsidR="0077593F">
        <w:t xml:space="preserve"> include mathematical truths or even whether Unger’s skepticism itself is true. </w:t>
      </w:r>
      <w:r w:rsidR="00433B74">
        <w:t>The brunt of Unger’s case for this</w:t>
      </w:r>
      <w:r w:rsidR="00E26136">
        <w:t xml:space="preserve"> apparently</w:t>
      </w:r>
      <w:r w:rsidR="00433B74">
        <w:t xml:space="preserve"> less radical skepticism seems to rely on </w:t>
      </w:r>
      <w:r w:rsidR="00433B74" w:rsidRPr="00433B74">
        <w:rPr>
          <w:i/>
        </w:rPr>
        <w:t>1</w:t>
      </w:r>
      <w:r w:rsidR="00433B74">
        <w:t xml:space="preserve">) knowledge requiring certainty and </w:t>
      </w:r>
      <w:r w:rsidR="00433B74" w:rsidRPr="00433B74">
        <w:rPr>
          <w:i/>
        </w:rPr>
        <w:t>2</w:t>
      </w:r>
      <w:r w:rsidR="00433B74">
        <w:t>) the disconnect between language and the world as it is.</w:t>
      </w:r>
    </w:p>
    <w:p w:rsidR="00FE23D6" w:rsidRDefault="00E152A5" w:rsidP="008818BF">
      <w:pPr>
        <w:spacing w:after="240"/>
      </w:pPr>
      <w:r>
        <w:rPr>
          <w:rFonts w:hint="eastAsia"/>
        </w:rPr>
        <w:t>T</w:t>
      </w:r>
      <w:r>
        <w:t xml:space="preserve">o bolster the above two points, Unger discusses relative and absolute terms, such as bumpy for the former and flat for the latter. Additionally, there is the further distinction between absolute terms and basic absolute terms. What would make a term basic and absolute is that it “is not (naturally) defined in terms of some other absolute term” (Unger 1971, p. 203), with “straight” being given as an example, as it has no further absolute terms within it defining it. This is unlike the absolute term “cube,” which must rely on supplementary absolute terms (terms Unger deems basic and absolute) such as “straight.” </w:t>
      </w:r>
      <w:proofErr w:type="gramStart"/>
      <w:r w:rsidR="00A47570">
        <w:t>U</w:t>
      </w:r>
      <w:r w:rsidR="00A66A82">
        <w:t>nfortunately</w:t>
      </w:r>
      <w:proofErr w:type="gramEnd"/>
      <w:r w:rsidR="00A66A82">
        <w:t xml:space="preserve"> for</w:t>
      </w:r>
      <w:r w:rsidR="00A47570">
        <w:t xml:space="preserve"> </w:t>
      </w:r>
      <w:r w:rsidR="00A66A82">
        <w:t xml:space="preserve">absolute terms, Unger </w:t>
      </w:r>
      <w:r w:rsidR="00A47570">
        <w:t>claims</w:t>
      </w:r>
      <w:r w:rsidR="00A66A82">
        <w:t xml:space="preserve"> that they still admit to degrees, as in the case of relative terms. </w:t>
      </w:r>
      <w:proofErr w:type="gramStart"/>
      <w:r w:rsidR="00A47570">
        <w:t xml:space="preserve">Using the example of a table and its </w:t>
      </w:r>
      <w:r w:rsidR="00F05207">
        <w:t>characteristics</w:t>
      </w:r>
      <w:r w:rsidR="00A47570">
        <w:t>,</w:t>
      </w:r>
      <w:proofErr w:type="gramEnd"/>
      <w:r w:rsidR="00A47570">
        <w:t xml:space="preserve"> </w:t>
      </w:r>
      <w:proofErr w:type="gramStart"/>
      <w:r w:rsidR="00A47570">
        <w:t>it</w:t>
      </w:r>
      <w:proofErr w:type="gramEnd"/>
      <w:r w:rsidR="00A47570">
        <w:t xml:space="preserve"> appears, Unger argues, to resemble the relative quality of being bumpy. That is, when we speak of the bumpiness of a table, it implicitly assumes qualifiers such as “nearly” or “how close to being” (Unger 1971, p. 204). Yet, the same observation applies to the absolute term of “flatness,” as</w:t>
      </w:r>
      <w:r w:rsidR="00560FFD">
        <w:t xml:space="preserve"> we</w:t>
      </w:r>
      <w:r w:rsidR="00A47570">
        <w:t xml:space="preserve"> begin to refine our use of the absolute term “flat” for the table as perhaps being “nearly flat.”</w:t>
      </w:r>
    </w:p>
    <w:p w:rsidR="004C12F1" w:rsidRDefault="00587CA8" w:rsidP="008818BF">
      <w:pPr>
        <w:spacing w:after="240"/>
      </w:pPr>
      <w:r>
        <w:rPr>
          <w:rFonts w:hint="eastAsia"/>
        </w:rPr>
        <w:t xml:space="preserve">In bringing us back to skepticism, Unger connects the above points to certainty itself. </w:t>
      </w:r>
      <w:r>
        <w:t xml:space="preserve">Namely, if something is truly flat, then there “never is any surface which is flatter than it” (Unger 1971, p. 211). </w:t>
      </w:r>
      <w:proofErr w:type="gramStart"/>
      <w:r>
        <w:t>Likewise, with certainty, if one truly has certainty, then there “never is anything of which he is more certain”</w:t>
      </w:r>
      <w:proofErr w:type="gramEnd"/>
      <w:r>
        <w:t xml:space="preserve"> (Unger 1971, p. 212). </w:t>
      </w:r>
      <w:r w:rsidR="005C49F2">
        <w:t>Yet, Unger asks us to consider a simple mathematical proposition, such as 45 and 56 amounts to 101.</w:t>
      </w:r>
      <w:r w:rsidR="00246F2B">
        <w:t xml:space="preserve"> Reflecting on this proposition, we cannot claim certainty as outlined above. However, if mathematical truth</w:t>
      </w:r>
      <w:r w:rsidR="00EF066C">
        <w:t xml:space="preserve">s lack such certainty, then we are </w:t>
      </w:r>
      <w:r w:rsidR="00F473BB">
        <w:t xml:space="preserve">seemingly </w:t>
      </w:r>
      <w:r w:rsidR="00EF066C">
        <w:t>less confident in claiming</w:t>
      </w:r>
      <w:r w:rsidR="00246F2B">
        <w:t xml:space="preserve"> with certainty that </w:t>
      </w:r>
      <w:r w:rsidR="007E0695">
        <w:t>people believe that</w:t>
      </w:r>
      <w:r w:rsidR="00246F2B">
        <w:t xml:space="preserve"> automobiles exist.</w:t>
      </w:r>
    </w:p>
    <w:p w:rsidR="00246F2B" w:rsidRDefault="005C4521" w:rsidP="008818BF">
      <w:pPr>
        <w:spacing w:after="240"/>
      </w:pPr>
      <w:r>
        <w:rPr>
          <w:rFonts w:hint="eastAsia"/>
        </w:rPr>
        <w:t>This brings me to Unger</w:t>
      </w:r>
      <w:r>
        <w:t xml:space="preserve">’s last substantial point, and </w:t>
      </w:r>
      <w:proofErr w:type="gramStart"/>
      <w:r>
        <w:t>it is one that I had in mind from the beginning of Unger’</w:t>
      </w:r>
      <w:r w:rsidR="0031799E">
        <w:t>s paper</w:t>
      </w:r>
      <w:proofErr w:type="gramEnd"/>
      <w:r w:rsidR="0031799E">
        <w:t xml:space="preserve">. </w:t>
      </w:r>
      <w:r>
        <w:t xml:space="preserve">In this section, </w:t>
      </w:r>
      <w:r w:rsidR="001A1E0F">
        <w:t xml:space="preserve">Unger considers the position of having knowledge without certainty. </w:t>
      </w:r>
      <w:r w:rsidR="000D283A">
        <w:t xml:space="preserve">The problem for Unger is that, if knowledge is possible without absolute certainty, then his skepticism is not maintainable. </w:t>
      </w:r>
      <w:r w:rsidR="0058359B">
        <w:t xml:space="preserve">For such a position, it sounds like a form of </w:t>
      </w:r>
      <w:proofErr w:type="spellStart"/>
      <w:r w:rsidR="0058359B">
        <w:t>fallibilism</w:t>
      </w:r>
      <w:proofErr w:type="spellEnd"/>
      <w:r w:rsidR="0058359B">
        <w:t xml:space="preserve">, where knowledge and </w:t>
      </w:r>
      <w:r w:rsidR="00292A9B">
        <w:t>fallibility</w:t>
      </w:r>
      <w:r w:rsidR="00920E4C">
        <w:t xml:space="preserve"> </w:t>
      </w:r>
      <w:proofErr w:type="gramStart"/>
      <w:r w:rsidR="00920E4C">
        <w:t xml:space="preserve">are </w:t>
      </w:r>
      <w:r w:rsidR="0058359B">
        <w:t>seen</w:t>
      </w:r>
      <w:proofErr w:type="gramEnd"/>
      <w:r w:rsidR="0058359B">
        <w:t xml:space="preserve"> as compatible. </w:t>
      </w:r>
      <w:r w:rsidR="004D4CD1">
        <w:t xml:space="preserve">In arguing against the disconnect between certainty and knowledge, Unger </w:t>
      </w:r>
      <w:r w:rsidR="00242B22">
        <w:t xml:space="preserve">(1971, p. 216) </w:t>
      </w:r>
      <w:r w:rsidR="004D4CD1">
        <w:t xml:space="preserve">brings attention to how we talk </w:t>
      </w:r>
      <w:r w:rsidR="00242B22">
        <w:t xml:space="preserve">about having knowledge—hoping to draw a contradiction in asserting one has knowledge while denying one has certainty. An example he gives is that of saying “He really </w:t>
      </w:r>
      <w:r w:rsidR="00242B22" w:rsidRPr="00242B22">
        <w:rPr>
          <w:i/>
        </w:rPr>
        <w:t>knows</w:t>
      </w:r>
      <w:r w:rsidR="00242B22">
        <w:t xml:space="preserve"> that it is raining, but he isn't actually </w:t>
      </w:r>
      <w:r w:rsidR="00242B22" w:rsidRPr="00242B22">
        <w:rPr>
          <w:i/>
        </w:rPr>
        <w:t>certain</w:t>
      </w:r>
      <w:r w:rsidR="00242B22">
        <w:rPr>
          <w:i/>
        </w:rPr>
        <w:t xml:space="preserve"> </w:t>
      </w:r>
      <w:r w:rsidR="00242B22">
        <w:t>of it.”</w:t>
      </w:r>
    </w:p>
    <w:p w:rsidR="006D25C9" w:rsidRPr="00242B22" w:rsidRDefault="00EA1DAE" w:rsidP="00A1135C">
      <w:pPr>
        <w:spacing w:before="240" w:after="240"/>
      </w:pPr>
      <w:r>
        <w:t xml:space="preserve">Therefore, </w:t>
      </w:r>
      <w:r w:rsidR="00EE7C58">
        <w:rPr>
          <w:rFonts w:hint="eastAsia"/>
        </w:rPr>
        <w:t>Unger</w:t>
      </w:r>
      <w:r w:rsidR="00EE7C58">
        <w:t>’s case for skepticism rests on the</w:t>
      </w:r>
      <w:r>
        <w:t xml:space="preserve"> failings of the</w:t>
      </w:r>
      <w:r w:rsidR="00EE7C58">
        <w:t xml:space="preserve"> “traditional view.” </w:t>
      </w:r>
      <w:r w:rsidR="006D25C9">
        <w:rPr>
          <w:rFonts w:hint="eastAsia"/>
        </w:rPr>
        <w:t xml:space="preserve">Interestingly </w:t>
      </w:r>
      <w:r w:rsidR="006D25C9">
        <w:rPr>
          <w:rFonts w:hint="eastAsia"/>
        </w:rPr>
        <w:lastRenderedPageBreak/>
        <w:t xml:space="preserve">enough, </w:t>
      </w:r>
      <w:r w:rsidR="004D743B">
        <w:t xml:space="preserve">if one were to deviate from the traditional view and opt for a form of </w:t>
      </w:r>
      <w:proofErr w:type="spellStart"/>
      <w:r w:rsidR="004D743B">
        <w:t>fallibilism</w:t>
      </w:r>
      <w:proofErr w:type="spellEnd"/>
      <w:r w:rsidR="004D743B">
        <w:t xml:space="preserve">, then </w:t>
      </w:r>
      <w:r w:rsidR="006D25C9">
        <w:rPr>
          <w:rFonts w:hint="eastAsia"/>
        </w:rPr>
        <w:t>thi</w:t>
      </w:r>
      <w:r w:rsidR="006D6442">
        <w:t xml:space="preserve">s can be connected to the earlier discussed </w:t>
      </w:r>
      <w:proofErr w:type="spellStart"/>
      <w:r w:rsidR="006D6442">
        <w:t>Gettier</w:t>
      </w:r>
      <w:proofErr w:type="spellEnd"/>
      <w:r w:rsidR="006D6442">
        <w:t xml:space="preserve"> problem, in that “it has been argued that the </w:t>
      </w:r>
      <w:proofErr w:type="spellStart"/>
      <w:r w:rsidR="006D6442">
        <w:t>Gettier</w:t>
      </w:r>
      <w:proofErr w:type="spellEnd"/>
      <w:r w:rsidR="006D6442">
        <w:t xml:space="preserve"> problem cannot be solved and that </w:t>
      </w:r>
      <w:proofErr w:type="spellStart"/>
      <w:r w:rsidR="006D6442">
        <w:t>fallibilism</w:t>
      </w:r>
      <w:proofErr w:type="spellEnd"/>
      <w:r w:rsidR="006D6442">
        <w:t xml:space="preserve"> will always bring with it a problematic kind of accidental success” (Reed 2012, p. 588). </w:t>
      </w:r>
      <w:r w:rsidR="002D3CA9">
        <w:t>In other words,</w:t>
      </w:r>
      <w:r w:rsidR="0045721B">
        <w:t xml:space="preserve"> there is a </w:t>
      </w:r>
      <w:r w:rsidR="00A1135C">
        <w:t>concern</w:t>
      </w:r>
      <w:r w:rsidR="0045721B">
        <w:t xml:space="preserve"> that an acceptance of </w:t>
      </w:r>
      <w:proofErr w:type="spellStart"/>
      <w:r w:rsidR="0045721B">
        <w:t>fallibilism</w:t>
      </w:r>
      <w:proofErr w:type="spellEnd"/>
      <w:r w:rsidR="0045721B">
        <w:t xml:space="preserve"> would admit to allowing chance to </w:t>
      </w:r>
      <w:r w:rsidR="00A1135C">
        <w:t>constitute</w:t>
      </w:r>
      <w:r w:rsidR="0045721B">
        <w:t xml:space="preserve"> a part in knowledge (Pritchard </w:t>
      </w:r>
      <w:r w:rsidR="00A1135C">
        <w:t>2005).</w:t>
      </w:r>
      <w:r w:rsidR="00C929BD">
        <w:t xml:space="preserve"> </w:t>
      </w:r>
      <w:proofErr w:type="gramStart"/>
      <w:r w:rsidR="00C929BD">
        <w:t xml:space="preserve">The problem of epistemic luck in knowledge is </w:t>
      </w:r>
      <w:r w:rsidR="00B83DA5">
        <w:t>discussed by Unger (1968) elsewhere</w:t>
      </w:r>
      <w:proofErr w:type="gramEnd"/>
      <w:r w:rsidR="00B83DA5">
        <w:t xml:space="preserve">. That said, the luck Unger seemingly addresses is that </w:t>
      </w:r>
      <w:r w:rsidR="00BD2762">
        <w:t>of luck of a “benign epistemic luck” (Pritchard 2005, p. 137) that has no bearing on whether one has knowledge, but, rather, whether one is luckily enough to be in a position of acquiring knowledge.</w:t>
      </w:r>
      <w:r w:rsidR="0045721B">
        <w:t xml:space="preserve"> </w:t>
      </w:r>
      <w:r w:rsidR="00B83DA5">
        <w:t>Regardless</w:t>
      </w:r>
      <w:r w:rsidR="002D3CA9">
        <w:t xml:space="preserve">, a form of </w:t>
      </w:r>
      <w:proofErr w:type="spellStart"/>
      <w:r w:rsidR="002D3CA9">
        <w:t>fallibilism</w:t>
      </w:r>
      <w:proofErr w:type="spellEnd"/>
      <w:r w:rsidR="002D3CA9">
        <w:t xml:space="preserve"> may necessarily undercut Unger’</w:t>
      </w:r>
      <w:r w:rsidR="00C44147">
        <w:t>s skepticism, but it could be at the cost of not giving a satisfactory account of knowledge.</w:t>
      </w:r>
    </w:p>
    <w:p w:rsidR="0058359B" w:rsidRPr="007E0695" w:rsidRDefault="00A17165" w:rsidP="008818BF">
      <w:pPr>
        <w:spacing w:after="240"/>
      </w:pPr>
      <w:r>
        <w:t xml:space="preserve">In closing, </w:t>
      </w:r>
      <w:r w:rsidR="0058359B">
        <w:t xml:space="preserve">Unger gives an interesting argument for skepticism that seemingly gives a direct response to philosophers like Moore. </w:t>
      </w:r>
      <w:r w:rsidR="008C7C15">
        <w:t xml:space="preserve">However, </w:t>
      </w:r>
      <w:r w:rsidR="00292A9B">
        <w:t xml:space="preserve">I believe Unger’s (1971, p. 214) </w:t>
      </w:r>
      <w:r w:rsidR="00F526E1">
        <w:t>case for skepticism should go</w:t>
      </w:r>
      <w:r w:rsidR="00292A9B">
        <w:t xml:space="preserve"> beyond analyzing the “loosely, charitably, and casually” way we normally talk, as Unger seems to diagnose the confusion (and postulation) of non-skepticism on the misuse of language.</w:t>
      </w:r>
      <w:r w:rsidR="00F526E1">
        <w:t xml:space="preserve"> Most notably, I believe a sustained criticism of </w:t>
      </w:r>
      <w:proofErr w:type="spellStart"/>
      <w:r w:rsidR="00F526E1">
        <w:t>fallibilism</w:t>
      </w:r>
      <w:proofErr w:type="spellEnd"/>
      <w:r w:rsidR="00F526E1">
        <w:t xml:space="preserve"> </w:t>
      </w:r>
      <w:proofErr w:type="gramStart"/>
      <w:r w:rsidR="00F526E1">
        <w:t>is need</w:t>
      </w:r>
      <w:r w:rsidR="008C492F">
        <w:t>ed</w:t>
      </w:r>
      <w:proofErr w:type="gramEnd"/>
      <w:r w:rsidR="008C492F">
        <w:t xml:space="preserve"> to bolster Unger’s position.</w:t>
      </w:r>
      <w:r w:rsidR="002D3CA9">
        <w:t xml:space="preserve"> Without such critique, there remains a concern for the skeptic that, while the traditional view of knowledge is flawed, this, in itself, does not vindicate skepticism.</w:t>
      </w:r>
    </w:p>
    <w:p w:rsidR="008818BF" w:rsidRDefault="008818BF" w:rsidP="008818BF">
      <w:pPr>
        <w:spacing w:after="240"/>
      </w:pPr>
      <w:r>
        <w:t>Word count:</w:t>
      </w:r>
      <w:r w:rsidR="00BD2762">
        <w:t xml:space="preserve"> 800</w:t>
      </w:r>
    </w:p>
    <w:p w:rsidR="00E90D0F" w:rsidRPr="00E90D0F" w:rsidRDefault="00E90D0F" w:rsidP="008818BF">
      <w:pPr>
        <w:spacing w:after="240"/>
        <w:rPr>
          <w:b/>
        </w:rPr>
      </w:pPr>
      <w:r w:rsidRPr="00E90D0F">
        <w:rPr>
          <w:b/>
        </w:rPr>
        <w:t>References</w:t>
      </w:r>
    </w:p>
    <w:p w:rsidR="00E90D0F" w:rsidRDefault="00E90D0F" w:rsidP="00E90D0F">
      <w:pPr>
        <w:spacing w:after="240"/>
        <w:jc w:val="left"/>
      </w:pPr>
      <w:r>
        <w:t xml:space="preserve">Baron Reed 2012 </w:t>
      </w:r>
      <w:proofErr w:type="spellStart"/>
      <w:r>
        <w:t>Falliblism</w:t>
      </w:r>
      <w:proofErr w:type="spellEnd"/>
      <w:r>
        <w:t xml:space="preserve"> Philosophy Compass</w:t>
      </w:r>
    </w:p>
    <w:p w:rsidR="00E90D0F" w:rsidRDefault="00E90D0F" w:rsidP="00E90D0F">
      <w:pPr>
        <w:spacing w:after="240"/>
        <w:jc w:val="left"/>
      </w:pPr>
      <w:proofErr w:type="spellStart"/>
      <w:r>
        <w:t>Gettier</w:t>
      </w:r>
      <w:proofErr w:type="spellEnd"/>
    </w:p>
    <w:p w:rsidR="00A1135C" w:rsidRDefault="00A1135C" w:rsidP="00E90D0F">
      <w:pPr>
        <w:spacing w:after="240"/>
        <w:jc w:val="left"/>
      </w:pPr>
      <w:r>
        <w:t>Duncan Pritchard Epistemic Luck 2005</w:t>
      </w:r>
    </w:p>
    <w:p w:rsidR="00614B24" w:rsidRPr="00E90D0F" w:rsidRDefault="00614B24" w:rsidP="00E90D0F">
      <w:pPr>
        <w:spacing w:after="240"/>
        <w:jc w:val="left"/>
      </w:pPr>
      <w:r>
        <w:t xml:space="preserve">Peter Unger 1968 </w:t>
      </w:r>
      <w:proofErr w:type="gramStart"/>
      <w:r>
        <w:t>An</w:t>
      </w:r>
      <w:proofErr w:type="gramEnd"/>
      <w:r>
        <w:t xml:space="preserve"> </w:t>
      </w:r>
      <w:proofErr w:type="spellStart"/>
      <w:r>
        <w:t>Anaylsis</w:t>
      </w:r>
      <w:proofErr w:type="spellEnd"/>
      <w:r>
        <w:t xml:space="preserve"> of Factual Knowledge</w:t>
      </w:r>
    </w:p>
    <w:p w:rsidR="00773603" w:rsidRDefault="008818BF" w:rsidP="00AD7A0C">
      <w:pPr>
        <w:pBdr>
          <w:top w:val="single" w:sz="4" w:space="1" w:color="auto"/>
        </w:pBdr>
        <w:spacing w:after="240"/>
        <w:jc w:val="left"/>
      </w:pPr>
      <w:r>
        <w:t>Word count (excluding references and titles):</w:t>
      </w:r>
    </w:p>
    <w:p w:rsidR="008818BF" w:rsidRDefault="008818BF" w:rsidP="008818BF">
      <w:pPr>
        <w:spacing w:after="240"/>
        <w:jc w:val="left"/>
      </w:pPr>
      <w:r>
        <w:t xml:space="preserve">Andrew </w:t>
      </w:r>
      <w:proofErr w:type="spellStart"/>
      <w:r>
        <w:t>Nesseler</w:t>
      </w:r>
      <w:proofErr w:type="spellEnd"/>
      <w:r w:rsidR="003A15B1">
        <w:t xml:space="preserve"> </w:t>
      </w:r>
      <w:r w:rsidR="003A15B1" w:rsidRPr="003A15B1">
        <w:t>– Student No. 2236167</w:t>
      </w:r>
    </w:p>
    <w:p w:rsidR="008818BF" w:rsidRPr="008818BF" w:rsidRDefault="008C492F" w:rsidP="008818BF">
      <w:pPr>
        <w:spacing w:after="240"/>
        <w:jc w:val="left"/>
      </w:pPr>
      <w:r>
        <w:t>Nov</w:t>
      </w:r>
      <w:r w:rsidR="003A15B1">
        <w:t xml:space="preserve">. </w:t>
      </w:r>
      <w:r w:rsidR="00AD7A0C">
        <w:t>10</w:t>
      </w:r>
      <w:r w:rsidR="00AD7A0C" w:rsidRPr="00AD7A0C">
        <w:rPr>
          <w:vertAlign w:val="superscript"/>
        </w:rPr>
        <w:t>th</w:t>
      </w:r>
      <w:r w:rsidR="00371659">
        <w:t>,</w:t>
      </w:r>
      <w:r w:rsidR="00AD7A0C">
        <w:t xml:space="preserve"> </w:t>
      </w:r>
      <w:r w:rsidR="008818BF">
        <w:rPr>
          <w:rFonts w:hint="eastAsia"/>
        </w:rPr>
        <w:t>2023</w:t>
      </w:r>
    </w:p>
    <w:sectPr w:rsidR="008818BF" w:rsidRPr="008818BF">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7F"/>
    <w:rsid w:val="00006B65"/>
    <w:rsid w:val="0001138C"/>
    <w:rsid w:val="0002412E"/>
    <w:rsid w:val="0002793D"/>
    <w:rsid w:val="000400B0"/>
    <w:rsid w:val="0005184A"/>
    <w:rsid w:val="00064D11"/>
    <w:rsid w:val="00065E6B"/>
    <w:rsid w:val="00073A87"/>
    <w:rsid w:val="00082701"/>
    <w:rsid w:val="0008634F"/>
    <w:rsid w:val="00095CD8"/>
    <w:rsid w:val="00095D6B"/>
    <w:rsid w:val="000B13B7"/>
    <w:rsid w:val="000C267F"/>
    <w:rsid w:val="000C5826"/>
    <w:rsid w:val="000D00C8"/>
    <w:rsid w:val="000D1EE0"/>
    <w:rsid w:val="000D239A"/>
    <w:rsid w:val="000D283A"/>
    <w:rsid w:val="000E59B1"/>
    <w:rsid w:val="000E5F2C"/>
    <w:rsid w:val="000F5AAF"/>
    <w:rsid w:val="000F6320"/>
    <w:rsid w:val="000F7195"/>
    <w:rsid w:val="00105FC5"/>
    <w:rsid w:val="0011002C"/>
    <w:rsid w:val="0011708F"/>
    <w:rsid w:val="001329C2"/>
    <w:rsid w:val="00137B41"/>
    <w:rsid w:val="00147F8C"/>
    <w:rsid w:val="0015361D"/>
    <w:rsid w:val="001718B3"/>
    <w:rsid w:val="0018414C"/>
    <w:rsid w:val="001A1E0F"/>
    <w:rsid w:val="001B0645"/>
    <w:rsid w:val="001D059E"/>
    <w:rsid w:val="00200440"/>
    <w:rsid w:val="002158BF"/>
    <w:rsid w:val="002318AB"/>
    <w:rsid w:val="00241B03"/>
    <w:rsid w:val="00242B22"/>
    <w:rsid w:val="00244736"/>
    <w:rsid w:val="00246F2B"/>
    <w:rsid w:val="002524D2"/>
    <w:rsid w:val="002707AA"/>
    <w:rsid w:val="00274819"/>
    <w:rsid w:val="00284E8E"/>
    <w:rsid w:val="00292A9B"/>
    <w:rsid w:val="002B4C87"/>
    <w:rsid w:val="002C3187"/>
    <w:rsid w:val="002D1851"/>
    <w:rsid w:val="002D3CA9"/>
    <w:rsid w:val="002D6470"/>
    <w:rsid w:val="002E347F"/>
    <w:rsid w:val="002E4159"/>
    <w:rsid w:val="002E7882"/>
    <w:rsid w:val="00300A4D"/>
    <w:rsid w:val="00300CEC"/>
    <w:rsid w:val="003056B9"/>
    <w:rsid w:val="00310832"/>
    <w:rsid w:val="00316497"/>
    <w:rsid w:val="0031799E"/>
    <w:rsid w:val="00335BE0"/>
    <w:rsid w:val="003669BD"/>
    <w:rsid w:val="00371659"/>
    <w:rsid w:val="003731AB"/>
    <w:rsid w:val="003749F6"/>
    <w:rsid w:val="003A15B1"/>
    <w:rsid w:val="003A339A"/>
    <w:rsid w:val="003B4A3D"/>
    <w:rsid w:val="003C00CF"/>
    <w:rsid w:val="003C6D82"/>
    <w:rsid w:val="003E1D1A"/>
    <w:rsid w:val="003F7D82"/>
    <w:rsid w:val="004002EA"/>
    <w:rsid w:val="00412D15"/>
    <w:rsid w:val="00417A1F"/>
    <w:rsid w:val="00425651"/>
    <w:rsid w:val="0042787F"/>
    <w:rsid w:val="00431973"/>
    <w:rsid w:val="00432AD5"/>
    <w:rsid w:val="00433B74"/>
    <w:rsid w:val="00433DBA"/>
    <w:rsid w:val="0043646B"/>
    <w:rsid w:val="00446095"/>
    <w:rsid w:val="0045721B"/>
    <w:rsid w:val="004B452C"/>
    <w:rsid w:val="004C12F1"/>
    <w:rsid w:val="004C3593"/>
    <w:rsid w:val="004C3BD3"/>
    <w:rsid w:val="004D4CD1"/>
    <w:rsid w:val="004D743B"/>
    <w:rsid w:val="004E575E"/>
    <w:rsid w:val="005073EE"/>
    <w:rsid w:val="00516C2C"/>
    <w:rsid w:val="00552E80"/>
    <w:rsid w:val="00560FFD"/>
    <w:rsid w:val="00565BB3"/>
    <w:rsid w:val="005663CC"/>
    <w:rsid w:val="00570EB9"/>
    <w:rsid w:val="00574D3F"/>
    <w:rsid w:val="00575994"/>
    <w:rsid w:val="00580CD5"/>
    <w:rsid w:val="0058359B"/>
    <w:rsid w:val="005852E9"/>
    <w:rsid w:val="00587CA8"/>
    <w:rsid w:val="005C192A"/>
    <w:rsid w:val="005C4521"/>
    <w:rsid w:val="005C49F2"/>
    <w:rsid w:val="005C7A8F"/>
    <w:rsid w:val="005D2E5E"/>
    <w:rsid w:val="005F7C52"/>
    <w:rsid w:val="0060529D"/>
    <w:rsid w:val="00614B24"/>
    <w:rsid w:val="006169D5"/>
    <w:rsid w:val="00620C3A"/>
    <w:rsid w:val="00677F4F"/>
    <w:rsid w:val="00681685"/>
    <w:rsid w:val="006A446A"/>
    <w:rsid w:val="006A7A85"/>
    <w:rsid w:val="006B729C"/>
    <w:rsid w:val="006D1365"/>
    <w:rsid w:val="006D25C9"/>
    <w:rsid w:val="006D6442"/>
    <w:rsid w:val="006E0808"/>
    <w:rsid w:val="006E41E1"/>
    <w:rsid w:val="006E4E10"/>
    <w:rsid w:val="007111D0"/>
    <w:rsid w:val="00726BBD"/>
    <w:rsid w:val="00727748"/>
    <w:rsid w:val="0073097B"/>
    <w:rsid w:val="007419CA"/>
    <w:rsid w:val="007454E3"/>
    <w:rsid w:val="00754388"/>
    <w:rsid w:val="007578A4"/>
    <w:rsid w:val="007615DE"/>
    <w:rsid w:val="00763214"/>
    <w:rsid w:val="007648BF"/>
    <w:rsid w:val="0076670F"/>
    <w:rsid w:val="00772552"/>
    <w:rsid w:val="00773603"/>
    <w:rsid w:val="0077593F"/>
    <w:rsid w:val="007A35F0"/>
    <w:rsid w:val="007A739E"/>
    <w:rsid w:val="007B40FC"/>
    <w:rsid w:val="007C2A2B"/>
    <w:rsid w:val="007D5363"/>
    <w:rsid w:val="007D6ED3"/>
    <w:rsid w:val="007E0695"/>
    <w:rsid w:val="007E79C3"/>
    <w:rsid w:val="00804224"/>
    <w:rsid w:val="00810923"/>
    <w:rsid w:val="008177D6"/>
    <w:rsid w:val="00825930"/>
    <w:rsid w:val="00851FB0"/>
    <w:rsid w:val="008550B3"/>
    <w:rsid w:val="00870148"/>
    <w:rsid w:val="008818BF"/>
    <w:rsid w:val="008C492F"/>
    <w:rsid w:val="008C7C15"/>
    <w:rsid w:val="008F0B70"/>
    <w:rsid w:val="00914588"/>
    <w:rsid w:val="009165B8"/>
    <w:rsid w:val="00920BF9"/>
    <w:rsid w:val="00920E4C"/>
    <w:rsid w:val="00932C07"/>
    <w:rsid w:val="009331BD"/>
    <w:rsid w:val="0099136D"/>
    <w:rsid w:val="009B0F6F"/>
    <w:rsid w:val="009B417C"/>
    <w:rsid w:val="009B5FA9"/>
    <w:rsid w:val="009B6966"/>
    <w:rsid w:val="009C008D"/>
    <w:rsid w:val="009C184F"/>
    <w:rsid w:val="009C47E7"/>
    <w:rsid w:val="009C7574"/>
    <w:rsid w:val="009D0D3D"/>
    <w:rsid w:val="00A1135C"/>
    <w:rsid w:val="00A17165"/>
    <w:rsid w:val="00A27D42"/>
    <w:rsid w:val="00A46F1C"/>
    <w:rsid w:val="00A47570"/>
    <w:rsid w:val="00A66A82"/>
    <w:rsid w:val="00A757DD"/>
    <w:rsid w:val="00AB0A0F"/>
    <w:rsid w:val="00AD7A0C"/>
    <w:rsid w:val="00AE21AF"/>
    <w:rsid w:val="00AE450E"/>
    <w:rsid w:val="00AF7BD0"/>
    <w:rsid w:val="00B000E3"/>
    <w:rsid w:val="00B0467B"/>
    <w:rsid w:val="00B12D8A"/>
    <w:rsid w:val="00B23FC0"/>
    <w:rsid w:val="00B40086"/>
    <w:rsid w:val="00B43B36"/>
    <w:rsid w:val="00B56CC2"/>
    <w:rsid w:val="00B83DA5"/>
    <w:rsid w:val="00BC3CA3"/>
    <w:rsid w:val="00BD2762"/>
    <w:rsid w:val="00BD4D46"/>
    <w:rsid w:val="00BE2D78"/>
    <w:rsid w:val="00BE48DA"/>
    <w:rsid w:val="00BF0837"/>
    <w:rsid w:val="00BF1E45"/>
    <w:rsid w:val="00C153F6"/>
    <w:rsid w:val="00C34612"/>
    <w:rsid w:val="00C44147"/>
    <w:rsid w:val="00C73023"/>
    <w:rsid w:val="00C929BD"/>
    <w:rsid w:val="00C9609B"/>
    <w:rsid w:val="00CB67BF"/>
    <w:rsid w:val="00CC4710"/>
    <w:rsid w:val="00CF092F"/>
    <w:rsid w:val="00CF212D"/>
    <w:rsid w:val="00D04CFF"/>
    <w:rsid w:val="00D257DB"/>
    <w:rsid w:val="00D269C2"/>
    <w:rsid w:val="00D362CD"/>
    <w:rsid w:val="00D40453"/>
    <w:rsid w:val="00D76FC8"/>
    <w:rsid w:val="00DA2FF4"/>
    <w:rsid w:val="00DB08AA"/>
    <w:rsid w:val="00DB2B77"/>
    <w:rsid w:val="00DC10B2"/>
    <w:rsid w:val="00DC22A3"/>
    <w:rsid w:val="00DD5355"/>
    <w:rsid w:val="00DD5607"/>
    <w:rsid w:val="00DD64F9"/>
    <w:rsid w:val="00DF7881"/>
    <w:rsid w:val="00E152A5"/>
    <w:rsid w:val="00E26136"/>
    <w:rsid w:val="00E30D16"/>
    <w:rsid w:val="00E351DB"/>
    <w:rsid w:val="00E4228E"/>
    <w:rsid w:val="00E536C1"/>
    <w:rsid w:val="00E65C3D"/>
    <w:rsid w:val="00E90D0F"/>
    <w:rsid w:val="00E9401B"/>
    <w:rsid w:val="00EA1DAE"/>
    <w:rsid w:val="00EA5678"/>
    <w:rsid w:val="00EB377E"/>
    <w:rsid w:val="00EB6750"/>
    <w:rsid w:val="00EC234B"/>
    <w:rsid w:val="00EC3D28"/>
    <w:rsid w:val="00EE7C58"/>
    <w:rsid w:val="00EF066C"/>
    <w:rsid w:val="00EF58EE"/>
    <w:rsid w:val="00F021DE"/>
    <w:rsid w:val="00F022E7"/>
    <w:rsid w:val="00F03D70"/>
    <w:rsid w:val="00F04DC5"/>
    <w:rsid w:val="00F05207"/>
    <w:rsid w:val="00F067EC"/>
    <w:rsid w:val="00F11A81"/>
    <w:rsid w:val="00F125C0"/>
    <w:rsid w:val="00F14FC3"/>
    <w:rsid w:val="00F235B0"/>
    <w:rsid w:val="00F309FE"/>
    <w:rsid w:val="00F473BB"/>
    <w:rsid w:val="00F51EF6"/>
    <w:rsid w:val="00F526E1"/>
    <w:rsid w:val="00F7029B"/>
    <w:rsid w:val="00F83780"/>
    <w:rsid w:val="00F85F13"/>
    <w:rsid w:val="00FB6F16"/>
    <w:rsid w:val="00FC3422"/>
    <w:rsid w:val="00FE2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FD509C"/>
  <w15:chartTrackingRefBased/>
  <w15:docId w15:val="{860CF840-37A7-44C8-A475-D4A5A8078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721341">
      <w:bodyDiv w:val="1"/>
      <w:marLeft w:val="0"/>
      <w:marRight w:val="0"/>
      <w:marTop w:val="0"/>
      <w:marBottom w:val="0"/>
      <w:divBdr>
        <w:top w:val="none" w:sz="0" w:space="0" w:color="auto"/>
        <w:left w:val="none" w:sz="0" w:space="0" w:color="auto"/>
        <w:bottom w:val="none" w:sz="0" w:space="0" w:color="auto"/>
        <w:right w:val="none" w:sz="0" w:space="0" w:color="auto"/>
      </w:divBdr>
      <w:divsChild>
        <w:div w:id="1452631304">
          <w:marLeft w:val="0"/>
          <w:marRight w:val="0"/>
          <w:marTop w:val="0"/>
          <w:marBottom w:val="0"/>
          <w:divBdr>
            <w:top w:val="none" w:sz="0" w:space="0" w:color="auto"/>
            <w:left w:val="none" w:sz="0" w:space="0" w:color="auto"/>
            <w:bottom w:val="none" w:sz="0" w:space="0" w:color="auto"/>
            <w:right w:val="none" w:sz="0" w:space="0" w:color="auto"/>
          </w:divBdr>
        </w:div>
        <w:div w:id="422146771">
          <w:marLeft w:val="0"/>
          <w:marRight w:val="0"/>
          <w:marTop w:val="0"/>
          <w:marBottom w:val="0"/>
          <w:divBdr>
            <w:top w:val="none" w:sz="0" w:space="0" w:color="auto"/>
            <w:left w:val="none" w:sz="0" w:space="0" w:color="auto"/>
            <w:bottom w:val="none" w:sz="0" w:space="0" w:color="auto"/>
            <w:right w:val="none" w:sz="0" w:space="0" w:color="auto"/>
          </w:divBdr>
        </w:div>
      </w:divsChild>
    </w:div>
    <w:div w:id="1676759787">
      <w:bodyDiv w:val="1"/>
      <w:marLeft w:val="0"/>
      <w:marRight w:val="0"/>
      <w:marTop w:val="0"/>
      <w:marBottom w:val="0"/>
      <w:divBdr>
        <w:top w:val="none" w:sz="0" w:space="0" w:color="auto"/>
        <w:left w:val="none" w:sz="0" w:space="0" w:color="auto"/>
        <w:bottom w:val="none" w:sz="0" w:space="0" w:color="auto"/>
        <w:right w:val="none" w:sz="0" w:space="0" w:color="auto"/>
      </w:divBdr>
      <w:divsChild>
        <w:div w:id="8609517">
          <w:marLeft w:val="0"/>
          <w:marRight w:val="0"/>
          <w:marTop w:val="0"/>
          <w:marBottom w:val="0"/>
          <w:divBdr>
            <w:top w:val="none" w:sz="0" w:space="0" w:color="auto"/>
            <w:left w:val="none" w:sz="0" w:space="0" w:color="auto"/>
            <w:bottom w:val="none" w:sz="0" w:space="0" w:color="auto"/>
            <w:right w:val="none" w:sz="0" w:space="0" w:color="auto"/>
          </w:divBdr>
          <w:divsChild>
            <w:div w:id="1736508364">
              <w:marLeft w:val="0"/>
              <w:marRight w:val="0"/>
              <w:marTop w:val="0"/>
              <w:marBottom w:val="0"/>
              <w:divBdr>
                <w:top w:val="none" w:sz="0" w:space="0" w:color="auto"/>
                <w:left w:val="none" w:sz="0" w:space="0" w:color="auto"/>
                <w:bottom w:val="none" w:sz="0" w:space="0" w:color="auto"/>
                <w:right w:val="none" w:sz="0" w:space="0" w:color="auto"/>
              </w:divBdr>
            </w:div>
            <w:div w:id="804279655">
              <w:marLeft w:val="0"/>
              <w:marRight w:val="0"/>
              <w:marTop w:val="0"/>
              <w:marBottom w:val="0"/>
              <w:divBdr>
                <w:top w:val="none" w:sz="0" w:space="0" w:color="auto"/>
                <w:left w:val="none" w:sz="0" w:space="0" w:color="auto"/>
                <w:bottom w:val="none" w:sz="0" w:space="0" w:color="auto"/>
                <w:right w:val="none" w:sz="0" w:space="0" w:color="auto"/>
              </w:divBdr>
            </w:div>
          </w:divsChild>
        </w:div>
        <w:div w:id="1710954947">
          <w:marLeft w:val="0"/>
          <w:marRight w:val="0"/>
          <w:marTop w:val="0"/>
          <w:marBottom w:val="0"/>
          <w:divBdr>
            <w:top w:val="none" w:sz="0" w:space="0" w:color="auto"/>
            <w:left w:val="none" w:sz="0" w:space="0" w:color="auto"/>
            <w:bottom w:val="none" w:sz="0" w:space="0" w:color="auto"/>
            <w:right w:val="none" w:sz="0" w:space="0" w:color="auto"/>
          </w:divBdr>
          <w:divsChild>
            <w:div w:id="903948257">
              <w:marLeft w:val="0"/>
              <w:marRight w:val="0"/>
              <w:marTop w:val="0"/>
              <w:marBottom w:val="0"/>
              <w:divBdr>
                <w:top w:val="none" w:sz="0" w:space="0" w:color="auto"/>
                <w:left w:val="none" w:sz="0" w:space="0" w:color="auto"/>
                <w:bottom w:val="none" w:sz="0" w:space="0" w:color="auto"/>
                <w:right w:val="none" w:sz="0" w:space="0" w:color="auto"/>
              </w:divBdr>
              <w:divsChild>
                <w:div w:id="1487357637">
                  <w:marLeft w:val="0"/>
                  <w:marRight w:val="0"/>
                  <w:marTop w:val="0"/>
                  <w:marBottom w:val="0"/>
                  <w:divBdr>
                    <w:top w:val="none" w:sz="0" w:space="0" w:color="auto"/>
                    <w:left w:val="none" w:sz="0" w:space="0" w:color="auto"/>
                    <w:bottom w:val="none" w:sz="0" w:space="0" w:color="auto"/>
                    <w:right w:val="none" w:sz="0" w:space="0" w:color="auto"/>
                  </w:divBdr>
                </w:div>
                <w:div w:id="155918366">
                  <w:marLeft w:val="0"/>
                  <w:marRight w:val="0"/>
                  <w:marTop w:val="0"/>
                  <w:marBottom w:val="0"/>
                  <w:divBdr>
                    <w:top w:val="none" w:sz="0" w:space="0" w:color="auto"/>
                    <w:left w:val="none" w:sz="0" w:space="0" w:color="auto"/>
                    <w:bottom w:val="none" w:sz="0" w:space="0" w:color="auto"/>
                    <w:right w:val="none" w:sz="0" w:space="0" w:color="auto"/>
                  </w:divBdr>
                </w:div>
                <w:div w:id="50089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4420</TotalTime>
  <Pages>8</Pages>
  <Words>3247</Words>
  <Characters>18510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259</cp:revision>
  <dcterms:created xsi:type="dcterms:W3CDTF">2023-09-20T02:44:00Z</dcterms:created>
  <dcterms:modified xsi:type="dcterms:W3CDTF">2023-11-08T05:35:00Z</dcterms:modified>
</cp:coreProperties>
</file>