
<file path=[Content_Types].xml><?xml version="1.0" encoding="utf-8"?>
<Types xmlns="http://schemas.openxmlformats.org/package/2006/content-types">
  <Default Extension="mov" ContentType="application/movie"/>
  <Default Extension="pdf" ContentType="application/pdf"/>
  <Default Extension="xlsx" ContentType="application/vnd.openxmlformats-officedocument.spreadsheetml.sheet"/>
  <Default Extension="vml" ContentType="application/vnd.openxmlformats-officedocument.vmlDrawing"/>
  <Default Extension="rels" ContentType="application/vnd.openxmlformats-package.relationships+xml"/>
  <Default Extension="xml" ContentType="application/xml"/>
  <Default Extension="bmp" ContentType="image/bmp"/>
  <Default Extension="gif" ContentType="image/gif"/>
  <Default Extension="jpeg" ContentType="image/jpg"/>
  <Default Extension="png" ContentType="image/png"/>
  <Default Extension="tif" ContentType="image/tif"/>
  <Default Extension="jpg" ContentType="image/jpeg"/>
  <Default Extension="tiff" ContentType="image/tif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pPr>
        <w:pStyle w:val="Body"/>
        <w:spacing w:after="200" w:line="276" w:lineRule="auto"/>
        <w:rPr>
          <w:bCs w:val="1"/>
          <w:b/>
        </w:rPr>
      </w:pPr>
      <w:r>
        <w:rPr>
          <w:bCs w:val="1"/>
          <w:rtl w:val="0"/>
          <w:lang w:val="en-US"/>
          <w:b/>
        </w:rPr>
        <w:t>BMSW4001</w:t>
      </w:r>
      <w:r>
        <w:rPr>
          <w:bCs w:val="1"/>
          <w:rtl w:val="0"/>
          <w:lang w:val="en-US"/>
          <w:b/>
        </w:rPr>
        <w:t>: Academic and Employability Skills</w:t>
      </w:r>
    </w:p>
    <w:p>
      <w:pPr>
        <w:pStyle w:val="Body"/>
        <w:spacing w:after="200" w:line="276" w:lineRule="auto"/>
        <w:rPr>
          <w:bCs w:val="1"/>
          <w:b/>
        </w:rPr>
      </w:pPr>
      <w:r>
        <w:rPr>
          <w:bCs w:val="1"/>
          <w:rtl w:val="0"/>
          <w:lang w:val="en-US"/>
          <w:b/>
        </w:rPr>
        <w:t xml:space="preserve">Student name/ ID number: Valentin Rizea/2120085 </w:t>
      </w:r>
    </w:p>
    <w:p>
      <w:pPr>
        <w:pStyle w:val="Body"/>
        <w:spacing w:after="200" w:line="276" w:lineRule="auto"/>
      </w:pPr>
      <w:r>
        <w:rPr>
          <w:b/>
        </w:rPr>
        <w:t xml:space="preserve">Programe : Certificate of Higher Education Skills for the Workplace </w:t>
      </w:r>
    </w:p>
    <w:p>
      <w:pPr>
        <w:pStyle w:val="Body"/>
        <w:spacing w:after="200" w:line="276" w:lineRule="auto"/>
      </w:pPr>
      <w:r>
        <w:rPr>
          <w:b/>
        </w:rPr>
        <w:t xml:space="preserve">Module : Academic and Employability Skills </w:t>
      </w:r>
    </w:p>
    <w:p>
      <w:pPr>
        <w:pStyle w:val="Body"/>
        <w:spacing w:after="200" w:line="276" w:lineRule="auto"/>
      </w:pPr>
      <w:r>
        <w:rPr>
          <w:b/>
        </w:rPr>
        <w:t xml:space="preserve">Module code : BMSW4001_BIRM </w:t>
      </w:r>
    </w:p>
    <w:p>
      <w:pPr>
        <w:pStyle w:val="Body"/>
        <w:spacing w:after="200" w:line="276" w:lineRule="auto"/>
      </w:pPr>
      <w:r>
        <w:rPr>
          <w:b/>
        </w:rPr>
        <w:t xml:space="preserve">Lecturer : Doreen Nyea Amundad </w:t>
      </w:r>
    </w:p>
    <w:p>
      <w:pPr>
        <w:pStyle w:val="Body"/>
        <w:spacing w:after="200" w:line="276" w:lineRule="auto"/>
        <w:rPr>
          <w:bCs w:val="1"/>
          <w:b/>
        </w:rPr>
      </w:pPr>
      <w:r>
        <w:rPr>
          <w:bCs w:val="1"/>
          <w:rtl w:val="0"/>
          <w:lang w:val="en-US"/>
          <w:b/>
        </w:rPr>
        <w:t xml:space="preserve">Task 1  </w:t>
      </w:r>
    </w:p>
    <w:p>
      <w:pPr>
        <w:pStyle w:val="Body"/>
        <w:spacing w:after="200" w:line="276" w:lineRule="auto"/>
      </w:pPr>
      <w:r>
        <w:rPr>
          <w:b/>
        </w:rPr>
        <w:t xml:space="preserve">Title   </w:t>
      </w:r>
      <w:r>
        <w:rPr>
          <w:b/>
        </w:rPr>
        <w:t xml:space="preserve"> What is the most effective way to motivate staff ?</w:t>
      </w:r>
    </w:p>
    <w:p>
      <w:pPr>
        <w:pStyle w:val="Body"/>
        <w:spacing w:after="200" w:line="276" w:lineRule="auto"/>
        <w:rPr>
          <w:bCs w:val="1"/>
          <w:b/>
        </w:rPr>
      </w:pPr>
    </w:p>
    <w:p>
      <w:pPr>
        <w:pStyle w:val="Body"/>
        <w:spacing w:after="200" w:line="276" w:lineRule="auto"/>
        <w:rPr>
          <w:bCs w:val="1"/>
          <w:b/>
        </w:rPr>
      </w:pPr>
    </w:p>
    <w:p>
      <w:pPr>
        <w:pStyle w:val="Body"/>
        <w:spacing w:after="200" w:line="276" w:lineRule="auto"/>
        <w:rPr>
          <w:bCs w:val="1"/>
          <w:b/>
        </w:rPr>
      </w:pPr>
    </w:p>
    <w:p>
      <w:pPr>
        <w:pStyle w:val="Body"/>
        <w:spacing w:after="200" w:line="276" w:lineRule="auto"/>
        <w:rPr>
          <w:bCs w:val="1"/>
          <w:b/>
        </w:rPr>
      </w:pPr>
    </w:p>
    <w:p>
      <w:pPr>
        <w:pStyle w:val="Body"/>
        <w:spacing w:after="200" w:line="276" w:lineRule="auto"/>
        <w:rPr>
          <w:bCs w:val="1"/>
          <w:b/>
        </w:rPr>
      </w:pPr>
    </w:p>
    <w:p>
      <w:pPr>
        <w:pStyle w:val="Body"/>
        <w:spacing w:after="200" w:line="276" w:lineRule="auto"/>
        <w:rPr>
          <w:bCs w:val="1"/>
          <w:b/>
        </w:rPr>
      </w:pPr>
    </w:p>
    <w:p>
      <w:pPr>
        <w:pStyle w:val="Body"/>
        <w:spacing w:after="200" w:line="276" w:lineRule="auto"/>
        <w:rPr>
          <w:bCs w:val="1"/>
          <w:b/>
        </w:rPr>
      </w:pPr>
    </w:p>
    <w:p>
      <w:pPr>
        <w:pStyle w:val="Body"/>
        <w:spacing w:after="200" w:line="276" w:lineRule="auto"/>
        <w:rPr>
          <w:bCs w:val="1"/>
          <w:b/>
        </w:rPr>
      </w:pPr>
    </w:p>
    <w:p>
      <w:pPr>
        <w:pStyle w:val="Body"/>
        <w:spacing w:after="200" w:line="276" w:lineRule="auto"/>
        <w:rPr>
          <w:bCs w:val="1"/>
          <w:b/>
        </w:rPr>
      </w:pPr>
    </w:p>
    <w:p>
      <w:pPr>
        <w:pStyle w:val="Body"/>
        <w:jc w:val="center"/>
        <w:spacing w:after="200" w:line="276" w:lineRule="auto"/>
        <w:rPr>
          <w:bCs w:val="1"/>
          <w:b/>
        </w:rPr>
      </w:pPr>
    </w:p>
    <w:p>
      <w:pPr>
        <w:pStyle w:val="Body"/>
        <w:jc w:val="center"/>
        <w:spacing w:after="200" w:line="276" w:lineRule="auto"/>
      </w:pPr>
      <w:r>
        <w:rPr>
          <w:b w:val="0"/>
          <w:i w:val="0"/>
          <w:rFonts w:ascii="Arial Unicode MS" w:cs="Arial Unicode MS" w:eastAsia="Arial Unicode MS" w:hAnsi="Arial Unicode MS"/>
        </w:rPr>
        <w:br w:type="page"/>
      </w:r>
    </w:p>
    <w:p>
      <w:pPr>
        <w:pStyle w:val="TOCHeading"/>
        <w:jc w:val="center"/>
        <w:spacing w:line="360" w:lineRule="auto"/>
        <w:rPr>
          <w:bCs w:val="1"/>
          <w14:textFill>
            <w14:solidFill>
              <w14:srgbClr w14:val="000000"/>
            </w14:solidFill>
          </w14:textFill>
          <w:b/>
          <w:u w:color="000000"/>
          <w:color w:val="000000"/>
          <w:rFonts w:ascii="Times New Roman" w:cs="Times New Roman" w:eastAsia="Times New Roman" w:hAnsi="Times New Roman"/>
          <w:sz w:val="24"/>
          <w:szCs w:val="24"/>
          <w:outline w:val="0"/>
        </w:rPr>
      </w:pPr>
      <w:r>
        <w:rPr>
          <w:bCs w:val="1"/>
          <w:rtl w:val="0"/>
          <w:lang w:val="en-US"/>
          <w14:textFill>
            <w14:solidFill>
              <w14:srgbClr w14:val="000000"/>
            </w14:solidFill>
          </w14:textFill>
          <w:b/>
          <w:u w:color="000000"/>
          <w:color w:val="000000"/>
          <w:rFonts w:ascii="Times New Roman" w:hAnsi="Times New Roman"/>
          <w:sz w:val="24"/>
          <w:szCs w:val="24"/>
          <w:outline w:val="0"/>
        </w:rPr>
        <w:t>Table of Contents</w:t>
      </w:r>
    </w:p>
    <w:p>
      <w:pPr>
        <w:pStyle w:val="toc1"/>
        <w:spacing w:line="360" w:lineRule="auto"/>
        <w:tabs>
          <w:tab w:val="right" w:leader="dot" w:pos="9340"/>
        </w:tabs>
      </w:pPr>
    </w:p>
    <w:p>
      <w:pPr>
        <w:pStyle w:val="Body"/>
        <w:spacing w:line="360" w:lineRule="auto"/>
      </w:pPr>
      <w:r>
        <w:rPr/>
        <w:fldChar w:fldCharType="begin" w:fldLock="0"/>
      </w:r>
      <w:r>
        <w:instrText xml:space="preserve"> TOC \o 1-2 </w:instrText>
      </w:r>
      <w:r>
        <w:rPr/>
        <w:fldChar w:fldCharType="separate" w:fldLock="0"/>
      </w:r>
    </w:p>
    <w:p>
      <w:pPr>
        <w:pStyle w:val="TOC10"/>
      </w:pPr>
      <w:r>
        <w:rPr>
          <w:rFonts w:cs="Arial Unicode MS" w:eastAsia="Arial Unicode MS"/>
        </w:rPr>
        <w:t>Introduction</w:t>
      </w:r>
      <w:r>
        <w:rPr>
          <w:rFonts w:cs="Arial Unicode MS" w:eastAsia="Arial Unicode MS"/>
        </w:rPr>
        <w:tab/>
      </w:r>
      <w:r>
        <w:rPr/>
        <w:fldChar w:fldCharType="begin" w:fldLock="0"/>
      </w:r>
      <w:r>
        <w:instrText xml:space="preserve"> PAGEREF _Toc \h </w:instrText>
      </w:r>
      <w:r>
        <w:rPr/>
        <w:fldChar w:fldCharType="separate" w:fldLock="0"/>
      </w:r>
      <w:r>
        <w:rPr>
          <w:rtl w:val="0"/>
          <w:rFonts w:cs="Arial Unicode MS" w:eastAsia="Arial Unicode MS"/>
        </w:rPr>
        <w:t>3</w:t>
      </w:r>
      <w:r>
        <w:rPr/>
        <w:fldChar w:fldCharType="end" w:fldLock="0"/>
      </w:r>
    </w:p>
    <w:p>
      <w:pPr>
        <w:pStyle w:val="TOC10"/>
      </w:pPr>
      <w:r>
        <w:rPr>
          <w:rFonts w:cs="Arial Unicode MS" w:eastAsia="Arial Unicode MS"/>
        </w:rPr>
        <w:t>Pay</w:t>
      </w:r>
      <w:r>
        <w:rPr>
          <w:rFonts w:cs="Arial Unicode MS" w:eastAsia="Arial Unicode MS"/>
        </w:rPr>
        <w:tab/>
      </w:r>
      <w:r>
        <w:rPr/>
        <w:fldChar w:fldCharType="begin" w:fldLock="0"/>
      </w:r>
      <w:r>
        <w:instrText xml:space="preserve"> PAGEREF _Toc1 \h </w:instrText>
      </w:r>
      <w:r>
        <w:rPr/>
        <w:fldChar w:fldCharType="separate" w:fldLock="0"/>
      </w:r>
      <w:r>
        <w:rPr>
          <w:rtl w:val="0"/>
          <w:rFonts w:cs="Arial Unicode MS" w:eastAsia="Arial Unicode MS"/>
        </w:rPr>
        <w:t>3</w:t>
      </w:r>
      <w:r>
        <w:rPr/>
        <w:fldChar w:fldCharType="end" w:fldLock="0"/>
      </w:r>
    </w:p>
    <w:p>
      <w:pPr>
        <w:pStyle w:val="TOC2"/>
      </w:pPr>
      <w:r>
        <w:rPr>
          <w:rFonts w:cs="Arial Unicode MS" w:eastAsia="Arial Unicode MS"/>
        </w:rPr>
        <w:t>Base Pay Payment</w:t>
      </w:r>
      <w:r>
        <w:rPr>
          <w:rFonts w:cs="Arial Unicode MS" w:eastAsia="Arial Unicode MS"/>
        </w:rPr>
        <w:tab/>
      </w:r>
      <w:r>
        <w:rPr/>
        <w:fldChar w:fldCharType="begin" w:fldLock="0"/>
      </w:r>
      <w:r>
        <w:instrText xml:space="preserve"> PAGEREF _Toc2 \h </w:instrText>
      </w:r>
      <w:r>
        <w:rPr/>
        <w:fldChar w:fldCharType="separate" w:fldLock="0"/>
      </w:r>
      <w:r>
        <w:rPr>
          <w:rtl w:val="0"/>
          <w:rFonts w:cs="Arial Unicode MS" w:eastAsia="Arial Unicode MS"/>
        </w:rPr>
        <w:t>3</w:t>
      </w:r>
      <w:r>
        <w:rPr/>
        <w:fldChar w:fldCharType="end" w:fldLock="0"/>
      </w:r>
    </w:p>
    <w:p>
      <w:pPr>
        <w:pStyle w:val="TOC2"/>
      </w:pPr>
      <w:r>
        <w:rPr>
          <w:rFonts w:cs="Arial Unicode MS" w:eastAsia="Arial Unicode MS"/>
        </w:rPr>
        <w:t>Contingent Pay</w:t>
      </w:r>
      <w:r>
        <w:rPr>
          <w:rFonts w:cs="Arial Unicode MS" w:eastAsia="Arial Unicode MS"/>
        </w:rPr>
        <w:tab/>
      </w:r>
      <w:r>
        <w:rPr/>
        <w:fldChar w:fldCharType="begin" w:fldLock="0"/>
      </w:r>
      <w:r>
        <w:instrText xml:space="preserve"> PAGEREF _Toc3 \h </w:instrText>
      </w:r>
      <w:r>
        <w:rPr/>
        <w:fldChar w:fldCharType="separate" w:fldLock="0"/>
      </w:r>
      <w:r>
        <w:rPr>
          <w:rtl w:val="0"/>
          <w:rFonts w:cs="Arial Unicode MS" w:eastAsia="Arial Unicode MS"/>
        </w:rPr>
        <w:t>4</w:t>
      </w:r>
      <w:r>
        <w:rPr/>
        <w:fldChar w:fldCharType="end" w:fldLock="0"/>
      </w:r>
    </w:p>
    <w:p>
      <w:pPr>
        <w:pStyle w:val="TOC2"/>
      </w:pPr>
      <w:r>
        <w:rPr>
          <w:rFonts w:cs="Arial Unicode MS" w:eastAsia="Arial Unicode MS"/>
        </w:rPr>
        <w:t>Variable Pay</w:t>
      </w:r>
      <w:r>
        <w:rPr>
          <w:rFonts w:cs="Arial Unicode MS" w:eastAsia="Arial Unicode MS"/>
        </w:rPr>
        <w:tab/>
      </w:r>
      <w:r>
        <w:rPr/>
        <w:fldChar w:fldCharType="begin" w:fldLock="0"/>
      </w:r>
      <w:r>
        <w:instrText xml:space="preserve"> PAGEREF _Toc4 \h </w:instrText>
      </w:r>
      <w:r>
        <w:rPr/>
        <w:fldChar w:fldCharType="separate" w:fldLock="0"/>
      </w:r>
      <w:r>
        <w:rPr>
          <w:rtl w:val="0"/>
          <w:rFonts w:cs="Arial Unicode MS" w:eastAsia="Arial Unicode MS"/>
        </w:rPr>
        <w:t>4</w:t>
      </w:r>
      <w:r>
        <w:rPr/>
        <w:fldChar w:fldCharType="end" w:fldLock="0"/>
      </w:r>
    </w:p>
    <w:p>
      <w:pPr>
        <w:pStyle w:val="TOC2"/>
      </w:pPr>
      <w:r>
        <w:rPr>
          <w:rFonts w:cs="Arial Unicode MS" w:eastAsia="Arial Unicode MS"/>
        </w:rPr>
        <w:t>Employee Benefits</w:t>
      </w:r>
      <w:r>
        <w:rPr>
          <w:rFonts w:cs="Arial Unicode MS" w:eastAsia="Arial Unicode MS"/>
        </w:rPr>
        <w:tab/>
      </w:r>
      <w:r>
        <w:rPr/>
        <w:fldChar w:fldCharType="begin" w:fldLock="0"/>
      </w:r>
      <w:r>
        <w:instrText xml:space="preserve"> PAGEREF _Toc5 \h </w:instrText>
      </w:r>
      <w:r>
        <w:rPr/>
        <w:fldChar w:fldCharType="separate" w:fldLock="0"/>
      </w:r>
      <w:r>
        <w:rPr>
          <w:rtl w:val="0"/>
          <w:rFonts w:cs="Arial Unicode MS" w:eastAsia="Arial Unicode MS"/>
        </w:rPr>
        <w:t>5</w:t>
      </w:r>
      <w:r>
        <w:rPr/>
        <w:fldChar w:fldCharType="end" w:fldLock="0"/>
      </w:r>
    </w:p>
    <w:p>
      <w:pPr>
        <w:pStyle w:val="TOC10"/>
      </w:pPr>
      <w:r>
        <w:rPr>
          <w:rFonts w:cs="Arial Unicode MS" w:eastAsia="Arial Unicode MS"/>
        </w:rPr>
        <w:t>Recognition and Awards</w:t>
      </w:r>
      <w:r>
        <w:rPr>
          <w:rFonts w:cs="Arial Unicode MS" w:eastAsia="Arial Unicode MS"/>
        </w:rPr>
        <w:tab/>
      </w:r>
      <w:r>
        <w:rPr/>
        <w:fldChar w:fldCharType="begin" w:fldLock="0"/>
      </w:r>
      <w:r>
        <w:instrText xml:space="preserve"> PAGEREF _Toc6 \h </w:instrText>
      </w:r>
      <w:r>
        <w:rPr/>
        <w:fldChar w:fldCharType="separate" w:fldLock="0"/>
      </w:r>
      <w:r>
        <w:rPr>
          <w:rtl w:val="0"/>
          <w:rFonts w:cs="Arial Unicode MS" w:eastAsia="Arial Unicode MS"/>
        </w:rPr>
        <w:t>5</w:t>
      </w:r>
      <w:r>
        <w:rPr/>
        <w:fldChar w:fldCharType="end" w:fldLock="0"/>
      </w:r>
    </w:p>
    <w:p>
      <w:pPr>
        <w:pStyle w:val="TOC2"/>
      </w:pPr>
      <w:r>
        <w:rPr>
          <w:rFonts w:cs="Arial Unicode MS" w:eastAsia="Arial Unicode MS"/>
        </w:rPr>
        <w:t>Productivity</w:t>
      </w:r>
      <w:r>
        <w:rPr>
          <w:rFonts w:cs="Arial Unicode MS" w:eastAsia="Arial Unicode MS"/>
        </w:rPr>
        <w:tab/>
      </w:r>
      <w:r>
        <w:rPr/>
        <w:fldChar w:fldCharType="begin" w:fldLock="0"/>
      </w:r>
      <w:r>
        <w:instrText xml:space="preserve"> PAGEREF _Toc7 \h </w:instrText>
      </w:r>
      <w:r>
        <w:rPr/>
        <w:fldChar w:fldCharType="separate" w:fldLock="0"/>
      </w:r>
      <w:r>
        <w:rPr>
          <w:rtl w:val="0"/>
          <w:rFonts w:cs="Arial Unicode MS" w:eastAsia="Arial Unicode MS"/>
        </w:rPr>
        <w:t>6</w:t>
      </w:r>
      <w:r>
        <w:rPr/>
        <w:fldChar w:fldCharType="end" w:fldLock="0"/>
      </w:r>
    </w:p>
    <w:p>
      <w:pPr>
        <w:pStyle w:val="TOC2"/>
      </w:pPr>
      <w:r>
        <w:rPr>
          <w:rFonts w:cs="Arial Unicode MS" w:eastAsia="Arial Unicode MS"/>
        </w:rPr>
        <w:t>Commitment</w:t>
      </w:r>
      <w:r>
        <w:rPr>
          <w:rFonts w:cs="Arial Unicode MS" w:eastAsia="Arial Unicode MS"/>
        </w:rPr>
        <w:tab/>
      </w:r>
      <w:r>
        <w:rPr/>
        <w:fldChar w:fldCharType="begin" w:fldLock="0"/>
      </w:r>
      <w:r>
        <w:instrText xml:space="preserve"> PAGEREF _Toc8 \h </w:instrText>
      </w:r>
      <w:r>
        <w:rPr/>
        <w:fldChar w:fldCharType="separate" w:fldLock="0"/>
      </w:r>
      <w:r>
        <w:rPr>
          <w:rtl w:val="0"/>
          <w:rFonts w:cs="Arial Unicode MS" w:eastAsia="Arial Unicode MS"/>
        </w:rPr>
        <w:t>7</w:t>
      </w:r>
      <w:r>
        <w:rPr/>
        <w:fldChar w:fldCharType="end" w:fldLock="0"/>
      </w:r>
    </w:p>
    <w:p>
      <w:pPr>
        <w:pStyle w:val="TOC2"/>
      </w:pPr>
      <w:r>
        <w:rPr>
          <w:rFonts w:cs="Arial Unicode MS" w:eastAsia="Arial Unicode MS"/>
        </w:rPr>
        <w:t>Positive Environment</w:t>
      </w:r>
      <w:r>
        <w:rPr>
          <w:rFonts w:cs="Arial Unicode MS" w:eastAsia="Arial Unicode MS"/>
        </w:rPr>
        <w:tab/>
      </w:r>
      <w:r>
        <w:rPr/>
        <w:fldChar w:fldCharType="begin" w:fldLock="0"/>
      </w:r>
      <w:r>
        <w:instrText xml:space="preserve"> PAGEREF _Toc9 \h </w:instrText>
      </w:r>
      <w:r>
        <w:rPr/>
        <w:fldChar w:fldCharType="separate" w:fldLock="0"/>
      </w:r>
      <w:r>
        <w:rPr>
          <w:rtl w:val="0"/>
          <w:rFonts w:cs="Arial Unicode MS" w:eastAsia="Arial Unicode MS"/>
        </w:rPr>
        <w:t>7</w:t>
      </w:r>
      <w:r>
        <w:rPr/>
        <w:fldChar w:fldCharType="end" w:fldLock="0"/>
      </w:r>
    </w:p>
    <w:p>
      <w:pPr>
        <w:pStyle w:val="TOC10"/>
      </w:pPr>
      <w:r>
        <w:rPr>
          <w:rFonts w:cs="Arial Unicode MS" w:eastAsia="Arial Unicode MS"/>
        </w:rPr>
        <w:t>Good Working Conditions</w:t>
      </w:r>
      <w:r>
        <w:rPr>
          <w:rFonts w:cs="Arial Unicode MS" w:eastAsia="Arial Unicode MS"/>
        </w:rPr>
        <w:tab/>
      </w:r>
      <w:r>
        <w:rPr/>
        <w:fldChar w:fldCharType="begin" w:fldLock="0"/>
      </w:r>
      <w:r>
        <w:instrText xml:space="preserve"> PAGEREF _Toc10 \h </w:instrText>
      </w:r>
      <w:r>
        <w:rPr/>
        <w:fldChar w:fldCharType="separate" w:fldLock="0"/>
      </w:r>
      <w:r>
        <w:rPr>
          <w:rtl w:val="0"/>
          <w:rFonts w:cs="Arial Unicode MS" w:eastAsia="Arial Unicode MS"/>
        </w:rPr>
        <w:t>7</w:t>
      </w:r>
      <w:r>
        <w:rPr/>
        <w:fldChar w:fldCharType="end" w:fldLock="0"/>
      </w:r>
    </w:p>
    <w:p>
      <w:pPr>
        <w:pStyle w:val="TOC2"/>
      </w:pPr>
      <w:r>
        <w:rPr>
          <w:rFonts w:cs="Arial Unicode MS" w:eastAsia="Arial Unicode MS"/>
        </w:rPr>
        <w:t>Boosting Productivity</w:t>
      </w:r>
      <w:r>
        <w:rPr>
          <w:rFonts w:cs="Arial Unicode MS" w:eastAsia="Arial Unicode MS"/>
        </w:rPr>
        <w:tab/>
      </w:r>
      <w:r>
        <w:rPr/>
        <w:fldChar w:fldCharType="begin" w:fldLock="0"/>
      </w:r>
      <w:r>
        <w:instrText xml:space="preserve"> PAGEREF _Toc11 \h </w:instrText>
      </w:r>
      <w:r>
        <w:rPr/>
        <w:fldChar w:fldCharType="separate" w:fldLock="0"/>
      </w:r>
      <w:r>
        <w:rPr>
          <w:rtl w:val="0"/>
          <w:rFonts w:cs="Arial Unicode MS" w:eastAsia="Arial Unicode MS"/>
        </w:rPr>
        <w:t>8</w:t>
      </w:r>
      <w:r>
        <w:rPr/>
        <w:fldChar w:fldCharType="end" w:fldLock="0"/>
      </w:r>
    </w:p>
    <w:p>
      <w:pPr>
        <w:pStyle w:val="TOC2"/>
      </w:pPr>
      <w:r>
        <w:rPr>
          <w:rFonts w:cs="Arial Unicode MS" w:eastAsia="Arial Unicode MS"/>
        </w:rPr>
        <w:t>Opportunities for Growth</w:t>
      </w:r>
      <w:r>
        <w:rPr>
          <w:rFonts w:cs="Arial Unicode MS" w:eastAsia="Arial Unicode MS"/>
        </w:rPr>
        <w:tab/>
      </w:r>
      <w:r>
        <w:rPr/>
        <w:fldChar w:fldCharType="begin" w:fldLock="0"/>
      </w:r>
      <w:r>
        <w:instrText xml:space="preserve"> PAGEREF _Toc12 \h </w:instrText>
      </w:r>
      <w:r>
        <w:rPr/>
        <w:fldChar w:fldCharType="separate" w:fldLock="0"/>
      </w:r>
      <w:r>
        <w:rPr>
          <w:rtl w:val="0"/>
          <w:rFonts w:cs="Arial Unicode MS" w:eastAsia="Arial Unicode MS"/>
        </w:rPr>
        <w:t>8</w:t>
      </w:r>
      <w:r>
        <w:rPr/>
        <w:fldChar w:fldCharType="end" w:fldLock="0"/>
      </w:r>
    </w:p>
    <w:p>
      <w:pPr>
        <w:pStyle w:val="TOC2"/>
      </w:pPr>
      <w:r>
        <w:rPr>
          <w:rFonts w:cs="Arial Unicode MS" w:eastAsia="Arial Unicode MS"/>
        </w:rPr>
        <w:t>Elimination of Negativity</w:t>
      </w:r>
      <w:r>
        <w:rPr>
          <w:rFonts w:cs="Arial Unicode MS" w:eastAsia="Arial Unicode MS"/>
        </w:rPr>
        <w:tab/>
      </w:r>
      <w:r>
        <w:rPr/>
        <w:fldChar w:fldCharType="begin" w:fldLock="0"/>
      </w:r>
      <w:r>
        <w:instrText xml:space="preserve"> PAGEREF _Toc13 \h </w:instrText>
      </w:r>
      <w:r>
        <w:rPr/>
        <w:fldChar w:fldCharType="separate" w:fldLock="0"/>
      </w:r>
      <w:r>
        <w:rPr>
          <w:rtl w:val="0"/>
          <w:rFonts w:cs="Arial Unicode MS" w:eastAsia="Arial Unicode MS"/>
        </w:rPr>
        <w:t>9</w:t>
      </w:r>
      <w:r>
        <w:rPr/>
        <w:fldChar w:fldCharType="end" w:fldLock="0"/>
      </w:r>
    </w:p>
    <w:p>
      <w:pPr>
        <w:pStyle w:val="TOC2"/>
      </w:pPr>
      <w:r>
        <w:rPr>
          <w:rFonts w:cs="Arial Unicode MS" w:eastAsia="Arial Unicode MS"/>
        </w:rPr>
        <w:t>Happiness is Directly Related to Innovation</w:t>
      </w:r>
      <w:r>
        <w:rPr>
          <w:rFonts w:cs="Arial Unicode MS" w:eastAsia="Arial Unicode MS"/>
        </w:rPr>
        <w:tab/>
      </w:r>
      <w:r>
        <w:rPr/>
        <w:fldChar w:fldCharType="begin" w:fldLock="0"/>
      </w:r>
      <w:r>
        <w:instrText xml:space="preserve"> PAGEREF _Toc14 \h </w:instrText>
      </w:r>
      <w:r>
        <w:rPr/>
        <w:fldChar w:fldCharType="separate" w:fldLock="0"/>
      </w:r>
      <w:r>
        <w:rPr>
          <w:rtl w:val="0"/>
          <w:rFonts w:cs="Arial Unicode MS" w:eastAsia="Arial Unicode MS"/>
        </w:rPr>
        <w:t>9</w:t>
      </w:r>
      <w:r>
        <w:rPr/>
        <w:fldChar w:fldCharType="end" w:fldLock="0"/>
      </w:r>
    </w:p>
    <w:p>
      <w:pPr>
        <w:pStyle w:val="TOC10"/>
      </w:pPr>
      <w:r>
        <w:rPr>
          <w:rFonts w:cs="Arial Unicode MS" w:eastAsia="Arial Unicode MS"/>
        </w:rPr>
        <w:t>Additional Holidays</w:t>
      </w:r>
      <w:r>
        <w:rPr>
          <w:rFonts w:cs="Arial Unicode MS" w:eastAsia="Arial Unicode MS"/>
        </w:rPr>
        <w:tab/>
      </w:r>
      <w:r>
        <w:rPr/>
        <w:fldChar w:fldCharType="begin" w:fldLock="0"/>
      </w:r>
      <w:r>
        <w:instrText xml:space="preserve"> PAGEREF _Toc15 \h </w:instrText>
      </w:r>
      <w:r>
        <w:rPr/>
        <w:fldChar w:fldCharType="separate" w:fldLock="0"/>
      </w:r>
      <w:r>
        <w:rPr>
          <w:rtl w:val="0"/>
          <w:rFonts w:cs="Arial Unicode MS" w:eastAsia="Arial Unicode MS"/>
        </w:rPr>
        <w:t>9</w:t>
      </w:r>
      <w:r>
        <w:rPr/>
        <w:fldChar w:fldCharType="end" w:fldLock="0"/>
      </w:r>
    </w:p>
    <w:p>
      <w:pPr>
        <w:pStyle w:val="TOC2"/>
      </w:pPr>
      <w:r>
        <w:rPr>
          <w:rFonts w:cs="Arial Unicode MS" w:eastAsia="Arial Unicode MS"/>
        </w:rPr>
        <w:t>Work Performance</w:t>
      </w:r>
      <w:r>
        <w:rPr>
          <w:rFonts w:cs="Arial Unicode MS" w:eastAsia="Arial Unicode MS"/>
        </w:rPr>
        <w:tab/>
      </w:r>
      <w:r>
        <w:rPr/>
        <w:fldChar w:fldCharType="begin" w:fldLock="0"/>
      </w:r>
      <w:r>
        <w:instrText xml:space="preserve"> PAGEREF _Toc16 \h </w:instrText>
      </w:r>
      <w:r>
        <w:rPr/>
        <w:fldChar w:fldCharType="separate" w:fldLock="0"/>
      </w:r>
      <w:r>
        <w:rPr>
          <w:rtl w:val="0"/>
          <w:rFonts w:cs="Arial Unicode MS" w:eastAsia="Arial Unicode MS"/>
        </w:rPr>
        <w:t>10</w:t>
      </w:r>
      <w:r>
        <w:rPr/>
        <w:fldChar w:fldCharType="end" w:fldLock="0"/>
      </w:r>
    </w:p>
    <w:p>
      <w:pPr>
        <w:pStyle w:val="TOC2"/>
      </w:pPr>
      <w:r>
        <w:rPr>
          <w:rFonts w:cs="Arial Unicode MS" w:eastAsia="Arial Unicode MS"/>
        </w:rPr>
        <w:t>Wellbeing</w:t>
      </w:r>
      <w:r>
        <w:rPr>
          <w:rFonts w:cs="Arial Unicode MS" w:eastAsia="Arial Unicode MS"/>
        </w:rPr>
        <w:tab/>
      </w:r>
      <w:r>
        <w:rPr/>
        <w:fldChar w:fldCharType="begin" w:fldLock="0"/>
      </w:r>
      <w:r>
        <w:instrText xml:space="preserve"> PAGEREF _Toc17 \h </w:instrText>
      </w:r>
      <w:r>
        <w:rPr/>
        <w:fldChar w:fldCharType="separate" w:fldLock="0"/>
      </w:r>
      <w:r>
        <w:rPr>
          <w:rtl w:val="0"/>
          <w:rFonts w:cs="Arial Unicode MS" w:eastAsia="Arial Unicode MS"/>
        </w:rPr>
        <w:t>10</w:t>
      </w:r>
      <w:r>
        <w:rPr/>
        <w:fldChar w:fldCharType="end" w:fldLock="0"/>
      </w:r>
    </w:p>
    <w:p>
      <w:pPr>
        <w:pStyle w:val="TOC2"/>
      </w:pPr>
      <w:r>
        <w:rPr>
          <w:rFonts w:cs="Arial Unicode MS" w:eastAsia="Arial Unicode MS"/>
        </w:rPr>
        <w:t>Encouragement</w:t>
      </w:r>
      <w:r>
        <w:rPr>
          <w:rFonts w:cs="Arial Unicode MS" w:eastAsia="Arial Unicode MS"/>
        </w:rPr>
        <w:tab/>
      </w:r>
      <w:r>
        <w:rPr/>
        <w:fldChar w:fldCharType="begin" w:fldLock="0"/>
      </w:r>
      <w:r>
        <w:instrText xml:space="preserve"> PAGEREF _Toc18 \h </w:instrText>
      </w:r>
      <w:r>
        <w:rPr/>
        <w:fldChar w:fldCharType="separate" w:fldLock="0"/>
      </w:r>
      <w:r>
        <w:rPr>
          <w:rtl w:val="0"/>
          <w:rFonts w:cs="Arial Unicode MS" w:eastAsia="Arial Unicode MS"/>
        </w:rPr>
        <w:t>10</w:t>
      </w:r>
      <w:r>
        <w:rPr/>
        <w:fldChar w:fldCharType="end" w:fldLock="0"/>
      </w:r>
    </w:p>
    <w:p>
      <w:pPr>
        <w:pStyle w:val="TOC10"/>
      </w:pPr>
      <w:r>
        <w:rPr>
          <w:rFonts w:cs="Arial Unicode MS" w:eastAsia="Arial Unicode MS"/>
        </w:rPr>
        <w:t>Conclusion</w:t>
      </w:r>
      <w:r>
        <w:rPr>
          <w:rFonts w:cs="Arial Unicode MS" w:eastAsia="Arial Unicode MS"/>
        </w:rPr>
        <w:tab/>
      </w:r>
      <w:r>
        <w:rPr/>
        <w:fldChar w:fldCharType="begin" w:fldLock="0"/>
      </w:r>
      <w:r>
        <w:instrText xml:space="preserve"> PAGEREF _Toc19 \h </w:instrText>
      </w:r>
      <w:r>
        <w:rPr/>
        <w:fldChar w:fldCharType="separate" w:fldLock="0"/>
      </w:r>
      <w:r>
        <w:rPr>
          <w:rtl w:val="0"/>
          <w:rFonts w:cs="Arial Unicode MS" w:eastAsia="Arial Unicode MS"/>
        </w:rPr>
        <w:t>11</w:t>
      </w:r>
      <w:r>
        <w:rPr/>
        <w:fldChar w:fldCharType="end" w:fldLock="0"/>
      </w:r>
    </w:p>
    <w:p>
      <w:pPr>
        <w:pStyle w:val="TOC10"/>
      </w:pPr>
      <w:r>
        <w:rPr>
          <w:rFonts w:cs="Arial Unicode MS" w:eastAsia="Arial Unicode MS"/>
        </w:rPr>
        <w:t>References</w:t>
      </w:r>
      <w:r>
        <w:rPr>
          <w:rFonts w:cs="Arial Unicode MS" w:eastAsia="Arial Unicode MS"/>
        </w:rPr>
        <w:tab/>
      </w:r>
      <w:r>
        <w:rPr/>
        <w:fldChar w:fldCharType="begin" w:fldLock="0"/>
      </w:r>
      <w:r>
        <w:instrText xml:space="preserve"> PAGEREF _Toc20 \h </w:instrText>
      </w:r>
      <w:r>
        <w:rPr/>
        <w:fldChar w:fldCharType="separate" w:fldLock="0"/>
      </w:r>
      <w:r>
        <w:rPr>
          <w:rtl w:val="0"/>
          <w:rFonts w:cs="Arial Unicode MS" w:eastAsia="Arial Unicode MS"/>
        </w:rPr>
        <w:t>12</w:t>
      </w:r>
      <w:r>
        <w:rPr/>
        <w:fldChar w:fldCharType="end" w:fldLock="0"/>
      </w:r>
    </w:p>
    <w:p>
      <w:pPr>
        <w:spacing w:line="360" w:lineRule="auto"/>
      </w:pPr>
      <w:r>
        <w:rPr/>
        <w:fldChar w:fldCharType="end" w:fldLock="0"/>
      </w:r>
    </w:p>
    <w:p>
      <w:pPr>
        <w:pStyle w:val="Body"/>
        <w:spacing w:after="200" w:line="276" w:lineRule="auto"/>
      </w:pPr>
      <w:r>
        <w:rPr>
          <w:b w:val="0"/>
          <w:i w:val="0"/>
          <w:rFonts w:ascii="Arial Unicode MS" w:cs="Arial Unicode MS" w:eastAsia="Arial Unicode MS" w:hAnsi="Arial Unicode MS"/>
        </w:rPr>
        <w:br w:type="page"/>
      </w:r>
    </w:p>
    <w:p>
      <w:pPr>
        <w:pStyle w:val="Heading"/>
      </w:pPr>
      <w:bookmarkStart w:name="_Toc" w:id="0"/>
      <w:r>
        <w:rPr>
          <w:rtl w:val="0"/>
          <w:lang w:val="fr-FR"/>
          <w:rFonts w:cs="Arial Unicode MS" w:eastAsia="Arial Unicode MS"/>
        </w:rPr>
        <w:t>Introduction</w:t>
      </w:r>
      <w:bookmarkEnd w:id="0"/>
    </w:p>
    <w:p>
      <w:pPr>
        <w:pStyle w:val="Body"/>
        <w:ind w:firstLine="720"/>
      </w:pPr>
      <w:r>
        <w:rPr>
          <w:rtl w:val="0"/>
          <w:lang w:val="en-US"/>
        </w:rPr>
        <w:t>A factor that can affect performance in the workplace of a person is motivation which is a higher level of motivation that becomes highly important for increased workplace performance. It shouldn</w:t>
      </w:r>
      <w:r>
        <w:rPr>
          <w:rtl w:val="1"/>
        </w:rPr>
        <w:t>’</w:t>
      </w:r>
      <w:r>
        <w:rPr>
          <w:rtl w:val="0"/>
          <w:lang w:val="en-US"/>
        </w:rPr>
        <w:t xml:space="preserve">t be assumed that lower or higher motivation might be because of the workplace environment but due to other aspects in the workplace of the organisation which leads to employees becoming motivated. The role of a manager in the organisation is to forget things prepared for workers. These managers must be able to motivate their workers. However, it is not as simple as it sounds. The theories and practices of motivation vary, many managers are aware of theories but are unable to place them in organisational practices. For understanding motivation, managers must be understanding their human natures and seek where the problem lies. When these are understood, there will be an assurance of motivation among employees in the workplace leading to effective leadership and management. The factor of motivation can either be extrinsic or intrinsic </w:t>
      </w:r>
      <w:r>
        <w:rPr>
          <w:rtl w:val="0"/>
          <w:shd w:fill="FFFFFF" w:color="auto" w:val="clear"/>
        </w:rPr>
        <w:t>(Cohen, 2006)</w:t>
      </w:r>
      <w:r>
        <w:rPr>
          <w:rtl w:val="0"/>
          <w:lang w:val="en-US"/>
        </w:rPr>
        <w:t>. Intrinsic motivation refers to activities for their satisfaction and sake other than any separate reason. They might be motivated for acting for challenge or fun rather than any external rewards. The report will be analysing different aspects of motivation that can help an organisation to enhance its motivation of employees for increasing work performance and to reach organisational objectives. These factors are essential for an organisation to apply for becoming successful.</w:t>
      </w:r>
    </w:p>
    <w:p>
      <w:pPr>
        <w:pStyle w:val="Body"/>
      </w:pPr>
    </w:p>
    <w:p>
      <w:pPr>
        <w:pStyle w:val="Heading"/>
      </w:pPr>
      <w:bookmarkStart w:name="_Toc1" w:id="1"/>
      <w:r>
        <w:rPr>
          <w:rtl w:val="0"/>
          <w:lang w:val="en-US"/>
          <w:rFonts w:cs="Arial Unicode MS" w:eastAsia="Arial Unicode MS"/>
        </w:rPr>
        <w:t>Pay</w:t>
      </w:r>
      <w:bookmarkEnd w:id="1"/>
    </w:p>
    <w:p>
      <w:pPr>
        <w:pStyle w:val="Heading2"/>
      </w:pPr>
      <w:bookmarkStart w:name="_Toc2" w:id="2"/>
      <w:r>
        <w:rPr>
          <w:rtl w:val="0"/>
          <w:lang w:val="en-US"/>
          <w:rFonts w:cs="Arial Unicode MS" w:eastAsia="Arial Unicode MS"/>
        </w:rPr>
        <w:t>Base Pay Payment</w:t>
      </w:r>
      <w:bookmarkEnd w:id="2"/>
    </w:p>
    <w:p>
      <w:pPr>
        <w:pStyle w:val="Body"/>
        <w:ind w:firstLine="720"/>
      </w:pPr>
      <w:r>
        <w:rPr>
          <w:rtl w:val="0"/>
          <w:lang w:val="en-US"/>
        </w:rPr>
        <w:t xml:space="preserve">A method or process for deciding the level of the base pay of employees is base pay payment which manages with or without the previous pay structure. These are the rate of a person for a job. These can be fixed-rate (aka spot rate), that might be attached to the particular job. Such people are hired by these rates are acquiring job-based pay. For casual and manual workers, it might be referred to as a timely rate with wages that are based on an hourly rate. The salaries can be set to be paid after a week, month, or as an annual plan </w:t>
      </w:r>
      <w:r>
        <w:rPr>
          <w:rtl w:val="0"/>
          <w:lang w:val="fr-FR"/>
          <w:shd w:fill="FFFFFF" w:color="auto" w:val="clear"/>
        </w:rPr>
        <w:t>(Phillips et al., 2017)</w:t>
      </w:r>
      <w:r>
        <w:rPr>
          <w:rtl w:val="0"/>
          <w:lang w:val="en-US"/>
        </w:rPr>
        <w:t>. When the pay rate of an employee is attached, it is based on the grade of the person. In such cases, the best rate is referred to as the minimum range of wages or as the target rate in the range of salaries. The payment for a highly qualified might be higher in an organisation. These rates are not always fixed and payment might be progressing with the range and performances on the merit of the individual employee or on the time spent in the workplace or the job.</w:t>
      </w:r>
    </w:p>
    <w:p>
      <w:pPr>
        <w:pStyle w:val="Body"/>
      </w:pPr>
    </w:p>
    <w:p>
      <w:pPr>
        <w:pStyle w:val="Heading2"/>
      </w:pPr>
      <w:bookmarkStart w:name="_Toc3" w:id="3"/>
      <w:r>
        <w:rPr>
          <w:rtl w:val="0"/>
          <w:rFonts w:cs="Arial Unicode MS" w:eastAsia="Arial Unicode MS"/>
        </w:rPr>
        <w:t>Contingent Pay</w:t>
      </w:r>
      <w:bookmarkEnd w:id="3"/>
    </w:p>
    <w:p>
      <w:pPr>
        <w:pStyle w:val="Body"/>
        <w:ind w:firstLine="720"/>
      </w:pPr>
      <w:r>
        <w:rPr>
          <w:rtl w:val="0"/>
          <w:lang w:val="en-US"/>
        </w:rPr>
        <w:t>The progression of payment by contingent pays is the process by which the employee increases their working payment through requests or a reward system. These can be taking place as a formal structure through contingent pay or increments such as by service, skills, contribution, competence, or performance of workers. The contribution or performance of employees might be related to the merit pay system. The contingent payments might be involved with the base pay of employees for providing a progression of payment that motivates workers.</w:t>
      </w:r>
    </w:p>
    <w:p>
      <w:pPr>
        <w:pStyle w:val="Body"/>
      </w:pPr>
    </w:p>
    <w:p>
      <w:pPr>
        <w:pStyle w:val="Heading2"/>
      </w:pPr>
      <w:bookmarkStart w:name="_Toc4" w:id="4"/>
      <w:r>
        <w:rPr>
          <w:rtl w:val="0"/>
          <w:lang w:val="fr-FR"/>
          <w:rFonts w:cs="Arial Unicode MS" w:eastAsia="Arial Unicode MS"/>
        </w:rPr>
        <w:t>Variable Pay</w:t>
      </w:r>
      <w:bookmarkEnd w:id="4"/>
    </w:p>
    <w:p>
      <w:pPr>
        <w:pStyle w:val="Body"/>
        <w:ind w:firstLine="720"/>
      </w:pPr>
      <w:r>
        <w:rPr>
          <w:rtl w:val="0"/>
          <w:lang w:val="en-US"/>
        </w:rPr>
        <w:t xml:space="preserve"> The term </w:t>
      </w:r>
      <w:r>
        <w:rPr>
          <w:rtl w:val="1"/>
          <w:lang w:val="ar-SA" w:bidi="ar-SA"/>
        </w:rPr>
        <w:t>“</w:t>
      </w:r>
      <w:r>
        <w:rPr>
          <w:rtl w:val="0"/>
          <w:lang w:val="en-US"/>
        </w:rPr>
        <w:t>Pay at Risk</w:t>
      </w:r>
      <w:r>
        <w:rPr>
          <w:rtl w:val="0"/>
        </w:rPr>
        <w:t xml:space="preserve">” </w:t>
      </w:r>
      <w:r>
        <w:rPr>
          <w:rtl w:val="0"/>
          <w:lang w:val="en-US"/>
        </w:rPr>
        <w:t xml:space="preserve">is referred to variable pay which is the remuneration package portion that can be achieved on all occasions through exceeding work performance or meeting targets. This type of reward refers to any form of payment that is direct and not folded into the base pay of an employee which varies on performance </w:t>
      </w:r>
      <w:r>
        <w:rPr>
          <w:rtl w:val="0"/>
          <w:lang w:val="en-US"/>
          <w:shd w:fill="FFFFFF" w:color="auto" w:val="clear"/>
        </w:rPr>
        <w:t>(Armstrong and Murlis, 2007)</w:t>
      </w:r>
      <w:r>
        <w:rPr>
          <w:rtl w:val="0"/>
          <w:lang w:val="en-US"/>
        </w:rPr>
        <w:t>. The variable pay might be including team bonuses, share options, cash bonuses, or individual shares through gain-sharing, profit-sharing, or performance of the organisation. A form of cash bonus occurs in variable pay because of an employee's performance or can be related to the performance and distribution of business in terms of share in the profit margin of the company or rewards that are specified for individuals or groups.</w:t>
      </w:r>
    </w:p>
    <w:p>
      <w:pPr>
        <w:pStyle w:val="Body"/>
      </w:pPr>
    </w:p>
    <w:p>
      <w:pPr>
        <w:pStyle w:val="Heading2"/>
      </w:pPr>
      <w:bookmarkStart w:name="_Toc5" w:id="5"/>
      <w:r>
        <w:rPr>
          <w:rtl w:val="0"/>
          <w:lang w:val="en-US"/>
          <w:rFonts w:cs="Arial Unicode MS" w:eastAsia="Arial Unicode MS"/>
        </w:rPr>
        <w:t>Employee Benefits</w:t>
      </w:r>
      <w:bookmarkEnd w:id="5"/>
    </w:p>
    <w:p>
      <w:pPr>
        <w:pStyle w:val="Body"/>
        <w:ind w:firstLine="720"/>
      </w:pPr>
      <w:r>
        <w:rPr>
          <w:rtl w:val="0"/>
          <w:lang w:val="en-US"/>
        </w:rPr>
        <w:t xml:space="preserve">According to </w:t>
      </w:r>
      <w:r>
        <w:rPr>
          <w:rtl w:val="0"/>
          <w:lang w:val="en-US"/>
          <w:shd w:fill="FFFFFF" w:color="auto" w:val="clear"/>
        </w:rPr>
        <w:t xml:space="preserve">(Armstrong and Murlis, 2007), </w:t>
      </w:r>
      <w:r>
        <w:rPr>
          <w:rtl w:val="0"/>
          <w:lang w:val="en-US"/>
        </w:rPr>
        <w:t>the benefits of employees include aspects such as company car, insurance cover, sick pay, pension, or other perks which comprise additional remuneration in different forms of cash payment. These include the employee's provisions which might not be restricted to a remuneration such as holidays. The benefit of the scheme is that it is flexible for employees to decide their package of benefits to a certain limit and additionally benefits the workers for certain years.</w:t>
      </w:r>
    </w:p>
    <w:p>
      <w:pPr>
        <w:pStyle w:val="Body"/>
      </w:pPr>
    </w:p>
    <w:p>
      <w:pPr>
        <w:pStyle w:val="Heading"/>
      </w:pPr>
      <w:bookmarkStart w:name="_Toc6" w:id="6"/>
      <w:r>
        <w:rPr>
          <w:rtl w:val="0"/>
          <w:lang w:val="en-US"/>
          <w:rFonts w:cs="Arial Unicode MS" w:eastAsia="Arial Unicode MS"/>
        </w:rPr>
        <w:t>Recognition and Awards</w:t>
      </w:r>
      <w:bookmarkEnd w:id="6"/>
    </w:p>
    <w:p>
      <w:pPr>
        <w:pStyle w:val="Body"/>
        <w:ind w:firstLine="720"/>
      </w:pPr>
      <w:r>
        <w:rPr>
          <w:rtl w:val="0"/>
          <w:lang w:val="en-US"/>
        </w:rPr>
        <w:t>The award system based on criteria is being established as an award program that recognises the employees by varying contributions. The system utilises a "good catch</w:t>
      </w:r>
      <w:r>
        <w:rPr>
          <w:rtl w:val="0"/>
        </w:rPr>
        <w:t xml:space="preserve">” </w:t>
      </w:r>
      <w:r>
        <w:rPr>
          <w:rtl w:val="0"/>
          <w:lang w:val="en-US"/>
        </w:rPr>
        <w:t xml:space="preserve">response to system that promotes a recognition and safety culture for employees who identify the medication problems in the process of medication use </w:t>
      </w:r>
      <w:r>
        <w:rPr>
          <w:rtl w:val="0"/>
          <w:lang w:val="en-US"/>
          <w:shd w:fill="FFFFFF" w:color="auto" w:val="clear"/>
        </w:rPr>
        <w:t>(Armstrong and Murlis, 2007)</w:t>
      </w:r>
      <w:r>
        <w:rPr>
          <w:rtl w:val="0"/>
          <w:lang w:val="en-US"/>
        </w:rPr>
        <w:t>. The process of nomination might be including convenient and simple steps for employees by their peers for having small data collected about rewards to be submitted as individuals by any discipline which involves the caring process of workers. The nominees and winners are described to be recognised publically in the organisation by sending e-mails during the reward management system of an organisation.</w:t>
      </w:r>
    </w:p>
    <w:p>
      <w:pPr>
        <w:pStyle w:val="Body"/>
        <w:ind w:firstLine="720"/>
      </w:pPr>
      <w:r>
        <w:rPr>
          <w:rtl w:val="0"/>
          <w:lang w:val="en-US"/>
        </w:rPr>
        <w:t xml:space="preserve">The data about awarding ad recognition are designed for multiple venues in the company. The information on recognition of employees proposes the resolutions of employees that deserve the positions. The criteria over which the rewards are being in the company provide the foundation on which motivation of employees is based. This allows the company to cause the workers to become able to utilise their fullest potential in achieving the business goals and aims. Many companies do not refer to their employees as worthy as they should and do not set up a system of rewards because of which employees get frustrated or tired of the position because of a lack of progression or rewards </w:t>
      </w:r>
      <w:r>
        <w:rPr>
          <w:rtl w:val="0"/>
          <w:shd w:fill="FFFFFF" w:color="auto" w:val="clear"/>
        </w:rPr>
        <w:t>(Cohen, 2006)</w:t>
      </w:r>
      <w:r>
        <w:rPr>
          <w:rtl w:val="0"/>
          <w:lang w:val="en-US"/>
        </w:rPr>
        <w:t>. These rewards play the most vital role in the motivation of employees in the workplace. The workers can be rewarded through various means such as monetary incentives, trophies, holidays, certificates, or any kind of appreciation that would work in enhancing work motivation and performance.</w:t>
      </w:r>
    </w:p>
    <w:p>
      <w:pPr>
        <w:pStyle w:val="Body"/>
      </w:pPr>
    </w:p>
    <w:p>
      <w:pPr>
        <w:pStyle w:val="Heading2"/>
      </w:pPr>
      <w:bookmarkStart w:name="_Toc7" w:id="7"/>
      <w:r>
        <w:rPr>
          <w:rtl w:val="0"/>
          <w:lang w:val="fr-FR"/>
          <w:rFonts w:cs="Arial Unicode MS" w:eastAsia="Arial Unicode MS"/>
        </w:rPr>
        <w:t>Productivity</w:t>
      </w:r>
      <w:bookmarkEnd w:id="7"/>
    </w:p>
    <w:p>
      <w:pPr>
        <w:pStyle w:val="Body"/>
        <w:ind w:firstLine="720"/>
      </w:pPr>
      <w:r>
        <w:rPr>
          <w:rtl w:val="0"/>
          <w:lang w:val="en-US"/>
        </w:rPr>
        <w:t>Think about recognition as the way a person feels valued or meant in the workplace, there might be a probability that you will be producing better because you are feeling appreciated by the people you are working with or the organisation where you work.</w:t>
      </w:r>
    </w:p>
    <w:p>
      <w:pPr>
        <w:pStyle w:val="Body"/>
        <w:ind w:firstLine="720"/>
      </w:pPr>
      <w:r>
        <w:rPr>
          <w:rtl w:val="0"/>
          <w:lang w:val="en-US"/>
        </w:rPr>
        <w:t>The employees who are being valued tend to be highly productive as they will be having the responsibility of sense and they will be wanting to stay on top and always work hard for keeping their status.</w:t>
      </w:r>
    </w:p>
    <w:p>
      <w:pPr>
        <w:pStyle w:val="Body"/>
      </w:pPr>
    </w:p>
    <w:p>
      <w:pPr>
        <w:pStyle w:val="Body"/>
      </w:pPr>
    </w:p>
    <w:p>
      <w:pPr>
        <w:pStyle w:val="Heading2"/>
      </w:pPr>
      <w:bookmarkStart w:name="_Toc8" w:id="8"/>
      <w:r>
        <w:rPr>
          <w:rtl w:val="0"/>
          <w:lang w:val="en-US"/>
          <w:rFonts w:cs="Arial Unicode MS" w:eastAsia="Arial Unicode MS"/>
        </w:rPr>
        <w:t>Commitment</w:t>
      </w:r>
      <w:bookmarkEnd w:id="8"/>
    </w:p>
    <w:p>
      <w:pPr>
        <w:pStyle w:val="Body"/>
        <w:ind w:firstLine="720"/>
      </w:pPr>
      <w:r>
        <w:rPr>
          <w:rtl w:val="0"/>
          <w:lang w:val="en-US"/>
        </w:rPr>
        <w:t>The employee's probability of leaving the job where they are less or not valued or recognised by managers is very high, these workers would only be committed to staying in the work due to long-term benefits. It is very well known that satisfaction with the job is the reason for employees to work hard and become more productive and become retained at the position (Ghoshal and Bartlett, 1995). The satisfaction of a job might provide value to the workplace in the organisation.</w:t>
      </w:r>
    </w:p>
    <w:p>
      <w:pPr>
        <w:pStyle w:val="Body"/>
      </w:pPr>
    </w:p>
    <w:p>
      <w:pPr>
        <w:pStyle w:val="Heading2"/>
      </w:pPr>
      <w:bookmarkStart w:name="_Toc9" w:id="9"/>
      <w:r>
        <w:rPr>
          <w:rtl w:val="0"/>
          <w:lang w:val="en-US"/>
          <w:rFonts w:cs="Arial Unicode MS" w:eastAsia="Arial Unicode MS"/>
        </w:rPr>
        <w:t>Positive Environment</w:t>
      </w:r>
      <w:bookmarkEnd w:id="9"/>
    </w:p>
    <w:p>
      <w:pPr>
        <w:pStyle w:val="Body"/>
        <w:ind w:firstLine="720"/>
      </w:pPr>
      <w:r>
        <w:rPr>
          <w:rtl w:val="0"/>
          <w:lang w:val="en-US"/>
        </w:rPr>
        <w:t>The environment of an organisation has the biggest impact on employees' motivation. The employees would be caring if the company provides them care. The inspiration and environment can help the worker to push themselves in front. There is a motivational factor in the workplace that leads workers to gain the vision and goals of the company. When these individuals are inspired and receive recognition will automatically result in effectiveness and positivity.</w:t>
      </w:r>
    </w:p>
    <w:p>
      <w:pPr>
        <w:pStyle w:val="Body"/>
      </w:pPr>
    </w:p>
    <w:p>
      <w:pPr>
        <w:pStyle w:val="Heading"/>
      </w:pPr>
      <w:bookmarkStart w:name="_Toc10" w:id="10"/>
      <w:r>
        <w:rPr>
          <w:rtl w:val="0"/>
          <w:lang w:val="en-US"/>
          <w:rFonts w:cs="Arial Unicode MS" w:eastAsia="Arial Unicode MS"/>
        </w:rPr>
        <w:t>Good Working Conditions</w:t>
      </w:r>
      <w:bookmarkEnd w:id="10"/>
    </w:p>
    <w:p>
      <w:pPr>
        <w:pStyle w:val="Body"/>
        <w:ind w:firstLine="720"/>
      </w:pPr>
      <w:r>
        <w:rPr>
          <w:rtl w:val="0"/>
          <w:lang w:val="en-US"/>
        </w:rPr>
        <w:t xml:space="preserve">The workplace atmosphere has a great influence on the growth and mindset of employees. The people in the position work environment might be feeling more motivated in producing better work quality. The company must learn how to make the work environment positive for boosting productivity and improving collaboration. An essential lesson is that the leading organisation has adapted encouragement and fostering in workplace environment might be fun and will be inspiring the workers for taking joy from their work through various benefits. Loyal and happy employees tend to produce better and do amazing work for an organisation </w:t>
      </w:r>
      <w:r>
        <w:rPr>
          <w:rtl w:val="0"/>
          <w:shd w:fill="FFFFFF" w:color="auto" w:val="clear"/>
        </w:rPr>
        <w:t>(Hanaysha and Majid, 2018)</w:t>
      </w:r>
      <w:r>
        <w:rPr>
          <w:rtl w:val="0"/>
        </w:rPr>
        <w:t>.</w:t>
      </w:r>
    </w:p>
    <w:p>
      <w:pPr>
        <w:pStyle w:val="Body"/>
      </w:pPr>
    </w:p>
    <w:p>
      <w:pPr>
        <w:pStyle w:val="Heading2"/>
      </w:pPr>
      <w:bookmarkStart w:name="_Toc11" w:id="11"/>
      <w:r>
        <w:rPr>
          <w:rtl w:val="0"/>
          <w:lang w:val="en-US"/>
          <w:rFonts w:cs="Arial Unicode MS" w:eastAsia="Arial Unicode MS"/>
        </w:rPr>
        <w:t>Boosting Productivity</w:t>
      </w:r>
      <w:bookmarkEnd w:id="11"/>
    </w:p>
    <w:p>
      <w:pPr>
        <w:pStyle w:val="Body"/>
        <w:ind w:firstLine="720"/>
      </w:pPr>
      <w:r>
        <w:rPr>
          <w:rtl w:val="0"/>
          <w:lang w:val="en-US"/>
        </w:rPr>
        <w:t>In an organisation where a happy work environment is being maintained, you might be feeling more motivated and encouraged for finishing the work. It will be helping you to finish the tasks inefficiently way and lead the management to be trusting and rely on the employees. This leads the employees to be producing better quality work as they might be feeling more prepared to finish the work.</w:t>
      </w:r>
    </w:p>
    <w:p>
      <w:pPr>
        <w:pStyle w:val="Body"/>
      </w:pPr>
    </w:p>
    <w:p>
      <w:pPr>
        <w:pStyle w:val="Heading2"/>
      </w:pPr>
      <w:bookmarkStart w:name="_Toc12" w:id="12"/>
      <w:r>
        <w:rPr>
          <w:rtl w:val="0"/>
          <w:lang w:val="en-US"/>
          <w:rFonts w:cs="Arial Unicode MS" w:eastAsia="Arial Unicode MS"/>
        </w:rPr>
        <w:t>Opportunities for Growth</w:t>
      </w:r>
      <w:bookmarkEnd w:id="12"/>
    </w:p>
    <w:p>
      <w:pPr>
        <w:pStyle w:val="Body"/>
        <w:ind w:firstLine="720"/>
      </w:pPr>
      <w:r>
        <w:rPr>
          <w:rtl w:val="0"/>
          <w:lang w:val="en-US"/>
        </w:rPr>
        <w:t xml:space="preserve">By creating a positive working environment, the company will be encouraging its workers for growing individual strengths and skills. It will be helping you to get committed to working. The facet of work environment positivity might be essential as it will mean you are advancing in your position with the support of coworkers, managers, and employers </w:t>
      </w:r>
      <w:r>
        <w:rPr>
          <w:rtl w:val="0"/>
          <w:lang w:val="it-IT"/>
          <w:shd w:fill="FFFFFF" w:color="auto" w:val="clear"/>
        </w:rPr>
        <w:t>(Lorincov</w:t>
      </w:r>
      <w:r>
        <w:rPr>
          <w:rtl w:val="0"/>
          <w:lang w:val="pt-PT"/>
          <w:shd w:fill="FFFFFF" w:color="auto" w:val="clear"/>
        </w:rPr>
        <w:t xml:space="preserve">á </w:t>
      </w:r>
      <w:r>
        <w:rPr>
          <w:rtl w:val="0"/>
          <w:shd w:fill="FFFFFF" w:color="auto" w:val="clear"/>
        </w:rPr>
        <w:t>et al., 2019)</w:t>
      </w:r>
      <w:r>
        <w:rPr>
          <w:rtl w:val="0"/>
          <w:lang w:val="en-US"/>
        </w:rPr>
        <w:t>. The quality and quantity of workers produced tend to be better when employees are being motivated.</w:t>
      </w:r>
    </w:p>
    <w:p>
      <w:pPr>
        <w:pStyle w:val="Body"/>
      </w:pPr>
    </w:p>
    <w:p>
      <w:pPr>
        <w:pStyle w:val="Heading2"/>
      </w:pPr>
      <w:bookmarkStart w:name="_Toc13" w:id="13"/>
      <w:r>
        <w:rPr>
          <w:rtl w:val="0"/>
          <w:lang w:val="en-US"/>
          <w:rFonts w:cs="Arial Unicode MS" w:eastAsia="Arial Unicode MS"/>
        </w:rPr>
        <w:t>Elimination of Negativity</w:t>
      </w:r>
      <w:bookmarkEnd w:id="13"/>
    </w:p>
    <w:p>
      <w:pPr>
        <w:pStyle w:val="Body"/>
        <w:ind w:firstLine="720"/>
      </w:pPr>
      <w:r>
        <w:rPr>
          <w:rtl w:val="0"/>
          <w:lang w:val="en-US"/>
        </w:rPr>
        <w:t>In many workplaces, negativity and conflicts demoralise employees which reduces their productivity rate. A happy environment will enhance the mood of workers making them give the best results.</w:t>
      </w:r>
    </w:p>
    <w:p>
      <w:pPr>
        <w:pStyle w:val="Body"/>
      </w:pPr>
    </w:p>
    <w:p>
      <w:pPr>
        <w:pStyle w:val="Heading2"/>
      </w:pPr>
      <w:bookmarkStart w:name="_Toc14" w:id="14"/>
      <w:r>
        <w:rPr>
          <w:rtl w:val="0"/>
          <w:lang w:val="en-US"/>
          <w:rFonts w:cs="Arial Unicode MS" w:eastAsia="Arial Unicode MS"/>
        </w:rPr>
        <w:t>Happiness is Directly Related to Innovation</w:t>
      </w:r>
      <w:bookmarkEnd w:id="14"/>
    </w:p>
    <w:p>
      <w:pPr>
        <w:pStyle w:val="Body"/>
        <w:ind w:firstLine="720"/>
      </w:pPr>
      <w:r>
        <w:rPr>
          <w:rtl w:val="0"/>
          <w:lang w:val="en-US"/>
        </w:rPr>
        <w:t>The force which drives innovation in business is connected to the work environment, the workers are found to be highly innovative when they are being motivated. Positivity makes such employees happy resulting in higher innovation.</w:t>
      </w:r>
    </w:p>
    <w:p>
      <w:pPr>
        <w:pStyle w:val="Body"/>
      </w:pPr>
    </w:p>
    <w:p>
      <w:pPr>
        <w:pStyle w:val="Heading"/>
      </w:pPr>
      <w:bookmarkStart w:name="_Toc15" w:id="15"/>
      <w:r>
        <w:rPr>
          <w:rtl w:val="0"/>
          <w:lang w:val="en-US"/>
          <w:rFonts w:cs="Arial Unicode MS" w:eastAsia="Arial Unicode MS"/>
        </w:rPr>
        <w:t>Additional Holidays</w:t>
      </w:r>
      <w:bookmarkEnd w:id="15"/>
    </w:p>
    <w:p>
      <w:pPr>
        <w:pStyle w:val="Body"/>
        <w:ind w:firstLine="720"/>
      </w:pPr>
      <w:r>
        <w:rPr>
          <w:rtl w:val="0"/>
          <w:lang w:val="en-US"/>
        </w:rPr>
        <w:t xml:space="preserve">Whether the employees are enjoying holidays out with family or staying at home, there are many reasons to get the day off from work. Study shows additional holidays are important for employees to clear their mind and feel a bit relaxing. Employers might be keeping their staff in the workplace without giving them leave will result in more productivity </w:t>
      </w:r>
      <w:r>
        <w:rPr>
          <w:rtl w:val="0"/>
          <w:lang w:val="en-US"/>
          <w:shd w:fill="FFFFFF" w:color="auto" w:val="clear"/>
        </w:rPr>
        <w:t>(Paais and Pattiruhu, 2020)</w:t>
      </w:r>
      <w:r>
        <w:rPr>
          <w:rtl w:val="0"/>
          <w:lang w:val="en-US"/>
        </w:rPr>
        <w:t>. However, this is completely wrong. Annual holidays are reasons for a worker to take a break from their stressful life and find ways to cheer their mind up. It is important as depressed minds will not be able to think or work as efficiently as they could. Sometimes the employees get fed up with their daily routine and seek ways to relax. Some of the benefits of additional holidays are listed below:</w:t>
      </w:r>
    </w:p>
    <w:p>
      <w:pPr>
        <w:pStyle w:val="Body"/>
      </w:pPr>
    </w:p>
    <w:p>
      <w:pPr>
        <w:pStyle w:val="Heading2"/>
      </w:pPr>
      <w:bookmarkStart w:name="_Toc16" w:id="16"/>
      <w:r>
        <w:rPr>
          <w:rtl w:val="0"/>
          <w:lang w:val="en-US"/>
          <w:rFonts w:cs="Arial Unicode MS" w:eastAsia="Arial Unicode MS"/>
        </w:rPr>
        <w:t>Work Performance</w:t>
      </w:r>
      <w:bookmarkEnd w:id="16"/>
    </w:p>
    <w:p>
      <w:pPr>
        <w:pStyle w:val="Body"/>
        <w:ind w:firstLine="720"/>
      </w:pPr>
      <w:r>
        <w:rPr>
          <w:rtl w:val="0"/>
          <w:lang w:val="en-US"/>
        </w:rPr>
        <w:t>The workers who are given additional holidays other than their regular ones are found to be more motivated in performing well compared to those who are kept in the company the whole year. These people get stressed by seeing the same place over and over again which causes their productivity to reduce. An increase in stress will cause them to get sick due to which they will have to take a day off.</w:t>
      </w:r>
    </w:p>
    <w:p>
      <w:pPr>
        <w:pStyle w:val="Body"/>
      </w:pPr>
    </w:p>
    <w:p>
      <w:pPr>
        <w:pStyle w:val="Heading2"/>
      </w:pPr>
      <w:bookmarkStart w:name="_Toc17" w:id="17"/>
      <w:r>
        <w:rPr>
          <w:rtl w:val="0"/>
          <w:lang w:val="en-US"/>
          <w:rFonts w:cs="Arial Unicode MS" w:eastAsia="Arial Unicode MS"/>
        </w:rPr>
        <w:t>Wellbeing</w:t>
      </w:r>
      <w:bookmarkEnd w:id="17"/>
    </w:p>
    <w:p>
      <w:pPr>
        <w:pStyle w:val="Body"/>
        <w:ind w:firstLine="720"/>
      </w:pPr>
      <w:r>
        <w:rPr>
          <w:rtl w:val="0"/>
          <w:lang w:val="en-US"/>
        </w:rPr>
        <w:t xml:space="preserve">According to </w:t>
      </w:r>
      <w:r>
        <w:rPr>
          <w:rtl w:val="0"/>
          <w:lang w:val="fr-FR"/>
          <w:shd w:fill="FFFFFF" w:color="auto" w:val="clear"/>
        </w:rPr>
        <w:t>(Phillips et al., 2017)</w:t>
      </w:r>
      <w:r>
        <w:rPr>
          <w:rtl w:val="0"/>
          <w:lang w:val="en-US"/>
        </w:rPr>
        <w:t>, the granting of leave from the workplace will give these workers the achievement sense and will allow them to focus on their wellbeing. The health and care of an employee are as important as taking work from them, when a person is not having breaks they get sick which causes their performance to reduce.</w:t>
      </w:r>
    </w:p>
    <w:p>
      <w:pPr>
        <w:pStyle w:val="Body"/>
      </w:pPr>
    </w:p>
    <w:p>
      <w:pPr>
        <w:pStyle w:val="Heading2"/>
      </w:pPr>
      <w:bookmarkStart w:name="_Toc18" w:id="18"/>
      <w:r>
        <w:rPr>
          <w:rtl w:val="0"/>
          <w:lang w:val="fr-FR"/>
          <w:rFonts w:cs="Arial Unicode MS" w:eastAsia="Arial Unicode MS"/>
        </w:rPr>
        <w:t>Encouragement</w:t>
      </w:r>
      <w:bookmarkEnd w:id="18"/>
    </w:p>
    <w:p>
      <w:pPr>
        <w:pStyle w:val="Body"/>
        <w:ind w:firstLine="720"/>
      </w:pPr>
      <w:r>
        <w:rPr>
          <w:rtl w:val="0"/>
          <w:lang w:val="en-US"/>
        </w:rPr>
        <w:t>The positivity a person gets from holidays is the biggest factor due to which encouragement of employees increases. The company must make sure their employees are left completely free and stress-free from work when they are given a holiday. Mailing them or texting them during their day off will not allow them to completely enjoy their holiday but will only keep them stressed which will cause them to reduce their encouragement from work.</w:t>
      </w:r>
    </w:p>
    <w:p>
      <w:pPr>
        <w:pStyle w:val="Body"/>
      </w:pPr>
    </w:p>
    <w:p>
      <w:pPr>
        <w:pStyle w:val="Heading"/>
      </w:pPr>
      <w:bookmarkStart w:name="_Toc19" w:id="19"/>
      <w:r>
        <w:rPr>
          <w:rtl w:val="0"/>
          <w:lang w:val="it-IT"/>
          <w:rFonts w:cs="Arial Unicode MS" w:eastAsia="Arial Unicode MS"/>
        </w:rPr>
        <w:t>Conclusion</w:t>
      </w:r>
      <w:bookmarkEnd w:id="19"/>
    </w:p>
    <w:p>
      <w:pPr>
        <w:pStyle w:val="Body"/>
        <w:ind w:firstLine="720"/>
      </w:pPr>
      <w:r>
        <w:rPr>
          <w:rtl w:val="0"/>
          <w:lang w:val="en-US"/>
        </w:rPr>
        <w:t xml:space="preserve">The workplace culture cultivation is the factor because which the employees feel valued, comfortable, and safe in the organisation. Motivation is the key factor because of which employee retention is assured and goal achievement is confirmed for the company. The positivity of the work environment will be leading the teams of the company to grow giving a better bottom line for the organisation. Motivational culture in the company will allow employees to feel recognised in the workplace, this will enhance their worth for the job and will provide them rewards in different forms </w:t>
      </w:r>
      <w:r>
        <w:rPr>
          <w:rtl w:val="0"/>
          <w:lang w:val="nl-NL"/>
          <w:shd w:fill="FFFFFF" w:color="auto" w:val="clear"/>
        </w:rPr>
        <w:t>(van der Kolk et al., 2019)</w:t>
      </w:r>
      <w:r>
        <w:rPr>
          <w:rtl w:val="0"/>
          <w:lang w:val="en-US"/>
        </w:rPr>
        <w:t>. There is better cooperation, empathy, and social connection between employees when motivation is present in the workplace. Collaboration results in the completion of tasks earlier and with better quality. The report has highlighted several points which are essential for the growth of the work performance of an employee.</w:t>
      </w:r>
    </w:p>
    <w:p>
      <w:pPr>
        <w:pStyle w:val="Body"/>
      </w:pPr>
      <w:r>
        <w:rPr>
          <w:b w:val="0"/>
          <w:i w:val="0"/>
          <w:rFonts w:ascii="Arial Unicode MS" w:cs="Arial Unicode MS" w:eastAsia="Arial Unicode MS" w:hAnsi="Arial Unicode MS"/>
        </w:rPr>
        <w:br w:type="page"/>
      </w:r>
    </w:p>
    <w:p>
      <w:pPr>
        <w:pStyle w:val="Heading"/>
        <w:jc w:val="center"/>
      </w:pPr>
      <w:bookmarkStart w:name="_Toc20" w:id="20"/>
      <w:r>
        <w:rPr>
          <w:rtl w:val="0"/>
          <w:lang w:val="fr-FR"/>
        </w:rPr>
        <w:t>References</w:t>
      </w:r>
      <w:bookmarkEnd w:id="20"/>
    </w:p>
    <w:p>
      <w:pPr>
        <w:pStyle w:val="Body"/>
        <w:ind w:left="720"/>
        <w:ind w:hanging="720"/>
        <w:rPr>
          <w:shd w:fill="FFFFFF" w:color="auto" w:val="clear"/>
        </w:rPr>
      </w:pPr>
      <w:r>
        <w:rPr>
          <w:rtl w:val="0"/>
          <w:lang w:val="en-US"/>
          <w:shd w:fill="FFFFFF" w:color="auto" w:val="clear"/>
        </w:rPr>
        <w:t>Armstrong, M. and Murlis, H., 2007.</w:t>
      </w:r>
      <w:r>
        <w:rPr>
          <w:rtl w:val="0"/>
          <w:shd w:fill="FFFFFF" w:color="auto" w:val="clear"/>
        </w:rPr>
        <w:t> </w:t>
      </w:r>
      <w:r>
        <w:rPr>
          <w:rtl w:val="0"/>
          <w:lang w:val="en-US"/>
          <w:shd w:fill="FFFFFF" w:color="auto" w:val="clear"/>
        </w:rPr>
        <w:t>Reward management: A handbook of remuneration strategy and practice. Kogan Page Publishers.</w:t>
      </w:r>
    </w:p>
    <w:p>
      <w:pPr>
        <w:pStyle w:val="Body"/>
        <w:ind w:left="720"/>
        <w:ind w:hanging="720"/>
        <w:rPr>
          <w:shd w:fill="FFFFFF" w:color="auto" w:val="clear"/>
        </w:rPr>
      </w:pPr>
      <w:r>
        <w:rPr>
          <w:rtl w:val="0"/>
          <w:lang w:val="en-US"/>
          <w:shd w:fill="FFFFFF" w:color="auto" w:val="clear"/>
        </w:rPr>
        <w:t>Cohen, S., 2006. Compliment your staff with nonmonetary rewards.</w:t>
      </w:r>
      <w:r>
        <w:rPr>
          <w:rtl w:val="0"/>
          <w:shd w:fill="FFFFFF" w:color="auto" w:val="clear"/>
        </w:rPr>
        <w:t> </w:t>
      </w:r>
      <w:r>
        <w:rPr>
          <w:iCs w:val="1"/>
          <w:rtl w:val="0"/>
          <w:lang w:val="en-US"/>
          <w:i/>
          <w:shd w:fill="FFFFFF" w:color="auto" w:val="clear"/>
        </w:rPr>
        <w:t>Nursing Management</w:t>
      </w:r>
      <w:r>
        <w:rPr>
          <w:rtl w:val="0"/>
          <w:shd w:fill="FFFFFF" w:color="auto" w:val="clear"/>
        </w:rPr>
        <w:t>,</w:t>
      </w:r>
      <w:r>
        <w:rPr>
          <w:rtl w:val="0"/>
          <w:shd w:fill="FFFFFF" w:color="auto" w:val="clear"/>
        </w:rPr>
        <w:t> </w:t>
      </w:r>
      <w:r>
        <w:rPr>
          <w:iCs w:val="1"/>
          <w:rtl w:val="0"/>
          <w:i/>
          <w:shd w:fill="FFFFFF" w:color="auto" w:val="clear"/>
        </w:rPr>
        <w:t>37</w:t>
      </w:r>
      <w:r>
        <w:rPr>
          <w:rtl w:val="0"/>
          <w:shd w:fill="FFFFFF" w:color="auto" w:val="clear"/>
        </w:rPr>
        <w:t>(12), pp.10-14.</w:t>
      </w:r>
    </w:p>
    <w:p>
      <w:pPr>
        <w:pStyle w:val="Body"/>
        <w:ind w:left="720"/>
        <w:ind w:hanging="720"/>
      </w:pPr>
      <w:r>
        <w:rPr>
          <w:rtl w:val="0"/>
          <w:lang w:val="en-US"/>
        </w:rPr>
        <w:t>Ghoshal, S and Bartlett, C A (1995) Changing the role of top management: beyond structure to process, Harvard Business Review, January</w:t>
      </w:r>
      <w:r>
        <w:rPr>
          <w:rtl w:val="0"/>
        </w:rPr>
        <w:t>–</w:t>
      </w:r>
      <w:r>
        <w:rPr>
          <w:rtl w:val="0"/>
          <w:lang w:val="en-US"/>
        </w:rPr>
        <w:t>February, pp 86</w:t>
      </w:r>
      <w:r>
        <w:rPr>
          <w:rtl w:val="0"/>
        </w:rPr>
        <w:t>–</w:t>
      </w:r>
      <w:r>
        <w:rPr>
          <w:rtl w:val="0"/>
        </w:rPr>
        <w:t>96</w:t>
      </w:r>
    </w:p>
    <w:p>
      <w:pPr>
        <w:pStyle w:val="Body"/>
        <w:ind w:left="720"/>
        <w:ind w:hanging="720"/>
        <w:rPr>
          <w:shd w:fill="FFFFFF" w:color="auto" w:val="clear"/>
        </w:rPr>
      </w:pPr>
      <w:r>
        <w:rPr>
          <w:rtl w:val="0"/>
          <w:lang w:val="en-US"/>
          <w:shd w:fill="FFFFFF" w:color="auto" w:val="clear"/>
        </w:rPr>
        <w:t>Hanaysha, J.R. and Majid, M., 2018. Employee motivation and its role in improving the productivity and organisational commitment at higher education institutions.</w:t>
      </w:r>
      <w:r>
        <w:rPr>
          <w:rtl w:val="0"/>
          <w:shd w:fill="FFFFFF" w:color="auto" w:val="clear"/>
        </w:rPr>
        <w:t> </w:t>
      </w:r>
      <w:r>
        <w:rPr>
          <w:iCs w:val="1"/>
          <w:rtl w:val="0"/>
          <w:lang w:val="en-US"/>
          <w:i/>
          <w:shd w:fill="FFFFFF" w:color="auto" w:val="clear"/>
        </w:rPr>
        <w:t>Journal of Entrepreneurship and Business</w:t>
      </w:r>
      <w:r>
        <w:rPr>
          <w:rtl w:val="0"/>
          <w:shd w:fill="FFFFFF" w:color="auto" w:val="clear"/>
        </w:rPr>
        <w:t>,</w:t>
      </w:r>
      <w:r>
        <w:rPr>
          <w:rtl w:val="0"/>
          <w:shd w:fill="FFFFFF" w:color="auto" w:val="clear"/>
        </w:rPr>
        <w:t> </w:t>
      </w:r>
      <w:r>
        <w:rPr>
          <w:iCs w:val="1"/>
          <w:rtl w:val="0"/>
          <w:i/>
          <w:shd w:fill="FFFFFF" w:color="auto" w:val="clear"/>
        </w:rPr>
        <w:t>6</w:t>
      </w:r>
      <w:r>
        <w:rPr>
          <w:rtl w:val="0"/>
          <w:shd w:fill="FFFFFF" w:color="auto" w:val="clear"/>
        </w:rPr>
        <w:t>(1), pp.17-28.</w:t>
      </w:r>
    </w:p>
    <w:p>
      <w:pPr>
        <w:pStyle w:val="Body"/>
        <w:ind w:left="720"/>
        <w:ind w:hanging="720"/>
      </w:pPr>
      <w:r>
        <w:rPr>
          <w:rtl w:val="0"/>
          <w:lang w:val="it-IT"/>
          <w:shd w:fill="FFFFFF" w:color="auto" w:val="clear"/>
        </w:rPr>
        <w:t>Lorincov</w:t>
      </w:r>
      <w:r>
        <w:rPr>
          <w:rtl w:val="0"/>
          <w:shd w:fill="FFFFFF" w:color="auto" w:val="clear"/>
        </w:rPr>
        <w:t>á</w:t>
      </w:r>
      <w:r>
        <w:rPr>
          <w:rtl w:val="0"/>
          <w:shd w:fill="FFFFFF" w:color="auto" w:val="clear"/>
        </w:rPr>
        <w:t xml:space="preserve">, S., </w:t>
      </w:r>
      <w:r>
        <w:rPr>
          <w:rtl w:val="0"/>
          <w:shd w:fill="FFFFFF" w:color="auto" w:val="clear"/>
        </w:rPr>
        <w:t>Š</w:t>
      </w:r>
      <w:r>
        <w:rPr>
          <w:rtl w:val="0"/>
          <w:shd w:fill="FFFFFF" w:color="auto" w:val="clear"/>
        </w:rPr>
        <w:t>tarcho</w:t>
      </w:r>
      <w:r>
        <w:rPr>
          <w:rtl w:val="0"/>
          <w:shd w:fill="FFFFFF" w:color="auto" w:val="clear"/>
        </w:rPr>
        <w:t>ň</w:t>
      </w:r>
      <w:r>
        <w:rPr>
          <w:rtl w:val="0"/>
          <w:shd w:fill="FFFFFF" w:color="auto" w:val="clear"/>
        </w:rPr>
        <w:t>, P., Weberova, D., Hitka, M. and Lipoldov</w:t>
      </w:r>
      <w:r>
        <w:rPr>
          <w:rtl w:val="0"/>
          <w:shd w:fill="FFFFFF" w:color="auto" w:val="clear"/>
        </w:rPr>
        <w:t>á</w:t>
      </w:r>
      <w:r>
        <w:rPr>
          <w:rtl w:val="0"/>
          <w:lang w:val="en-US"/>
          <w:shd w:fill="FFFFFF" w:color="auto" w:val="clear"/>
        </w:rPr>
        <w:t>, M., 2019. Employee motivation as a tool to achieve sustainability of business processes.</w:t>
      </w:r>
      <w:r>
        <w:rPr>
          <w:rtl w:val="0"/>
          <w:shd w:fill="FFFFFF" w:color="auto" w:val="clear"/>
        </w:rPr>
        <w:t> </w:t>
      </w:r>
      <w:r>
        <w:rPr>
          <w:iCs w:val="1"/>
          <w:rtl w:val="0"/>
          <w:i/>
          <w:shd w:fill="FFFFFF" w:color="auto" w:val="clear"/>
        </w:rPr>
        <w:t>Sustainability</w:t>
      </w:r>
      <w:r>
        <w:rPr>
          <w:rtl w:val="0"/>
          <w:shd w:fill="FFFFFF" w:color="auto" w:val="clear"/>
        </w:rPr>
        <w:t>,</w:t>
      </w:r>
      <w:r>
        <w:rPr>
          <w:rtl w:val="0"/>
          <w:shd w:fill="FFFFFF" w:color="auto" w:val="clear"/>
        </w:rPr>
        <w:t> </w:t>
      </w:r>
      <w:r>
        <w:rPr>
          <w:iCs w:val="1"/>
          <w:rtl w:val="0"/>
          <w:i/>
          <w:shd w:fill="FFFFFF" w:color="auto" w:val="clear"/>
        </w:rPr>
        <w:t>11</w:t>
      </w:r>
      <w:r>
        <w:rPr>
          <w:rtl w:val="0"/>
          <w:shd w:fill="FFFFFF" w:color="auto" w:val="clear"/>
        </w:rPr>
        <w:t>(13), p.3509.</w:t>
      </w:r>
    </w:p>
    <w:p>
      <w:pPr>
        <w:pStyle w:val="Body"/>
        <w:ind w:left="720"/>
        <w:ind w:hanging="720"/>
        <w:rPr>
          <w:shd w:fill="FFFFFF" w:color="auto" w:val="clear"/>
        </w:rPr>
      </w:pPr>
      <w:r>
        <w:rPr>
          <w:rtl w:val="0"/>
          <w:lang w:val="en-US"/>
          <w:shd w:fill="FFFFFF" w:color="auto" w:val="clear"/>
        </w:rPr>
        <w:t>Paais, M. and Pattiruhu, J.R., 2020. Effect of motivation, leadership, and organisational culture on satisfaction and employee performance.</w:t>
      </w:r>
      <w:r>
        <w:rPr>
          <w:rtl w:val="0"/>
          <w:shd w:fill="FFFFFF" w:color="auto" w:val="clear"/>
        </w:rPr>
        <w:t> </w:t>
      </w:r>
      <w:r>
        <w:rPr>
          <w:iCs w:val="1"/>
          <w:rtl w:val="0"/>
          <w:lang w:val="en-US"/>
          <w:i/>
          <w:shd w:fill="FFFFFF" w:color="auto" w:val="clear"/>
        </w:rPr>
        <w:t>The Journal of Asian Finance, Economics, and Business</w:t>
      </w:r>
      <w:r>
        <w:rPr>
          <w:rtl w:val="0"/>
          <w:shd w:fill="FFFFFF" w:color="auto" w:val="clear"/>
        </w:rPr>
        <w:t>,</w:t>
      </w:r>
      <w:r>
        <w:rPr>
          <w:rtl w:val="0"/>
          <w:shd w:fill="FFFFFF" w:color="auto" w:val="clear"/>
        </w:rPr>
        <w:t> </w:t>
      </w:r>
      <w:r>
        <w:rPr>
          <w:iCs w:val="1"/>
          <w:rtl w:val="0"/>
          <w:i/>
          <w:shd w:fill="FFFFFF" w:color="auto" w:val="clear"/>
        </w:rPr>
        <w:t>7</w:t>
      </w:r>
      <w:r>
        <w:rPr>
          <w:rtl w:val="0"/>
          <w:shd w:fill="FFFFFF" w:color="auto" w:val="clear"/>
        </w:rPr>
        <w:t>(8), pp.577-588.</w:t>
      </w:r>
    </w:p>
    <w:p>
      <w:pPr>
        <w:pStyle w:val="Body"/>
        <w:ind w:left="720"/>
        <w:ind w:hanging="720"/>
        <w:rPr>
          <w:shd w:fill="FFFFFF" w:color="auto" w:val="clear"/>
        </w:rPr>
      </w:pPr>
      <w:r>
        <w:rPr>
          <w:rtl w:val="0"/>
          <w:lang w:val="en-US"/>
          <w:shd w:fill="FFFFFF" w:color="auto" w:val="clear"/>
        </w:rPr>
        <w:t>Phillips, H., Bogdanich, I., Carter, K., Holler, J., Smith, T., Ticehurst, E.H. and Wascher, M., 2017. Commentary: Exploring novel approaches to staff rewards and recognition.</w:t>
      </w:r>
      <w:r>
        <w:rPr>
          <w:rtl w:val="0"/>
          <w:shd w:fill="FFFFFF" w:color="auto" w:val="clear"/>
        </w:rPr>
        <w:t> </w:t>
      </w:r>
      <w:r>
        <w:rPr>
          <w:iCs w:val="1"/>
          <w:rtl w:val="0"/>
          <w:lang w:val="en-US"/>
          <w:i/>
          <w:shd w:fill="FFFFFF" w:color="auto" w:val="clear"/>
        </w:rPr>
        <w:t>Hospital pharmacy</w:t>
      </w:r>
      <w:r>
        <w:rPr>
          <w:rtl w:val="0"/>
          <w:shd w:fill="FFFFFF" w:color="auto" w:val="clear"/>
        </w:rPr>
        <w:t>,</w:t>
      </w:r>
      <w:r>
        <w:rPr>
          <w:rtl w:val="0"/>
          <w:shd w:fill="FFFFFF" w:color="auto" w:val="clear"/>
        </w:rPr>
        <w:t> </w:t>
      </w:r>
      <w:r>
        <w:rPr>
          <w:iCs w:val="1"/>
          <w:rtl w:val="0"/>
          <w:i/>
          <w:shd w:fill="FFFFFF" w:color="auto" w:val="clear"/>
        </w:rPr>
        <w:t>52</w:t>
      </w:r>
      <w:r>
        <w:rPr>
          <w:rtl w:val="0"/>
          <w:shd w:fill="FFFFFF" w:color="auto" w:val="clear"/>
        </w:rPr>
        <w:t>(11), pp.729-731.</w:t>
      </w:r>
    </w:p>
    <w:p>
      <w:pPr>
        <w:pStyle w:val="Body"/>
        <w:ind w:left="720"/>
        <w:ind w:hanging="720"/>
      </w:pPr>
      <w:r>
        <w:rPr>
          <w:rtl w:val="0"/>
          <w:lang w:val="en-US"/>
          <w:shd w:fill="FFFFFF" w:color="auto" w:val="clear"/>
        </w:rPr>
        <w:t>van der Kolk, B., van Veen-Dirks, P.M. and ter Bogt, H.J., 2019. The impact of management control on employee motivation and performance in the public sector.</w:t>
      </w:r>
      <w:r>
        <w:rPr>
          <w:rtl w:val="0"/>
          <w:shd w:fill="FFFFFF" w:color="auto" w:val="clear"/>
        </w:rPr>
        <w:t> </w:t>
      </w:r>
      <w:r>
        <w:rPr>
          <w:iCs w:val="1"/>
          <w:rtl w:val="0"/>
          <w:lang w:val="en-US"/>
          <w:i/>
          <w:shd w:fill="FFFFFF" w:color="auto" w:val="clear"/>
        </w:rPr>
        <w:t>European Accounting Review</w:t>
      </w:r>
      <w:r>
        <w:rPr>
          <w:rtl w:val="0"/>
          <w:shd w:fill="FFFFFF" w:color="auto" w:val="clear"/>
        </w:rPr>
        <w:t>,</w:t>
      </w:r>
      <w:r>
        <w:rPr>
          <w:rtl w:val="0"/>
          <w:shd w:fill="FFFFFF" w:color="auto" w:val="clear"/>
        </w:rPr>
        <w:t> </w:t>
      </w:r>
      <w:r>
        <w:rPr>
          <w:iCs w:val="1"/>
          <w:rtl w:val="0"/>
          <w:i/>
          <w:shd w:fill="FFFFFF" w:color="auto" w:val="clear"/>
        </w:rPr>
        <w:t>28</w:t>
      </w:r>
      <w:r>
        <w:rPr>
          <w:rtl w:val="0"/>
          <w:shd w:fill="FFFFFF" w:color="auto" w:val="clear"/>
        </w:rPr>
        <w:t>(5), pp.901-928.</w:t>
      </w:r>
    </w:p>
    <w:sectPr w:val="1">
      <w:bidi w:val="0"/>
      <w:headerReference r:id="rId4" w:type="default"/>
      <w:headerReference r:id="rId5" w:type="first"/>
      <w:footerReference r:id="rId6" w:type="default"/>
      <w:footerReference r:id="rId7" w:type="first"/>
      <w:pgSz w:w="12240" w:h="15840" w:orient="portrait"/>
      <w:pgMar w:left="1440" w:right="1440" w:top="1440" w:bottom="1440" w:header="720" w:footer="720"/>
      <w:titlePg/>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Calibri"/>
  <w:font w:name="Courier New"/>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jc w:val="right"/>
    </w:pPr>
    <w:r>
      <w:rPr>
        <w:rtl w:val="0"/>
        <w:lang w:val="en-US"/>
      </w:rPr>
      <w:t xml:space="preserve">      </w:t>
    </w: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val="0">
  <w:view w:val="print"/>
  <w:mirrorMargins w:val="0"/>
  <w:bordersDoNotSurroundHeader w:val="0"/>
  <w:bordersDoNotSurroundFooter w:val="0"/>
  <w:displayBackgroundShape/>
  <w:revisionView w:markup="1" w:comments="1" w:insDel="1" w:formatting="0"/>
  <w:defaultTabStop w:val="720"/>
  <w:autoHyphenation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evenAndOddHeaders/>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bCs w:val="0"/>
        <w:iCs w:val="0"/>
        <w:spacing w:val="0"/>
        <w:w w:val="100"/>
        <w:kern w:val="0"/>
        <w:position w:val="0"/>
        <w:bdr w:val="nil"/>
        <w:lang/>
        <w:b w:val="0"/>
        <w:i w:val="0"/>
        <w:u w:val="none" w:color="auto"/>
        <w:strike w:val="0"/>
        <w:dstrike w:val="0"/>
        <w:color w:val="auto"/>
        <w:rFonts w:ascii="Times New Roman" w:cs="Times New Roman" w:eastAsia="Arial Unicode MS" w:hAnsi="Times New Roman"/>
        <w:sz w:val="20"/>
        <w:szCs w:val="20"/>
        <w:smallCaps w:val="0"/>
        <w:caps w:val="0"/>
        <w:vanish w:val="0"/>
        <w:emboss w:val="0"/>
        <w:imprint w:val="0"/>
        <w:outline w:val="0"/>
      </w:rPr>
    </w:rPrDefault>
    <w:pPrDefault>
      <w:pPr>
        <w:keepNext w:val="0"/>
        <w:keepLines w:val="0"/>
        <w:framePr w:anchorLock="0" w:w="0" w:h="0" w:vSpace="0" w:hSpace="0" w:xAlign="left" w:y="0" w:hRule="exact" w:vAnchor="margin"/>
        <w:widowControl w:val="1"/>
        <w:suppressLineNumbers w:val="0"/>
        <w:suppressAutoHyphens w:val="0"/>
        <w:outlineLvl w:val="9"/>
        <w:pBdr>
          <w:top w:val="nil" w:sz="0" w:color="auto" w:space="0"/>
          <w:bottom w:val="nil" w:sz="0" w:color="auto" w:space="0"/>
          <w:left w:val="nil" w:sz="0" w:color="auto" w:space="0"/>
          <w:right w:val="nil" w:sz="0" w:color="auto" w:space="0"/>
          <w:between w:val="nil" w:sz="0" w:color="auto" w:space="0"/>
          <w:bar w:val="nil" w:sz="0" w:color="auto" w:space="0"/>
        </w:pBdr>
        <w:shd w:fill="auto" w:color="auto" w:val="clear"/>
        <w:numPr>
          <w:ilvl w:val="0"/>
          <w:numId w:val="0"/>
        </w:numPr>
        <w:jc w:val="left"/>
        <w:ind w:left="0"/>
        <w:ind w:right="0"/>
        <w:ind w:firstLine="0"/>
        <w:pageBreakBefore w:val="0"/>
        <w:spacing w:before="0" w:beforeAutospacing="0" w:after="0" w:afterAutospacing="0" w:line="24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/&gt;
  </w:latentStyles>
  <w:style w:type="paragraph" w:default="1" w:styleId="Normal">
    <w:name w:val="Normal"/>
    <w:next w:val="Normal"/>
    <w:pPr/>
    <w:rPr>
      <w:lang w:val="en-US" w:eastAsia="en-US" w:bidi="ar-SA"/>
      <w:sz w:val="24"/>
      <w:szCs w:val="24"/>
    </w:rPr>
  </w:style>
  <w:style w:type="character" w:default="1" w:styleId="DefaultParagraphFont">
    <w:name w:val="Default Paragraph Font"/>
    <w:next w:val="Default Paragraph Font"/>
  </w:style>
  <w:style w:type="character" w:styleId="Hyperlink">
    <w:name w:val="Hyperlink"/>
    <w:rPr>
      <w:u w:val="single"/>
    </w:rPr>
  </w:style>
  <w:style w:type="table" w:default="1" w:styleId="TableNormal">
    <w:name w:val="Table Normal"/>
    <w:pPr/>
    <w:tblPr>
      <w:tblInd w:w="0" w:type="dxa"/>
    </w:tblPr>
    <w:tcPr/>
    <w:tblStylePr w:type="band1Vert"/>
    <w:tblStylePr w:type="band2Vert"/>
    <w:tblStylePr w:type="band1Horz"/>
    <w:tblStylePr w:type="band2Horz"/>
    <w:tblStylePr w:type="firstRow"/>
    <w:tblStylePr w:type="lastRow"/>
    <w:tblStylePr w:type="firstCol"/>
    <w:tblStylePr w:type="lastCol"/>
    <w:tblStylePr w:type="nwCell"/>
    <w:tblStylePr w:type="neCell"/>
    <w:tblStylePr w:type="swCell"/>
    <w:tblStylePr w:type="seCell"/>
    <w:next w:val="Table Normal"/>
    <w:trPr/>
  </w:style>
  <w:style w:type="numbering" w:default="1" w:styleId="NoList">
    <w:name w:val="No List"/>
    <w:next w:val="No List"/>
    <w:pPr/>
  </w:style>
  <w:style w:type="paragraph" w:styleId="header">
    <w:name w:val="header"/>
    <w:next w:val="header"/>
    <w:pPr>
      <w:keepNext w:val="0"/>
      <w:keepLines w:val="0"/>
      <w:widowControl w:val="1"/>
      <w:suppressAutoHyphens w:val="0"/>
      <w:bidi w:val="0"/>
      <w:outlineLvl w:val="9"/>
      <w:shd w:fill="auto" w:color="auto" w:val="clear"/>
      <w:jc w:val="left"/>
      <w:ind w:left="0"/>
      <w:ind w:right="0"/>
      <w:ind w:firstLine="0"/>
      <w:pageBreakBefore w:val="0"/>
      <w:spacing w:before="0" w:after="0" w:line="240" w:lineRule="auto"/>
      <w:tabs>
        <w:tab w:val="center" w:pos="4680"/>
        <w:tab w:val="right" w:pos="9360"/>
      </w:tabs>
    </w:pPr>
    <w:rPr>
      <w:bCs w:val="0"/>
      <w:iCs w:val="0"/>
      <w:spacing w:val="0"/>
      <w:kern w:val="0"/>
      <w:position w:val="0"/>
      <w:lang w:val="en-US"/>
      <w14:textFill>
        <w14:solidFill>
          <w14:srgbClr w14:val="000000"/>
        </w14:solidFill>
      </w14:textFill>
      <w:b w:val="0"/>
      <w:i w:val="0"/>
      <w:u w:val="none" w:color="000000"/>
      <w:strike w:val="0"/>
      <w:dstrike w:val="0"/>
      <w:color w:val="000000"/>
      <w:rFonts w:ascii="Times New Roman" w:cs="Arial Unicode MS" w:eastAsia="Arial Unicode MS" w:hAnsi="Times New Roman"/>
      <w:sz w:val="24"/>
      <w:szCs w:val="24"/>
      <w:smallCaps w:val="0"/>
      <w:caps w:val="0"/>
      <w:shd w:fill="auto" w:color="auto" w:val="nil"/>
      <w:outline w:val="0"/>
    </w:rPr>
  </w:style>
  <w:style w:type="paragraph" w:styleId="HeaderampFooter">
    <w:name w:val="Header &amp; Footer"/>
    <w:next w:val="Header &amp; Footer"/>
    <w:pPr>
      <w:keepNext w:val="0"/>
      <w:keepLines w:val="0"/>
      <w:widowControl w:val="1"/>
      <w:suppressAutoHyphens w:val="0"/>
      <w:bidi w:val="0"/>
      <w:outlineLvl w:val="9"/>
      <w:shd w:fill="auto" w:color="auto" w:val="clear"/>
      <w:jc w:val="left"/>
      <w:ind w:left="0"/>
      <w:ind w:right="0"/>
      <w:ind w:firstLine="0"/>
      <w:pageBreakBefore w:val="0"/>
      <w:spacing w:before="0" w:after="0" w:line="240" w:lineRule="auto"/>
      <w:tabs>
        <w:tab w:val="right" w:pos="9020"/>
      </w:tabs>
    </w:pPr>
    <w:rPr>
      <w:bCs w:val="0"/>
      <w:iCs w:val="0"/>
      <w:spacing w:val="0"/>
      <w:kern w:val="0"/>
      <w:position w:val="0"/>
      <w14:textOutline>
        <w14:noFill/>
      </w14:textOutline>
      <w14:textFill>
        <w14:solidFill>
          <w14:srgbClr w14:val="000000"/>
        </w14:solidFill>
      </w14:textFill>
      <w:b w:val="0"/>
      <w:i w:val="0"/>
      <w:u w:val="none"/>
      <w:strike w:val="0"/>
      <w:dstrike w:val="0"/>
      <w:color w:val="000000"/>
      <w:rFonts w:ascii="Helvetica Neue" w:cs="Helvetica Neue" w:eastAsia="Helvetica Neue" w:hAnsi="Helvetica Neue"/>
      <w:sz w:val="24"/>
      <w:szCs w:val="24"/>
      <w:smallCaps w:val="0"/>
      <w:caps w:val="0"/>
      <w:shd w:fill="auto" w:color="auto" w:val="nil"/>
      <w:outline w:val="0"/>
    </w:rPr>
  </w:style>
  <w:style w:type="paragraph" w:styleId="Body">
    <w:name w:val="Body"/>
    <w:next w:val="Body"/>
    <w:pPr>
      <w:keepNext w:val="0"/>
      <w:keepLines w:val="0"/>
      <w:widowControl w:val="1"/>
      <w:suppressAutoHyphens w:val="0"/>
      <w:bidi w:val="0"/>
      <w:outlineLvl w:val="9"/>
      <w:shd w:fill="auto" w:color="auto" w:val="clear"/>
      <w:jc w:val="left"/>
      <w:ind w:left="0"/>
      <w:ind w:right="0"/>
      <w:ind w:firstLine="0"/>
      <w:pageBreakBefore w:val="0"/>
      <w:spacing w:before="0" w:after="0" w:line="480" w:lineRule="auto"/>
    </w:pPr>
    <w:rPr>
      <w:bCs w:val="0"/>
      <w:iCs w:val="0"/>
      <w:spacing w:val="0"/>
      <w:kern w:val="0"/>
      <w:position w:val="0"/>
      <w:lang w:val="en-US"/>
      <w14:textOutline>
        <w14:noFill/>
      </w14:textOutline>
      <w14:textFill>
        <w14:solidFill>
          <w14:srgbClr w14:val="000000"/>
        </w14:solidFill>
      </w14:textFill>
      <w:b w:val="0"/>
      <w:i w:val="0"/>
      <w:u w:val="none" w:color="000000"/>
      <w:strike w:val="0"/>
      <w:dstrike w:val="0"/>
      <w:color w:val="000000"/>
      <w:rFonts w:ascii="Times New Roman" w:cs="Arial Unicode MS" w:eastAsia="Arial Unicode MS" w:hAnsi="Times New Roman"/>
      <w:sz w:val="24"/>
      <w:szCs w:val="24"/>
      <w:smallCaps w:val="0"/>
      <w:caps w:val="0"/>
      <w:shd w:fill="auto" w:color="auto" w:val="nil"/>
      <w:outline w:val="0"/>
    </w:rPr>
  </w:style>
  <w:style w:type="paragraph" w:styleId="TOCHeading">
    <w:name w:val="TOC Heading"/>
    <w:next w:val="Body"/>
    <w:pPr>
      <w:keepNext w:val="1"/>
      <w:keepLines w:val="1"/>
      <w:widowControl w:val="1"/>
      <w:suppressAutoHyphens w:val="0"/>
      <w:bidi w:val="0"/>
      <w:outlineLvl w:val="9"/>
      <w:shd w:fill="auto" w:color="auto" w:val="clear"/>
      <w:jc w:val="left"/>
      <w:ind w:left="0"/>
      <w:ind w:right="0"/>
      <w:ind w:firstLine="0"/>
      <w:pageBreakBefore w:val="0"/>
      <w:spacing w:before="240" w:after="0" w:line="259" w:lineRule="auto"/>
    </w:pPr>
    <w:rPr>
      <w:bCs w:val="0"/>
      <w:iCs w:val="0"/>
      <w:spacing w:val="0"/>
      <w:kern w:val="0"/>
      <w:position w:val="0"/>
      <w:lang w:val="en-US"/>
      <w14:textFill>
        <w14:solidFill>
          <w14:srgbClr w14:val="365F91"/>
        </w14:solidFill>
      </w14:textFill>
      <w:b w:val="0"/>
      <w:i w:val="0"/>
      <w:u w:val="none" w:color="365f91"/>
      <w:strike w:val="0"/>
      <w:dstrike w:val="0"/>
      <w:color w:val="365F91"/>
      <w:rFonts w:ascii="Cambria" w:cs="Arial Unicode MS" w:eastAsia="Arial Unicode MS" w:hAnsi="Cambria"/>
      <w:sz w:val="32"/>
      <w:szCs w:val="32"/>
      <w:smallCaps w:val="0"/>
      <w:caps w:val="0"/>
      <w:shd w:fill="auto" w:color="auto" w:val="nil"/>
      <w:outline w:val="0"/>
    </w:rPr>
  </w:style>
  <w:style w:type="paragraph" w:styleId="toc1">
    <w:name w:val="toc 1"/>
    <w:next w:val="Body"/>
    <w:pPr>
      <w:keepNext w:val="0"/>
      <w:keepLines w:val="0"/>
      <w:widowControl w:val="1"/>
      <w:suppressAutoHyphens w:val="0"/>
      <w:bidi w:val="0"/>
      <w:outlineLvl w:val="9"/>
      <w:shd w:fill="auto" w:color="auto" w:val="clear"/>
      <w:jc w:val="left"/>
      <w:ind w:left="0"/>
      <w:ind w:right="0"/>
      <w:ind w:firstLine="0"/>
      <w:pageBreakBefore w:val="0"/>
      <w:spacing w:before="0" w:after="100" w:line="480" w:lineRule="auto"/>
    </w:pPr>
    <w:rPr>
      <w:bCs w:val="0"/>
      <w:iCs w:val="0"/>
      <w:spacing w:val="0"/>
      <w:kern w:val="0"/>
      <w:position w:val="0"/>
      <w:lang w:val="en-US"/>
      <w14:textFill>
        <w14:solidFill>
          <w14:srgbClr w14:val="000000"/>
        </w14:solidFill>
      </w14:textFill>
      <w:b w:val="0"/>
      <w:i w:val="0"/>
      <w:u w:val="none" w:color="000000"/>
      <w:strike w:val="0"/>
      <w:dstrike w:val="0"/>
      <w:color w:val="000000"/>
      <w:rFonts w:ascii="Times New Roman" w:cs="Times New Roman" w:eastAsia="Times New Roman" w:hAnsi="Times New Roman"/>
      <w:sz w:val="24"/>
      <w:szCs w:val="24"/>
      <w:smallCaps w:val="0"/>
      <w:caps w:val="0"/>
      <w:shd w:fill="auto" w:color="auto" w:val="nil"/>
      <w:outline w:val="0"/>
    </w:rPr>
  </w:style>
  <w:style w:type="paragraph" w:styleId="TOC10">
    <w:name w:val="TOC 1"/>
    <w:next w:val="TOC 1.0"/>
    <w:pPr>
      <w:keepNext w:val="0"/>
      <w:keepLines w:val="0"/>
      <w:widowControl w:val="1"/>
      <w:suppressAutoHyphens w:val="0"/>
      <w:bidi w:val="0"/>
      <w:outlineLvl w:val="9"/>
      <w:shd w:fill="auto" w:color="auto" w:val="clear"/>
      <w:jc w:val="left"/>
      <w:ind w:left="0"/>
      <w:ind w:right="0"/>
      <w:ind w:firstLine="0"/>
      <w:pageBreakBefore w:val="0"/>
      <w:spacing w:before="0" w:after="100" w:line="360" w:lineRule="auto"/>
      <w:tabs>
        <w:tab w:val="right" w:leader="dot" w:pos="9340"/>
      </w:tabs>
    </w:pPr>
    <w:rPr>
      <w:bCs w:val="0"/>
      <w:iCs w:val="0"/>
      <w:spacing w:val="0"/>
      <w:kern w:val="0"/>
      <w:position w:val="0"/>
      <w:lang w:val="en-US"/>
      <w14:textFill>
        <w14:solidFill>
          <w14:srgbClr w14:val="000000"/>
        </w14:solidFill>
      </w14:textFill>
      <w:b w:val="0"/>
      <w:i w:val="0"/>
      <w:u w:val="none" w:color="000000"/>
      <w:strike w:val="0"/>
      <w:dstrike w:val="0"/>
      <w:color w:val="000000"/>
      <w:rFonts w:ascii="Times New Roman" w:cs="Times New Roman" w:eastAsia="Times New Roman" w:hAnsi="Times New Roman"/>
      <w:sz w:val="24"/>
      <w:szCs w:val="24"/>
      <w:smallCaps w:val="0"/>
      <w:caps w:val="0"/>
      <w:shd w:fill="auto" w:color="auto" w:val="nil"/>
      <w:outline w:val="0"/>
    </w:rPr>
  </w:style>
  <w:style w:type="paragraph" w:styleId="Heading">
    <w:name w:val="Heading"/>
    <w:next w:val="Body"/>
    <w:pPr>
      <w:keepNext w:val="0"/>
      <w:keepLines w:val="0"/>
      <w:widowControl w:val="1"/>
      <w:suppressAutoHyphens w:val="0"/>
      <w:bidi w:val="0"/>
      <w:outlineLvl w:val="0"/>
      <w:shd w:fill="auto" w:color="auto" w:val="clear"/>
      <w:jc w:val="left"/>
      <w:ind w:left="0"/>
      <w:ind w:right="0"/>
      <w:ind w:firstLine="0"/>
      <w:pageBreakBefore w:val="0"/>
      <w:spacing w:before="0" w:after="0" w:line="480" w:lineRule="auto"/>
    </w:pPr>
    <w:rPr>
      <w:bCs w:val="1"/>
      <w:iCs w:val="1"/>
      <w:spacing w:val="0"/>
      <w:kern w:val="0"/>
      <w:position w:val="0"/>
      <w14:textOutline>
        <w14:noFill/>
      </w14:textOutline>
      <w14:textFill>
        <w14:solidFill>
          <w14:srgbClr w14:val="000000"/>
        </w14:solidFill>
      </w14:textFill>
      <w:b/>
      <w:i/>
      <w:u w:val="none" w:color="000000"/>
      <w:strike w:val="0"/>
      <w:dstrike w:val="0"/>
      <w:color w:val="000000"/>
      <w:rFonts w:ascii="Times New Roman" w:cs="Times New Roman" w:eastAsia="Times New Roman" w:hAnsi="Times New Roman"/>
      <w:sz w:val="24"/>
      <w:szCs w:val="24"/>
      <w:smallCaps w:val="0"/>
      <w:caps w:val="0"/>
      <w:shd w:fill="auto" w:color="auto" w:val="nil"/>
      <w:outline w:val="0"/>
    </w:rPr>
  </w:style>
  <w:style w:type="paragraph" w:styleId="TOC2">
    <w:name w:val="TOC 2"/>
    <w:next w:val="TOC 2"/>
    <w:pPr>
      <w:keepNext w:val="0"/>
      <w:keepLines w:val="0"/>
      <w:widowControl w:val="1"/>
      <w:suppressAutoHyphens w:val="0"/>
      <w:bidi w:val="0"/>
      <w:outlineLvl w:val="9"/>
      <w:shd w:fill="auto" w:color="auto" w:val="clear"/>
      <w:jc w:val="left"/>
      <w:ind w:left="240"/>
      <w:ind w:right="0"/>
      <w:ind w:firstLine="0"/>
      <w:pageBreakBefore w:val="0"/>
      <w:spacing w:before="0" w:after="100" w:line="360" w:lineRule="auto"/>
      <w:tabs>
        <w:tab w:val="right" w:leader="dot" w:pos="9340"/>
      </w:tabs>
    </w:pPr>
    <w:rPr>
      <w:bCs w:val="0"/>
      <w:iCs w:val="0"/>
      <w:spacing w:val="0"/>
      <w:kern w:val="0"/>
      <w:position w:val="0"/>
      <w:lang w:val="en-US"/>
      <w14:textFill>
        <w14:solidFill>
          <w14:srgbClr w14:val="000000"/>
        </w14:solidFill>
      </w14:textFill>
      <w:b w:val="0"/>
      <w:i w:val="0"/>
      <w:u w:val="none" w:color="000000"/>
      <w:strike w:val="0"/>
      <w:dstrike w:val="0"/>
      <w:color w:val="000000"/>
      <w:rFonts w:ascii="Times New Roman" w:cs="Times New Roman" w:eastAsia="Times New Roman" w:hAnsi="Times New Roman"/>
      <w:sz w:val="24"/>
      <w:szCs w:val="24"/>
      <w:smallCaps w:val="0"/>
      <w:caps w:val="0"/>
      <w:shd w:fill="auto" w:color="auto" w:val="nil"/>
      <w:outline w:val="0"/>
    </w:rPr>
  </w:style>
  <w:style w:type="paragraph" w:styleId="Heading2">
    <w:name w:val="Heading 2"/>
    <w:next w:val="Body"/>
    <w:pPr>
      <w:keepNext w:val="0"/>
      <w:keepLines w:val="0"/>
      <w:widowControl w:val="1"/>
      <w:suppressAutoHyphens w:val="0"/>
      <w:bidi w:val="0"/>
      <w:outlineLvl w:val="1"/>
      <w:shd w:fill="auto" w:color="auto" w:val="clear"/>
      <w:jc w:val="left"/>
      <w:ind w:left="0"/>
      <w:ind w:right="0"/>
      <w:ind w:firstLine="0"/>
      <w:pageBreakBefore w:val="0"/>
      <w:spacing w:before="0" w:after="0" w:line="480" w:lineRule="auto"/>
    </w:pPr>
    <w:rPr>
      <w:bCs w:val="0"/>
      <w:iCs w:val="1"/>
      <w:spacing w:val="0"/>
      <w:kern w:val="0"/>
      <w:position w:val="0"/>
      <w14:textOutline>
        <w14:noFill/>
      </w14:textOutline>
      <w14:textFill>
        <w14:solidFill>
          <w14:srgbClr w14:val="000000"/>
        </w14:solidFill>
      </w14:textFill>
      <w:b w:val="0"/>
      <w:i/>
      <w:u w:val="none" w:color="000000"/>
      <w:strike w:val="0"/>
      <w:dstrike w:val="0"/>
      <w:color w:val="000000"/>
      <w:rFonts w:ascii="Times New Roman" w:cs="Times New Roman" w:eastAsia="Times New Roman" w:hAnsi="Times New Roman"/>
      <w:sz w:val="24"/>
      <w:szCs w:val="24"/>
      <w:smallCaps w:val="0"/>
      <w:caps w:val="0"/>
      <w:shd w:fill="auto" w:color="auto" w:val="nil"/>
      <w:outline w:val="0"/>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 Id="rId9" Type="http://schemas.openxmlformats.org/officeDocument/2006/relationships/numbering" Target="numbering.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