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A03" w:rsidRPr="00C64A03" w:rsidRDefault="00C64A03" w:rsidP="00C64A03">
      <w:pPr>
        <w:spacing w:after="160" w:line="360" w:lineRule="auto"/>
        <w:jc w:val="both"/>
        <w:rPr>
          <w:rFonts w:eastAsia="Calibri" w:cs="Arial"/>
          <w:b/>
          <w:bCs/>
          <w:kern w:val="2"/>
          <w:sz w:val="24"/>
          <w:szCs w:val="24"/>
          <w:lang w:val="en-GB"/>
          <w14:ligatures w14:val="standardContextual"/>
        </w:rPr>
      </w:pPr>
      <w:r w:rsidRPr="00C64A03">
        <w:rPr>
          <w:rFonts w:eastAsia="Calibri" w:cs="Arial"/>
          <w:noProof/>
          <w:kern w:val="2"/>
          <w:sz w:val="24"/>
          <w:szCs w:val="24"/>
          <w14:ligatures w14:val="standardContextual"/>
        </w:rPr>
        <w:drawing>
          <wp:anchor distT="0" distB="0" distL="114300" distR="114300" simplePos="0" relativeHeight="251659264" behindDoc="0" locked="0" layoutInCell="1" allowOverlap="1" wp14:anchorId="05A09FB0" wp14:editId="7E1AE35F">
            <wp:simplePos x="0" y="0"/>
            <wp:positionH relativeFrom="margin">
              <wp:align>left</wp:align>
            </wp:positionH>
            <wp:positionV relativeFrom="paragraph">
              <wp:posOffset>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eastAsia="Calibri" w:cs="Arial"/>
          <w:b/>
          <w:bCs/>
          <w:kern w:val="2"/>
          <w:sz w:val="24"/>
          <w:szCs w:val="24"/>
          <w:lang w:val="en-GB"/>
          <w14:ligatures w14:val="standardContextual"/>
        </w:rPr>
        <w:t xml:space="preserve"> </w:t>
      </w:r>
    </w:p>
    <w:p w:rsidR="00C64A03" w:rsidRPr="00C64A03" w:rsidRDefault="00C64A03" w:rsidP="00C64A03">
      <w:pPr>
        <w:spacing w:after="160" w:line="360" w:lineRule="auto"/>
        <w:jc w:val="both"/>
        <w:rPr>
          <w:rFonts w:eastAsia="Calibri" w:cs="Arial"/>
          <w:b/>
          <w:bCs/>
          <w:kern w:val="2"/>
          <w:sz w:val="24"/>
          <w:szCs w:val="24"/>
          <w:lang w:val="en-GB"/>
          <w14:ligatures w14:val="standardContextual"/>
        </w:rPr>
      </w:pPr>
    </w:p>
    <w:p w:rsidR="00C64A03" w:rsidRPr="00C64A03" w:rsidRDefault="00C64A03" w:rsidP="00C64A03">
      <w:pPr>
        <w:spacing w:after="160" w:line="360" w:lineRule="auto"/>
        <w:jc w:val="both"/>
        <w:rPr>
          <w:rFonts w:eastAsia="Calibri" w:cs="Arial"/>
          <w:b/>
          <w:bCs/>
          <w:kern w:val="2"/>
          <w:sz w:val="24"/>
          <w:szCs w:val="24"/>
          <w:lang w:val="en-GB"/>
          <w14:ligatures w14:val="standardContextual"/>
        </w:rPr>
      </w:pPr>
    </w:p>
    <w:p w:rsidR="00C64A03" w:rsidRPr="00C64A03" w:rsidRDefault="00C64A03" w:rsidP="00C64A03">
      <w:pPr>
        <w:tabs>
          <w:tab w:val="left" w:pos="6540"/>
        </w:tabs>
        <w:spacing w:after="160" w:line="720" w:lineRule="auto"/>
        <w:jc w:val="center"/>
        <w:rPr>
          <w:rFonts w:eastAsia="Calibri" w:cs="Arial"/>
          <w:b/>
          <w:bCs/>
          <w:kern w:val="2"/>
          <w:sz w:val="28"/>
          <w:szCs w:val="28"/>
          <w14:ligatures w14:val="standardContextual"/>
        </w:rPr>
      </w:pPr>
      <w:bookmarkStart w:id="0" w:name="_Hlk119323191"/>
      <w:r w:rsidRPr="00C64A03">
        <w:rPr>
          <w:rFonts w:eastAsia="Calibri" w:cs="Arial"/>
          <w:b/>
          <w:bCs/>
          <w:kern w:val="2"/>
          <w:sz w:val="28"/>
          <w:szCs w:val="28"/>
          <w14:ligatures w14:val="standardContextual"/>
        </w:rPr>
        <w:t>Programme:</w:t>
      </w:r>
    </w:p>
    <w:p w:rsidR="00C64A03" w:rsidRPr="00C64A03" w:rsidRDefault="00C64A03" w:rsidP="00C64A03">
      <w:pPr>
        <w:tabs>
          <w:tab w:val="left" w:pos="6540"/>
        </w:tabs>
        <w:spacing w:after="160" w:line="240" w:lineRule="auto"/>
        <w:jc w:val="center"/>
        <w:rPr>
          <w:rFonts w:eastAsia="Calibri" w:cs="Arial"/>
          <w:b/>
          <w:bCs/>
          <w:kern w:val="2"/>
          <w:sz w:val="28"/>
          <w:szCs w:val="28"/>
          <w14:ligatures w14:val="standardContextual"/>
        </w:rPr>
      </w:pPr>
      <w:r w:rsidRPr="00C64A03">
        <w:rPr>
          <w:rFonts w:eastAsia="Calibri" w:cs="Arial"/>
          <w:b/>
          <w:bCs/>
          <w:kern w:val="2"/>
          <w:sz w:val="28"/>
          <w:szCs w:val="28"/>
          <w14:ligatures w14:val="standardContextual"/>
        </w:rPr>
        <w:t xml:space="preserve">Certificate of Higher Education Skills for the Workplace (Health and Social Care) </w:t>
      </w:r>
    </w:p>
    <w:p w:rsidR="00C64A03" w:rsidRPr="00C64A03" w:rsidRDefault="00C64A03" w:rsidP="00C64A03">
      <w:pPr>
        <w:tabs>
          <w:tab w:val="left" w:pos="6540"/>
        </w:tabs>
        <w:spacing w:after="160" w:line="240" w:lineRule="auto"/>
        <w:jc w:val="center"/>
        <w:rPr>
          <w:rFonts w:eastAsia="Calibri" w:cs="Arial"/>
          <w:b/>
          <w:bCs/>
          <w:kern w:val="2"/>
          <w:sz w:val="28"/>
          <w:szCs w:val="28"/>
          <w14:ligatures w14:val="standardContextual"/>
        </w:rPr>
      </w:pPr>
    </w:p>
    <w:p w:rsidR="00C64A03" w:rsidRPr="00C64A03" w:rsidRDefault="00C64A03" w:rsidP="00C64A03">
      <w:pPr>
        <w:tabs>
          <w:tab w:val="left" w:pos="6540"/>
        </w:tabs>
        <w:spacing w:after="160" w:line="720" w:lineRule="auto"/>
        <w:jc w:val="center"/>
        <w:rPr>
          <w:rFonts w:eastAsia="Calibri" w:cs="Arial"/>
          <w:b/>
          <w:bCs/>
          <w:kern w:val="2"/>
          <w:sz w:val="28"/>
          <w:szCs w:val="28"/>
          <w14:ligatures w14:val="standardContextual"/>
        </w:rPr>
      </w:pPr>
      <w:r w:rsidRPr="00C64A03">
        <w:rPr>
          <w:rFonts w:eastAsia="Calibri" w:cs="Arial"/>
          <w:b/>
          <w:bCs/>
          <w:kern w:val="2"/>
          <w:sz w:val="28"/>
          <w:szCs w:val="28"/>
          <w14:ligatures w14:val="standardContextual"/>
        </w:rPr>
        <w:t>Student name</w:t>
      </w:r>
      <w:r w:rsidRPr="00C64A03">
        <w:rPr>
          <w:rFonts w:eastAsia="Calibri" w:cs="Arial"/>
          <w:kern w:val="2"/>
          <w:sz w:val="28"/>
          <w:szCs w:val="28"/>
          <w14:ligatures w14:val="standardContextual"/>
        </w:rPr>
        <w:t>:</w:t>
      </w:r>
      <w:r w:rsidRPr="00C64A03">
        <w:rPr>
          <w:rFonts w:eastAsia="Calibri" w:cs="Arial"/>
          <w:b/>
          <w:bCs/>
          <w:kern w:val="2"/>
          <w:sz w:val="28"/>
          <w:szCs w:val="28"/>
          <w14:ligatures w14:val="standardContextual"/>
        </w:rPr>
        <w:t xml:space="preserve"> Gabriel Kingsley Oduro</w:t>
      </w:r>
    </w:p>
    <w:p w:rsidR="00C64A03" w:rsidRPr="00C64A03" w:rsidRDefault="00C64A03" w:rsidP="00C64A03">
      <w:pPr>
        <w:tabs>
          <w:tab w:val="left" w:pos="6540"/>
        </w:tabs>
        <w:spacing w:after="160" w:line="720" w:lineRule="auto"/>
        <w:jc w:val="center"/>
        <w:rPr>
          <w:rFonts w:eastAsia="Calibri" w:cs="Arial"/>
          <w:b/>
          <w:bCs/>
          <w:kern w:val="2"/>
          <w:sz w:val="28"/>
          <w:szCs w:val="28"/>
          <w:lang w:val="nl-NL"/>
          <w14:ligatures w14:val="standardContextual"/>
        </w:rPr>
      </w:pPr>
      <w:r w:rsidRPr="00C64A03">
        <w:rPr>
          <w:rFonts w:eastAsia="Calibri" w:cs="Arial"/>
          <w:b/>
          <w:bCs/>
          <w:kern w:val="2"/>
          <w:sz w:val="28"/>
          <w:szCs w:val="28"/>
          <w:lang w:val="nl-NL"/>
          <w14:ligatures w14:val="standardContextual"/>
        </w:rPr>
        <w:t>Student ID:2516583</w:t>
      </w:r>
    </w:p>
    <w:p w:rsidR="00C64A03" w:rsidRPr="00C64A03" w:rsidRDefault="00C64A03" w:rsidP="00C64A03">
      <w:pPr>
        <w:tabs>
          <w:tab w:val="left" w:pos="6540"/>
        </w:tabs>
        <w:spacing w:after="160" w:line="720" w:lineRule="auto"/>
        <w:jc w:val="center"/>
        <w:rPr>
          <w:rFonts w:eastAsia="Calibri" w:cs="Arial"/>
          <w:kern w:val="2"/>
          <w:sz w:val="28"/>
          <w:szCs w:val="28"/>
          <w:lang w:val="nl-NL"/>
          <w14:ligatures w14:val="standardContextual"/>
        </w:rPr>
      </w:pPr>
      <w:r w:rsidRPr="00C64A03">
        <w:rPr>
          <w:rFonts w:eastAsia="Calibri" w:cs="Arial"/>
          <w:b/>
          <w:bCs/>
          <w:kern w:val="2"/>
          <w:sz w:val="28"/>
          <w:szCs w:val="28"/>
          <w:lang w:val="nl-NL"/>
          <w14:ligatures w14:val="standardContextual"/>
        </w:rPr>
        <w:t>Module name</w:t>
      </w:r>
      <w:r w:rsidRPr="00C64A03">
        <w:rPr>
          <w:rFonts w:eastAsia="Calibri" w:cs="Arial"/>
          <w:kern w:val="2"/>
          <w:sz w:val="28"/>
          <w:szCs w:val="28"/>
          <w:lang w:val="nl-NL"/>
          <w14:ligatures w14:val="standardContextual"/>
        </w:rPr>
        <w:t>:</w:t>
      </w:r>
      <w:r w:rsidRPr="00C64A03">
        <w:rPr>
          <w:rFonts w:eastAsia="Calibri" w:cs="Arial"/>
          <w:kern w:val="2"/>
          <w:sz w:val="28"/>
          <w:szCs w:val="28"/>
          <w14:ligatures w14:val="standardContextual"/>
        </w:rPr>
        <w:t xml:space="preserve"> </w:t>
      </w:r>
      <w:r w:rsidRPr="00C64A03">
        <w:rPr>
          <w:rFonts w:eastAsia="Calibri" w:cs="Arial"/>
          <w:b/>
          <w:bCs/>
          <w:kern w:val="2"/>
          <w:sz w:val="28"/>
          <w:szCs w:val="28"/>
          <w14:ligatures w14:val="standardContextual"/>
        </w:rPr>
        <w:t>Introduction to Health and Social Care</w:t>
      </w:r>
      <w:r w:rsidRPr="00C64A03">
        <w:rPr>
          <w:rFonts w:eastAsia="Calibri" w:cs="Arial"/>
          <w:b/>
          <w:bCs/>
          <w:kern w:val="2"/>
          <w:sz w:val="28"/>
          <w:szCs w:val="28"/>
          <w14:ligatures w14:val="standardContextual"/>
        </w:rPr>
        <w:t xml:space="preserve"> </w:t>
      </w:r>
    </w:p>
    <w:p w:rsidR="00C64A03" w:rsidRPr="00C64A03" w:rsidRDefault="00C64A03" w:rsidP="00C64A03">
      <w:pPr>
        <w:tabs>
          <w:tab w:val="left" w:pos="6540"/>
        </w:tabs>
        <w:spacing w:after="160" w:line="720" w:lineRule="auto"/>
        <w:jc w:val="center"/>
        <w:rPr>
          <w:rFonts w:eastAsia="Calibri" w:cs="Arial"/>
          <w:b/>
          <w:bCs/>
          <w:kern w:val="2"/>
          <w:sz w:val="28"/>
          <w:szCs w:val="28"/>
          <w14:ligatures w14:val="standardContextual"/>
        </w:rPr>
      </w:pPr>
      <w:r w:rsidRPr="00C64A03">
        <w:rPr>
          <w:rFonts w:eastAsia="Calibri" w:cs="Arial"/>
          <w:b/>
          <w:bCs/>
          <w:kern w:val="2"/>
          <w:sz w:val="28"/>
          <w:szCs w:val="28"/>
          <w14:ligatures w14:val="standardContextual"/>
        </w:rPr>
        <w:t>Module code</w:t>
      </w:r>
      <w:r w:rsidRPr="00C64A03">
        <w:rPr>
          <w:rFonts w:eastAsia="Calibri" w:cs="Arial"/>
          <w:kern w:val="2"/>
          <w:sz w:val="28"/>
          <w:szCs w:val="28"/>
          <w14:ligatures w14:val="standardContextual"/>
        </w:rPr>
        <w:t xml:space="preserve">: </w:t>
      </w:r>
      <w:r w:rsidRPr="00C64A03">
        <w:rPr>
          <w:rFonts w:eastAsia="Calibri" w:cs="Arial"/>
          <w:b/>
          <w:bCs/>
          <w:kern w:val="2"/>
          <w:sz w:val="28"/>
          <w:szCs w:val="28"/>
          <w14:ligatures w14:val="standardContextual"/>
        </w:rPr>
        <w:t>LCHS4003</w:t>
      </w:r>
      <w:r>
        <w:rPr>
          <w:rFonts w:eastAsia="Calibri" w:cs="Arial"/>
          <w:b/>
          <w:bCs/>
          <w:kern w:val="2"/>
          <w:sz w:val="28"/>
          <w:szCs w:val="28"/>
          <w14:ligatures w14:val="standardContextual"/>
        </w:rPr>
        <w:t xml:space="preserve"> </w:t>
      </w:r>
      <w:r w:rsidRPr="00C64A03">
        <w:rPr>
          <w:rFonts w:eastAsia="Calibri" w:cs="Arial"/>
          <w:b/>
          <w:bCs/>
          <w:kern w:val="2"/>
          <w:sz w:val="28"/>
          <w:szCs w:val="28"/>
          <w14:ligatures w14:val="standardContextual"/>
        </w:rPr>
        <w:t xml:space="preserve"> </w:t>
      </w:r>
    </w:p>
    <w:p w:rsidR="00C64A03" w:rsidRPr="00C64A03" w:rsidRDefault="00C64A03" w:rsidP="007C1BD3">
      <w:pPr>
        <w:tabs>
          <w:tab w:val="left" w:pos="6540"/>
        </w:tabs>
        <w:spacing w:after="160" w:line="720" w:lineRule="auto"/>
        <w:jc w:val="center"/>
        <w:rPr>
          <w:rFonts w:eastAsia="Calibri" w:cs="Arial"/>
          <w:b/>
          <w:bCs/>
          <w:kern w:val="2"/>
          <w:sz w:val="28"/>
          <w:szCs w:val="28"/>
          <w14:ligatures w14:val="standardContextual"/>
        </w:rPr>
      </w:pPr>
      <w:r w:rsidRPr="00C64A03">
        <w:rPr>
          <w:rFonts w:eastAsia="Calibri" w:cs="Arial"/>
          <w:b/>
          <w:bCs/>
          <w:kern w:val="2"/>
          <w:sz w:val="28"/>
          <w:szCs w:val="28"/>
          <w14:ligatures w14:val="standardContextual"/>
        </w:rPr>
        <w:t xml:space="preserve">Assignment title: </w:t>
      </w:r>
      <w:r w:rsidRPr="00C64A03">
        <w:rPr>
          <w:rFonts w:eastAsia="Calibri" w:cs="Arial"/>
          <w:b/>
          <w:bCs/>
          <w:kern w:val="2"/>
          <w:sz w:val="28"/>
          <w:szCs w:val="28"/>
          <w14:ligatures w14:val="standardContextual"/>
        </w:rPr>
        <w:t>Written Assignment</w:t>
      </w:r>
      <w:r>
        <w:rPr>
          <w:rFonts w:eastAsia="Calibri" w:cs="Arial"/>
          <w:b/>
          <w:bCs/>
          <w:kern w:val="2"/>
          <w:sz w:val="28"/>
          <w:szCs w:val="28"/>
          <w14:ligatures w14:val="standardContextual"/>
        </w:rPr>
        <w:t xml:space="preserve"> - </w:t>
      </w:r>
      <w:r w:rsidRPr="00C64A03">
        <w:rPr>
          <w:rFonts w:eastAsia="Calibri" w:cs="Arial"/>
          <w:b/>
          <w:bCs/>
          <w:kern w:val="2"/>
          <w:sz w:val="28"/>
          <w:szCs w:val="28"/>
          <w14:ligatures w14:val="standardContextual"/>
        </w:rPr>
        <w:t>Mr Ahmed Case Study</w:t>
      </w:r>
      <w:r>
        <w:rPr>
          <w:rFonts w:eastAsia="Calibri" w:cs="Arial"/>
          <w:b/>
          <w:bCs/>
          <w:kern w:val="2"/>
          <w:sz w:val="28"/>
          <w:szCs w:val="28"/>
          <w14:ligatures w14:val="standardContextual"/>
        </w:rPr>
        <w:t xml:space="preserve"> </w:t>
      </w:r>
      <w:bookmarkStart w:id="1" w:name="_GoBack"/>
      <w:bookmarkEnd w:id="1"/>
    </w:p>
    <w:p w:rsidR="00C64A03" w:rsidRPr="00C64A03" w:rsidRDefault="00C64A03" w:rsidP="00C64A03">
      <w:pPr>
        <w:spacing w:after="160" w:line="720" w:lineRule="auto"/>
        <w:jc w:val="center"/>
        <w:rPr>
          <w:rFonts w:eastAsia="Calibri" w:cs="Arial"/>
          <w:kern w:val="2"/>
          <w:sz w:val="28"/>
          <w:szCs w:val="28"/>
          <w14:ligatures w14:val="standardContextual"/>
        </w:rPr>
      </w:pPr>
      <w:r w:rsidRPr="00C64A03">
        <w:rPr>
          <w:rFonts w:eastAsia="Calibri" w:cs="Arial"/>
          <w:b/>
          <w:bCs/>
          <w:kern w:val="2"/>
          <w:sz w:val="28"/>
          <w:szCs w:val="28"/>
          <w14:ligatures w14:val="standardContextual"/>
        </w:rPr>
        <w:t xml:space="preserve">Lecturer name: </w:t>
      </w:r>
      <w:r w:rsidRPr="00C64A03">
        <w:rPr>
          <w:rFonts w:eastAsia="Calibri" w:cs="Arial"/>
          <w:b/>
          <w:bCs/>
          <w:kern w:val="2"/>
          <w:sz w:val="28"/>
          <w:szCs w:val="28"/>
          <w14:ligatures w14:val="standardContextual"/>
        </w:rPr>
        <w:t>Muhammad Aliyu</w:t>
      </w:r>
      <w:r w:rsidRPr="00C64A03">
        <w:rPr>
          <w:rFonts w:eastAsia="Calibri" w:cs="Arial"/>
          <w:b/>
          <w:bCs/>
          <w:kern w:val="2"/>
          <w:sz w:val="28"/>
          <w:szCs w:val="28"/>
          <w14:ligatures w14:val="standardContextual"/>
        </w:rPr>
        <w:t xml:space="preserve"> </w:t>
      </w:r>
    </w:p>
    <w:bookmarkEnd w:id="0"/>
    <w:p w:rsidR="00C64A03" w:rsidRPr="00C64A03" w:rsidRDefault="00C64A03" w:rsidP="00C64A03">
      <w:pPr>
        <w:spacing w:after="160" w:line="360" w:lineRule="auto"/>
        <w:jc w:val="both"/>
        <w:rPr>
          <w:rFonts w:ascii="Calibri" w:eastAsia="Calibri" w:hAnsi="Calibri" w:cs="Times New Roman"/>
          <w:kern w:val="2"/>
          <w:sz w:val="18"/>
          <w:szCs w:val="18"/>
          <w14:ligatures w14:val="standardContextual"/>
        </w:rPr>
        <w:sectPr w:rsidR="00C64A03" w:rsidRPr="00C64A03" w:rsidSect="00AC62C8">
          <w:pgSz w:w="11906" w:h="16838" w:code="9"/>
          <w:pgMar w:top="1440" w:right="1080" w:bottom="1440" w:left="1080" w:header="708" w:footer="708" w:gutter="0"/>
          <w:cols w:space="358"/>
          <w:docGrid w:linePitch="360"/>
        </w:sectPr>
      </w:pPr>
    </w:p>
    <w:sdt>
      <w:sdtPr>
        <w:rPr>
          <w:rFonts w:eastAsia="Arial" w:cstheme="minorBidi"/>
          <w:b w:val="0"/>
          <w:bCs w:val="0"/>
        </w:rPr>
        <w:id w:val="-1069884855"/>
        <w:docPartObj>
          <w:docPartGallery w:val="Table of Contents"/>
          <w:docPartUnique/>
        </w:docPartObj>
      </w:sdtPr>
      <w:sdtEndPr>
        <w:rPr>
          <w:noProof/>
        </w:rPr>
      </w:sdtEndPr>
      <w:sdtContent>
        <w:p w:rsidR="00AA15D8" w:rsidRDefault="00AA15D8">
          <w:pPr>
            <w:pStyle w:val="TOCHeading"/>
          </w:pPr>
          <w:r>
            <w:t>Table of Contents</w:t>
          </w:r>
        </w:p>
        <w:p w:rsidR="00AA15D8" w:rsidRDefault="00AA15D8">
          <w:pPr>
            <w:pStyle w:val="TOC1"/>
            <w:tabs>
              <w:tab w:val="right" w:leader="dot" w:pos="9638"/>
            </w:tabs>
            <w:rPr>
              <w:noProof/>
            </w:rPr>
          </w:pPr>
          <w:r>
            <w:fldChar w:fldCharType="begin"/>
          </w:r>
          <w:r>
            <w:instrText xml:space="preserve"> TOC \o "1-3" \h \z \u </w:instrText>
          </w:r>
          <w:r>
            <w:fldChar w:fldCharType="separate"/>
          </w:r>
          <w:hyperlink w:anchor="_Toc227284747" w:history="1">
            <w:r w:rsidRPr="00F276CD">
              <w:rPr>
                <w:rStyle w:val="Hyperlink"/>
                <w:noProof/>
              </w:rPr>
              <w:t>Mr Ahmed Case Study</w:t>
            </w:r>
            <w:r>
              <w:rPr>
                <w:noProof/>
                <w:webHidden/>
              </w:rPr>
              <w:tab/>
            </w:r>
            <w:r>
              <w:rPr>
                <w:noProof/>
                <w:webHidden/>
              </w:rPr>
              <w:fldChar w:fldCharType="begin"/>
            </w:r>
            <w:r>
              <w:rPr>
                <w:noProof/>
                <w:webHidden/>
              </w:rPr>
              <w:instrText xml:space="preserve"> PAGEREF _Toc227284747 \h </w:instrText>
            </w:r>
            <w:r>
              <w:rPr>
                <w:noProof/>
                <w:webHidden/>
              </w:rPr>
            </w:r>
            <w:r>
              <w:rPr>
                <w:noProof/>
                <w:webHidden/>
              </w:rPr>
              <w:fldChar w:fldCharType="separate"/>
            </w:r>
            <w:r>
              <w:rPr>
                <w:noProof/>
                <w:webHidden/>
              </w:rPr>
              <w:t>1</w:t>
            </w:r>
            <w:r>
              <w:rPr>
                <w:noProof/>
                <w:webHidden/>
              </w:rPr>
              <w:fldChar w:fldCharType="end"/>
            </w:r>
          </w:hyperlink>
        </w:p>
        <w:p w:rsidR="00AA15D8" w:rsidRDefault="000A2747">
          <w:pPr>
            <w:pStyle w:val="TOC2"/>
            <w:tabs>
              <w:tab w:val="right" w:leader="dot" w:pos="9638"/>
            </w:tabs>
            <w:rPr>
              <w:noProof/>
            </w:rPr>
          </w:pPr>
          <w:hyperlink w:anchor="_Toc227284748" w:history="1">
            <w:r w:rsidR="00AA15D8" w:rsidRPr="00F276CD">
              <w:rPr>
                <w:rStyle w:val="Hyperlink"/>
                <w:noProof/>
              </w:rPr>
              <w:t>Introduction</w:t>
            </w:r>
            <w:r w:rsidR="00AA15D8">
              <w:rPr>
                <w:noProof/>
                <w:webHidden/>
              </w:rPr>
              <w:tab/>
            </w:r>
            <w:r w:rsidR="00AA15D8">
              <w:rPr>
                <w:noProof/>
                <w:webHidden/>
              </w:rPr>
              <w:fldChar w:fldCharType="begin"/>
            </w:r>
            <w:r w:rsidR="00AA15D8">
              <w:rPr>
                <w:noProof/>
                <w:webHidden/>
              </w:rPr>
              <w:instrText xml:space="preserve"> PAGEREF _Toc227284748 \h </w:instrText>
            </w:r>
            <w:r w:rsidR="00AA15D8">
              <w:rPr>
                <w:noProof/>
                <w:webHidden/>
              </w:rPr>
            </w:r>
            <w:r w:rsidR="00AA15D8">
              <w:rPr>
                <w:noProof/>
                <w:webHidden/>
              </w:rPr>
              <w:fldChar w:fldCharType="separate"/>
            </w:r>
            <w:r w:rsidR="00AA15D8">
              <w:rPr>
                <w:noProof/>
                <w:webHidden/>
              </w:rPr>
              <w:t>1</w:t>
            </w:r>
            <w:r w:rsidR="00AA15D8">
              <w:rPr>
                <w:noProof/>
                <w:webHidden/>
              </w:rPr>
              <w:fldChar w:fldCharType="end"/>
            </w:r>
          </w:hyperlink>
        </w:p>
        <w:p w:rsidR="00AA15D8" w:rsidRDefault="000A2747">
          <w:pPr>
            <w:pStyle w:val="TOC2"/>
            <w:tabs>
              <w:tab w:val="right" w:leader="dot" w:pos="9638"/>
            </w:tabs>
            <w:rPr>
              <w:noProof/>
            </w:rPr>
          </w:pPr>
          <w:hyperlink w:anchor="_Toc227284749" w:history="1">
            <w:r w:rsidR="00AA15D8" w:rsidRPr="00F276CD">
              <w:rPr>
                <w:rStyle w:val="Hyperlink"/>
                <w:noProof/>
              </w:rPr>
              <w:t>1. Effective Communication in Mr Ahmed’s Care</w:t>
            </w:r>
            <w:r w:rsidR="00AA15D8">
              <w:rPr>
                <w:noProof/>
                <w:webHidden/>
              </w:rPr>
              <w:tab/>
            </w:r>
            <w:r w:rsidR="00AA15D8">
              <w:rPr>
                <w:noProof/>
                <w:webHidden/>
              </w:rPr>
              <w:fldChar w:fldCharType="begin"/>
            </w:r>
            <w:r w:rsidR="00AA15D8">
              <w:rPr>
                <w:noProof/>
                <w:webHidden/>
              </w:rPr>
              <w:instrText xml:space="preserve"> PAGEREF _Toc227284749 \h </w:instrText>
            </w:r>
            <w:r w:rsidR="00AA15D8">
              <w:rPr>
                <w:noProof/>
                <w:webHidden/>
              </w:rPr>
            </w:r>
            <w:r w:rsidR="00AA15D8">
              <w:rPr>
                <w:noProof/>
                <w:webHidden/>
              </w:rPr>
              <w:fldChar w:fldCharType="separate"/>
            </w:r>
            <w:r w:rsidR="00AA15D8">
              <w:rPr>
                <w:noProof/>
                <w:webHidden/>
              </w:rPr>
              <w:t>1</w:t>
            </w:r>
            <w:r w:rsidR="00AA15D8">
              <w:rPr>
                <w:noProof/>
                <w:webHidden/>
              </w:rPr>
              <w:fldChar w:fldCharType="end"/>
            </w:r>
          </w:hyperlink>
        </w:p>
        <w:p w:rsidR="00AA15D8" w:rsidRDefault="000A2747">
          <w:pPr>
            <w:pStyle w:val="TOC2"/>
            <w:tabs>
              <w:tab w:val="right" w:leader="dot" w:pos="9638"/>
            </w:tabs>
            <w:rPr>
              <w:noProof/>
            </w:rPr>
          </w:pPr>
          <w:hyperlink w:anchor="_Toc227284750" w:history="1">
            <w:r w:rsidR="00AA15D8" w:rsidRPr="00F276CD">
              <w:rPr>
                <w:rStyle w:val="Hyperlink"/>
                <w:noProof/>
              </w:rPr>
              <w:t>2. Good Administrative Skills and Record Keeping</w:t>
            </w:r>
            <w:r w:rsidR="00AA15D8">
              <w:rPr>
                <w:noProof/>
                <w:webHidden/>
              </w:rPr>
              <w:tab/>
            </w:r>
            <w:r w:rsidR="00AA15D8">
              <w:rPr>
                <w:noProof/>
                <w:webHidden/>
              </w:rPr>
              <w:fldChar w:fldCharType="begin"/>
            </w:r>
            <w:r w:rsidR="00AA15D8">
              <w:rPr>
                <w:noProof/>
                <w:webHidden/>
              </w:rPr>
              <w:instrText xml:space="preserve"> PAGEREF _Toc227284750 \h </w:instrText>
            </w:r>
            <w:r w:rsidR="00AA15D8">
              <w:rPr>
                <w:noProof/>
                <w:webHidden/>
              </w:rPr>
            </w:r>
            <w:r w:rsidR="00AA15D8">
              <w:rPr>
                <w:noProof/>
                <w:webHidden/>
              </w:rPr>
              <w:fldChar w:fldCharType="separate"/>
            </w:r>
            <w:r w:rsidR="00AA15D8">
              <w:rPr>
                <w:noProof/>
                <w:webHidden/>
              </w:rPr>
              <w:t>2</w:t>
            </w:r>
            <w:r w:rsidR="00AA15D8">
              <w:rPr>
                <w:noProof/>
                <w:webHidden/>
              </w:rPr>
              <w:fldChar w:fldCharType="end"/>
            </w:r>
          </w:hyperlink>
        </w:p>
        <w:p w:rsidR="00AA15D8" w:rsidRDefault="000A2747">
          <w:pPr>
            <w:pStyle w:val="TOC2"/>
            <w:tabs>
              <w:tab w:val="right" w:leader="dot" w:pos="9638"/>
            </w:tabs>
            <w:rPr>
              <w:noProof/>
            </w:rPr>
          </w:pPr>
          <w:hyperlink w:anchor="_Toc227284751" w:history="1">
            <w:r w:rsidR="00AA15D8" w:rsidRPr="00F276CD">
              <w:rPr>
                <w:rStyle w:val="Hyperlink"/>
                <w:noProof/>
              </w:rPr>
              <w:t>3. Collaborative Working in Mr Ahmed’s Care</w:t>
            </w:r>
            <w:r w:rsidR="00AA15D8">
              <w:rPr>
                <w:noProof/>
                <w:webHidden/>
              </w:rPr>
              <w:tab/>
            </w:r>
            <w:r w:rsidR="00AA15D8">
              <w:rPr>
                <w:noProof/>
                <w:webHidden/>
              </w:rPr>
              <w:fldChar w:fldCharType="begin"/>
            </w:r>
            <w:r w:rsidR="00AA15D8">
              <w:rPr>
                <w:noProof/>
                <w:webHidden/>
              </w:rPr>
              <w:instrText xml:space="preserve"> PAGEREF _Toc227284751 \h </w:instrText>
            </w:r>
            <w:r w:rsidR="00AA15D8">
              <w:rPr>
                <w:noProof/>
                <w:webHidden/>
              </w:rPr>
            </w:r>
            <w:r w:rsidR="00AA15D8">
              <w:rPr>
                <w:noProof/>
                <w:webHidden/>
              </w:rPr>
              <w:fldChar w:fldCharType="separate"/>
            </w:r>
            <w:r w:rsidR="00AA15D8">
              <w:rPr>
                <w:noProof/>
                <w:webHidden/>
              </w:rPr>
              <w:t>4</w:t>
            </w:r>
            <w:r w:rsidR="00AA15D8">
              <w:rPr>
                <w:noProof/>
                <w:webHidden/>
              </w:rPr>
              <w:fldChar w:fldCharType="end"/>
            </w:r>
          </w:hyperlink>
        </w:p>
        <w:p w:rsidR="00AA15D8" w:rsidRDefault="000A2747">
          <w:pPr>
            <w:pStyle w:val="TOC2"/>
            <w:tabs>
              <w:tab w:val="right" w:leader="dot" w:pos="9638"/>
            </w:tabs>
            <w:rPr>
              <w:noProof/>
            </w:rPr>
          </w:pPr>
          <w:hyperlink w:anchor="_Toc227284752" w:history="1">
            <w:r w:rsidR="00AA15D8" w:rsidRPr="00F276CD">
              <w:rPr>
                <w:rStyle w:val="Hyperlink"/>
                <w:noProof/>
              </w:rPr>
              <w:t>Conclusion</w:t>
            </w:r>
            <w:r w:rsidR="00AA15D8">
              <w:rPr>
                <w:noProof/>
                <w:webHidden/>
              </w:rPr>
              <w:tab/>
            </w:r>
            <w:r w:rsidR="00AA15D8">
              <w:rPr>
                <w:noProof/>
                <w:webHidden/>
              </w:rPr>
              <w:fldChar w:fldCharType="begin"/>
            </w:r>
            <w:r w:rsidR="00AA15D8">
              <w:rPr>
                <w:noProof/>
                <w:webHidden/>
              </w:rPr>
              <w:instrText xml:space="preserve"> PAGEREF _Toc227284752 \h </w:instrText>
            </w:r>
            <w:r w:rsidR="00AA15D8">
              <w:rPr>
                <w:noProof/>
                <w:webHidden/>
              </w:rPr>
            </w:r>
            <w:r w:rsidR="00AA15D8">
              <w:rPr>
                <w:noProof/>
                <w:webHidden/>
              </w:rPr>
              <w:fldChar w:fldCharType="separate"/>
            </w:r>
            <w:r w:rsidR="00AA15D8">
              <w:rPr>
                <w:noProof/>
                <w:webHidden/>
              </w:rPr>
              <w:t>5</w:t>
            </w:r>
            <w:r w:rsidR="00AA15D8">
              <w:rPr>
                <w:noProof/>
                <w:webHidden/>
              </w:rPr>
              <w:fldChar w:fldCharType="end"/>
            </w:r>
          </w:hyperlink>
        </w:p>
        <w:p w:rsidR="00AA15D8" w:rsidRDefault="000A2747">
          <w:pPr>
            <w:pStyle w:val="TOC1"/>
            <w:tabs>
              <w:tab w:val="right" w:leader="dot" w:pos="9638"/>
            </w:tabs>
            <w:rPr>
              <w:noProof/>
            </w:rPr>
          </w:pPr>
          <w:hyperlink w:anchor="_Toc227284753" w:history="1">
            <w:r w:rsidR="00AA15D8" w:rsidRPr="00F276CD">
              <w:rPr>
                <w:rStyle w:val="Hyperlink"/>
                <w:noProof/>
              </w:rPr>
              <w:t>Reference</w:t>
            </w:r>
            <w:r w:rsidR="00AA15D8">
              <w:rPr>
                <w:noProof/>
                <w:webHidden/>
              </w:rPr>
              <w:tab/>
            </w:r>
            <w:r w:rsidR="00AA15D8">
              <w:rPr>
                <w:noProof/>
                <w:webHidden/>
              </w:rPr>
              <w:fldChar w:fldCharType="begin"/>
            </w:r>
            <w:r w:rsidR="00AA15D8">
              <w:rPr>
                <w:noProof/>
                <w:webHidden/>
              </w:rPr>
              <w:instrText xml:space="preserve"> PAGEREF _Toc227284753 \h </w:instrText>
            </w:r>
            <w:r w:rsidR="00AA15D8">
              <w:rPr>
                <w:noProof/>
                <w:webHidden/>
              </w:rPr>
            </w:r>
            <w:r w:rsidR="00AA15D8">
              <w:rPr>
                <w:noProof/>
                <w:webHidden/>
              </w:rPr>
              <w:fldChar w:fldCharType="separate"/>
            </w:r>
            <w:r w:rsidR="00AA15D8">
              <w:rPr>
                <w:noProof/>
                <w:webHidden/>
              </w:rPr>
              <w:t>6</w:t>
            </w:r>
            <w:r w:rsidR="00AA15D8">
              <w:rPr>
                <w:noProof/>
                <w:webHidden/>
              </w:rPr>
              <w:fldChar w:fldCharType="end"/>
            </w:r>
          </w:hyperlink>
        </w:p>
        <w:p w:rsidR="00AA15D8" w:rsidRDefault="00AA15D8">
          <w:r>
            <w:rPr>
              <w:b/>
              <w:bCs/>
              <w:noProof/>
            </w:rPr>
            <w:fldChar w:fldCharType="end"/>
          </w:r>
        </w:p>
      </w:sdtContent>
    </w:sdt>
    <w:p w:rsidR="00AA15D8" w:rsidRDefault="00AA15D8">
      <w:pPr>
        <w:rPr>
          <w:rFonts w:cs="Arial"/>
        </w:rPr>
      </w:pPr>
      <w:r>
        <w:rPr>
          <w:rFonts w:cs="Arial"/>
        </w:rPr>
        <w:br w:type="page"/>
      </w:r>
    </w:p>
    <w:p w:rsidR="00AA15D8" w:rsidRDefault="00AA15D8" w:rsidP="00AA15D8">
      <w:pPr>
        <w:rPr>
          <w:rFonts w:cs="Arial"/>
        </w:rPr>
        <w:sectPr w:rsidR="00AA15D8" w:rsidSect="00AA15D8">
          <w:footerReference w:type="default" r:id="rId10"/>
          <w:pgSz w:w="12240" w:h="15840"/>
          <w:pgMar w:top="1152" w:right="1296" w:bottom="1152" w:left="1296" w:header="720" w:footer="720" w:gutter="0"/>
          <w:pgNumType w:fmt="lowerRoman" w:start="1"/>
          <w:cols w:space="720"/>
          <w:docGrid w:linePitch="360"/>
        </w:sectPr>
      </w:pPr>
    </w:p>
    <w:p w:rsidR="003D4197" w:rsidRPr="002C40D7" w:rsidRDefault="009F78AB" w:rsidP="00AA15D8">
      <w:pPr>
        <w:pStyle w:val="Heading1"/>
      </w:pPr>
      <w:bookmarkStart w:id="2" w:name="_Toc227284747"/>
      <w:r w:rsidRPr="002C40D7">
        <w:lastRenderedPageBreak/>
        <w:t>Mr Ahmed Case Study</w:t>
      </w:r>
      <w:bookmarkEnd w:id="2"/>
    </w:p>
    <w:p w:rsidR="003D4197" w:rsidRPr="002C40D7" w:rsidRDefault="009F78AB" w:rsidP="00AA15D8">
      <w:pPr>
        <w:pStyle w:val="Heading2"/>
      </w:pPr>
      <w:bookmarkStart w:id="3" w:name="_Toc227284748"/>
      <w:r w:rsidRPr="002C40D7">
        <w:t>Introduction</w:t>
      </w:r>
      <w:bookmarkEnd w:id="3"/>
    </w:p>
    <w:p w:rsidR="003D4197" w:rsidRPr="002C40D7" w:rsidRDefault="00095E2B" w:rsidP="008A25A7">
      <w:pPr>
        <w:spacing w:after="120" w:line="360" w:lineRule="auto"/>
        <w:jc w:val="both"/>
        <w:rPr>
          <w:rFonts w:cs="Arial"/>
        </w:rPr>
      </w:pPr>
      <w:r w:rsidRPr="00095E2B">
        <w:rPr>
          <w:rFonts w:cs="Arial"/>
        </w:rPr>
        <w:t>The report is about the treatment of Mr Ahmed who is a 68 year</w:t>
      </w:r>
      <w:r w:rsidR="005521F0">
        <w:rPr>
          <w:rFonts w:cs="Arial"/>
        </w:rPr>
        <w:t>s</w:t>
      </w:r>
      <w:r w:rsidRPr="00095E2B">
        <w:rPr>
          <w:rFonts w:cs="Arial"/>
        </w:rPr>
        <w:t xml:space="preserve"> old male, who was discharged a few days ago after being admitted to hospital because of having a stroke. He is living with his wife and is under domiciliary care with three times a day and being assisted by GP, district nurse, speech and language therapist and care agency. Communication needs are also involved in the case since he is a native speaker of Bengali and can hardly cope with complicated English. Delayed medication is also caused by a missed care visit, which is a source of concern regarding safety, recording and accountability. This report consequently targets three areas that have a direct impact on his dignity, safety and wellbeing; effective communication, good administrative practice and collaborative working. </w:t>
      </w:r>
      <w:r w:rsidR="00AE7F38" w:rsidRPr="00AE7F38">
        <w:rPr>
          <w:rFonts w:cs="Arial"/>
        </w:rPr>
        <w:t>Safe care depends on accurate information sharing, equality, data protection and prompt responses when services fail at home.</w:t>
      </w:r>
      <w:r w:rsidR="00AE7F38">
        <w:rPr>
          <w:rFonts w:cs="Arial"/>
        </w:rPr>
        <w:t xml:space="preserve"> </w:t>
      </w:r>
      <w:r>
        <w:rPr>
          <w:rFonts w:cs="Arial"/>
        </w:rPr>
        <w:t xml:space="preserve"> </w:t>
      </w:r>
    </w:p>
    <w:p w:rsidR="003D4197" w:rsidRPr="002C40D7" w:rsidRDefault="00423F74" w:rsidP="00AA15D8">
      <w:pPr>
        <w:pStyle w:val="Heading2"/>
      </w:pPr>
      <w:bookmarkStart w:id="4" w:name="_Toc227284749"/>
      <w:r w:rsidRPr="002C40D7">
        <w:t xml:space="preserve">1. </w:t>
      </w:r>
      <w:r w:rsidR="009F78AB" w:rsidRPr="002C40D7">
        <w:t>Effective Communication in Mr Ahmed’s Care</w:t>
      </w:r>
      <w:bookmarkEnd w:id="4"/>
    </w:p>
    <w:p w:rsidR="00095E2B" w:rsidRPr="00095E2B" w:rsidRDefault="00095E2B" w:rsidP="00095E2B">
      <w:pPr>
        <w:spacing w:after="120" w:line="360" w:lineRule="auto"/>
        <w:jc w:val="both"/>
        <w:rPr>
          <w:rFonts w:cs="Arial"/>
        </w:rPr>
      </w:pPr>
      <w:r w:rsidRPr="00095E2B">
        <w:rPr>
          <w:rFonts w:cs="Arial"/>
        </w:rPr>
        <w:t xml:space="preserve">The importance of effective communication is since stroke recovery, medication, personal care, and swallowing support with multiple professionals are involved in the care of Mr Ahmed. Lack of effective communication might result in missed medicines, unsafe swallowing guidance, distress or decision making without his knowledge. The staff in the first place must address Mr Ahmed using plain English, short sentences and checking questions and should not assume that his wife can take over his voice. Communication can be facilitated by his wife, although personal information should not be disclosed using his wife. </w:t>
      </w:r>
    </w:p>
    <w:p w:rsidR="00095E2B" w:rsidRPr="00095E2B" w:rsidRDefault="00095E2B" w:rsidP="00095E2B">
      <w:pPr>
        <w:spacing w:after="120" w:line="360" w:lineRule="auto"/>
        <w:jc w:val="both"/>
        <w:rPr>
          <w:rFonts w:cs="Arial"/>
        </w:rPr>
      </w:pPr>
      <w:r w:rsidRPr="00095E2B">
        <w:rPr>
          <w:rFonts w:cs="Arial"/>
        </w:rPr>
        <w:t>One model that can be applied is the communication cycle of Argyle. It introduces communication as a two-way process whereby an individual constitutes a thought, puts this into words or behaviour, dispatches the message, the other individual receives and decodes the message and feedback is given to confirm whether the message has been received (Argyle, 1972). A care worker could explain, as in the case of Mr Ahmed, I am here to help you take your morning tablets and check on understanding by asking Mr Ahmed to repeat what he has understood or to point to what he has understood. In case he seems confused, the employee is to paraphrase, draw pictures or find a professional interpreter.</w:t>
      </w:r>
    </w:p>
    <w:p w:rsidR="00095E2B" w:rsidRPr="00095E2B" w:rsidRDefault="00095E2B" w:rsidP="00095E2B">
      <w:pPr>
        <w:spacing w:after="120" w:line="360" w:lineRule="auto"/>
        <w:jc w:val="both"/>
        <w:rPr>
          <w:rFonts w:cs="Arial"/>
        </w:rPr>
      </w:pPr>
      <w:r w:rsidRPr="00095E2B">
        <w:rPr>
          <w:rFonts w:cs="Arial"/>
        </w:rPr>
        <w:t xml:space="preserve">Equality Act 2010 is also applicable since it safeguards individuals against discrimination based on the characteristics that are protected such as age, disability and race (Equality Act 2010). It is possible that Mr Ahmed is safeguarded by age, disability due to stroke and race or ethnic origin. Language is not one of the characteristics that are listed as a safeguarded characteristic, but communication barriers must be considered in order to avoid disparities in access to care. Examples </w:t>
      </w:r>
      <w:r w:rsidRPr="00095E2B">
        <w:rPr>
          <w:rFonts w:cs="Arial"/>
        </w:rPr>
        <w:lastRenderedPageBreak/>
        <w:t xml:space="preserve">of reasonable adjustments can be translated information, the use of interpreters, additional time, visual cues, written medication schedules and culturally competent communication. </w:t>
      </w:r>
    </w:p>
    <w:p w:rsidR="003D4197" w:rsidRPr="002C40D7" w:rsidRDefault="00095E2B" w:rsidP="00095E2B">
      <w:pPr>
        <w:spacing w:after="120" w:line="360" w:lineRule="auto"/>
        <w:jc w:val="both"/>
        <w:rPr>
          <w:rFonts w:cs="Arial"/>
        </w:rPr>
      </w:pPr>
      <w:r w:rsidRPr="00095E2B">
        <w:rPr>
          <w:rFonts w:cs="Arial"/>
        </w:rPr>
        <w:t>His wife is a fluent English speaker and is able to tell us about his routine, his mood, his likes and dislikes of foods and his red flags. Nevertheless, personnel cannot depend on her to interpret clinical data, particularly on the topics of medication, consent, swallowing risk or complaints. The NHS Accessible Information Standard expects NHS and adult social care services to identify, catalogue, flag, distribute, fulfill and review communication needs in regard to disability, impairment or sensory loss (NHS England, 2025). Thus, good communication implies person-centred conversation, proper involvement of family, the use of interpreter in the situations when it is necessary and the constant verification of understanding during the conversation. Preferred language, communication aids and how the staff is to ensure consent is obtained at each visit should be documented in his care plan so that the same mistakes are not made in subsequent shifts when staff conducted regular visits to the patient.</w:t>
      </w:r>
      <w:r>
        <w:rPr>
          <w:rFonts w:cs="Arial"/>
        </w:rPr>
        <w:t xml:space="preserve"> </w:t>
      </w:r>
    </w:p>
    <w:p w:rsidR="003D4197" w:rsidRPr="002C40D7" w:rsidRDefault="00423F74" w:rsidP="00AA15D8">
      <w:pPr>
        <w:pStyle w:val="Heading2"/>
      </w:pPr>
      <w:bookmarkStart w:id="5" w:name="_Toc227284750"/>
      <w:r w:rsidRPr="002C40D7">
        <w:t xml:space="preserve">2. </w:t>
      </w:r>
      <w:r w:rsidR="009F78AB" w:rsidRPr="002C40D7">
        <w:t>Good Administrative Skills and Record Keeping</w:t>
      </w:r>
      <w:bookmarkEnd w:id="5"/>
    </w:p>
    <w:p w:rsidR="003D4197" w:rsidRPr="002C40D7" w:rsidRDefault="00095E2B" w:rsidP="008A25A7">
      <w:pPr>
        <w:spacing w:after="120" w:line="360" w:lineRule="auto"/>
        <w:jc w:val="both"/>
        <w:rPr>
          <w:rFonts w:cs="Arial"/>
        </w:rPr>
      </w:pPr>
      <w:r w:rsidRPr="00095E2B">
        <w:rPr>
          <w:rFonts w:cs="Arial"/>
        </w:rPr>
        <w:t xml:space="preserve">Administering the medication late is an issue that needs good administrative skills since the missed visit resulted in a late visit in the case of Mr Ahmed. Health and social care administration </w:t>
      </w:r>
      <w:proofErr w:type="gramStart"/>
      <w:r w:rsidRPr="00095E2B">
        <w:rPr>
          <w:rFonts w:cs="Arial"/>
        </w:rPr>
        <w:t>is</w:t>
      </w:r>
      <w:proofErr w:type="gramEnd"/>
      <w:r w:rsidRPr="00095E2B">
        <w:rPr>
          <w:rFonts w:cs="Arial"/>
        </w:rPr>
        <w:t xml:space="preserve"> not an office job as it involves proper scheduling, record keeping, reporting, information sharing and follow-ups. The care plan, medication times, visit times, observations, communication needs, district nurse visits, speech and language therapy recommendations, and any issues should be recorded. In case a visit is missed, the record must indicate the course of action, who was notified, whether or not the medication was postponed, what was done and how to avoid future occurrence.</w:t>
      </w:r>
      <w:r>
        <w:rPr>
          <w:rFonts w:cs="Arial"/>
        </w:rPr>
        <w:t xml:space="preserve"> </w:t>
      </w:r>
    </w:p>
    <w:p w:rsidR="00095E2B" w:rsidRPr="00095E2B" w:rsidRDefault="00095E2B" w:rsidP="00095E2B">
      <w:pPr>
        <w:spacing w:after="120" w:line="360" w:lineRule="auto"/>
        <w:jc w:val="both"/>
        <w:rPr>
          <w:rFonts w:cs="Arial"/>
        </w:rPr>
      </w:pPr>
      <w:r w:rsidRPr="00095E2B">
        <w:rPr>
          <w:rFonts w:cs="Arial"/>
        </w:rPr>
        <w:t xml:space="preserve">Continuity and accountability </w:t>
      </w:r>
      <w:proofErr w:type="gramStart"/>
      <w:r w:rsidRPr="00095E2B">
        <w:rPr>
          <w:rFonts w:cs="Arial"/>
        </w:rPr>
        <w:t>is</w:t>
      </w:r>
      <w:proofErr w:type="gramEnd"/>
      <w:r w:rsidRPr="00095E2B">
        <w:rPr>
          <w:rFonts w:cs="Arial"/>
        </w:rPr>
        <w:t xml:space="preserve"> supported by record keeping. Regulation 17 of the Health and Social Care Act 2008 (Regulated Activities) Regulations 2014 gives the requirement that the providers must possess effective governance systems including systems of assessment, monitoring and improvement of the quality and safety of services (CQC, 2023a). When records are incomplete, the subsequent professional might be unaware of whether or not medicine was administered, whether blood pressure was monitored, or whether or not there was a change in swallowing recommendations. </w:t>
      </w:r>
    </w:p>
    <w:p w:rsidR="003D4197" w:rsidRPr="002C40D7" w:rsidRDefault="00095E2B" w:rsidP="00095E2B">
      <w:pPr>
        <w:spacing w:after="120" w:line="360" w:lineRule="auto"/>
        <w:jc w:val="both"/>
        <w:rPr>
          <w:rFonts w:cs="Arial"/>
        </w:rPr>
      </w:pPr>
      <w:r w:rsidRPr="00095E2B">
        <w:rPr>
          <w:rFonts w:cs="Arial"/>
        </w:rPr>
        <w:t xml:space="preserve">Data protection act 2018, UK GDPR as well are relevant since the health information of Mr Ahmed is special category personal data. The UK data protection regulation states that the processing of personal data should be lawful, fair and transparent, must be accurate, and must be sufficient and necessary, must be stored in a way that is secure and must not be stored longer than necessary (Data Protection Act 2018; ICO, 2023). Practically, employees need to access only the information required to provide his care, not to talk about his information in open spaces, to work with approved </w:t>
      </w:r>
      <w:r w:rsidRPr="00095E2B">
        <w:rPr>
          <w:rFonts w:cs="Arial"/>
        </w:rPr>
        <w:lastRenderedPageBreak/>
        <w:t xml:space="preserve">record systems, and share information only with professionals involved in his care or the consent where necessary. This can include his wife, but this should not deny Mr Ahmed his right to privacy and involvement. </w:t>
      </w:r>
    </w:p>
    <w:p w:rsidR="003D4197" w:rsidRPr="002C40D7" w:rsidRDefault="00095E2B" w:rsidP="008A25A7">
      <w:pPr>
        <w:spacing w:after="120" w:line="360" w:lineRule="auto"/>
        <w:jc w:val="both"/>
        <w:rPr>
          <w:rFonts w:cs="Arial"/>
        </w:rPr>
      </w:pPr>
      <w:r w:rsidRPr="00095E2B">
        <w:rPr>
          <w:rFonts w:cs="Arial"/>
        </w:rPr>
        <w:t xml:space="preserve">Incident reporting and learning is also good administration. The missed visit will be recorded as a care incident, reported to the agency manager, discussed regarding medication risk and to the GP or district nurse when there is clinical concern. Records Management Code of Practice describes how health and care organisations are supposed to manage records throughout the record lifecycle (NHS England Transformation Directorate, 2023). This is not about trying to put the blame on a single worker, but to determine whether the failure was due to poor scheduling, weak handover, lack of clarity in responsibility or staffing issues. In Regulation 20, providers are also obliged to be open and transparent when care has gone wrong, such as providing an apology where the duty of </w:t>
      </w:r>
      <w:proofErr w:type="spellStart"/>
      <w:r w:rsidRPr="00095E2B">
        <w:rPr>
          <w:rFonts w:cs="Arial"/>
        </w:rPr>
        <w:t>candour</w:t>
      </w:r>
      <w:proofErr w:type="spellEnd"/>
      <w:r w:rsidRPr="00095E2B">
        <w:rPr>
          <w:rFonts w:cs="Arial"/>
        </w:rPr>
        <w:t xml:space="preserve"> is relevant (CQC, 2023b). </w:t>
      </w:r>
    </w:p>
    <w:p w:rsidR="00095E2B" w:rsidRDefault="00095E2B">
      <w:pPr>
        <w:rPr>
          <w:rFonts w:eastAsiaTheme="majorEastAsia" w:cs="Arial"/>
          <w:b/>
          <w:bCs/>
        </w:rPr>
      </w:pPr>
      <w:r>
        <w:rPr>
          <w:rFonts w:cs="Arial"/>
        </w:rPr>
        <w:br w:type="page"/>
      </w:r>
    </w:p>
    <w:p w:rsidR="003D4197" w:rsidRPr="002C40D7" w:rsidRDefault="00423F74" w:rsidP="00AA15D8">
      <w:pPr>
        <w:pStyle w:val="Heading2"/>
      </w:pPr>
      <w:bookmarkStart w:id="6" w:name="_Toc227284751"/>
      <w:r w:rsidRPr="002C40D7">
        <w:lastRenderedPageBreak/>
        <w:t xml:space="preserve">3. </w:t>
      </w:r>
      <w:r w:rsidR="009F78AB" w:rsidRPr="002C40D7">
        <w:t>Collaborative Working in Mr Ahmed’s Care</w:t>
      </w:r>
      <w:bookmarkEnd w:id="6"/>
    </w:p>
    <w:p w:rsidR="005521F0" w:rsidRPr="005521F0" w:rsidRDefault="005521F0" w:rsidP="005521F0">
      <w:pPr>
        <w:spacing w:after="120" w:line="360" w:lineRule="auto"/>
        <w:jc w:val="both"/>
        <w:rPr>
          <w:rFonts w:cs="Arial"/>
        </w:rPr>
      </w:pPr>
      <w:r w:rsidRPr="005521F0">
        <w:rPr>
          <w:rFonts w:cs="Arial"/>
        </w:rPr>
        <w:t xml:space="preserve">The significance of collaborative working is that Mr Ahmed cannot be satisfied with the help of only one service. The GP manages medical care, blood pressure and wound care is managed by the district nurse, day to day living and medications by domiciliary carers, and communication and swallowing by the speech and language therapist. The NICE suggests the use of organised stroke rehabilitation, both in hospitals and communities, that facilitate a team-based approach to individuals who have experienced a stroke (NICE, 2023). </w:t>
      </w:r>
    </w:p>
    <w:p w:rsidR="005521F0" w:rsidRPr="005521F0" w:rsidRDefault="005521F0" w:rsidP="005521F0">
      <w:pPr>
        <w:spacing w:after="120" w:line="360" w:lineRule="auto"/>
        <w:jc w:val="both"/>
        <w:rPr>
          <w:rFonts w:cs="Arial"/>
        </w:rPr>
      </w:pPr>
      <w:r w:rsidRPr="005521F0">
        <w:rPr>
          <w:rFonts w:cs="Arial"/>
        </w:rPr>
        <w:t>Shared care planning, defining roles, frequent updates and prompt escalation may help develop effective collaboration. Mr Ahmed and his wife would be assisted by a named coordinator or key worker who would assist them in knowing whom to call. SBAR, which stands as Situation, Background, Assessment and Recommendation, is an organised communication method that assists the staff to provide the information correctly among individuals (NHS England and NHS Improvement, 2023). Following the missed visit, the care agency might apply SBAR to report to the GP that medication was delayed, tell about the presence of a stroke history in Mr Ahmed, evaluate the current risk and inquire about whether any clinical action is necessary.</w:t>
      </w:r>
    </w:p>
    <w:p w:rsidR="003D4197" w:rsidRPr="002C40D7" w:rsidRDefault="005521F0" w:rsidP="005521F0">
      <w:pPr>
        <w:spacing w:after="120" w:line="360" w:lineRule="auto"/>
        <w:jc w:val="both"/>
        <w:rPr>
          <w:rFonts w:cs="Arial"/>
        </w:rPr>
      </w:pPr>
      <w:r w:rsidRPr="005521F0">
        <w:rPr>
          <w:rFonts w:cs="Arial"/>
        </w:rPr>
        <w:t xml:space="preserve">Challenges that typically arise are lack of clarity on responsibility, the use of multiple record systems, confidentiality, staff shortage, language barrier and slow response. They may be resolved by means of agreed referral pathways, secure information sharing, multidisciplinary meetings, revised care plans and written escalation procedures. The Care Act 2014 is the legal framework to safeguard adults who may be victims of abuse or neglect (Care Act 2014; SCIE, 2024). Hence, it is not possible to consider the missed medication as a single error only. It ought to cause collaborative inspection, since frequent missed visits might develop into neglect. The partnership working should make Mr Ahmed the </w:t>
      </w:r>
      <w:proofErr w:type="spellStart"/>
      <w:r w:rsidRPr="005521F0">
        <w:rPr>
          <w:rFonts w:cs="Arial"/>
        </w:rPr>
        <w:t>centre</w:t>
      </w:r>
      <w:proofErr w:type="spellEnd"/>
      <w:r w:rsidRPr="005521F0">
        <w:rPr>
          <w:rFonts w:cs="Arial"/>
        </w:rPr>
        <w:t xml:space="preserve"> and engage his wife in the working and make all the professionals know their responsibility. This enhances safety, responsibility and trust in the care provided at home everyday.</w:t>
      </w:r>
    </w:p>
    <w:p w:rsidR="005521F0" w:rsidRDefault="005521F0">
      <w:pPr>
        <w:rPr>
          <w:rFonts w:eastAsiaTheme="majorEastAsia" w:cs="Arial"/>
          <w:b/>
          <w:bCs/>
        </w:rPr>
      </w:pPr>
      <w:r>
        <w:rPr>
          <w:rFonts w:cs="Arial"/>
        </w:rPr>
        <w:br w:type="page"/>
      </w:r>
    </w:p>
    <w:p w:rsidR="003D4197" w:rsidRPr="002C40D7" w:rsidRDefault="009F78AB" w:rsidP="00AA15D8">
      <w:pPr>
        <w:pStyle w:val="Heading2"/>
      </w:pPr>
      <w:bookmarkStart w:id="7" w:name="_Toc227284752"/>
      <w:r w:rsidRPr="002C40D7">
        <w:lastRenderedPageBreak/>
        <w:t>Conclusion</w:t>
      </w:r>
      <w:bookmarkEnd w:id="7"/>
    </w:p>
    <w:p w:rsidR="003D4197" w:rsidRPr="002C40D7" w:rsidRDefault="005521F0" w:rsidP="008A25A7">
      <w:pPr>
        <w:spacing w:after="120" w:line="360" w:lineRule="auto"/>
        <w:jc w:val="both"/>
        <w:rPr>
          <w:rFonts w:cs="Arial"/>
        </w:rPr>
      </w:pPr>
      <w:r w:rsidRPr="005521F0">
        <w:rPr>
          <w:rFonts w:cs="Arial"/>
        </w:rPr>
        <w:t>The case of Mr Ahmed demonstrates that health and social care relies on the partnership and administration working, as well as communication. Communication is required due to the potential of stroke and language barriers to limit his understanding of care, articulating his choices and involvement in decisions. Equality-oriented practice implies that the staff ought to employ justifiable modifications, interpreter assistance and accessible data instead of depending solely on his wife. Good administration is also of significance since missed visit and delayed medication demonstrate that poor scheduling or documentation is risky. Professional accountability is enhanced by accurate records, legitimate data management, incident reporting, and openness, which protect Mr Ahmed. A coordinated care plan, clear escalation, shared information and regular review are the response most likely to be effective. In general, the care of Mr Ahmed must be person-centred, compliant, respectful and culturally focused on avoiding harm recurrence at home following discharge.</w:t>
      </w:r>
    </w:p>
    <w:p w:rsidR="00423F74" w:rsidRPr="002C40D7" w:rsidRDefault="00423F74">
      <w:pPr>
        <w:rPr>
          <w:rFonts w:eastAsiaTheme="majorEastAsia" w:cs="Arial"/>
          <w:b/>
          <w:bCs/>
          <w:color w:val="365F91" w:themeColor="accent1" w:themeShade="BF"/>
        </w:rPr>
      </w:pPr>
      <w:r w:rsidRPr="002C40D7">
        <w:rPr>
          <w:rFonts w:cs="Arial"/>
        </w:rPr>
        <w:br w:type="page"/>
      </w:r>
    </w:p>
    <w:p w:rsidR="003D4197" w:rsidRPr="002C40D7" w:rsidRDefault="009F78AB" w:rsidP="00AA15D8">
      <w:pPr>
        <w:pStyle w:val="Heading1"/>
      </w:pPr>
      <w:bookmarkStart w:id="8" w:name="_Toc227284753"/>
      <w:r w:rsidRPr="002C40D7">
        <w:lastRenderedPageBreak/>
        <w:t>Reference</w:t>
      </w:r>
      <w:bookmarkEnd w:id="8"/>
      <w:r w:rsidRPr="002C40D7">
        <w:t xml:space="preserve"> </w:t>
      </w:r>
    </w:p>
    <w:p w:rsidR="003D4197" w:rsidRPr="002C40D7" w:rsidRDefault="009F78AB" w:rsidP="00AA15D8">
      <w:pPr>
        <w:spacing w:after="80"/>
        <w:ind w:left="360" w:hanging="360"/>
        <w:rPr>
          <w:rFonts w:cs="Arial"/>
        </w:rPr>
      </w:pPr>
      <w:r w:rsidRPr="002C40D7">
        <w:rPr>
          <w:rFonts w:cs="Arial"/>
        </w:rPr>
        <w:t>Argyle, M. (1972) The psychology of interpersonal behaviour. 2nd edn. Harmondsworth: Penguin.</w:t>
      </w:r>
    </w:p>
    <w:p w:rsidR="003D4197" w:rsidRDefault="009F78AB" w:rsidP="00AA15D8">
      <w:pPr>
        <w:spacing w:after="80"/>
        <w:ind w:left="360" w:hanging="360"/>
        <w:rPr>
          <w:rFonts w:cs="Arial"/>
        </w:rPr>
      </w:pPr>
      <w:r w:rsidRPr="002C40D7">
        <w:rPr>
          <w:rFonts w:cs="Arial"/>
        </w:rPr>
        <w:t xml:space="preserve">Care Act 2014. London: The Stationery Office. Available at: </w:t>
      </w:r>
      <w:hyperlink r:id="rId11" w:history="1">
        <w:r w:rsidR="00AA15D8" w:rsidRPr="00BD2A13">
          <w:rPr>
            <w:rStyle w:val="Hyperlink"/>
            <w:rFonts w:cs="Arial"/>
          </w:rPr>
          <w:t>https://www.legislation.gov.uk/ukpga/2014/23/contents</w:t>
        </w:r>
      </w:hyperlink>
    </w:p>
    <w:p w:rsidR="003D4197" w:rsidRDefault="009F78AB" w:rsidP="00AA15D8">
      <w:pPr>
        <w:spacing w:after="80"/>
        <w:ind w:left="360" w:hanging="360"/>
        <w:rPr>
          <w:rFonts w:cs="Arial"/>
        </w:rPr>
      </w:pPr>
      <w:r w:rsidRPr="002C40D7">
        <w:rPr>
          <w:rFonts w:cs="Arial"/>
        </w:rPr>
        <w:t xml:space="preserve">Care Quality Commission (2023a) Regulation 17: Good governance. Available at: </w:t>
      </w:r>
      <w:hyperlink r:id="rId12" w:history="1">
        <w:r w:rsidR="00AA15D8" w:rsidRPr="00BD2A13">
          <w:rPr>
            <w:rStyle w:val="Hyperlink"/>
            <w:rFonts w:cs="Arial"/>
          </w:rPr>
          <w:t>https://www.cqc.org.uk/node/10021/pdf_print</w:t>
        </w:r>
      </w:hyperlink>
    </w:p>
    <w:p w:rsidR="003D4197" w:rsidRDefault="009F78AB" w:rsidP="00AA15D8">
      <w:pPr>
        <w:spacing w:after="80"/>
        <w:ind w:left="360" w:hanging="360"/>
        <w:rPr>
          <w:rFonts w:cs="Arial"/>
        </w:rPr>
      </w:pPr>
      <w:r w:rsidRPr="002C40D7">
        <w:rPr>
          <w:rFonts w:cs="Arial"/>
        </w:rPr>
        <w:t xml:space="preserve">Care Quality Commission (2023b) Regulation 20: Duty of candour. Available at: </w:t>
      </w:r>
      <w:hyperlink r:id="rId13" w:history="1">
        <w:r w:rsidR="00AA15D8" w:rsidRPr="00BD2A13">
          <w:rPr>
            <w:rStyle w:val="Hyperlink"/>
            <w:rFonts w:cs="Arial"/>
          </w:rPr>
          <w:t>https://www.cqc.org.uk/node/10024/pdf_print</w:t>
        </w:r>
      </w:hyperlink>
    </w:p>
    <w:p w:rsidR="003D4197" w:rsidRDefault="009F78AB" w:rsidP="00AA15D8">
      <w:pPr>
        <w:spacing w:after="80"/>
        <w:ind w:left="360" w:hanging="360"/>
        <w:rPr>
          <w:rFonts w:cs="Arial"/>
        </w:rPr>
      </w:pPr>
      <w:r w:rsidRPr="002C40D7">
        <w:rPr>
          <w:rFonts w:cs="Arial"/>
        </w:rPr>
        <w:t xml:space="preserve">Data Protection Act 2018. London: The Stationery Office. Available at: </w:t>
      </w:r>
      <w:hyperlink r:id="rId14" w:history="1">
        <w:r w:rsidR="00AA15D8" w:rsidRPr="00BD2A13">
          <w:rPr>
            <w:rStyle w:val="Hyperlink"/>
            <w:rFonts w:cs="Arial"/>
          </w:rPr>
          <w:t>https://www.legislation.gov.uk/ukpga/2018/12/contents</w:t>
        </w:r>
      </w:hyperlink>
    </w:p>
    <w:p w:rsidR="003D4197" w:rsidRDefault="009F78AB" w:rsidP="00AA15D8">
      <w:pPr>
        <w:spacing w:after="80"/>
        <w:ind w:left="360" w:hanging="360"/>
        <w:rPr>
          <w:rFonts w:cs="Arial"/>
        </w:rPr>
      </w:pPr>
      <w:r w:rsidRPr="002C40D7">
        <w:rPr>
          <w:rFonts w:cs="Arial"/>
        </w:rPr>
        <w:t xml:space="preserve">Equality Act 2010. London: The Stationery Office. Available at: </w:t>
      </w:r>
      <w:hyperlink r:id="rId15" w:history="1">
        <w:r w:rsidR="00AA15D8" w:rsidRPr="00BD2A13">
          <w:rPr>
            <w:rStyle w:val="Hyperlink"/>
            <w:rFonts w:cs="Arial"/>
          </w:rPr>
          <w:t>https://www.legislation.gov.uk/ukpga/2010/15/contents</w:t>
        </w:r>
      </w:hyperlink>
    </w:p>
    <w:p w:rsidR="003D4197" w:rsidRDefault="009F78AB" w:rsidP="00AA15D8">
      <w:pPr>
        <w:spacing w:after="80"/>
        <w:ind w:left="360" w:hanging="360"/>
        <w:rPr>
          <w:rFonts w:cs="Arial"/>
        </w:rPr>
      </w:pPr>
      <w:r w:rsidRPr="002C40D7">
        <w:rPr>
          <w:rFonts w:cs="Arial"/>
        </w:rPr>
        <w:t xml:space="preserve">Information Commissioner’s Office (2023) A guide to the data protection principles. Available at: </w:t>
      </w:r>
      <w:hyperlink r:id="rId16" w:history="1">
        <w:r w:rsidR="00AA15D8" w:rsidRPr="00BD2A13">
          <w:rPr>
            <w:rStyle w:val="Hyperlink"/>
            <w:rFonts w:cs="Arial"/>
          </w:rPr>
          <w:t>https://ico.org.uk/for-organisations/uk-gdpr-guidance-and-resources/data-protection-principles/a-guide-to-the-data-protection-principles/</w:t>
        </w:r>
      </w:hyperlink>
    </w:p>
    <w:p w:rsidR="003D4197" w:rsidRDefault="009F78AB" w:rsidP="00AA15D8">
      <w:pPr>
        <w:spacing w:after="80"/>
        <w:ind w:left="360" w:hanging="360"/>
        <w:rPr>
          <w:rFonts w:cs="Arial"/>
        </w:rPr>
      </w:pPr>
      <w:r w:rsidRPr="002C40D7">
        <w:rPr>
          <w:rFonts w:cs="Arial"/>
        </w:rPr>
        <w:t xml:space="preserve">National Institute for Health and Care Excellence (2023) Stroke rehabilitation in adults: NICE guideline NG236. Available at: </w:t>
      </w:r>
      <w:hyperlink r:id="rId17" w:history="1">
        <w:r w:rsidR="00AA15D8" w:rsidRPr="00BD2A13">
          <w:rPr>
            <w:rStyle w:val="Hyperlink"/>
            <w:rFonts w:cs="Arial"/>
          </w:rPr>
          <w:t>https://www.nice.org.uk/guidance/ng236</w:t>
        </w:r>
      </w:hyperlink>
    </w:p>
    <w:p w:rsidR="003D4197" w:rsidRDefault="009F78AB" w:rsidP="00AA15D8">
      <w:pPr>
        <w:spacing w:after="80"/>
        <w:ind w:left="360" w:hanging="360"/>
        <w:rPr>
          <w:rFonts w:cs="Arial"/>
        </w:rPr>
      </w:pPr>
      <w:r w:rsidRPr="002C40D7">
        <w:rPr>
          <w:rFonts w:cs="Arial"/>
        </w:rPr>
        <w:t xml:space="preserve">NHS England (2025) Accessible Information Standard: requirements DAPB1605. Available at: </w:t>
      </w:r>
      <w:hyperlink r:id="rId18" w:history="1">
        <w:r w:rsidR="00AA15D8" w:rsidRPr="00BD2A13">
          <w:rPr>
            <w:rStyle w:val="Hyperlink"/>
            <w:rFonts w:cs="Arial"/>
          </w:rPr>
          <w:t>https://www.england.nhs.uk/long-read/accessible-information-standard-requirements-dapb1605/</w:t>
        </w:r>
      </w:hyperlink>
    </w:p>
    <w:p w:rsidR="003D4197" w:rsidRDefault="009F78AB" w:rsidP="00AA15D8">
      <w:pPr>
        <w:spacing w:after="80"/>
        <w:ind w:left="360" w:hanging="360"/>
        <w:rPr>
          <w:rFonts w:cs="Arial"/>
        </w:rPr>
      </w:pPr>
      <w:r w:rsidRPr="002C40D7">
        <w:rPr>
          <w:rFonts w:cs="Arial"/>
        </w:rPr>
        <w:t xml:space="preserve">NHS England and NHS Improvement (2023) SBAR communication tool: situation, background, assessment, recommendation. Available at: </w:t>
      </w:r>
      <w:hyperlink r:id="rId19" w:history="1">
        <w:r w:rsidR="00AA15D8" w:rsidRPr="00BD2A13">
          <w:rPr>
            <w:rStyle w:val="Hyperlink"/>
            <w:rFonts w:cs="Arial"/>
          </w:rPr>
          <w:t>https://aqua.nhs.uk/wp-content/uploads/2023/07/qsir-sbar-communication-tool.pdf</w:t>
        </w:r>
      </w:hyperlink>
    </w:p>
    <w:p w:rsidR="003D4197" w:rsidRDefault="009F78AB" w:rsidP="00AA15D8">
      <w:pPr>
        <w:spacing w:after="80"/>
        <w:ind w:left="360" w:hanging="360"/>
        <w:rPr>
          <w:rFonts w:cs="Arial"/>
        </w:rPr>
      </w:pPr>
      <w:r w:rsidRPr="002C40D7">
        <w:rPr>
          <w:rFonts w:cs="Arial"/>
        </w:rPr>
        <w:t xml:space="preserve">NHS England Transformation Directorate (2023) Records Management Code of Practice. Available at: </w:t>
      </w:r>
      <w:hyperlink r:id="rId20" w:history="1">
        <w:r w:rsidR="00AA15D8" w:rsidRPr="00BD2A13">
          <w:rPr>
            <w:rStyle w:val="Hyperlink"/>
            <w:rFonts w:cs="Arial"/>
          </w:rPr>
          <w:t>https://transform.england.nhs.uk/information-governance/guidance/records-management-code/</w:t>
        </w:r>
      </w:hyperlink>
    </w:p>
    <w:p w:rsidR="003D4197" w:rsidRDefault="009F78AB" w:rsidP="00AA15D8">
      <w:pPr>
        <w:spacing w:after="80"/>
        <w:ind w:left="360" w:hanging="360"/>
        <w:rPr>
          <w:rFonts w:cs="Arial"/>
        </w:rPr>
      </w:pPr>
      <w:r w:rsidRPr="002C40D7">
        <w:rPr>
          <w:rFonts w:cs="Arial"/>
        </w:rPr>
        <w:t xml:space="preserve">Social Care Institute for Excellence (2024) The Care Act: safeguarding adults. Available at: </w:t>
      </w:r>
      <w:hyperlink r:id="rId21" w:history="1">
        <w:r w:rsidR="00AA15D8" w:rsidRPr="00BD2A13">
          <w:rPr>
            <w:rStyle w:val="Hyperlink"/>
            <w:rFonts w:cs="Arial"/>
          </w:rPr>
          <w:t>https://www.scie.org.uk/safeguarding/adults/care-act-safeguarding-adults/</w:t>
        </w:r>
      </w:hyperlink>
    </w:p>
    <w:sectPr w:rsidR="003D4197" w:rsidSect="00AA15D8">
      <w:pgSz w:w="12240" w:h="15840"/>
      <w:pgMar w:top="1152" w:right="1296" w:bottom="1152" w:left="129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747" w:rsidRDefault="000A2747">
      <w:pPr>
        <w:spacing w:after="0" w:line="240" w:lineRule="auto"/>
      </w:pPr>
      <w:r>
        <w:separator/>
      </w:r>
    </w:p>
  </w:endnote>
  <w:endnote w:type="continuationSeparator" w:id="0">
    <w:p w:rsidR="000A2747" w:rsidRDefault="000A2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197" w:rsidRDefault="009F78AB">
    <w:pPr>
      <w:pStyle w:val="Footer"/>
      <w:jc w:val="center"/>
    </w:pPr>
    <w:r>
      <w:rPr>
        <w:sz w:val="20"/>
      </w:rPr>
      <w:fldChar w:fldCharType="begin"/>
    </w:r>
    <w:r>
      <w:rPr>
        <w:sz w:val="20"/>
      </w:rPr>
      <w:instrText>PAGE</w:instrText>
    </w:r>
    <w:r>
      <w:rPr>
        <w:sz w:val="20"/>
      </w:rPr>
      <w:fldChar w:fldCharType="separate"/>
    </w:r>
    <w:r w:rsidR="008A25A7">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747" w:rsidRDefault="000A2747">
      <w:pPr>
        <w:spacing w:after="0" w:line="240" w:lineRule="auto"/>
      </w:pPr>
      <w:r>
        <w:separator/>
      </w:r>
    </w:p>
  </w:footnote>
  <w:footnote w:type="continuationSeparator" w:id="0">
    <w:p w:rsidR="000A2747" w:rsidRDefault="000A2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33A1"/>
    <w:rsid w:val="00095E2B"/>
    <w:rsid w:val="000A2747"/>
    <w:rsid w:val="000F6793"/>
    <w:rsid w:val="0015074B"/>
    <w:rsid w:val="0029639D"/>
    <w:rsid w:val="002C40D7"/>
    <w:rsid w:val="00326F90"/>
    <w:rsid w:val="003D4197"/>
    <w:rsid w:val="00423F74"/>
    <w:rsid w:val="00532191"/>
    <w:rsid w:val="005521F0"/>
    <w:rsid w:val="00606E80"/>
    <w:rsid w:val="00692652"/>
    <w:rsid w:val="007C0575"/>
    <w:rsid w:val="007C1BD3"/>
    <w:rsid w:val="008A25A7"/>
    <w:rsid w:val="008D48EE"/>
    <w:rsid w:val="009230FD"/>
    <w:rsid w:val="009C4D76"/>
    <w:rsid w:val="009F78AB"/>
    <w:rsid w:val="00A07A2A"/>
    <w:rsid w:val="00A1081E"/>
    <w:rsid w:val="00AA15D8"/>
    <w:rsid w:val="00AA1D8D"/>
    <w:rsid w:val="00AE7F38"/>
    <w:rsid w:val="00B47730"/>
    <w:rsid w:val="00B922CB"/>
    <w:rsid w:val="00BF710C"/>
    <w:rsid w:val="00C0670E"/>
    <w:rsid w:val="00C64A03"/>
    <w:rsid w:val="00CB0664"/>
    <w:rsid w:val="00CC0914"/>
    <w:rsid w:val="00E5500D"/>
    <w:rsid w:val="00F506FA"/>
    <w:rsid w:val="00FC693F"/>
    <w:rsid w:val="00FF0F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68E0C9"/>
  <w14:defaultImageDpi w14:val="300"/>
  <w15:docId w15:val="{EB1B1629-7B38-45B6-864F-81E185DE0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autoRedefine/>
    <w:uiPriority w:val="9"/>
    <w:qFormat/>
    <w:rsid w:val="00AA15D8"/>
    <w:pPr>
      <w:keepNext/>
      <w:keepLines/>
      <w:spacing w:before="480" w:after="0"/>
      <w:jc w:val="center"/>
      <w:outlineLvl w:val="0"/>
    </w:pPr>
    <w:rPr>
      <w:rFonts w:eastAsiaTheme="majorEastAsia" w:cs="Arial"/>
      <w:b/>
      <w:bCs/>
    </w:rPr>
  </w:style>
  <w:style w:type="paragraph" w:styleId="Heading2">
    <w:name w:val="heading 2"/>
    <w:basedOn w:val="Normal"/>
    <w:next w:val="Normal"/>
    <w:link w:val="Heading2Char"/>
    <w:autoRedefine/>
    <w:uiPriority w:val="9"/>
    <w:unhideWhenUsed/>
    <w:qFormat/>
    <w:rsid w:val="00AA15D8"/>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AA15D8"/>
    <w:rPr>
      <w:rFonts w:ascii="Arial" w:eastAsiaTheme="majorEastAsia" w:hAnsi="Arial" w:cs="Arial"/>
      <w:b/>
      <w:bCs/>
    </w:rPr>
  </w:style>
  <w:style w:type="character" w:customStyle="1" w:styleId="Heading2Char">
    <w:name w:val="Heading 2 Char"/>
    <w:basedOn w:val="DefaultParagraphFont"/>
    <w:link w:val="Heading2"/>
    <w:uiPriority w:val="9"/>
    <w:rsid w:val="00AA15D8"/>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A15D8"/>
    <w:rPr>
      <w:color w:val="0000FF" w:themeColor="hyperlink"/>
      <w:u w:val="single"/>
    </w:rPr>
  </w:style>
  <w:style w:type="character" w:styleId="UnresolvedMention">
    <w:name w:val="Unresolved Mention"/>
    <w:basedOn w:val="DefaultParagraphFont"/>
    <w:uiPriority w:val="99"/>
    <w:semiHidden/>
    <w:unhideWhenUsed/>
    <w:rsid w:val="00AA15D8"/>
    <w:rPr>
      <w:color w:val="605E5C"/>
      <w:shd w:val="clear" w:color="auto" w:fill="E1DFDD"/>
    </w:rPr>
  </w:style>
  <w:style w:type="paragraph" w:styleId="TOC1">
    <w:name w:val="toc 1"/>
    <w:basedOn w:val="Normal"/>
    <w:next w:val="Normal"/>
    <w:autoRedefine/>
    <w:uiPriority w:val="39"/>
    <w:unhideWhenUsed/>
    <w:rsid w:val="00AA15D8"/>
    <w:pPr>
      <w:spacing w:after="100"/>
    </w:pPr>
  </w:style>
  <w:style w:type="paragraph" w:styleId="TOC2">
    <w:name w:val="toc 2"/>
    <w:basedOn w:val="Normal"/>
    <w:next w:val="Normal"/>
    <w:autoRedefine/>
    <w:uiPriority w:val="39"/>
    <w:unhideWhenUsed/>
    <w:rsid w:val="00AA15D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node/10024/pdf_print" TargetMode="External"/><Relationship Id="rId18" Type="http://schemas.openxmlformats.org/officeDocument/2006/relationships/hyperlink" Target="https://www.england.nhs.uk/long-read/accessible-information-standard-requirements-dapb1605/" TargetMode="External"/><Relationship Id="rId3" Type="http://schemas.openxmlformats.org/officeDocument/2006/relationships/styles" Target="styles.xml"/><Relationship Id="rId21" Type="http://schemas.openxmlformats.org/officeDocument/2006/relationships/hyperlink" Target="https://www.scie.org.uk/safeguarding/adults/care-act-safeguarding-adults/" TargetMode="External"/><Relationship Id="rId7" Type="http://schemas.openxmlformats.org/officeDocument/2006/relationships/endnotes" Target="endnotes.xml"/><Relationship Id="rId12" Type="http://schemas.openxmlformats.org/officeDocument/2006/relationships/hyperlink" Target="https://www.cqc.org.uk/node/10021/pdf_print" TargetMode="External"/><Relationship Id="rId17" Type="http://schemas.openxmlformats.org/officeDocument/2006/relationships/hyperlink" Target="https://www.nice.org.uk/guidance/ng236" TargetMode="External"/><Relationship Id="rId2" Type="http://schemas.openxmlformats.org/officeDocument/2006/relationships/numbering" Target="numbering.xml"/><Relationship Id="rId16" Type="http://schemas.openxmlformats.org/officeDocument/2006/relationships/hyperlink" Target="https://ico.org.uk/for-organisations/uk-gdpr-guidance-and-resources/data-protection-principles/a-guide-to-the-data-protection-principles/" TargetMode="External"/><Relationship Id="rId20" Type="http://schemas.openxmlformats.org/officeDocument/2006/relationships/hyperlink" Target="https://transform.england.nhs.uk/information-governance/guidance/records-management-co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aqua.nhs.uk/wp-content/uploads/2023/07/qsir-sbar-communication-tool.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legislation.gov.uk/ukpga/2018/12/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A57E6-E671-4E5E-96A7-713A8DE03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8</Pages>
  <Words>2093</Words>
  <Characters>11935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2026-04-16T16:21:00Z</dcterms:created>
  <dcterms:modified xsi:type="dcterms:W3CDTF">2026-04-18T00:49:00Z</dcterms:modified>
  <cp:category/>
</cp:coreProperties>
</file>