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602CD" w14:textId="77777777" w:rsidR="0066666D" w:rsidRDefault="006B0CF6">
      <w:pPr>
        <w:jc w:val="center"/>
      </w:pPr>
      <w:r>
        <w:rPr>
          <w:noProof/>
          <w:color w:val="000000"/>
          <w:sz w:val="22"/>
          <w:szCs w:val="22"/>
        </w:rPr>
        <w:drawing>
          <wp:inline distT="0" distB="0" distL="0" distR="0" wp14:anchorId="25462ECA" wp14:editId="107DD1A1">
            <wp:extent cx="2964180" cy="1295400"/>
            <wp:effectExtent l="0" t="0" r="0" b="0"/>
            <wp:docPr id="2" name="image1.png" descr="https://lh4.googleusercontent.com/b5l_evzp5gVbgaytKqXrSDDDwMzVaE_wwfx5Bfj4I9-q_8--9FK_3c0t1ujv4dHTSKvqM6Brj8nVg2vMO9X2MrkZTDDWKnQpYCxypMeUNzN81apO6ST4H3lA037xIwt58d6M9XNmIrea9su1tAUaGbTTbbOaLmlfKkrBqoETd5eokKgS91otUC0a6dcKBA"/>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b5l_evzp5gVbgaytKqXrSDDDwMzVaE_wwfx5Bfj4I9-q_8--9FK_3c0t1ujv4dHTSKvqM6Brj8nVg2vMO9X2MrkZTDDWKnQpYCxypMeUNzN81apO6ST4H3lA037xIwt58d6M9XNmIrea9su1tAUaGbTTbbOaLmlfKkrBqoETd5eokKgS91otUC0a6dcKBA"/>
                    <pic:cNvPicPr preferRelativeResize="0"/>
                  </pic:nvPicPr>
                  <pic:blipFill>
                    <a:blip r:embed="rId6"/>
                    <a:srcRect/>
                    <a:stretch>
                      <a:fillRect/>
                    </a:stretch>
                  </pic:blipFill>
                  <pic:spPr>
                    <a:xfrm>
                      <a:off x="0" y="0"/>
                      <a:ext cx="2964180" cy="1295400"/>
                    </a:xfrm>
                    <a:prstGeom prst="rect">
                      <a:avLst/>
                    </a:prstGeom>
                    <a:ln/>
                  </pic:spPr>
                </pic:pic>
              </a:graphicData>
            </a:graphic>
          </wp:inline>
        </w:drawing>
      </w:r>
    </w:p>
    <w:p w14:paraId="1AB64DD0" w14:textId="77777777" w:rsidR="0066666D" w:rsidRDefault="0066666D">
      <w:pPr>
        <w:jc w:val="center"/>
      </w:pPr>
    </w:p>
    <w:p w14:paraId="5ED3E825" w14:textId="25490F63" w:rsidR="0066666D" w:rsidRPr="00C20A35" w:rsidRDefault="00C20A35">
      <w:pPr>
        <w:jc w:val="center"/>
        <w:rPr>
          <w:b/>
          <w:bCs/>
          <w:sz w:val="40"/>
          <w:szCs w:val="40"/>
        </w:rPr>
      </w:pPr>
      <w:r w:rsidRPr="00C20A35">
        <w:rPr>
          <w:b/>
          <w:bCs/>
          <w:sz w:val="40"/>
          <w:szCs w:val="40"/>
        </w:rPr>
        <w:t xml:space="preserve">Syeda Nessa Begum </w:t>
      </w:r>
    </w:p>
    <w:p w14:paraId="7EE0226E" w14:textId="1F91FD2A" w:rsidR="00C20A35" w:rsidRPr="00C20A35" w:rsidRDefault="00C20A35">
      <w:pPr>
        <w:jc w:val="center"/>
        <w:rPr>
          <w:b/>
          <w:bCs/>
          <w:sz w:val="40"/>
          <w:szCs w:val="40"/>
        </w:rPr>
      </w:pPr>
      <w:r w:rsidRPr="00C20A35">
        <w:rPr>
          <w:b/>
          <w:bCs/>
          <w:sz w:val="40"/>
          <w:szCs w:val="40"/>
        </w:rPr>
        <w:t xml:space="preserve">Id 2109894 </w:t>
      </w:r>
    </w:p>
    <w:p w14:paraId="3EA9EBC8" w14:textId="59756998" w:rsidR="00C20A35" w:rsidRPr="00C20A35" w:rsidRDefault="00C20A35">
      <w:pPr>
        <w:jc w:val="center"/>
        <w:rPr>
          <w:b/>
          <w:bCs/>
          <w:sz w:val="40"/>
          <w:szCs w:val="40"/>
        </w:rPr>
      </w:pPr>
      <w:r w:rsidRPr="00C20A35">
        <w:rPr>
          <w:b/>
          <w:bCs/>
          <w:sz w:val="40"/>
          <w:szCs w:val="40"/>
        </w:rPr>
        <w:t>Lecturer Rodrigo Aguilera</w:t>
      </w:r>
    </w:p>
    <w:p w14:paraId="046A23DE" w14:textId="77777777" w:rsidR="00C20A35" w:rsidRDefault="006B0CF6">
      <w:pPr>
        <w:jc w:val="center"/>
        <w:rPr>
          <w:b/>
          <w:color w:val="1F1F1F"/>
          <w:sz w:val="40"/>
          <w:szCs w:val="40"/>
          <w:highlight w:val="white"/>
        </w:rPr>
      </w:pPr>
      <w:r>
        <w:rPr>
          <w:b/>
          <w:color w:val="1F1F1F"/>
          <w:sz w:val="40"/>
          <w:szCs w:val="40"/>
          <w:highlight w:val="white"/>
        </w:rPr>
        <w:t>BMIH5003</w:t>
      </w:r>
    </w:p>
    <w:p w14:paraId="027DCD81" w14:textId="7288C7E9" w:rsidR="0066666D" w:rsidRDefault="006B0CF6">
      <w:pPr>
        <w:jc w:val="center"/>
        <w:rPr>
          <w:b/>
          <w:color w:val="1F1F1F"/>
          <w:sz w:val="40"/>
          <w:szCs w:val="40"/>
          <w:highlight w:val="white"/>
        </w:rPr>
      </w:pPr>
      <w:r>
        <w:rPr>
          <w:b/>
          <w:color w:val="1F1F1F"/>
          <w:sz w:val="40"/>
          <w:szCs w:val="40"/>
          <w:highlight w:val="white"/>
        </w:rPr>
        <w:t xml:space="preserve"> Foreign Languages and Cultural Awareness</w:t>
      </w:r>
    </w:p>
    <w:p w14:paraId="2F417D38" w14:textId="77777777" w:rsidR="0066666D" w:rsidRDefault="006B0CF6">
      <w:pPr>
        <w:jc w:val="center"/>
        <w:rPr>
          <w:b/>
          <w:color w:val="1F1F1F"/>
          <w:sz w:val="40"/>
          <w:szCs w:val="40"/>
          <w:highlight w:val="white"/>
        </w:rPr>
      </w:pPr>
      <w:r>
        <w:rPr>
          <w:b/>
          <w:color w:val="1F1F1F"/>
          <w:sz w:val="40"/>
          <w:szCs w:val="40"/>
          <w:highlight w:val="white"/>
        </w:rPr>
        <w:t>Report</w:t>
      </w:r>
    </w:p>
    <w:p w14:paraId="7E6D9F64" w14:textId="1F5DF4E5" w:rsidR="0066666D" w:rsidRDefault="006B0CF6">
      <w:pPr>
        <w:rPr>
          <w:b/>
          <w:color w:val="1F1F1F"/>
          <w:sz w:val="40"/>
          <w:szCs w:val="40"/>
          <w:highlight w:val="white"/>
        </w:rPr>
      </w:pPr>
      <w:r>
        <w:br w:type="page"/>
      </w:r>
    </w:p>
    <w:p w14:paraId="4E88AC33" w14:textId="77777777" w:rsidR="0066666D" w:rsidRDefault="006B0CF6">
      <w:pPr>
        <w:keepNext/>
        <w:keepLines/>
        <w:pBdr>
          <w:top w:val="nil"/>
          <w:left w:val="nil"/>
          <w:bottom w:val="nil"/>
          <w:right w:val="nil"/>
          <w:between w:val="nil"/>
        </w:pBdr>
        <w:spacing w:before="480" w:after="0"/>
        <w:jc w:val="center"/>
        <w:rPr>
          <w:b/>
          <w:color w:val="76923C"/>
          <w:sz w:val="32"/>
          <w:szCs w:val="32"/>
        </w:rPr>
      </w:pPr>
      <w:r>
        <w:rPr>
          <w:b/>
          <w:color w:val="76923C"/>
          <w:sz w:val="32"/>
          <w:szCs w:val="32"/>
        </w:rPr>
        <w:lastRenderedPageBreak/>
        <w:t>Table of Contents</w:t>
      </w:r>
    </w:p>
    <w:sdt>
      <w:sdtPr>
        <w:id w:val="-1703086995"/>
        <w:docPartObj>
          <w:docPartGallery w:val="Table of Contents"/>
          <w:docPartUnique/>
        </w:docPartObj>
      </w:sdtPr>
      <w:sdtEndPr/>
      <w:sdtContent>
        <w:p w14:paraId="6C42F784"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601E7EBC"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0j0zll">
            <w:r>
              <w:rPr>
                <w:color w:val="000000"/>
              </w:rPr>
              <w:t>Cultural Intelligence and Sensitivity</w:t>
            </w:r>
            <w:r>
              <w:rPr>
                <w:color w:val="000000"/>
              </w:rPr>
              <w:tab/>
              <w:t>4</w:t>
            </w:r>
          </w:hyperlink>
        </w:p>
        <w:p w14:paraId="0CF0CED6"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fob9te">
            <w:r>
              <w:rPr>
                <w:color w:val="000000"/>
              </w:rPr>
              <w:t>Hofstede's theory of cultural aspects</w:t>
            </w:r>
            <w:r>
              <w:rPr>
                <w:color w:val="000000"/>
              </w:rPr>
              <w:tab/>
              <w:t>4</w:t>
            </w:r>
          </w:hyperlink>
        </w:p>
        <w:p w14:paraId="0D3BA7BC"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znysh7">
            <w:r>
              <w:rPr>
                <w:color w:val="000000"/>
              </w:rPr>
              <w:t>Departments in a Hotel</w:t>
            </w:r>
            <w:r>
              <w:rPr>
                <w:color w:val="000000"/>
              </w:rPr>
              <w:tab/>
              <w:t>5</w:t>
            </w:r>
          </w:hyperlink>
        </w:p>
        <w:p w14:paraId="449E8F6B"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et92p0">
            <w:r>
              <w:rPr>
                <w:color w:val="000000"/>
              </w:rPr>
              <w:t xml:space="preserve">DO’s and </w:t>
            </w:r>
          </w:hyperlink>
          <w:hyperlink w:anchor="_heading=h.2et92p0">
            <w:r>
              <w:t>DON'Ts</w:t>
            </w:r>
          </w:hyperlink>
          <w:hyperlink w:anchor="_heading=h.2et92p0">
            <w:r>
              <w:rPr>
                <w:color w:val="000000"/>
              </w:rPr>
              <w:t xml:space="preserve"> for Hotel Staff</w:t>
            </w:r>
            <w:r>
              <w:rPr>
                <w:color w:val="000000"/>
              </w:rPr>
              <w:tab/>
              <w:t>6</w:t>
            </w:r>
          </w:hyperlink>
        </w:p>
        <w:p w14:paraId="11F0D796"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tyjcwt">
            <w:r>
              <w:rPr>
                <w:color w:val="000000"/>
              </w:rPr>
              <w:t>Conclusion</w:t>
            </w:r>
            <w:r>
              <w:rPr>
                <w:color w:val="000000"/>
              </w:rPr>
              <w:tab/>
              <w:t>7</w:t>
            </w:r>
          </w:hyperlink>
        </w:p>
        <w:p w14:paraId="5F8B558E" w14:textId="77777777" w:rsidR="0066666D" w:rsidRDefault="006B0CF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dy6vkm">
            <w:r>
              <w:rPr>
                <w:color w:val="000000"/>
              </w:rPr>
              <w:t>References</w:t>
            </w:r>
            <w:r>
              <w:rPr>
                <w:color w:val="000000"/>
              </w:rPr>
              <w:tab/>
              <w:t>8</w:t>
            </w:r>
          </w:hyperlink>
        </w:p>
        <w:p w14:paraId="7F5E0E09" w14:textId="77777777" w:rsidR="0066666D" w:rsidRDefault="006B0CF6">
          <w:r>
            <w:fldChar w:fldCharType="end"/>
          </w:r>
        </w:p>
      </w:sdtContent>
    </w:sdt>
    <w:p w14:paraId="564D6D39" w14:textId="77777777" w:rsidR="0066666D" w:rsidRDefault="006B0CF6">
      <w:pPr>
        <w:rPr>
          <w:b/>
          <w:sz w:val="32"/>
          <w:szCs w:val="32"/>
        </w:rPr>
      </w:pPr>
      <w:r>
        <w:br w:type="page"/>
      </w:r>
    </w:p>
    <w:p w14:paraId="73640A95" w14:textId="77777777" w:rsidR="0066666D" w:rsidRDefault="006B0CF6">
      <w:pPr>
        <w:pStyle w:val="Heading1"/>
        <w:rPr>
          <w:rFonts w:ascii="Times New Roman" w:hAnsi="Times New Roman"/>
        </w:rPr>
      </w:pPr>
      <w:bookmarkStart w:id="0" w:name="_heading=h.gjdgxs" w:colFirst="0" w:colLast="0"/>
      <w:bookmarkEnd w:id="0"/>
      <w:r>
        <w:rPr>
          <w:rFonts w:ascii="Times New Roman" w:hAnsi="Times New Roman"/>
        </w:rPr>
        <w:lastRenderedPageBreak/>
        <w:t>Introduction</w:t>
      </w:r>
    </w:p>
    <w:p w14:paraId="5FF6DF07" w14:textId="77777777" w:rsidR="0066666D" w:rsidRDefault="006B0CF6">
      <w:r>
        <w:t>The hotel sector is increasingly competitive on a global scale, and one of the challenges is communicating with guests who speak a different language</w:t>
      </w:r>
      <w:r>
        <w:t>. The importance of a person with high levels of cultural intelligence and sensitivity will be demonstrated throughout the report. The Hofstede theory will also be illustrated, stressing the significance of overcoming cultural differences and providing gui</w:t>
      </w:r>
      <w:r>
        <w:t xml:space="preserve">dance on what hotel personnel should and should not do (Bryan, 2013). Given the cultural and linguistic distance that may exist between the hotel staff and their international guest from Japan, it is likely that this will be </w:t>
      </w:r>
      <w:proofErr w:type="gramStart"/>
      <w:r>
        <w:t>taken into account</w:t>
      </w:r>
      <w:proofErr w:type="gramEnd"/>
      <w:r>
        <w:t xml:space="preserve"> when providi</w:t>
      </w:r>
      <w:r>
        <w:t>ng service. The study will show how to prioritize Japanese guests' preferences.</w:t>
      </w:r>
    </w:p>
    <w:p w14:paraId="1CD6F4C6" w14:textId="77777777" w:rsidR="0066666D" w:rsidRDefault="006B0CF6">
      <w:r>
        <w:br w:type="page"/>
      </w:r>
    </w:p>
    <w:p w14:paraId="7D79129D" w14:textId="77777777" w:rsidR="0066666D" w:rsidRDefault="006B0CF6">
      <w:pPr>
        <w:pStyle w:val="Heading1"/>
        <w:rPr>
          <w:rFonts w:ascii="Times New Roman" w:hAnsi="Times New Roman"/>
        </w:rPr>
      </w:pPr>
      <w:bookmarkStart w:id="1" w:name="_heading=h.30j0zll" w:colFirst="0" w:colLast="0"/>
      <w:bookmarkEnd w:id="1"/>
      <w:r>
        <w:rPr>
          <w:rFonts w:ascii="Times New Roman" w:hAnsi="Times New Roman"/>
        </w:rPr>
        <w:lastRenderedPageBreak/>
        <w:t>Cultural Intelligence and Sensitivity</w:t>
      </w:r>
    </w:p>
    <w:p w14:paraId="28CC0434" w14:textId="77777777" w:rsidR="0066666D" w:rsidRDefault="006B0CF6">
      <w:pPr>
        <w:rPr>
          <w:b/>
          <w:i/>
        </w:rPr>
      </w:pPr>
      <w:r>
        <w:rPr>
          <w:b/>
          <w:i/>
        </w:rPr>
        <w:t>The Value of Intercultural Competence and Awareness</w:t>
      </w:r>
    </w:p>
    <w:p w14:paraId="35C9F969" w14:textId="77777777" w:rsidR="0066666D" w:rsidRDefault="006B0CF6">
      <w:r>
        <w:t xml:space="preserve">From the perspective of the hotel's workforce, cultural intelligence, </w:t>
      </w:r>
      <w:r>
        <w:t>especially sensitivity, is crucial. For a hotel to thrive in today's cutthroat hospitality industry, managers must prioritise the comfort and happiness of their guests above all else. The hotel's image improves thanks to its staff members who place a premi</w:t>
      </w:r>
      <w:r>
        <w:t>um on cultural sensitivity (</w:t>
      </w:r>
      <w:proofErr w:type="spellStart"/>
      <w:r>
        <w:t>Daisetz</w:t>
      </w:r>
      <w:proofErr w:type="spellEnd"/>
      <w:r>
        <w:t xml:space="preserve"> </w:t>
      </w:r>
      <w:proofErr w:type="spellStart"/>
      <w:r>
        <w:t>Teitaro</w:t>
      </w:r>
      <w:proofErr w:type="spellEnd"/>
      <w:r>
        <w:t xml:space="preserve"> Suzuki and Jaffe, 2019). This eliminates intergroup hostility and allows businesses to cater to individual customers' cultural needs. Also, it can help make international connections with respective countries str</w:t>
      </w:r>
      <w:r>
        <w:t>onger and smoother interpersonal connections even better. Service to hotel guests and communication with them can benefit greatly from a shared awareness of different cultural norms and values.</w:t>
      </w:r>
    </w:p>
    <w:p w14:paraId="207205AA" w14:textId="77777777" w:rsidR="0066666D" w:rsidRDefault="006B0CF6">
      <w:pPr>
        <w:rPr>
          <w:b/>
          <w:i/>
        </w:rPr>
      </w:pPr>
      <w:r>
        <w:rPr>
          <w:b/>
          <w:i/>
        </w:rPr>
        <w:t>Service Implication for Guests</w:t>
      </w:r>
    </w:p>
    <w:p w14:paraId="51502066" w14:textId="77777777" w:rsidR="0066666D" w:rsidRDefault="006B0CF6">
      <w:r>
        <w:t>Any hotel's offerings should ha</w:t>
      </w:r>
      <w:r>
        <w:t>ve the potential to create a more competitive market because of their emphasis on boosting service through the efficient use of a variety of languages. The hotel's reputation can improve if the customers are treated well and the establishment is kept clean</w:t>
      </w:r>
      <w:r>
        <w:t xml:space="preserve"> and the food is of high quality (</w:t>
      </w:r>
      <w:proofErr w:type="spellStart"/>
      <w:r>
        <w:t>Gezon</w:t>
      </w:r>
      <w:proofErr w:type="spellEnd"/>
      <w:r>
        <w:t xml:space="preserve"> and Kottak, 2018). One of the disadvantages considered is the language barrier that exists with overseas customers.</w:t>
      </w:r>
    </w:p>
    <w:p w14:paraId="09F7DA80" w14:textId="77777777" w:rsidR="0066666D" w:rsidRDefault="006B0CF6">
      <w:pPr>
        <w:pStyle w:val="Heading1"/>
        <w:rPr>
          <w:rFonts w:ascii="Times New Roman" w:hAnsi="Times New Roman"/>
        </w:rPr>
      </w:pPr>
      <w:bookmarkStart w:id="2" w:name="_heading=h.1fob9te" w:colFirst="0" w:colLast="0"/>
      <w:bookmarkEnd w:id="2"/>
      <w:r>
        <w:rPr>
          <w:rFonts w:ascii="Times New Roman" w:hAnsi="Times New Roman"/>
        </w:rPr>
        <w:t>Hofstede's theory of cultural aspects</w:t>
      </w:r>
    </w:p>
    <w:p w14:paraId="04861421" w14:textId="77777777" w:rsidR="0066666D" w:rsidRDefault="006B0CF6">
      <w:r>
        <w:t>It was in 1997 that Geert Hofstede established his cultural di</w:t>
      </w:r>
      <w:r>
        <w:t xml:space="preserve">mensions theory, which centres on the importance of effective cross-cultural communication. It analyses how cultural norms influence and are influenced by individual behaviour. What this means, in layman's terms, is that cultural differences among nations </w:t>
      </w:r>
      <w:r>
        <w:t>affect the methods in which trade is done and channelled. The following are the five categories of hypotheses that are covered:</w:t>
      </w:r>
    </w:p>
    <w:p w14:paraId="26BEEF3C" w14:textId="77777777" w:rsidR="0066666D" w:rsidRDefault="006B0CF6">
      <w:pPr>
        <w:numPr>
          <w:ilvl w:val="0"/>
          <w:numId w:val="1"/>
        </w:numPr>
        <w:pBdr>
          <w:top w:val="nil"/>
          <w:left w:val="nil"/>
          <w:bottom w:val="nil"/>
          <w:right w:val="nil"/>
          <w:between w:val="nil"/>
        </w:pBdr>
        <w:spacing w:after="0"/>
        <w:rPr>
          <w:b/>
          <w:i/>
          <w:color w:val="000000"/>
        </w:rPr>
      </w:pPr>
      <w:r>
        <w:rPr>
          <w:b/>
          <w:i/>
          <w:color w:val="000000"/>
        </w:rPr>
        <w:t>Distance of Power:</w:t>
      </w:r>
    </w:p>
    <w:p w14:paraId="05ECA1F3" w14:textId="77777777" w:rsidR="0066666D" w:rsidRDefault="006B0CF6">
      <w:pPr>
        <w:pBdr>
          <w:top w:val="nil"/>
          <w:left w:val="nil"/>
          <w:bottom w:val="nil"/>
          <w:right w:val="nil"/>
          <w:between w:val="nil"/>
        </w:pBdr>
        <w:spacing w:before="0" w:after="0"/>
        <w:ind w:left="720"/>
        <w:rPr>
          <w:color w:val="000000"/>
        </w:rPr>
      </w:pPr>
      <w:r>
        <w:rPr>
          <w:color w:val="000000"/>
        </w:rPr>
        <w:t xml:space="preserve">Culturally accepted and perceived socioeconomic inequity between societies is what we call "the distance of power". Hofstede interprets this finding as evidence that great distance has the potential to profoundly affect people's </w:t>
      </w:r>
      <w:r>
        <w:t>behaviour</w:t>
      </w:r>
      <w:r>
        <w:rPr>
          <w:color w:val="000000"/>
        </w:rPr>
        <w:t xml:space="preserve"> (Livermore, 2015)</w:t>
      </w:r>
      <w:r>
        <w:rPr>
          <w:color w:val="000000"/>
        </w:rPr>
        <w:t>. For instance, if a hotel cares about its customers' experience of social inequity, it will attract and keep them.</w:t>
      </w:r>
    </w:p>
    <w:p w14:paraId="620D8FE3"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t>Avoiding Uncertainty:</w:t>
      </w:r>
    </w:p>
    <w:p w14:paraId="3D55E28A" w14:textId="77777777" w:rsidR="0066666D" w:rsidRDefault="006B0CF6">
      <w:pPr>
        <w:pBdr>
          <w:top w:val="nil"/>
          <w:left w:val="nil"/>
          <w:bottom w:val="nil"/>
          <w:right w:val="nil"/>
          <w:between w:val="nil"/>
        </w:pBdr>
        <w:spacing w:before="0" w:after="0"/>
        <w:ind w:left="720"/>
        <w:rPr>
          <w:color w:val="000000"/>
        </w:rPr>
      </w:pPr>
      <w:r>
        <w:rPr>
          <w:color w:val="000000"/>
        </w:rPr>
        <w:lastRenderedPageBreak/>
        <w:t>According to Hofstede, it has to do with the anxiety one may have in a new environment. A Japanese visitor to the Unit</w:t>
      </w:r>
      <w:r>
        <w:rPr>
          <w:color w:val="000000"/>
        </w:rPr>
        <w:t>ed Kingdom, for instance, would feel unsafe owing to language and cultural barriers.</w:t>
      </w:r>
    </w:p>
    <w:p w14:paraId="22E09144"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t>Collectivism and Individualism</w:t>
      </w:r>
    </w:p>
    <w:p w14:paraId="1C319BF9" w14:textId="77777777" w:rsidR="0066666D" w:rsidRDefault="006B0CF6">
      <w:pPr>
        <w:pBdr>
          <w:top w:val="nil"/>
          <w:left w:val="nil"/>
          <w:bottom w:val="nil"/>
          <w:right w:val="nil"/>
          <w:between w:val="nil"/>
        </w:pBdr>
        <w:spacing w:before="0" w:after="0"/>
        <w:ind w:left="720"/>
        <w:rPr>
          <w:color w:val="000000"/>
        </w:rPr>
      </w:pPr>
      <w:r>
        <w:rPr>
          <w:color w:val="000000"/>
        </w:rPr>
        <w:t>Collectivism, in contrast to individualism, places value on the interconnectedness of social units such as families (Livermore, 2015). Hotel</w:t>
      </w:r>
      <w:r>
        <w:rPr>
          <w:color w:val="000000"/>
        </w:rPr>
        <w:t>s that cater specifically to Japanese families on vacation in London, for instance, will be able to meet the needs of those guests. Individualism, on the other hand, is defined as putting a premium on personal freedom and choice.</w:t>
      </w:r>
    </w:p>
    <w:p w14:paraId="363950C3"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t>Gender Roles:</w:t>
      </w:r>
    </w:p>
    <w:p w14:paraId="4FDC103F" w14:textId="77777777" w:rsidR="0066666D" w:rsidRDefault="006B0CF6">
      <w:pPr>
        <w:pBdr>
          <w:top w:val="nil"/>
          <w:left w:val="nil"/>
          <w:bottom w:val="nil"/>
          <w:right w:val="nil"/>
          <w:between w:val="nil"/>
        </w:pBdr>
        <w:spacing w:before="0" w:after="0"/>
        <w:ind w:left="720"/>
        <w:rPr>
          <w:color w:val="000000"/>
        </w:rPr>
      </w:pPr>
      <w:r>
        <w:rPr>
          <w:color w:val="000000"/>
        </w:rPr>
        <w:t>Understandin</w:t>
      </w:r>
      <w:r>
        <w:rPr>
          <w:color w:val="000000"/>
        </w:rPr>
        <w:t xml:space="preserve">g and accommodating the interests of all members of society is important, and the gender gap </w:t>
      </w:r>
      <w:r>
        <w:t>emphasises</w:t>
      </w:r>
      <w:r>
        <w:rPr>
          <w:color w:val="000000"/>
        </w:rPr>
        <w:t xml:space="preserve"> this fact. Customers in a hotel, for instance, who are given services tailored to their specific gender, tend to be more efficient.</w:t>
      </w:r>
    </w:p>
    <w:p w14:paraId="48681EB2"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t>Perspective on the l</w:t>
      </w:r>
      <w:r>
        <w:rPr>
          <w:b/>
          <w:i/>
          <w:color w:val="000000"/>
        </w:rPr>
        <w:t>ong run:</w:t>
      </w:r>
    </w:p>
    <w:p w14:paraId="5D6E7C63" w14:textId="77777777" w:rsidR="0066666D" w:rsidRDefault="006B0CF6">
      <w:pPr>
        <w:pBdr>
          <w:top w:val="nil"/>
          <w:left w:val="nil"/>
          <w:bottom w:val="nil"/>
          <w:right w:val="nil"/>
          <w:between w:val="nil"/>
        </w:pBdr>
        <w:spacing w:before="0"/>
        <w:ind w:left="720"/>
        <w:rPr>
          <w:color w:val="000000"/>
        </w:rPr>
      </w:pPr>
      <w:r>
        <w:rPr>
          <w:color w:val="000000"/>
        </w:rPr>
        <w:t>It's the final of Hofstede's theories, and it's concerned with how different cultures view the future and the past. The major target here is the foster parent, as he or she is the one responsible for dismantling the barriers of difference (Peterso</w:t>
      </w:r>
      <w:r>
        <w:rPr>
          <w:color w:val="000000"/>
        </w:rPr>
        <w:t>n, 2018). Customers from Japan who travel to the United Kingdom, for instance, like receiving top-notch treatment and feel like they deserve to be treated like VIPs by everyone in the establishment.</w:t>
      </w:r>
    </w:p>
    <w:p w14:paraId="72A6C71E" w14:textId="77777777" w:rsidR="0066666D" w:rsidRDefault="006B0CF6">
      <w:pPr>
        <w:pStyle w:val="Heading1"/>
        <w:rPr>
          <w:rFonts w:ascii="Times New Roman" w:hAnsi="Times New Roman"/>
        </w:rPr>
      </w:pPr>
      <w:bookmarkStart w:id="3" w:name="_heading=h.3znysh7" w:colFirst="0" w:colLast="0"/>
      <w:bookmarkEnd w:id="3"/>
      <w:r>
        <w:rPr>
          <w:rFonts w:ascii="Times New Roman" w:hAnsi="Times New Roman"/>
        </w:rPr>
        <w:t>Departments in a Hotel</w:t>
      </w:r>
    </w:p>
    <w:p w14:paraId="0331ABFC" w14:textId="77777777" w:rsidR="0066666D" w:rsidRDefault="006B0CF6">
      <w:pPr>
        <w:numPr>
          <w:ilvl w:val="0"/>
          <w:numId w:val="1"/>
        </w:numPr>
        <w:pBdr>
          <w:top w:val="nil"/>
          <w:left w:val="nil"/>
          <w:bottom w:val="nil"/>
          <w:right w:val="nil"/>
          <w:between w:val="nil"/>
        </w:pBdr>
        <w:spacing w:after="0"/>
        <w:rPr>
          <w:color w:val="000000"/>
        </w:rPr>
      </w:pPr>
      <w:r>
        <w:rPr>
          <w:b/>
          <w:i/>
          <w:color w:val="000000"/>
        </w:rPr>
        <w:t xml:space="preserve">Front Office </w:t>
      </w:r>
      <w:r>
        <w:rPr>
          <w:b/>
          <w:i/>
          <w:color w:val="000000"/>
        </w:rPr>
        <w:t>Department:</w:t>
      </w:r>
    </w:p>
    <w:p w14:paraId="239F8D2F" w14:textId="77777777" w:rsidR="0066666D" w:rsidRDefault="006B0CF6">
      <w:pPr>
        <w:pBdr>
          <w:top w:val="nil"/>
          <w:left w:val="nil"/>
          <w:bottom w:val="nil"/>
          <w:right w:val="nil"/>
          <w:between w:val="nil"/>
        </w:pBdr>
        <w:spacing w:before="0" w:after="0"/>
        <w:ind w:left="720"/>
        <w:rPr>
          <w:color w:val="000000"/>
        </w:rPr>
      </w:pPr>
      <w:r>
        <w:rPr>
          <w:color w:val="000000"/>
        </w:rPr>
        <w:t>Hotel guests are greeted by a member of the front desk staff. They have conversations and provide them with information about the hotel. Due to cultural differences, connecting with Japanese visitors is exceedingly challenging. Therefore, the h</w:t>
      </w:r>
      <w:r>
        <w:rPr>
          <w:color w:val="000000"/>
        </w:rPr>
        <w:t>otel must provide its employees with language training and education.</w:t>
      </w:r>
    </w:p>
    <w:p w14:paraId="3AF8051D"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t>Housekeeping Department:</w:t>
      </w:r>
    </w:p>
    <w:p w14:paraId="57E90D7D" w14:textId="77777777" w:rsidR="0066666D" w:rsidRDefault="006B0CF6">
      <w:pPr>
        <w:pBdr>
          <w:top w:val="nil"/>
          <w:left w:val="nil"/>
          <w:bottom w:val="nil"/>
          <w:right w:val="nil"/>
          <w:between w:val="nil"/>
        </w:pBdr>
        <w:spacing w:before="0" w:after="0"/>
        <w:ind w:left="720"/>
        <w:rPr>
          <w:color w:val="000000"/>
        </w:rPr>
      </w:pPr>
      <w:r>
        <w:rPr>
          <w:color w:val="000000"/>
        </w:rPr>
        <w:t>Door-to-door services are provided by the hotel's cleaning staff, and they do a good job of it. However, Japanese customers have no way of communicating their co</w:t>
      </w:r>
      <w:r>
        <w:rPr>
          <w:color w:val="000000"/>
        </w:rPr>
        <w:t>ncerns to the staff in person (</w:t>
      </w:r>
      <w:proofErr w:type="spellStart"/>
      <w:r>
        <w:rPr>
          <w:color w:val="000000"/>
        </w:rPr>
        <w:t>Valdeón</w:t>
      </w:r>
      <w:proofErr w:type="spellEnd"/>
      <w:r>
        <w:rPr>
          <w:color w:val="000000"/>
        </w:rPr>
        <w:t>, 2018). As a result, from now on, the housekeeping staff can at least somewhat interpret cultural signals.</w:t>
      </w:r>
    </w:p>
    <w:p w14:paraId="22B75A17" w14:textId="77777777" w:rsidR="0066666D" w:rsidRDefault="0066666D">
      <w:pPr>
        <w:pBdr>
          <w:top w:val="nil"/>
          <w:left w:val="nil"/>
          <w:bottom w:val="nil"/>
          <w:right w:val="nil"/>
          <w:between w:val="nil"/>
        </w:pBdr>
        <w:spacing w:before="0" w:after="0"/>
        <w:ind w:left="720"/>
        <w:rPr>
          <w:b/>
          <w:i/>
          <w:color w:val="000000"/>
        </w:rPr>
      </w:pPr>
    </w:p>
    <w:p w14:paraId="6F07EA7C" w14:textId="77777777" w:rsidR="0066666D" w:rsidRDefault="006B0CF6">
      <w:pPr>
        <w:numPr>
          <w:ilvl w:val="0"/>
          <w:numId w:val="1"/>
        </w:numPr>
        <w:pBdr>
          <w:top w:val="nil"/>
          <w:left w:val="nil"/>
          <w:bottom w:val="nil"/>
          <w:right w:val="nil"/>
          <w:between w:val="nil"/>
        </w:pBdr>
        <w:spacing w:before="0" w:after="0"/>
        <w:rPr>
          <w:b/>
          <w:i/>
          <w:color w:val="000000"/>
        </w:rPr>
      </w:pPr>
      <w:r>
        <w:rPr>
          <w:b/>
          <w:i/>
          <w:color w:val="000000"/>
        </w:rPr>
        <w:lastRenderedPageBreak/>
        <w:t>Restaurant Department:</w:t>
      </w:r>
    </w:p>
    <w:p w14:paraId="1DBB97DA" w14:textId="77777777" w:rsidR="0066666D" w:rsidRDefault="006B0CF6">
      <w:pPr>
        <w:pBdr>
          <w:top w:val="nil"/>
          <w:left w:val="nil"/>
          <w:bottom w:val="nil"/>
          <w:right w:val="nil"/>
          <w:between w:val="nil"/>
        </w:pBdr>
        <w:spacing w:before="0"/>
        <w:ind w:left="720"/>
        <w:rPr>
          <w:color w:val="000000"/>
        </w:rPr>
      </w:pPr>
      <w:r>
        <w:rPr>
          <w:color w:val="000000"/>
        </w:rPr>
        <w:t xml:space="preserve">The restaurant division offers traditional British fare, whereas Japanese customers typically choose sushi and other fish-stuffed dishes. Because of language limitations, people are unable to express their choices openly (Nash, Brown, and </w:t>
      </w:r>
      <w:proofErr w:type="spellStart"/>
      <w:r>
        <w:rPr>
          <w:color w:val="000000"/>
        </w:rPr>
        <w:t>Bracci</w:t>
      </w:r>
      <w:proofErr w:type="spellEnd"/>
      <w:r>
        <w:rPr>
          <w:color w:val="000000"/>
        </w:rPr>
        <w:t xml:space="preserve">, 2012). A </w:t>
      </w:r>
      <w:r>
        <w:rPr>
          <w:color w:val="000000"/>
        </w:rPr>
        <w:t>translator needs to be assigned to this case to facilitate effective communication with the foreign visitor.</w:t>
      </w:r>
    </w:p>
    <w:p w14:paraId="40BD42F6" w14:textId="77777777" w:rsidR="0066666D" w:rsidRDefault="006B0CF6">
      <w:pPr>
        <w:pStyle w:val="Heading1"/>
        <w:rPr>
          <w:rFonts w:ascii="Times New Roman" w:hAnsi="Times New Roman"/>
        </w:rPr>
      </w:pPr>
      <w:bookmarkStart w:id="4" w:name="_heading=h.2et92p0" w:colFirst="0" w:colLast="0"/>
      <w:bookmarkEnd w:id="4"/>
      <w:r>
        <w:rPr>
          <w:rFonts w:ascii="Times New Roman" w:hAnsi="Times New Roman"/>
        </w:rPr>
        <w:t>DO’s and DONT’s for Hotel Staff</w:t>
      </w:r>
    </w:p>
    <w:tbl>
      <w:tblPr>
        <w:tblStyle w:val="a"/>
        <w:tblW w:w="9242" w:type="dxa"/>
        <w:tblInd w:w="-108"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4110"/>
        <w:gridCol w:w="4598"/>
      </w:tblGrid>
      <w:tr w:rsidR="0066666D" w14:paraId="7E6CE9DF" w14:textId="77777777">
        <w:tc>
          <w:tcPr>
            <w:tcW w:w="534" w:type="dxa"/>
          </w:tcPr>
          <w:p w14:paraId="37BEBD1F" w14:textId="77777777" w:rsidR="0066666D" w:rsidRDefault="0066666D">
            <w:pPr>
              <w:spacing w:line="360" w:lineRule="auto"/>
              <w:jc w:val="center"/>
              <w:rPr>
                <w:b/>
              </w:rPr>
            </w:pPr>
          </w:p>
        </w:tc>
        <w:tc>
          <w:tcPr>
            <w:tcW w:w="4110" w:type="dxa"/>
          </w:tcPr>
          <w:p w14:paraId="2B6A1B5D" w14:textId="77777777" w:rsidR="0066666D" w:rsidRDefault="006B0CF6">
            <w:pPr>
              <w:spacing w:line="360" w:lineRule="auto"/>
              <w:jc w:val="center"/>
              <w:rPr>
                <w:b/>
              </w:rPr>
            </w:pPr>
            <w:r>
              <w:rPr>
                <w:b/>
              </w:rPr>
              <w:t>DO’s</w:t>
            </w:r>
          </w:p>
        </w:tc>
        <w:tc>
          <w:tcPr>
            <w:tcW w:w="4598" w:type="dxa"/>
          </w:tcPr>
          <w:p w14:paraId="20A8951B" w14:textId="77777777" w:rsidR="0066666D" w:rsidRDefault="006B0CF6">
            <w:pPr>
              <w:spacing w:line="360" w:lineRule="auto"/>
              <w:jc w:val="center"/>
              <w:rPr>
                <w:b/>
              </w:rPr>
            </w:pPr>
            <w:r>
              <w:rPr>
                <w:b/>
              </w:rPr>
              <w:t>DON’T’s</w:t>
            </w:r>
          </w:p>
        </w:tc>
      </w:tr>
      <w:tr w:rsidR="0066666D" w14:paraId="580D4C4F" w14:textId="77777777">
        <w:tc>
          <w:tcPr>
            <w:tcW w:w="534" w:type="dxa"/>
          </w:tcPr>
          <w:p w14:paraId="335511A4" w14:textId="77777777" w:rsidR="0066666D" w:rsidRDefault="006B0CF6">
            <w:pPr>
              <w:spacing w:line="360" w:lineRule="auto"/>
              <w:jc w:val="center"/>
            </w:pPr>
            <w:r>
              <w:t>1</w:t>
            </w:r>
          </w:p>
        </w:tc>
        <w:tc>
          <w:tcPr>
            <w:tcW w:w="4110" w:type="dxa"/>
          </w:tcPr>
          <w:p w14:paraId="61927D58" w14:textId="77777777" w:rsidR="0066666D" w:rsidRDefault="006B0CF6">
            <w:pPr>
              <w:spacing w:line="360" w:lineRule="auto"/>
            </w:pPr>
            <w:r>
              <w:t>Japanese visitors' anxiety levels will drop as soon as they are greeted by friendly employees.</w:t>
            </w:r>
          </w:p>
        </w:tc>
        <w:tc>
          <w:tcPr>
            <w:tcW w:w="4598" w:type="dxa"/>
          </w:tcPr>
          <w:p w14:paraId="4BDF7EB9" w14:textId="77777777" w:rsidR="0066666D" w:rsidRDefault="006B0CF6">
            <w:pPr>
              <w:spacing w:line="360" w:lineRule="auto"/>
            </w:pPr>
            <w:r>
              <w:t>Jap</w:t>
            </w:r>
            <w:r>
              <w:t>anese visitors are known for being quite particular about how they are treated, thus the person should make no mistakes.</w:t>
            </w:r>
          </w:p>
        </w:tc>
      </w:tr>
      <w:tr w:rsidR="0066666D" w14:paraId="42BED0C4" w14:textId="77777777">
        <w:tc>
          <w:tcPr>
            <w:tcW w:w="534" w:type="dxa"/>
          </w:tcPr>
          <w:p w14:paraId="11354905" w14:textId="77777777" w:rsidR="0066666D" w:rsidRDefault="006B0CF6">
            <w:pPr>
              <w:spacing w:line="360" w:lineRule="auto"/>
              <w:jc w:val="center"/>
            </w:pPr>
            <w:r>
              <w:t>2</w:t>
            </w:r>
          </w:p>
        </w:tc>
        <w:tc>
          <w:tcPr>
            <w:tcW w:w="4110" w:type="dxa"/>
          </w:tcPr>
          <w:p w14:paraId="443F01E2" w14:textId="77777777" w:rsidR="0066666D" w:rsidRDefault="006B0CF6">
            <w:pPr>
              <w:spacing w:line="360" w:lineRule="auto"/>
            </w:pPr>
            <w:r>
              <w:t>The needs of Japanese customers must always come first.</w:t>
            </w:r>
          </w:p>
        </w:tc>
        <w:tc>
          <w:tcPr>
            <w:tcW w:w="4598" w:type="dxa"/>
          </w:tcPr>
          <w:p w14:paraId="4038165D" w14:textId="77777777" w:rsidR="0066666D" w:rsidRDefault="006B0CF6">
            <w:pPr>
              <w:spacing w:line="360" w:lineRule="auto"/>
            </w:pPr>
            <w:r>
              <w:t xml:space="preserve">If employees are unavailable for an extended period, it might put off </w:t>
            </w:r>
            <w:r>
              <w:t>visitors from Japan (</w:t>
            </w:r>
            <w:proofErr w:type="spellStart"/>
            <w:r>
              <w:t>Valdeón</w:t>
            </w:r>
            <w:proofErr w:type="spellEnd"/>
            <w:r>
              <w:t>, 2018).</w:t>
            </w:r>
          </w:p>
        </w:tc>
      </w:tr>
      <w:tr w:rsidR="0066666D" w14:paraId="4D0D4B57" w14:textId="77777777">
        <w:tc>
          <w:tcPr>
            <w:tcW w:w="534" w:type="dxa"/>
          </w:tcPr>
          <w:p w14:paraId="2D5BC705" w14:textId="77777777" w:rsidR="0066666D" w:rsidRDefault="006B0CF6">
            <w:pPr>
              <w:spacing w:line="360" w:lineRule="auto"/>
              <w:jc w:val="center"/>
            </w:pPr>
            <w:r>
              <w:t>3</w:t>
            </w:r>
          </w:p>
        </w:tc>
        <w:tc>
          <w:tcPr>
            <w:tcW w:w="4110" w:type="dxa"/>
          </w:tcPr>
          <w:p w14:paraId="34EEE029" w14:textId="77777777" w:rsidR="0066666D" w:rsidRDefault="006B0CF6">
            <w:pPr>
              <w:spacing w:line="360" w:lineRule="auto"/>
            </w:pPr>
            <w:r>
              <w:t>Japanese visitors want individualised service that caters to their tastes and preferences.</w:t>
            </w:r>
          </w:p>
        </w:tc>
        <w:tc>
          <w:tcPr>
            <w:tcW w:w="4598" w:type="dxa"/>
          </w:tcPr>
          <w:p w14:paraId="4B1A5A76" w14:textId="77777777" w:rsidR="0066666D" w:rsidRDefault="006B0CF6">
            <w:pPr>
              <w:spacing w:line="360" w:lineRule="auto"/>
            </w:pPr>
            <w:r>
              <w:t xml:space="preserve">The Japanese visitors appreciate their personal </w:t>
            </w:r>
            <w:proofErr w:type="gramStart"/>
            <w:r>
              <w:t>space,</w:t>
            </w:r>
            <w:proofErr w:type="gramEnd"/>
            <w:r>
              <w:t xml:space="preserve"> thus the personnel shouldn't invade it.</w:t>
            </w:r>
          </w:p>
        </w:tc>
      </w:tr>
      <w:tr w:rsidR="0066666D" w14:paraId="435AD362" w14:textId="77777777">
        <w:tc>
          <w:tcPr>
            <w:tcW w:w="534" w:type="dxa"/>
          </w:tcPr>
          <w:p w14:paraId="121026B8" w14:textId="77777777" w:rsidR="0066666D" w:rsidRDefault="006B0CF6">
            <w:pPr>
              <w:spacing w:line="360" w:lineRule="auto"/>
              <w:jc w:val="center"/>
            </w:pPr>
            <w:r>
              <w:t>4</w:t>
            </w:r>
          </w:p>
        </w:tc>
        <w:tc>
          <w:tcPr>
            <w:tcW w:w="4110" w:type="dxa"/>
          </w:tcPr>
          <w:p w14:paraId="10AA19B8" w14:textId="77777777" w:rsidR="0066666D" w:rsidRDefault="006B0CF6">
            <w:pPr>
              <w:spacing w:line="360" w:lineRule="auto"/>
            </w:pPr>
            <w:r>
              <w:t>Building a rapport with Japanese hotel customers would entice more of them to visit the country (McGuire and Ho, 2015).</w:t>
            </w:r>
          </w:p>
        </w:tc>
        <w:tc>
          <w:tcPr>
            <w:tcW w:w="4598" w:type="dxa"/>
          </w:tcPr>
          <w:p w14:paraId="68A95626" w14:textId="77777777" w:rsidR="0066666D" w:rsidRDefault="006B0CF6">
            <w:pPr>
              <w:spacing w:line="360" w:lineRule="auto"/>
            </w:pPr>
            <w:r>
              <w:t>Members of management and authority, as well as staff members, those who aren't directly ser</w:t>
            </w:r>
            <w:r>
              <w:t>vicing Japanese visitors, might put them off.</w:t>
            </w:r>
          </w:p>
        </w:tc>
      </w:tr>
    </w:tbl>
    <w:p w14:paraId="0E6C3FCE" w14:textId="77777777" w:rsidR="0066666D" w:rsidRDefault="0066666D"/>
    <w:p w14:paraId="69D87635" w14:textId="77777777" w:rsidR="0066666D" w:rsidRDefault="006B0CF6">
      <w:r>
        <w:br w:type="page"/>
      </w:r>
    </w:p>
    <w:p w14:paraId="303BCE2F" w14:textId="77777777" w:rsidR="0066666D" w:rsidRDefault="006B0CF6">
      <w:pPr>
        <w:pStyle w:val="Heading1"/>
        <w:rPr>
          <w:rFonts w:ascii="Times New Roman" w:hAnsi="Times New Roman"/>
        </w:rPr>
      </w:pPr>
      <w:bookmarkStart w:id="5" w:name="_heading=h.tyjcwt" w:colFirst="0" w:colLast="0"/>
      <w:bookmarkEnd w:id="5"/>
      <w:r>
        <w:rPr>
          <w:rFonts w:ascii="Times New Roman" w:hAnsi="Times New Roman"/>
        </w:rPr>
        <w:lastRenderedPageBreak/>
        <w:t>Conclusion</w:t>
      </w:r>
    </w:p>
    <w:p w14:paraId="0161AF61" w14:textId="77777777" w:rsidR="0066666D" w:rsidRDefault="006B0CF6">
      <w:r>
        <w:t>The employees will be better equipped to accommodate Japanese and non-Japanese visitors if they are fluent in the languages of those nations. Management should take the lead in this matter and ar</w:t>
      </w:r>
      <w:r>
        <w:t xml:space="preserve">range for them to attend lessons in foreign languages (Mahomed Abbas </w:t>
      </w:r>
      <w:proofErr w:type="spellStart"/>
      <w:r>
        <w:t>Shushtery</w:t>
      </w:r>
      <w:proofErr w:type="spellEnd"/>
      <w:r>
        <w:t>, 2012). The hotel's global standing will improve as a result.</w:t>
      </w:r>
    </w:p>
    <w:p w14:paraId="1B91C899" w14:textId="77777777" w:rsidR="0066666D" w:rsidRDefault="006B0CF6">
      <w:r>
        <w:t>The cultural and sensitive intelligence signalled by the report is effective in attracting guests from other nation</w:t>
      </w:r>
      <w:r>
        <w:t>s (Gert Jan Hofstede, Hofstede, and Pedersen, 2012). Japan has been thinking a lot about big contrasts in culture. The report details the hotel's departments and provides advice on how employees should and should not carry out their duties.</w:t>
      </w:r>
    </w:p>
    <w:p w14:paraId="42C95D71" w14:textId="77777777" w:rsidR="0066666D" w:rsidRDefault="006B0CF6">
      <w:r>
        <w:br w:type="page"/>
      </w:r>
    </w:p>
    <w:p w14:paraId="42127E72" w14:textId="77777777" w:rsidR="0066666D" w:rsidRDefault="006B0CF6">
      <w:pPr>
        <w:pStyle w:val="Heading1"/>
        <w:rPr>
          <w:rFonts w:ascii="Times New Roman" w:hAnsi="Times New Roman"/>
        </w:rPr>
      </w:pPr>
      <w:bookmarkStart w:id="6" w:name="_heading=h.3dy6vkm" w:colFirst="0" w:colLast="0"/>
      <w:bookmarkEnd w:id="6"/>
      <w:r>
        <w:rPr>
          <w:rFonts w:ascii="Times New Roman" w:hAnsi="Times New Roman"/>
        </w:rPr>
        <w:lastRenderedPageBreak/>
        <w:t>References</w:t>
      </w:r>
    </w:p>
    <w:p w14:paraId="5A89BB05" w14:textId="77777777" w:rsidR="0066666D" w:rsidRDefault="0066666D"/>
    <w:p w14:paraId="70D8A653" w14:textId="77777777" w:rsidR="0066666D" w:rsidRDefault="006B0CF6">
      <w:pPr>
        <w:pBdr>
          <w:top w:val="nil"/>
          <w:left w:val="nil"/>
          <w:bottom w:val="nil"/>
          <w:right w:val="nil"/>
          <w:between w:val="nil"/>
        </w:pBdr>
        <w:spacing w:before="0" w:after="240"/>
        <w:rPr>
          <w:color w:val="000000"/>
        </w:rPr>
      </w:pPr>
      <w:r>
        <w:rPr>
          <w:color w:val="000000"/>
        </w:rPr>
        <w:t xml:space="preserve">Bryan, J.L. (2013). </w:t>
      </w:r>
      <w:r>
        <w:rPr>
          <w:i/>
          <w:color w:val="000000"/>
        </w:rPr>
        <w:t>The martial imagination: cultural aspects of American warfare</w:t>
      </w:r>
      <w:r>
        <w:rPr>
          <w:color w:val="000000"/>
        </w:rPr>
        <w:t>. College Station: Texas A &amp; M University Press.</w:t>
      </w:r>
    </w:p>
    <w:p w14:paraId="4271B37E" w14:textId="77777777" w:rsidR="0066666D" w:rsidRDefault="006B0CF6">
      <w:pPr>
        <w:pBdr>
          <w:top w:val="nil"/>
          <w:left w:val="nil"/>
          <w:bottom w:val="nil"/>
          <w:right w:val="nil"/>
          <w:between w:val="nil"/>
        </w:pBdr>
        <w:spacing w:before="0" w:after="240"/>
        <w:rPr>
          <w:color w:val="000000"/>
        </w:rPr>
      </w:pPr>
      <w:proofErr w:type="spellStart"/>
      <w:r>
        <w:rPr>
          <w:color w:val="000000"/>
        </w:rPr>
        <w:t>Daisetz</w:t>
      </w:r>
      <w:proofErr w:type="spellEnd"/>
      <w:r>
        <w:rPr>
          <w:color w:val="000000"/>
        </w:rPr>
        <w:t xml:space="preserve"> </w:t>
      </w:r>
      <w:proofErr w:type="spellStart"/>
      <w:r>
        <w:rPr>
          <w:color w:val="000000"/>
        </w:rPr>
        <w:t>Teitaro</w:t>
      </w:r>
      <w:proofErr w:type="spellEnd"/>
      <w:r>
        <w:rPr>
          <w:color w:val="000000"/>
        </w:rPr>
        <w:t xml:space="preserve"> Suzuki and Jaffe, R.M. (2019). </w:t>
      </w:r>
      <w:r>
        <w:rPr>
          <w:i/>
          <w:color w:val="000000"/>
        </w:rPr>
        <w:t>Zen and Japanese culture</w:t>
      </w:r>
      <w:r>
        <w:rPr>
          <w:color w:val="000000"/>
        </w:rPr>
        <w:t>. Princeton, New Jersey: Princeton Universi</w:t>
      </w:r>
      <w:r>
        <w:rPr>
          <w:color w:val="000000"/>
        </w:rPr>
        <w:t>ty Press.</w:t>
      </w:r>
    </w:p>
    <w:p w14:paraId="1EFFADA3" w14:textId="77777777" w:rsidR="0066666D" w:rsidRDefault="006B0CF6">
      <w:pPr>
        <w:pBdr>
          <w:top w:val="nil"/>
          <w:left w:val="nil"/>
          <w:bottom w:val="nil"/>
          <w:right w:val="nil"/>
          <w:between w:val="nil"/>
        </w:pBdr>
        <w:spacing w:before="0" w:after="240"/>
        <w:rPr>
          <w:color w:val="000000"/>
        </w:rPr>
      </w:pPr>
      <w:r>
        <w:rPr>
          <w:color w:val="000000"/>
        </w:rPr>
        <w:t xml:space="preserve">Gert Jan Hofstede, Hofstede, G. and Pedersen, P.B. (2012). </w:t>
      </w:r>
      <w:r>
        <w:rPr>
          <w:i/>
          <w:color w:val="000000"/>
        </w:rPr>
        <w:t>Exploring culture: exercises, stories, and synthetic cultures</w:t>
      </w:r>
      <w:r>
        <w:rPr>
          <w:color w:val="000000"/>
        </w:rPr>
        <w:t>. Boston: Intercultural Press.</w:t>
      </w:r>
    </w:p>
    <w:p w14:paraId="51B4F6EB" w14:textId="77777777" w:rsidR="0066666D" w:rsidRDefault="006B0CF6">
      <w:pPr>
        <w:pBdr>
          <w:top w:val="nil"/>
          <w:left w:val="nil"/>
          <w:bottom w:val="nil"/>
          <w:right w:val="nil"/>
          <w:between w:val="nil"/>
        </w:pBdr>
        <w:spacing w:before="0" w:after="240"/>
        <w:rPr>
          <w:color w:val="000000"/>
        </w:rPr>
      </w:pPr>
      <w:proofErr w:type="spellStart"/>
      <w:r>
        <w:rPr>
          <w:color w:val="000000"/>
        </w:rPr>
        <w:t>Gezon</w:t>
      </w:r>
      <w:proofErr w:type="spellEnd"/>
      <w:r>
        <w:rPr>
          <w:color w:val="000000"/>
        </w:rPr>
        <w:t xml:space="preserve">, L.L. and Kottak, C.P. (2018). </w:t>
      </w:r>
      <w:r>
        <w:rPr>
          <w:i/>
          <w:color w:val="000000"/>
        </w:rPr>
        <w:t>Culture</w:t>
      </w:r>
      <w:r>
        <w:rPr>
          <w:color w:val="000000"/>
        </w:rPr>
        <w:t xml:space="preserve">. New York: </w:t>
      </w:r>
      <w:proofErr w:type="spellStart"/>
      <w:r>
        <w:rPr>
          <w:color w:val="000000"/>
        </w:rPr>
        <w:t>Mcgraw-Hill</w:t>
      </w:r>
      <w:proofErr w:type="spellEnd"/>
      <w:r>
        <w:rPr>
          <w:color w:val="000000"/>
        </w:rPr>
        <w:t>.</w:t>
      </w:r>
    </w:p>
    <w:p w14:paraId="267171C2" w14:textId="77777777" w:rsidR="0066666D" w:rsidRDefault="006B0CF6">
      <w:pPr>
        <w:pBdr>
          <w:top w:val="nil"/>
          <w:left w:val="nil"/>
          <w:bottom w:val="nil"/>
          <w:right w:val="nil"/>
          <w:between w:val="nil"/>
        </w:pBdr>
        <w:spacing w:before="0" w:after="240"/>
        <w:rPr>
          <w:color w:val="000000"/>
        </w:rPr>
      </w:pPr>
      <w:proofErr w:type="spellStart"/>
      <w:r>
        <w:rPr>
          <w:color w:val="000000"/>
        </w:rPr>
        <w:t>Heapy</w:t>
      </w:r>
      <w:proofErr w:type="spellEnd"/>
      <w:r>
        <w:rPr>
          <w:color w:val="000000"/>
        </w:rPr>
        <w:t xml:space="preserve">, T. (2013). </w:t>
      </w:r>
      <w:r>
        <w:rPr>
          <w:i/>
          <w:color w:val="000000"/>
        </w:rPr>
        <w:t>Japanese</w:t>
      </w:r>
      <w:r>
        <w:rPr>
          <w:i/>
          <w:color w:val="000000"/>
        </w:rPr>
        <w:t xml:space="preserve"> culture</w:t>
      </w:r>
      <w:r>
        <w:rPr>
          <w:color w:val="000000"/>
        </w:rPr>
        <w:t>. London: Raintree.</w:t>
      </w:r>
    </w:p>
    <w:p w14:paraId="6925F7E4" w14:textId="77777777" w:rsidR="0066666D" w:rsidRDefault="006B0CF6">
      <w:pPr>
        <w:pBdr>
          <w:top w:val="nil"/>
          <w:left w:val="nil"/>
          <w:bottom w:val="nil"/>
          <w:right w:val="nil"/>
          <w:between w:val="nil"/>
        </w:pBdr>
        <w:spacing w:before="0" w:after="240"/>
        <w:rPr>
          <w:color w:val="000000"/>
        </w:rPr>
      </w:pPr>
      <w:r>
        <w:rPr>
          <w:color w:val="000000"/>
        </w:rPr>
        <w:t xml:space="preserve">Livermore, D.A. (2015). </w:t>
      </w:r>
      <w:r>
        <w:rPr>
          <w:i/>
          <w:color w:val="000000"/>
        </w:rPr>
        <w:t>Leading with Cultural Intelligence: The Real Secret to Success</w:t>
      </w:r>
      <w:r>
        <w:rPr>
          <w:color w:val="000000"/>
        </w:rPr>
        <w:t>. 2nd ed. New York: American Management Association.</w:t>
      </w:r>
    </w:p>
    <w:p w14:paraId="70A3CC8D" w14:textId="77777777" w:rsidR="0066666D" w:rsidRDefault="006B0CF6">
      <w:pPr>
        <w:pBdr>
          <w:top w:val="nil"/>
          <w:left w:val="nil"/>
          <w:bottom w:val="nil"/>
          <w:right w:val="nil"/>
          <w:between w:val="nil"/>
        </w:pBdr>
        <w:spacing w:before="0" w:after="240"/>
        <w:rPr>
          <w:color w:val="000000"/>
        </w:rPr>
      </w:pPr>
      <w:r>
        <w:rPr>
          <w:color w:val="000000"/>
        </w:rPr>
        <w:t xml:space="preserve">Mahomed Abbas </w:t>
      </w:r>
      <w:proofErr w:type="spellStart"/>
      <w:r>
        <w:rPr>
          <w:color w:val="000000"/>
        </w:rPr>
        <w:t>Shushtery</w:t>
      </w:r>
      <w:proofErr w:type="spellEnd"/>
      <w:r>
        <w:rPr>
          <w:color w:val="000000"/>
        </w:rPr>
        <w:t xml:space="preserve"> (2012). </w:t>
      </w:r>
      <w:r>
        <w:rPr>
          <w:i/>
          <w:color w:val="000000"/>
        </w:rPr>
        <w:t>Outlines of Islamic culture: historical and cultural aspe</w:t>
      </w:r>
      <w:r>
        <w:rPr>
          <w:i/>
          <w:color w:val="000000"/>
        </w:rPr>
        <w:t>cts</w:t>
      </w:r>
      <w:r>
        <w:rPr>
          <w:color w:val="000000"/>
        </w:rPr>
        <w:t xml:space="preserve">. New Delhi: Published </w:t>
      </w:r>
      <w:proofErr w:type="gramStart"/>
      <w:r>
        <w:rPr>
          <w:color w:val="000000"/>
        </w:rPr>
        <w:t>By</w:t>
      </w:r>
      <w:proofErr w:type="gramEnd"/>
      <w:r>
        <w:rPr>
          <w:color w:val="000000"/>
        </w:rPr>
        <w:t xml:space="preserve"> Cosmo Publications For Genesis Pub.</w:t>
      </w:r>
    </w:p>
    <w:p w14:paraId="56EB3E8C" w14:textId="77777777" w:rsidR="0066666D" w:rsidRDefault="006B0CF6">
      <w:pPr>
        <w:pBdr>
          <w:top w:val="nil"/>
          <w:left w:val="nil"/>
          <w:bottom w:val="nil"/>
          <w:right w:val="nil"/>
          <w:between w:val="nil"/>
        </w:pBdr>
        <w:spacing w:before="0" w:after="240"/>
        <w:rPr>
          <w:color w:val="000000"/>
        </w:rPr>
      </w:pPr>
      <w:r>
        <w:rPr>
          <w:color w:val="000000"/>
        </w:rPr>
        <w:t xml:space="preserve">McGuire, K.A. and Ho, J. (2015). </w:t>
      </w:r>
      <w:r>
        <w:rPr>
          <w:i/>
          <w:color w:val="000000"/>
        </w:rPr>
        <w:t>Hotel pricing in a social world: driving value in the digital economy</w:t>
      </w:r>
      <w:r>
        <w:rPr>
          <w:color w:val="000000"/>
        </w:rPr>
        <w:t>. Hoboken, N.J.: Wiley.</w:t>
      </w:r>
    </w:p>
    <w:p w14:paraId="19CB6E7B" w14:textId="77777777" w:rsidR="0066666D" w:rsidRDefault="006B0CF6">
      <w:pPr>
        <w:pBdr>
          <w:top w:val="nil"/>
          <w:left w:val="nil"/>
          <w:bottom w:val="nil"/>
          <w:right w:val="nil"/>
          <w:between w:val="nil"/>
        </w:pBdr>
        <w:spacing w:before="0" w:after="240"/>
        <w:rPr>
          <w:color w:val="000000"/>
        </w:rPr>
      </w:pPr>
      <w:r>
        <w:rPr>
          <w:color w:val="000000"/>
        </w:rPr>
        <w:t xml:space="preserve">Nash, E.J., Brown, N.C. and </w:t>
      </w:r>
      <w:proofErr w:type="spellStart"/>
      <w:r>
        <w:rPr>
          <w:color w:val="000000"/>
        </w:rPr>
        <w:t>Bracci</w:t>
      </w:r>
      <w:proofErr w:type="spellEnd"/>
      <w:r>
        <w:rPr>
          <w:color w:val="000000"/>
        </w:rPr>
        <w:t xml:space="preserve">, L. (2012). </w:t>
      </w:r>
      <w:r>
        <w:rPr>
          <w:i/>
          <w:color w:val="000000"/>
        </w:rPr>
        <w:t>Intercultural hori</w:t>
      </w:r>
      <w:r>
        <w:rPr>
          <w:i/>
          <w:color w:val="000000"/>
        </w:rPr>
        <w:t>zons: best practices in intercultural competence development</w:t>
      </w:r>
      <w:r>
        <w:rPr>
          <w:color w:val="000000"/>
        </w:rPr>
        <w:t>. Newcastle Upon Tyne: Cambridge Scholars.</w:t>
      </w:r>
    </w:p>
    <w:p w14:paraId="2C5A348F" w14:textId="77777777" w:rsidR="0066666D" w:rsidRDefault="006B0CF6">
      <w:pPr>
        <w:pBdr>
          <w:top w:val="nil"/>
          <w:left w:val="nil"/>
          <w:bottom w:val="nil"/>
          <w:right w:val="nil"/>
          <w:between w:val="nil"/>
        </w:pBdr>
        <w:spacing w:before="0" w:after="240"/>
        <w:rPr>
          <w:color w:val="000000"/>
        </w:rPr>
      </w:pPr>
      <w:r>
        <w:rPr>
          <w:color w:val="000000"/>
        </w:rPr>
        <w:t xml:space="preserve">Peterson, B. (2018). </w:t>
      </w:r>
      <w:r>
        <w:rPr>
          <w:i/>
          <w:color w:val="000000"/>
        </w:rPr>
        <w:t>Cultural intelligence: a guide to working with people from other cultures</w:t>
      </w:r>
      <w:r>
        <w:rPr>
          <w:color w:val="000000"/>
        </w:rPr>
        <w:t>. Across Cultures.</w:t>
      </w:r>
    </w:p>
    <w:p w14:paraId="1B9F1D8E" w14:textId="77777777" w:rsidR="0066666D" w:rsidRDefault="006B0CF6">
      <w:pPr>
        <w:pBdr>
          <w:top w:val="nil"/>
          <w:left w:val="nil"/>
          <w:bottom w:val="nil"/>
          <w:right w:val="nil"/>
          <w:between w:val="nil"/>
        </w:pBdr>
        <w:spacing w:before="0" w:after="240"/>
        <w:rPr>
          <w:color w:val="000000"/>
        </w:rPr>
      </w:pPr>
      <w:r>
        <w:rPr>
          <w:color w:val="000000"/>
        </w:rPr>
        <w:t xml:space="preserve">Ranna Parekh and Trinh, N.-H. (2019). </w:t>
      </w:r>
      <w:r>
        <w:rPr>
          <w:i/>
          <w:color w:val="000000"/>
        </w:rPr>
        <w:t>Th</w:t>
      </w:r>
      <w:r>
        <w:rPr>
          <w:i/>
          <w:color w:val="000000"/>
        </w:rPr>
        <w:t>e Massachusetts General Hospital textbook on diversity and cultural sensitivity in mental health</w:t>
      </w:r>
      <w:r>
        <w:rPr>
          <w:color w:val="000000"/>
        </w:rPr>
        <w:t>. Cham, Switzerland: Humana Press.</w:t>
      </w:r>
    </w:p>
    <w:p w14:paraId="423D8EA0" w14:textId="77777777" w:rsidR="0066666D" w:rsidRDefault="006B0CF6">
      <w:pPr>
        <w:pBdr>
          <w:top w:val="nil"/>
          <w:left w:val="nil"/>
          <w:bottom w:val="nil"/>
          <w:right w:val="nil"/>
          <w:between w:val="nil"/>
        </w:pBdr>
        <w:spacing w:before="0" w:after="240"/>
        <w:rPr>
          <w:color w:val="000000"/>
        </w:rPr>
      </w:pPr>
      <w:r>
        <w:rPr>
          <w:color w:val="000000"/>
        </w:rPr>
        <w:t xml:space="preserve">Smith, R.J., Beardsley, R.K. and National Academy </w:t>
      </w:r>
      <w:proofErr w:type="gramStart"/>
      <w:r>
        <w:rPr>
          <w:color w:val="000000"/>
        </w:rPr>
        <w:t>Of</w:t>
      </w:r>
      <w:proofErr w:type="gramEnd"/>
      <w:r>
        <w:rPr>
          <w:color w:val="000000"/>
        </w:rPr>
        <w:t xml:space="preserve"> Sciences (U.S (2015). </w:t>
      </w:r>
      <w:r>
        <w:rPr>
          <w:i/>
          <w:color w:val="000000"/>
        </w:rPr>
        <w:t>Japanese culture: its development and characterist</w:t>
      </w:r>
      <w:r>
        <w:rPr>
          <w:i/>
          <w:color w:val="000000"/>
        </w:rPr>
        <w:t>ics.</w:t>
      </w:r>
      <w:r>
        <w:rPr>
          <w:color w:val="000000"/>
        </w:rPr>
        <w:t xml:space="preserve"> London, Forgotten Books.</w:t>
      </w:r>
    </w:p>
    <w:p w14:paraId="4E957940" w14:textId="77777777" w:rsidR="0066666D" w:rsidRDefault="006B0CF6">
      <w:pPr>
        <w:pBdr>
          <w:top w:val="nil"/>
          <w:left w:val="nil"/>
          <w:bottom w:val="nil"/>
          <w:right w:val="nil"/>
          <w:between w:val="nil"/>
        </w:pBdr>
        <w:spacing w:before="0" w:after="240"/>
        <w:rPr>
          <w:color w:val="000000"/>
        </w:rPr>
      </w:pPr>
      <w:r>
        <w:rPr>
          <w:color w:val="000000"/>
        </w:rPr>
        <w:t xml:space="preserve">Tomalin, B. and </w:t>
      </w:r>
      <w:proofErr w:type="spellStart"/>
      <w:r>
        <w:rPr>
          <w:color w:val="000000"/>
        </w:rPr>
        <w:t>Stempleski</w:t>
      </w:r>
      <w:proofErr w:type="spellEnd"/>
      <w:r>
        <w:rPr>
          <w:color w:val="000000"/>
        </w:rPr>
        <w:t xml:space="preserve">, S. (2014). </w:t>
      </w:r>
      <w:r>
        <w:rPr>
          <w:i/>
          <w:color w:val="000000"/>
        </w:rPr>
        <w:t>Cultural awareness</w:t>
      </w:r>
      <w:r>
        <w:rPr>
          <w:color w:val="000000"/>
        </w:rPr>
        <w:t xml:space="preserve">. Oxford </w:t>
      </w:r>
      <w:proofErr w:type="spellStart"/>
      <w:r>
        <w:rPr>
          <w:color w:val="000000"/>
        </w:rPr>
        <w:t>Oxford</w:t>
      </w:r>
      <w:proofErr w:type="spellEnd"/>
      <w:r>
        <w:rPr>
          <w:color w:val="000000"/>
        </w:rPr>
        <w:t xml:space="preserve"> Univ. Press.</w:t>
      </w:r>
    </w:p>
    <w:p w14:paraId="57596005" w14:textId="77777777" w:rsidR="0066666D" w:rsidRDefault="006B0CF6">
      <w:pPr>
        <w:pBdr>
          <w:top w:val="nil"/>
          <w:left w:val="nil"/>
          <w:bottom w:val="nil"/>
          <w:right w:val="nil"/>
          <w:between w:val="nil"/>
        </w:pBdr>
        <w:spacing w:before="0" w:after="240"/>
        <w:rPr>
          <w:color w:val="000000"/>
        </w:rPr>
      </w:pPr>
      <w:proofErr w:type="spellStart"/>
      <w:r>
        <w:rPr>
          <w:color w:val="000000"/>
        </w:rPr>
        <w:lastRenderedPageBreak/>
        <w:t>ValdeónR.A</w:t>
      </w:r>
      <w:proofErr w:type="spellEnd"/>
      <w:r>
        <w:rPr>
          <w:color w:val="000000"/>
        </w:rPr>
        <w:t xml:space="preserve">. (2018). </w:t>
      </w:r>
      <w:r>
        <w:rPr>
          <w:i/>
          <w:color w:val="000000"/>
        </w:rPr>
        <w:t>Spanish in the USA: linguistic, translational and cultural aspects</w:t>
      </w:r>
      <w:r>
        <w:rPr>
          <w:color w:val="000000"/>
        </w:rPr>
        <w:t xml:space="preserve">. New York: </w:t>
      </w:r>
      <w:proofErr w:type="spellStart"/>
      <w:r>
        <w:rPr>
          <w:color w:val="000000"/>
        </w:rPr>
        <w:t>Rourtledge</w:t>
      </w:r>
      <w:proofErr w:type="spellEnd"/>
      <w:r>
        <w:rPr>
          <w:color w:val="000000"/>
        </w:rPr>
        <w:t xml:space="preserve">, An Imprint </w:t>
      </w:r>
      <w:proofErr w:type="gramStart"/>
      <w:r>
        <w:rPr>
          <w:color w:val="000000"/>
        </w:rPr>
        <w:t>Of</w:t>
      </w:r>
      <w:proofErr w:type="gramEnd"/>
      <w:r>
        <w:rPr>
          <w:color w:val="000000"/>
        </w:rPr>
        <w:t xml:space="preserve"> The Taylor &amp; Fr</w:t>
      </w:r>
      <w:r>
        <w:rPr>
          <w:color w:val="000000"/>
        </w:rPr>
        <w:t>ancis Group.</w:t>
      </w:r>
    </w:p>
    <w:p w14:paraId="1AC57C81" w14:textId="77777777" w:rsidR="0066666D" w:rsidRDefault="006B0CF6">
      <w:pPr>
        <w:pBdr>
          <w:top w:val="nil"/>
          <w:left w:val="nil"/>
          <w:bottom w:val="nil"/>
          <w:right w:val="nil"/>
          <w:between w:val="nil"/>
        </w:pBdr>
        <w:spacing w:before="0" w:after="240"/>
        <w:rPr>
          <w:color w:val="000000"/>
        </w:rPr>
      </w:pPr>
      <w:r>
        <w:rPr>
          <w:color w:val="000000"/>
        </w:rPr>
        <w:t xml:space="preserve">Wagner, M., Conlon, D., and Byram, M. (2018). </w:t>
      </w:r>
      <w:r>
        <w:rPr>
          <w:i/>
          <w:color w:val="000000"/>
        </w:rPr>
        <w:t>Teaching intercultural competence across the age range: from theory to practice</w:t>
      </w:r>
      <w:r>
        <w:rPr>
          <w:color w:val="000000"/>
        </w:rPr>
        <w:t xml:space="preserve">. Bristol, </w:t>
      </w:r>
      <w:proofErr w:type="spellStart"/>
      <w:r>
        <w:rPr>
          <w:color w:val="000000"/>
        </w:rPr>
        <w:t>Uk</w:t>
      </w:r>
      <w:proofErr w:type="spellEnd"/>
      <w:r>
        <w:rPr>
          <w:color w:val="000000"/>
        </w:rPr>
        <w:t>; Blue Ridge Summit, Pa: Multilingual Matters.</w:t>
      </w:r>
    </w:p>
    <w:sectPr w:rsidR="0066666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307DC1"/>
    <w:multiLevelType w:val="multilevel"/>
    <w:tmpl w:val="70B69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09101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66D"/>
    <w:rsid w:val="0066666D"/>
    <w:rsid w:val="006B0CF6"/>
    <w:rsid w:val="00C20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30E0"/>
  <w15:docId w15:val="{9FE4E3A2-1882-499F-9B8C-86BC30AEB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ACE"/>
    <w:pPr>
      <w:keepNext/>
      <w:spacing w:before="240" w:after="60"/>
      <w:outlineLvl w:val="0"/>
    </w:pPr>
    <w:rPr>
      <w:rFonts w:asciiTheme="majorBidi" w:hAnsiTheme="majorBidi"/>
      <w:b/>
      <w:bCs/>
      <w:color w:val="76923C" w:themeColor="accent3" w:themeShade="BF"/>
      <w:sz w:val="32"/>
      <w:szCs w:val="32"/>
      <w:lang w:eastAsia="zh-CN"/>
    </w:rPr>
  </w:style>
  <w:style w:type="paragraph" w:styleId="Heading2">
    <w:name w:val="heading 2"/>
    <w:basedOn w:val="Normal"/>
    <w:next w:val="Normal"/>
    <w:link w:val="Heading2Char"/>
    <w:uiPriority w:val="9"/>
    <w:semiHidden/>
    <w:unhideWhenUsed/>
    <w:qFormat/>
    <w:rsid w:val="00E35690"/>
    <w:pPr>
      <w:keepNext/>
      <w:spacing w:before="240" w:after="60"/>
      <w:outlineLvl w:val="1"/>
    </w:pPr>
    <w:rPr>
      <w:bCs/>
      <w:iCs/>
      <w:sz w:val="28"/>
      <w:szCs w:val="28"/>
      <w:lang w:val="en-US" w:eastAsia="zh-CN"/>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9"/>
    <w:rsid w:val="00A35ACE"/>
    <w:rPr>
      <w:rFonts w:asciiTheme="majorBidi" w:hAnsiTheme="majorBidi"/>
      <w:b/>
      <w:bCs/>
      <w:color w:val="76923C" w:themeColor="accent3" w:themeShade="BF"/>
      <w:sz w:val="32"/>
      <w:szCs w:val="32"/>
      <w:lang w:eastAsia="zh-CN"/>
    </w:rPr>
  </w:style>
  <w:style w:type="character" w:customStyle="1" w:styleId="Heading2Char">
    <w:name w:val="Heading 2 Char"/>
    <w:link w:val="Heading2"/>
    <w:uiPriority w:val="9"/>
    <w:rsid w:val="00E35690"/>
    <w:rPr>
      <w:bCs/>
      <w:iCs/>
      <w:sz w:val="28"/>
      <w:szCs w:val="28"/>
      <w:lang w:val="en-US" w:eastAsia="zh-CN"/>
    </w:rPr>
  </w:style>
  <w:style w:type="paragraph" w:styleId="BalloonText">
    <w:name w:val="Balloon Text"/>
    <w:basedOn w:val="Normal"/>
    <w:link w:val="BalloonTextChar"/>
    <w:uiPriority w:val="99"/>
    <w:semiHidden/>
    <w:unhideWhenUsed/>
    <w:rsid w:val="002351B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1B5"/>
    <w:rPr>
      <w:rFonts w:ascii="Tahoma" w:hAnsi="Tahoma" w:cs="Tahoma"/>
      <w:sz w:val="16"/>
      <w:szCs w:val="16"/>
    </w:rPr>
  </w:style>
  <w:style w:type="paragraph" w:styleId="TOCHeading">
    <w:name w:val="TOC Heading"/>
    <w:basedOn w:val="Heading1"/>
    <w:next w:val="Normal"/>
    <w:uiPriority w:val="39"/>
    <w:unhideWhenUsed/>
    <w:qFormat/>
    <w:rsid w:val="00136FBD"/>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ListParagraph">
    <w:name w:val="List Paragraph"/>
    <w:basedOn w:val="Normal"/>
    <w:uiPriority w:val="34"/>
    <w:qFormat/>
    <w:rsid w:val="00180145"/>
    <w:pPr>
      <w:ind w:left="720"/>
      <w:contextualSpacing/>
    </w:pPr>
  </w:style>
  <w:style w:type="table" w:styleId="TableGrid">
    <w:name w:val="Table Grid"/>
    <w:basedOn w:val="TableNormal"/>
    <w:uiPriority w:val="59"/>
    <w:rsid w:val="0085789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5789F"/>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1">
    <w:name w:val="toc 1"/>
    <w:basedOn w:val="Normal"/>
    <w:next w:val="Normal"/>
    <w:autoRedefine/>
    <w:uiPriority w:val="39"/>
    <w:unhideWhenUsed/>
    <w:rsid w:val="008F6FFE"/>
    <w:pPr>
      <w:spacing w:after="100"/>
    </w:pPr>
  </w:style>
  <w:style w:type="character" w:styleId="Hyperlink">
    <w:name w:val="Hyperlink"/>
    <w:basedOn w:val="DefaultParagraphFont"/>
    <w:uiPriority w:val="99"/>
    <w:unhideWhenUsed/>
    <w:rsid w:val="008F6FFE"/>
    <w:rPr>
      <w:color w:val="0000FF" w:themeColor="hyperlink"/>
      <w:u w:val="single"/>
    </w:rPr>
  </w:style>
  <w:style w:type="paragraph" w:styleId="NormalWeb">
    <w:name w:val="Normal (Web)"/>
    <w:basedOn w:val="Normal"/>
    <w:uiPriority w:val="99"/>
    <w:semiHidden/>
    <w:unhideWhenUsed/>
    <w:rsid w:val="00513FB2"/>
    <w:pPr>
      <w:spacing w:before="100" w:beforeAutospacing="1" w:after="100" w:afterAutospacing="1" w:line="240" w:lineRule="auto"/>
      <w:jc w:val="left"/>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0" w:after="0" w:line="240" w:lineRule="auto"/>
    </w:pPr>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kPJLQ6UubeX1gEBxGNL+/+yFmw==">AMUW2mW2nBAtNjzJUL4RUZinRajlDVxI+O9s/khnQOjJwzcc3QDpbPaQGD4yV97txh+1ud3uUYOMp/81PN9LhEoRE0uhfu7DNm0xMsAC6gYnkury1hHta8P8dKPNqFW5Lzav5IrPzckQ6dNxbbjcKEUo/aXPoiHlOXwb6fN2jh4QtCkpZDIn6wx8DnsdYSgMbhWLAtToi9fwC+4GQl3vdrmz9mXAbrOSuw==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1447</Words>
  <Characters>8253</Characters>
  <Application>Microsoft Office Word</Application>
  <DocSecurity>0</DocSecurity>
  <Lines>68</Lines>
  <Paragraphs>19</Paragraphs>
  <ScaleCrop>false</ScaleCrop>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syeda begum</cp:lastModifiedBy>
  <cp:revision>2</cp:revision>
  <dcterms:created xsi:type="dcterms:W3CDTF">2022-11-18T10:11:00Z</dcterms:created>
  <dcterms:modified xsi:type="dcterms:W3CDTF">2022-11-18T10:11:00Z</dcterms:modified>
</cp:coreProperties>
</file>