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E1690" w14:textId="24E3BA4C" w:rsidR="009E1DFA" w:rsidRPr="00461C2B" w:rsidRDefault="00C8109D" w:rsidP="00461C2B">
      <w:pPr>
        <w:spacing w:line="360" w:lineRule="auto"/>
        <w:rPr>
          <w:rFonts w:ascii="Arial" w:hAnsi="Arial" w:cs="Arial"/>
          <w:sz w:val="22"/>
          <w:szCs w:val="22"/>
        </w:rPr>
      </w:pPr>
      <w:r w:rsidRPr="00461C2B">
        <w:rPr>
          <w:rFonts w:ascii="Arial" w:hAnsi="Arial" w:cs="Arial"/>
          <w:sz w:val="22"/>
          <w:szCs w:val="22"/>
        </w:rPr>
        <w:t xml:space="preserve">Clean </w:t>
      </w:r>
      <w:r w:rsidR="009E1DFA" w:rsidRPr="00461C2B">
        <w:rPr>
          <w:rFonts w:ascii="Arial" w:hAnsi="Arial" w:cs="Arial"/>
          <w:sz w:val="22"/>
          <w:szCs w:val="22"/>
        </w:rPr>
        <w:t>Breathe Birmingham: A Community-Driven Campaign to Reduce PM2.5 Air Pollution and Improve Public Health</w:t>
      </w:r>
    </w:p>
    <w:p w14:paraId="2144929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a) Title and Innovation Overview</w:t>
      </w:r>
    </w:p>
    <w:p w14:paraId="5EB88F08" w14:textId="0FE8832A" w:rsidR="009E1DFA" w:rsidRPr="00461C2B" w:rsidRDefault="00C8109D" w:rsidP="00461C2B">
      <w:pPr>
        <w:spacing w:line="360" w:lineRule="auto"/>
        <w:rPr>
          <w:rFonts w:ascii="Arial" w:hAnsi="Arial" w:cs="Arial"/>
          <w:sz w:val="22"/>
          <w:szCs w:val="22"/>
        </w:rPr>
      </w:pPr>
      <w:r w:rsidRPr="00461C2B">
        <w:rPr>
          <w:rFonts w:ascii="Arial" w:hAnsi="Arial" w:cs="Arial"/>
          <w:sz w:val="22"/>
          <w:szCs w:val="22"/>
        </w:rPr>
        <w:t xml:space="preserve">Clean </w:t>
      </w:r>
      <w:r w:rsidR="009E1DFA" w:rsidRPr="00461C2B">
        <w:rPr>
          <w:rFonts w:ascii="Arial" w:hAnsi="Arial" w:cs="Arial"/>
          <w:sz w:val="22"/>
          <w:szCs w:val="22"/>
        </w:rPr>
        <w:t>Breathe Birmingham is a community-centred public health campaign designed to reduce exposure to fine particulate matter (PM2.5) in Birmingham, United Kingdom. PM2.5 refers to microscopic airborne particles measuring 2.5 micrometres or smaller that can penetrate deep into the lungs and bloodstream, posing significant health risks (World Health Organization, 2021).</w:t>
      </w:r>
    </w:p>
    <w:p w14:paraId="6954207D"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integrates public health education, community monitoring technology, and behaviour-change strategies to reduce emissions and exposure to PM2.5 across Birmingham. It aims to empower residents, healthcare professionals, and local institutions to actively participate in improving air quality through a combination of digital tools, targeted awareness campaigns, and partnerships with local health and social care services.</w:t>
      </w:r>
    </w:p>
    <w:p w14:paraId="5B6F3B8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innovation lies in combining real-time air quality data, community engagement, and healthcare integration to address air pollution as a shared public health issue. By linking environmental monitoring with health services, the campaign supports both prevention and early intervention, ultimately improving health and social care outcomes for vulnerable populations.</w:t>
      </w:r>
    </w:p>
    <w:p w14:paraId="64505AF0"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b) The Issue / Gaps in Health and Social Care</w:t>
      </w:r>
    </w:p>
    <w:p w14:paraId="00F1596A" w14:textId="77777777" w:rsidR="00461C2B" w:rsidRPr="00461C2B" w:rsidRDefault="00461C2B" w:rsidP="00461C2B">
      <w:pPr>
        <w:spacing w:line="360" w:lineRule="auto"/>
        <w:rPr>
          <w:rFonts w:ascii="Arial" w:hAnsi="Arial" w:cs="Arial"/>
          <w:sz w:val="22"/>
          <w:szCs w:val="22"/>
        </w:rPr>
      </w:pPr>
      <w:r w:rsidRPr="00461C2B">
        <w:rPr>
          <w:rFonts w:ascii="Arial" w:hAnsi="Arial" w:cs="Arial"/>
          <w:sz w:val="22"/>
          <w:szCs w:val="22"/>
        </w:rPr>
        <w:t>Air pollution is generally accepted to be one of the major environmental hazards to human health. Because of its tiny particle size, fine particulate matter (PM2.5) is especially hazardous since it can pass through the lungs and bloodstream, causing illnesses in organs linked to lungs and heart, cancer, and neurological disorders.</w:t>
      </w:r>
    </w:p>
    <w:p w14:paraId="79BD96E1" w14:textId="77E5471E"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 (World Health Organization, 2021).</w:t>
      </w:r>
    </w:p>
    <w:p w14:paraId="795232F1" w14:textId="71FBBC3C"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In Birmingham, air pollution remains a major public health challenge. Research indicates that air pollution contributes to up to 900 premature deaths per year in the city, highlighting the urgent need for targeted interventions (Birmingham City Council, 2024). Furthermore, even when legal air quality limits are met,</w:t>
      </w:r>
      <w:r w:rsidR="00461C2B">
        <w:rPr>
          <w:rFonts w:ascii="Arial" w:hAnsi="Arial" w:cs="Arial"/>
          <w:sz w:val="22"/>
          <w:szCs w:val="22"/>
        </w:rPr>
        <w:t xml:space="preserve"> </w:t>
      </w:r>
      <w:r w:rsidR="00722345">
        <w:rPr>
          <w:rFonts w:ascii="Arial" w:hAnsi="Arial" w:cs="Arial"/>
          <w:sz w:val="22"/>
          <w:szCs w:val="22"/>
        </w:rPr>
        <w:t>it is not possible to set a safety standard for air pollution exposure limit</w:t>
      </w:r>
      <w:r w:rsidRPr="00461C2B">
        <w:rPr>
          <w:rFonts w:ascii="Arial" w:hAnsi="Arial" w:cs="Arial"/>
          <w:sz w:val="22"/>
          <w:szCs w:val="22"/>
        </w:rPr>
        <w:t>, meaning that health impacts can occur even at relatively low concentrations (Birmingham City Council, 2024).</w:t>
      </w:r>
    </w:p>
    <w:p w14:paraId="61793578"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Although initiatives such as the city’s Clean Air Zone have successfully reduced nitrogen dioxide emissions from traffic, studies show that they have had little measurable effect on PM2.5 levels, which remain a major health concern (University of Birmingham, 2023). This </w:t>
      </w:r>
      <w:r w:rsidRPr="00461C2B">
        <w:rPr>
          <w:rFonts w:ascii="Arial" w:hAnsi="Arial" w:cs="Arial"/>
          <w:sz w:val="22"/>
          <w:szCs w:val="22"/>
        </w:rPr>
        <w:lastRenderedPageBreak/>
        <w:t>indicates a gap in existing air quality strategies that fail to address all sources of particulate pollution.</w:t>
      </w:r>
    </w:p>
    <w:p w14:paraId="0205286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PM2.5 originates from multiple sources, including vehicle emissions, domestic wood burning, industrial processes, and cooking activities (University of Birmingham, 2024). Research suggests that wood burning alone can account for up to 20% of PM2.5 pollution in the region, with levels increasing significantly during winter months (University of Birmingham, 2024). Many residents are unaware of the impact of these activities on air quality and health.</w:t>
      </w:r>
    </w:p>
    <w:p w14:paraId="1AEC52F6" w14:textId="2DE61AB8" w:rsidR="009E1DFA" w:rsidRPr="00461C2B" w:rsidRDefault="009E1DFA" w:rsidP="003813AE">
      <w:pPr>
        <w:spacing w:line="276" w:lineRule="auto"/>
        <w:rPr>
          <w:rFonts w:ascii="Arial" w:hAnsi="Arial" w:cs="Arial"/>
          <w:sz w:val="22"/>
          <w:szCs w:val="22"/>
        </w:rPr>
      </w:pPr>
      <w:r w:rsidRPr="00461C2B">
        <w:rPr>
          <w:rFonts w:ascii="Arial" w:hAnsi="Arial" w:cs="Arial"/>
          <w:sz w:val="22"/>
          <w:szCs w:val="22"/>
        </w:rPr>
        <w:t>Health inequalities further worsen the problem.</w:t>
      </w:r>
      <w:r w:rsidR="003813AE" w:rsidRPr="003813AE">
        <w:rPr>
          <w:rFonts w:ascii="Arial" w:hAnsi="Arial" w:cs="Arial"/>
          <w:sz w:val="22"/>
          <w:szCs w:val="22"/>
        </w:rPr>
        <w:t xml:space="preserve"> </w:t>
      </w:r>
      <w:r w:rsidR="003813AE" w:rsidRPr="004135E9">
        <w:rPr>
          <w:rFonts w:ascii="Arial" w:hAnsi="Arial" w:cs="Arial"/>
          <w:sz w:val="22"/>
          <w:szCs w:val="22"/>
        </w:rPr>
        <w:t xml:space="preserve">Children, the elderly, and those who live in underprivileged metropolitan areas are all examples of </w:t>
      </w:r>
      <w:r w:rsidR="003813AE">
        <w:rPr>
          <w:rFonts w:ascii="Arial" w:hAnsi="Arial" w:cs="Arial"/>
          <w:sz w:val="22"/>
          <w:szCs w:val="22"/>
        </w:rPr>
        <w:t>groups at risk</w:t>
      </w:r>
      <w:r w:rsidRPr="00461C2B">
        <w:rPr>
          <w:rFonts w:ascii="Arial" w:hAnsi="Arial" w:cs="Arial"/>
          <w:sz w:val="22"/>
          <w:szCs w:val="22"/>
        </w:rPr>
        <w:t xml:space="preserve">, </w:t>
      </w:r>
      <w:r w:rsidR="003813AE">
        <w:rPr>
          <w:rFonts w:ascii="Arial" w:hAnsi="Arial" w:cs="Arial"/>
          <w:sz w:val="22"/>
          <w:szCs w:val="22"/>
        </w:rPr>
        <w:t xml:space="preserve">they </w:t>
      </w:r>
      <w:r w:rsidRPr="00461C2B">
        <w:rPr>
          <w:rFonts w:ascii="Arial" w:hAnsi="Arial" w:cs="Arial"/>
          <w:sz w:val="22"/>
          <w:szCs w:val="22"/>
        </w:rPr>
        <w:t>often experience higher exposure levels and greater health risks from air pollution (Friends of the Earth, 2025). These disparities highlight the need for a coordinated public health response that integrates environmental action with social care and community engagement.</w:t>
      </w:r>
    </w:p>
    <w:p w14:paraId="22D5AB70"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c) Target Audience and Impact</w:t>
      </w:r>
    </w:p>
    <w:p w14:paraId="7A1EA93F" w14:textId="7B121813"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The primary target audience for the </w:t>
      </w:r>
      <w:r w:rsidR="00C8109D" w:rsidRPr="00461C2B">
        <w:rPr>
          <w:rFonts w:ascii="Arial" w:hAnsi="Arial" w:cs="Arial"/>
          <w:sz w:val="22"/>
          <w:szCs w:val="22"/>
        </w:rPr>
        <w:t xml:space="preserve">Clean </w:t>
      </w:r>
      <w:r w:rsidRPr="00461C2B">
        <w:rPr>
          <w:rFonts w:ascii="Arial" w:hAnsi="Arial" w:cs="Arial"/>
          <w:sz w:val="22"/>
          <w:szCs w:val="22"/>
        </w:rPr>
        <w:t>Breathe Birmingham campaign includes:</w:t>
      </w:r>
    </w:p>
    <w:p w14:paraId="054FD39F" w14:textId="0E460488"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Children and young people, particularly those attending schools in high-pollution areas</w:t>
      </w:r>
      <w:r w:rsidR="003813AE">
        <w:rPr>
          <w:rFonts w:ascii="Arial" w:hAnsi="Arial" w:cs="Arial"/>
          <w:sz w:val="22"/>
          <w:szCs w:val="22"/>
        </w:rPr>
        <w:t>.</w:t>
      </w:r>
    </w:p>
    <w:p w14:paraId="44F1CF5E" w14:textId="4BBF8B0B" w:rsidR="003813AE" w:rsidRDefault="003813AE" w:rsidP="00461C2B">
      <w:pPr>
        <w:numPr>
          <w:ilvl w:val="0"/>
          <w:numId w:val="1"/>
        </w:numPr>
        <w:spacing w:line="360" w:lineRule="auto"/>
        <w:rPr>
          <w:rFonts w:ascii="Arial" w:hAnsi="Arial" w:cs="Arial"/>
          <w:sz w:val="22"/>
          <w:szCs w:val="22"/>
        </w:rPr>
      </w:pPr>
      <w:r>
        <w:rPr>
          <w:rFonts w:ascii="Arial" w:hAnsi="Arial" w:cs="Arial"/>
          <w:sz w:val="22"/>
          <w:szCs w:val="22"/>
        </w:rPr>
        <w:t>People suffering from Asthma.</w:t>
      </w:r>
    </w:p>
    <w:p w14:paraId="62762671" w14:textId="2F289F96" w:rsidR="009E1DFA" w:rsidRPr="00461C2B" w:rsidRDefault="003813AE" w:rsidP="00461C2B">
      <w:pPr>
        <w:numPr>
          <w:ilvl w:val="0"/>
          <w:numId w:val="1"/>
        </w:numPr>
        <w:spacing w:line="360" w:lineRule="auto"/>
        <w:rPr>
          <w:rFonts w:ascii="Arial" w:hAnsi="Arial" w:cs="Arial"/>
          <w:sz w:val="22"/>
          <w:szCs w:val="22"/>
        </w:rPr>
      </w:pPr>
      <w:r>
        <w:rPr>
          <w:rFonts w:ascii="Arial" w:hAnsi="Arial" w:cs="Arial"/>
          <w:sz w:val="22"/>
          <w:szCs w:val="22"/>
        </w:rPr>
        <w:t>People suffering from Emphysema and Chronic Bronchitis.</w:t>
      </w:r>
    </w:p>
    <w:p w14:paraId="69ADB948" w14:textId="447F1096"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 xml:space="preserve">Older adults, who are </w:t>
      </w:r>
      <w:r w:rsidR="003813AE">
        <w:rPr>
          <w:rFonts w:ascii="Arial" w:hAnsi="Arial" w:cs="Arial"/>
          <w:sz w:val="22"/>
          <w:szCs w:val="22"/>
        </w:rPr>
        <w:t>likely to suffer from</w:t>
      </w:r>
      <w:r w:rsidRPr="00461C2B">
        <w:rPr>
          <w:rFonts w:ascii="Arial" w:hAnsi="Arial" w:cs="Arial"/>
          <w:sz w:val="22"/>
          <w:szCs w:val="22"/>
        </w:rPr>
        <w:t xml:space="preserve"> cardiovascular effects</w:t>
      </w:r>
      <w:r w:rsidR="003813AE">
        <w:rPr>
          <w:rFonts w:ascii="Arial" w:hAnsi="Arial" w:cs="Arial"/>
          <w:sz w:val="22"/>
          <w:szCs w:val="22"/>
        </w:rPr>
        <w:t>.</w:t>
      </w:r>
    </w:p>
    <w:p w14:paraId="48A9DF24" w14:textId="77777777"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Low-income communities, which are often disproportionately exposed to pollution</w:t>
      </w:r>
    </w:p>
    <w:p w14:paraId="37E235B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including GPs, nurses, and public health practitioners, are also a key audience, as they play an essential role in communicating environmental health risks and promoting preventive behaviours.</w:t>
      </w:r>
    </w:p>
    <w:p w14:paraId="7C331B1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aims to improve health and wellbeing through several pathways:</w:t>
      </w:r>
    </w:p>
    <w:p w14:paraId="4FA46135" w14:textId="4188B45B"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Reducing exposure to harmful air pollutants</w:t>
      </w:r>
      <w:r w:rsidR="00C22497">
        <w:rPr>
          <w:rFonts w:ascii="Arial" w:hAnsi="Arial" w:cs="Arial"/>
          <w:sz w:val="22"/>
          <w:szCs w:val="22"/>
        </w:rPr>
        <w:t>.</w:t>
      </w:r>
    </w:p>
    <w:p w14:paraId="70320C49" w14:textId="5D708AC6"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Increasing public awareness of pollution sources and prevention strategies</w:t>
      </w:r>
      <w:r w:rsidR="00C22497">
        <w:rPr>
          <w:rFonts w:ascii="Arial" w:hAnsi="Arial" w:cs="Arial"/>
          <w:sz w:val="22"/>
          <w:szCs w:val="22"/>
        </w:rPr>
        <w:t>.</w:t>
      </w:r>
    </w:p>
    <w:p w14:paraId="4B0E4B26" w14:textId="77777777"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Supporting healthcare professionals in integrating environmental health advice into patient care</w:t>
      </w:r>
    </w:p>
    <w:p w14:paraId="7E65C9BE"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For example, improved awareness may encourage individuals to reduce activities such as domestic wood burning or unnecessary car use. Schools participating in the campaign may </w:t>
      </w:r>
      <w:r w:rsidRPr="00461C2B">
        <w:rPr>
          <w:rFonts w:ascii="Arial" w:hAnsi="Arial" w:cs="Arial"/>
          <w:sz w:val="22"/>
          <w:szCs w:val="22"/>
        </w:rPr>
        <w:lastRenderedPageBreak/>
        <w:t>implement “clean air school streets,” encouraging walking and cycling while reducing traffic congestion near school entrances.</w:t>
      </w:r>
    </w:p>
    <w:p w14:paraId="21F96F2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These measures contribute to the common good by reducing healthcare costs, improving population health outcomes, and promoting sustainable urban living.</w:t>
      </w:r>
    </w:p>
    <w:p w14:paraId="6EEC1621"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d) Implementation</w:t>
      </w:r>
    </w:p>
    <w:p w14:paraId="7219DDE8" w14:textId="61AE9682"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The </w:t>
      </w:r>
      <w:r w:rsidR="00C8109D" w:rsidRPr="00461C2B">
        <w:rPr>
          <w:rFonts w:ascii="Arial" w:hAnsi="Arial" w:cs="Arial"/>
          <w:sz w:val="22"/>
          <w:szCs w:val="22"/>
        </w:rPr>
        <w:t xml:space="preserve">Clean </w:t>
      </w:r>
      <w:r w:rsidRPr="00461C2B">
        <w:rPr>
          <w:rFonts w:ascii="Arial" w:hAnsi="Arial" w:cs="Arial"/>
          <w:sz w:val="22"/>
          <w:szCs w:val="22"/>
        </w:rPr>
        <w:t>Breathe Birmingham campaign would be implemented through collaboration between several key stakeholders, including:</w:t>
      </w:r>
    </w:p>
    <w:p w14:paraId="6562F91A"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Birmingham City Council</w:t>
      </w:r>
    </w:p>
    <w:p w14:paraId="20FB42F9"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Local NHS trusts and GP networks</w:t>
      </w:r>
    </w:p>
    <w:p w14:paraId="62450CD7"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Public Health England (now the UK Health Security Agency)</w:t>
      </w:r>
    </w:p>
    <w:p w14:paraId="0E0A91C3"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Schools and community organisations</w:t>
      </w:r>
    </w:p>
    <w:p w14:paraId="4686B0C5"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Environmental researchers and universities</w:t>
      </w:r>
    </w:p>
    <w:p w14:paraId="3838419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will operate in three main components:</w:t>
      </w:r>
    </w:p>
    <w:p w14:paraId="613A323F"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1. Community Air Monitoring Network</w:t>
      </w:r>
    </w:p>
    <w:p w14:paraId="10A691A7"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Low-cost air quality sensors will be installed in schools, community centres, and residential areas to provide real-time PM2.5 data. These sensors will allow communities to understand local pollution levels and identify pollution hotspots.</w:t>
      </w:r>
    </w:p>
    <w:p w14:paraId="612E6352"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2. Public Health Education Programme</w:t>
      </w:r>
    </w:p>
    <w:p w14:paraId="4BA52EB5"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Educational workshops and digital resources will be delivered in schools, healthcare settings, and community spaces. Topics will include:</w:t>
      </w:r>
    </w:p>
    <w:p w14:paraId="1AFDC181"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The health effects of PM2.5</w:t>
      </w:r>
    </w:p>
    <w:p w14:paraId="13F52CFC"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Household pollution sources</w:t>
      </w:r>
    </w:p>
    <w:p w14:paraId="3FCB7F16"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Sustainable transport choices</w:t>
      </w:r>
    </w:p>
    <w:p w14:paraId="7CD74A07"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Indoor air quality improvements</w:t>
      </w:r>
    </w:p>
    <w:p w14:paraId="6A3FE2F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will also receive training materials enabling them to advise patients on reducing pollution exposure.</w:t>
      </w:r>
    </w:p>
    <w:p w14:paraId="17B536BA" w14:textId="77777777" w:rsidR="00C22497" w:rsidRDefault="00C22497" w:rsidP="00461C2B">
      <w:pPr>
        <w:spacing w:line="360" w:lineRule="auto"/>
        <w:rPr>
          <w:rFonts w:ascii="Arial" w:hAnsi="Arial" w:cs="Arial"/>
          <w:b/>
          <w:bCs/>
          <w:sz w:val="22"/>
          <w:szCs w:val="22"/>
        </w:rPr>
      </w:pPr>
    </w:p>
    <w:p w14:paraId="2E30D1A1" w14:textId="77777777" w:rsidR="00C22497" w:rsidRDefault="00C22497" w:rsidP="00461C2B">
      <w:pPr>
        <w:spacing w:line="360" w:lineRule="auto"/>
        <w:rPr>
          <w:rFonts w:ascii="Arial" w:hAnsi="Arial" w:cs="Arial"/>
          <w:b/>
          <w:bCs/>
          <w:sz w:val="22"/>
          <w:szCs w:val="22"/>
        </w:rPr>
      </w:pPr>
    </w:p>
    <w:p w14:paraId="2FF39B84" w14:textId="1E012D3A"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lastRenderedPageBreak/>
        <w:t>3. Behaviour Change Initiatives</w:t>
      </w:r>
    </w:p>
    <w:p w14:paraId="2FA1D2B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Behavioural interventions will encourage individuals and organisations to adopt cleaner practices. Examples include:</w:t>
      </w:r>
    </w:p>
    <w:p w14:paraId="6E1EC146"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“No-Burn Nights” campaigns discouraging domestic wood burning</w:t>
      </w:r>
    </w:p>
    <w:p w14:paraId="2CE99D1B"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Car-free school zones</w:t>
      </w:r>
    </w:p>
    <w:p w14:paraId="193CE642"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Public transport and cycling incentives</w:t>
      </w:r>
    </w:p>
    <w:p w14:paraId="2FE82775" w14:textId="347BEC83"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Together, these initiatives aim to reduce both emissions and personal exposure to particulate pollution.</w:t>
      </w:r>
    </w:p>
    <w:p w14:paraId="783E7E21"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e) Timeline</w:t>
      </w:r>
    </w:p>
    <w:p w14:paraId="1079B4E6"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would be implemented over a three-year period.</w:t>
      </w:r>
    </w:p>
    <w:p w14:paraId="281D873D"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1 – Planning and Development (Months 1–6)</w:t>
      </w:r>
    </w:p>
    <w:p w14:paraId="0FDA0508"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Stakeholder consultations</w:t>
      </w:r>
    </w:p>
    <w:p w14:paraId="39FFBD87"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Technology development and sensor procurement</w:t>
      </w:r>
    </w:p>
    <w:p w14:paraId="2316B1AC"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Public health messaging design</w:t>
      </w:r>
    </w:p>
    <w:p w14:paraId="38AACDD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2 – Pilot Programme (Months 7–18)</w:t>
      </w:r>
    </w:p>
    <w:p w14:paraId="0BA81125"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Installation of monitoring devices in selected communities</w:t>
      </w:r>
    </w:p>
    <w:p w14:paraId="49A66FF7"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Launch of educational campaigns in schools and healthcare centres</w:t>
      </w:r>
    </w:p>
    <w:p w14:paraId="11222110"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Initial behaviour-change initiatives</w:t>
      </w:r>
    </w:p>
    <w:p w14:paraId="655B1D7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3 – Citywide Expansion (Months 19–36)</w:t>
      </w:r>
    </w:p>
    <w:p w14:paraId="7386DA23"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Expansion of monitoring network across Birmingham</w:t>
      </w:r>
    </w:p>
    <w:p w14:paraId="176B647B"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Integration of air quality data into healthcare advice systems</w:t>
      </w:r>
    </w:p>
    <w:p w14:paraId="0DFA8E97"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Evaluation and policy recommendations</w:t>
      </w:r>
    </w:p>
    <w:p w14:paraId="603CEA68" w14:textId="33F1C24C" w:rsidR="009E1DFA" w:rsidRPr="00461C2B" w:rsidRDefault="009E1DFA" w:rsidP="00461C2B">
      <w:pPr>
        <w:spacing w:line="360" w:lineRule="auto"/>
        <w:rPr>
          <w:rFonts w:ascii="Arial" w:hAnsi="Arial" w:cs="Arial"/>
          <w:sz w:val="22"/>
          <w:szCs w:val="22"/>
        </w:rPr>
      </w:pPr>
    </w:p>
    <w:p w14:paraId="1BF9706D"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f) Development and Regulations</w:t>
      </w:r>
    </w:p>
    <w:p w14:paraId="4B5AB481"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must comply with several UK regulatory frameworks and standards, including:</w:t>
      </w:r>
    </w:p>
    <w:p w14:paraId="71CB8776" w14:textId="77777777"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t>Environment Act 2021, which sets legally binding targets for reducing PM2.5 levels in England.</w:t>
      </w:r>
    </w:p>
    <w:p w14:paraId="2818A877" w14:textId="77777777"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lastRenderedPageBreak/>
        <w:t>UK Air Quality Standards Regulations 2010, which establish limits for particulate matter concentrations.</w:t>
      </w:r>
    </w:p>
    <w:p w14:paraId="5503949A" w14:textId="77777777"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t>General Data Protection Regulation (GDPR) and the UK Data Protection Act 2018, ensuring that any personal data collected through digital platforms or health services is securely managed.</w:t>
      </w:r>
    </w:p>
    <w:p w14:paraId="0568BAB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In addition, partnerships with NHS organisations must comply with NHS digital governance standards and professional healthcare regulations.</w:t>
      </w:r>
    </w:p>
    <w:p w14:paraId="1DCF4E4E"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These frameworks ensure that the campaign aligns with national environmental and health policies while maintaining public trust and data security.</w:t>
      </w:r>
    </w:p>
    <w:p w14:paraId="394204A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g) Technology Integration</w:t>
      </w:r>
    </w:p>
    <w:p w14:paraId="34B96FB5"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Technology is central to the effectiveness of the Breathe Birmingham campaign.</w:t>
      </w:r>
    </w:p>
    <w:p w14:paraId="48FF41F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 mobile application will provide residents with:</w:t>
      </w:r>
    </w:p>
    <w:p w14:paraId="03920742"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Real-time air quality alerts</w:t>
      </w:r>
    </w:p>
    <w:p w14:paraId="142D2BBF"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Personal exposure tracking</w:t>
      </w:r>
    </w:p>
    <w:p w14:paraId="23F3FDC7"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Health advice tailored to pollution levels</w:t>
      </w:r>
    </w:p>
    <w:p w14:paraId="625B8864"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Recommendations for low-pollution routes for walking or cycling</w:t>
      </w:r>
    </w:p>
    <w:p w14:paraId="6C8C6102"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Artificial intelligence tools could also analyse sensor data to identify pollution patterns and predict high-risk periods, enabling early public warnings.</w:t>
      </w:r>
    </w:p>
    <w:p w14:paraId="60726D28"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Low-cost air quality sensors allow communities to monitor local pollution levels more effectively than traditional monitoring systems alone. Research has shown that these technologies can significantly enhance environmental monitoring at the household level (University of Birmingham, 2025).</w:t>
      </w:r>
    </w:p>
    <w:p w14:paraId="20D272D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By combining data analytics, mobile applications, and community sensors, the campaign makes environmental health information accessible and actionable.</w:t>
      </w:r>
    </w:p>
    <w:p w14:paraId="0723F94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h) Dissemination: How the Innovation Will Be Promoted</w:t>
      </w:r>
    </w:p>
    <w:p w14:paraId="0A1EEE8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Successful adoption of the campaign requires widespread engagement with stakeholders and the public.</w:t>
      </w:r>
    </w:p>
    <w:p w14:paraId="5FB0E9A2"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Dissemination strategies include:</w:t>
      </w:r>
    </w:p>
    <w:p w14:paraId="20FFE816"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Media and Public Awareness</w:t>
      </w:r>
    </w:p>
    <w:p w14:paraId="14774D9D"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lastRenderedPageBreak/>
        <w:t>Social media campaigns promoting clean air behaviours</w:t>
      </w:r>
    </w:p>
    <w:p w14:paraId="3FE94DA9"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t>Local radio and television advertisements</w:t>
      </w:r>
    </w:p>
    <w:p w14:paraId="74552D20"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t>Posters and information materials in healthcare facilities</w:t>
      </w:r>
    </w:p>
    <w:p w14:paraId="02B11193"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Healthcare Integration</w:t>
      </w:r>
    </w:p>
    <w:p w14:paraId="5DFBEC13"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will distribute educational materials to patients with respiratory or cardiovascular conditions, encouraging participation in the campaign.</w:t>
      </w:r>
    </w:p>
    <w:p w14:paraId="249C6D2C"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Community Engagement</w:t>
      </w:r>
    </w:p>
    <w:p w14:paraId="2014FA6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Public workshops and school programmes will encourage residents to take part in air monitoring and pollution reduction activities.</w:t>
      </w:r>
    </w:p>
    <w:p w14:paraId="5FD78EA5"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Partnerships with Institutions</w:t>
      </w:r>
    </w:p>
    <w:p w14:paraId="6B883D7C"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Collaboration with universities, environmental organisations, and local authorities will ensure that the campaign is supported by scientific evidence and policy expertise.</w:t>
      </w:r>
    </w:p>
    <w:p w14:paraId="64ABAD50"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Through these strategies, Breathe Birmingham aims to create a city-wide movement that promotes collective responsibility for clean air.</w:t>
      </w:r>
    </w:p>
    <w:p w14:paraId="03BB91B5"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j) Conclusion</w:t>
      </w:r>
    </w:p>
    <w:p w14:paraId="4DD18EEA"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Air pollution remains a critical public health challenge in Birmingham, with PM2.5 contributing to hundreds of premature deaths each year. Existing policies have made progress in reducing certain pollutants, but gaps remain in addressing fine particulate matter and its widespread health impacts.</w:t>
      </w:r>
    </w:p>
    <w:p w14:paraId="7B648FC1" w14:textId="7415DAAA" w:rsidR="009E1DFA" w:rsidRPr="00461C2B" w:rsidRDefault="00C22497" w:rsidP="00461C2B">
      <w:pPr>
        <w:spacing w:line="360" w:lineRule="auto"/>
        <w:rPr>
          <w:rFonts w:ascii="Arial" w:hAnsi="Arial" w:cs="Arial"/>
          <w:sz w:val="22"/>
          <w:szCs w:val="22"/>
        </w:rPr>
      </w:pPr>
      <w:r w:rsidRPr="00461C2B">
        <w:rPr>
          <w:rFonts w:ascii="Arial" w:hAnsi="Arial" w:cs="Arial"/>
          <w:sz w:val="22"/>
          <w:szCs w:val="22"/>
        </w:rPr>
        <w:t>The Clean</w:t>
      </w:r>
      <w:r w:rsidR="00DD5172" w:rsidRPr="00461C2B">
        <w:rPr>
          <w:rFonts w:ascii="Arial" w:hAnsi="Arial" w:cs="Arial"/>
          <w:sz w:val="22"/>
          <w:szCs w:val="22"/>
        </w:rPr>
        <w:t xml:space="preserve"> </w:t>
      </w:r>
      <w:r w:rsidR="009E1DFA" w:rsidRPr="00461C2B">
        <w:rPr>
          <w:rFonts w:ascii="Arial" w:hAnsi="Arial" w:cs="Arial"/>
          <w:sz w:val="22"/>
          <w:szCs w:val="22"/>
        </w:rPr>
        <w:t>Breathe Birmingham campaign offers an innovative and collaborative solution that integrates technology, community engagement, and healthcare services to reduce pollution exposure and improve population health.</w:t>
      </w:r>
    </w:p>
    <w:p w14:paraId="5BEBDCC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By empowering residents with real-time air quality information, promoting behavioural change, and supporting healthcare professionals in addressing environmental health risks, the campaign can significantly enhance the wellbeing of vulnerable communities.</w:t>
      </w:r>
    </w:p>
    <w:p w14:paraId="02813C93"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Ultimately, tackling air pollution requires collective action from individuals, institutions, and policymakers. With coordinated implementation and strong community participation, Breathe Birmingham has the potential to transform how the city approaches environmental health and create a cleaner, healthier future for all.</w:t>
      </w:r>
    </w:p>
    <w:p w14:paraId="4226A32E" w14:textId="3AEE8BB3" w:rsidR="009E1DFA" w:rsidRPr="00461C2B" w:rsidRDefault="009E1DFA" w:rsidP="00461C2B">
      <w:pPr>
        <w:spacing w:line="360" w:lineRule="auto"/>
        <w:rPr>
          <w:rFonts w:ascii="Arial" w:hAnsi="Arial" w:cs="Arial"/>
          <w:sz w:val="22"/>
          <w:szCs w:val="22"/>
        </w:rPr>
      </w:pPr>
    </w:p>
    <w:p w14:paraId="00AC7FF3" w14:textId="651C14C9" w:rsidR="009E1DFA" w:rsidRPr="00461C2B" w:rsidRDefault="009E1DFA" w:rsidP="00461C2B">
      <w:pPr>
        <w:spacing w:line="360" w:lineRule="auto"/>
        <w:rPr>
          <w:rFonts w:ascii="Arial" w:hAnsi="Arial" w:cs="Arial"/>
          <w:sz w:val="22"/>
          <w:szCs w:val="22"/>
        </w:rPr>
      </w:pPr>
    </w:p>
    <w:p w14:paraId="3C03F36B" w14:textId="77777777" w:rsidR="00EA05A6" w:rsidRPr="00461C2B" w:rsidRDefault="00EA05A6" w:rsidP="00461C2B">
      <w:pPr>
        <w:spacing w:line="360" w:lineRule="auto"/>
        <w:rPr>
          <w:rFonts w:ascii="Arial" w:hAnsi="Arial" w:cs="Arial"/>
          <w:sz w:val="22"/>
          <w:szCs w:val="22"/>
        </w:rPr>
      </w:pPr>
    </w:p>
    <w:sectPr w:rsidR="00EA05A6" w:rsidRPr="00461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B26F4"/>
    <w:multiLevelType w:val="multilevel"/>
    <w:tmpl w:val="564E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F4880"/>
    <w:multiLevelType w:val="multilevel"/>
    <w:tmpl w:val="350A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5552B"/>
    <w:multiLevelType w:val="multilevel"/>
    <w:tmpl w:val="3AAA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861805"/>
    <w:multiLevelType w:val="multilevel"/>
    <w:tmpl w:val="3B6AD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026DC"/>
    <w:multiLevelType w:val="multilevel"/>
    <w:tmpl w:val="0B7A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1689A"/>
    <w:multiLevelType w:val="multilevel"/>
    <w:tmpl w:val="4A12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C5D7B"/>
    <w:multiLevelType w:val="multilevel"/>
    <w:tmpl w:val="F904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E218FD"/>
    <w:multiLevelType w:val="multilevel"/>
    <w:tmpl w:val="CE74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763029"/>
    <w:multiLevelType w:val="multilevel"/>
    <w:tmpl w:val="84A6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95D98"/>
    <w:multiLevelType w:val="multilevel"/>
    <w:tmpl w:val="9806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121D9B"/>
    <w:multiLevelType w:val="multilevel"/>
    <w:tmpl w:val="FACA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F13C09"/>
    <w:multiLevelType w:val="multilevel"/>
    <w:tmpl w:val="DE0AD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0516973">
    <w:abstractNumId w:val="1"/>
  </w:num>
  <w:num w:numId="2" w16cid:durableId="438765322">
    <w:abstractNumId w:val="11"/>
  </w:num>
  <w:num w:numId="3" w16cid:durableId="155269729">
    <w:abstractNumId w:val="4"/>
  </w:num>
  <w:num w:numId="4" w16cid:durableId="1486236476">
    <w:abstractNumId w:val="9"/>
  </w:num>
  <w:num w:numId="5" w16cid:durableId="2028285985">
    <w:abstractNumId w:val="8"/>
  </w:num>
  <w:num w:numId="6" w16cid:durableId="1714622610">
    <w:abstractNumId w:val="0"/>
  </w:num>
  <w:num w:numId="7" w16cid:durableId="1131628096">
    <w:abstractNumId w:val="10"/>
  </w:num>
  <w:num w:numId="8" w16cid:durableId="1890680447">
    <w:abstractNumId w:val="6"/>
  </w:num>
  <w:num w:numId="9" w16cid:durableId="1936403573">
    <w:abstractNumId w:val="2"/>
  </w:num>
  <w:num w:numId="10" w16cid:durableId="991638017">
    <w:abstractNumId w:val="7"/>
  </w:num>
  <w:num w:numId="11" w16cid:durableId="2089302721">
    <w:abstractNumId w:val="3"/>
  </w:num>
  <w:num w:numId="12" w16cid:durableId="343174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FA"/>
    <w:rsid w:val="000345C9"/>
    <w:rsid w:val="001C5488"/>
    <w:rsid w:val="002A00BE"/>
    <w:rsid w:val="003813AE"/>
    <w:rsid w:val="00461C2B"/>
    <w:rsid w:val="006005FB"/>
    <w:rsid w:val="00647C6F"/>
    <w:rsid w:val="006E4B3F"/>
    <w:rsid w:val="00722345"/>
    <w:rsid w:val="007B4EFB"/>
    <w:rsid w:val="00892F31"/>
    <w:rsid w:val="008D204C"/>
    <w:rsid w:val="00946F36"/>
    <w:rsid w:val="00993E48"/>
    <w:rsid w:val="009E1DFA"/>
    <w:rsid w:val="00AF18D3"/>
    <w:rsid w:val="00BC533D"/>
    <w:rsid w:val="00C22497"/>
    <w:rsid w:val="00C8109D"/>
    <w:rsid w:val="00DD5172"/>
    <w:rsid w:val="00EA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4F07"/>
  <w15:chartTrackingRefBased/>
  <w15:docId w15:val="{A23C1B78-3FEE-4F52-95DB-3791137C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DFA"/>
    <w:rPr>
      <w:rFonts w:eastAsiaTheme="majorEastAsia" w:cstheme="majorBidi"/>
      <w:color w:val="272727" w:themeColor="text1" w:themeTint="D8"/>
    </w:rPr>
  </w:style>
  <w:style w:type="paragraph" w:styleId="Title">
    <w:name w:val="Title"/>
    <w:basedOn w:val="Normal"/>
    <w:next w:val="Normal"/>
    <w:link w:val="TitleChar"/>
    <w:uiPriority w:val="10"/>
    <w:qFormat/>
    <w:rsid w:val="009E1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DFA"/>
    <w:pPr>
      <w:spacing w:before="160"/>
      <w:jc w:val="center"/>
    </w:pPr>
    <w:rPr>
      <w:i/>
      <w:iCs/>
      <w:color w:val="404040" w:themeColor="text1" w:themeTint="BF"/>
    </w:rPr>
  </w:style>
  <w:style w:type="character" w:customStyle="1" w:styleId="QuoteChar">
    <w:name w:val="Quote Char"/>
    <w:basedOn w:val="DefaultParagraphFont"/>
    <w:link w:val="Quote"/>
    <w:uiPriority w:val="29"/>
    <w:rsid w:val="009E1DFA"/>
    <w:rPr>
      <w:i/>
      <w:iCs/>
      <w:color w:val="404040" w:themeColor="text1" w:themeTint="BF"/>
    </w:rPr>
  </w:style>
  <w:style w:type="paragraph" w:styleId="ListParagraph">
    <w:name w:val="List Paragraph"/>
    <w:basedOn w:val="Normal"/>
    <w:uiPriority w:val="34"/>
    <w:qFormat/>
    <w:rsid w:val="009E1DFA"/>
    <w:pPr>
      <w:ind w:left="720"/>
      <w:contextualSpacing/>
    </w:pPr>
  </w:style>
  <w:style w:type="character" w:styleId="IntenseEmphasis">
    <w:name w:val="Intense Emphasis"/>
    <w:basedOn w:val="DefaultParagraphFont"/>
    <w:uiPriority w:val="21"/>
    <w:qFormat/>
    <w:rsid w:val="009E1DFA"/>
    <w:rPr>
      <w:i/>
      <w:iCs/>
      <w:color w:val="0F4761" w:themeColor="accent1" w:themeShade="BF"/>
    </w:rPr>
  </w:style>
  <w:style w:type="paragraph" w:styleId="IntenseQuote">
    <w:name w:val="Intense Quote"/>
    <w:basedOn w:val="Normal"/>
    <w:next w:val="Normal"/>
    <w:link w:val="IntenseQuoteChar"/>
    <w:uiPriority w:val="30"/>
    <w:qFormat/>
    <w:rsid w:val="009E1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DFA"/>
    <w:rPr>
      <w:i/>
      <w:iCs/>
      <w:color w:val="0F4761" w:themeColor="accent1" w:themeShade="BF"/>
    </w:rPr>
  </w:style>
  <w:style w:type="character" w:styleId="IntenseReference">
    <w:name w:val="Intense Reference"/>
    <w:basedOn w:val="DefaultParagraphFont"/>
    <w:uiPriority w:val="32"/>
    <w:qFormat/>
    <w:rsid w:val="009E1DFA"/>
    <w:rPr>
      <w:b/>
      <w:bCs/>
      <w:smallCaps/>
      <w:color w:val="0F4761" w:themeColor="accent1" w:themeShade="BF"/>
      <w:spacing w:val="5"/>
    </w:rPr>
  </w:style>
  <w:style w:type="character" w:styleId="Hyperlink">
    <w:name w:val="Hyperlink"/>
    <w:basedOn w:val="DefaultParagraphFont"/>
    <w:uiPriority w:val="99"/>
    <w:unhideWhenUsed/>
    <w:rsid w:val="009E1DFA"/>
    <w:rPr>
      <w:color w:val="467886" w:themeColor="hyperlink"/>
      <w:u w:val="single"/>
    </w:rPr>
  </w:style>
  <w:style w:type="character" w:styleId="UnresolvedMention">
    <w:name w:val="Unresolved Mention"/>
    <w:basedOn w:val="DefaultParagraphFont"/>
    <w:uiPriority w:val="99"/>
    <w:semiHidden/>
    <w:unhideWhenUsed/>
    <w:rsid w:val="009E1D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1580</Words>
  <Characters>9295</Characters>
  <Application>Microsoft Office Word</Application>
  <DocSecurity>0</DocSecurity>
  <Lines>152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5</cp:revision>
  <dcterms:created xsi:type="dcterms:W3CDTF">2026-03-14T11:34:00Z</dcterms:created>
  <dcterms:modified xsi:type="dcterms:W3CDTF">2026-03-29T11:23:00Z</dcterms:modified>
</cp:coreProperties>
</file>