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82AEA" w14:textId="77777777" w:rsidR="00F3647A" w:rsidRDefault="00F3647A"/>
    <w:p w14:paraId="5A834AEE" w14:textId="77777777" w:rsidR="00F3647A" w:rsidRDefault="00F3647A"/>
    <w:p w14:paraId="79DE6EB0" w14:textId="77777777" w:rsidR="00F3647A" w:rsidRDefault="00F3647A"/>
    <w:p w14:paraId="65495B28" w14:textId="77777777" w:rsidR="00F3647A" w:rsidRDefault="00B12D33">
      <w:pPr>
        <w:spacing w:after="480"/>
        <w:jc w:val="center"/>
      </w:pPr>
      <w:r>
        <w:rPr>
          <w:b/>
          <w:bCs/>
          <w:sz w:val="32"/>
          <w:szCs w:val="32"/>
        </w:rPr>
        <w:t>Challenges for Christianity's Survival in Modern Times</w:t>
      </w:r>
    </w:p>
    <w:p w14:paraId="4A3B0C3C" w14:textId="77777777" w:rsidR="00F3647A" w:rsidRDefault="00B12D33">
      <w:pPr>
        <w:spacing w:after="200"/>
        <w:jc w:val="center"/>
      </w:pPr>
      <w:r>
        <w:rPr>
          <w:b/>
          <w:bCs/>
        </w:rPr>
        <w:t>Independent Project</w:t>
      </w:r>
    </w:p>
    <w:p w14:paraId="5651398E" w14:textId="77777777" w:rsidR="00F3647A" w:rsidRDefault="00B12D33">
      <w:pPr>
        <w:spacing w:after="200"/>
        <w:jc w:val="center"/>
      </w:pPr>
      <w:r>
        <w:t>HPHP5905</w:t>
      </w:r>
    </w:p>
    <w:p w14:paraId="0519DBAD" w14:textId="77777777" w:rsidR="00F3647A" w:rsidRDefault="00F3647A"/>
    <w:p w14:paraId="4C0D1C37" w14:textId="77777777" w:rsidR="00F3647A" w:rsidRDefault="00B12D33">
      <w:pPr>
        <w:spacing w:after="200"/>
        <w:jc w:val="center"/>
      </w:pPr>
      <w:r>
        <w:rPr>
          <w:b/>
          <w:bCs/>
        </w:rPr>
        <w:t>Lenuta Raducanu</w:t>
      </w:r>
    </w:p>
    <w:p w14:paraId="2E0055CE" w14:textId="77777777" w:rsidR="00F3647A" w:rsidRDefault="00F3647A"/>
    <w:p w14:paraId="5DE881EC" w14:textId="77777777" w:rsidR="00F3647A" w:rsidRDefault="00B12D33">
      <w:pPr>
        <w:spacing w:after="200"/>
        <w:jc w:val="center"/>
      </w:pPr>
      <w:r>
        <w:t>May 2026</w:t>
      </w:r>
    </w:p>
    <w:p w14:paraId="3BCD1C84" w14:textId="77777777" w:rsidR="00F3647A" w:rsidRDefault="00F3647A"/>
    <w:p w14:paraId="46CBCF5E" w14:textId="77777777" w:rsidR="00F3647A" w:rsidRDefault="00F3647A"/>
    <w:p w14:paraId="13DF13B5" w14:textId="6E8A595C" w:rsidR="00F3647A" w:rsidRDefault="00F3647A" w:rsidP="00823189"/>
    <w:p w14:paraId="7003AFF6" w14:textId="77777777" w:rsidR="00F3647A" w:rsidRDefault="00F3647A"/>
    <w:p w14:paraId="58826CD2" w14:textId="77777777" w:rsidR="00F3647A" w:rsidRDefault="00F3647A"/>
    <w:p w14:paraId="1E95A941" w14:textId="77777777" w:rsidR="00F3647A" w:rsidRDefault="00F3647A"/>
    <w:p w14:paraId="6E8AEAD7" w14:textId="77777777" w:rsidR="00F3647A" w:rsidRDefault="00B12D33">
      <w:pPr>
        <w:spacing w:before="560" w:after="280"/>
      </w:pPr>
      <w:r>
        <w:rPr>
          <w:b/>
          <w:bCs/>
          <w:sz w:val="28"/>
          <w:szCs w:val="28"/>
        </w:rPr>
        <w:t>Abstract</w:t>
      </w:r>
    </w:p>
    <w:p w14:paraId="62603E34" w14:textId="77777777" w:rsidR="00F3647A" w:rsidRDefault="00B12D33">
      <w:pPr>
        <w:spacing w:after="200" w:line="480" w:lineRule="auto"/>
        <w:ind w:firstLine="720"/>
        <w:jc w:val="both"/>
      </w:pPr>
      <w:r>
        <w:t>This independent project examines the principal challenges confronting Christianity in contemporary Western democratic societies. Drawing upon longitudinal survey data, sociological theory, and qualitative case studies, the project analyses four interconnected pressures: the secularisation process and its theoretical underpinnings; the cultural liberalisation of values relating to gender, sexuality, and family; institutional damage arising from clerical abuse scandals; and the weakening of intergenerational</w:t>
      </w:r>
      <w:r>
        <w:t xml:space="preserve"> religious transmission. The project argues that no single factor accounts for the decline of Christianity in the West, but that these pressures operate as a mutually reinforcing dynamic. It further identifies adaptive strategies adopted by certain denominations that have succeeded in arresting, though not reversing, their decline. The findings carry implications for scholars of secularisation, religious leaders, and policymakers concerned with the social functions that Christian institutions have historica</w:t>
      </w:r>
      <w:r>
        <w:t>lly performed.</w:t>
      </w:r>
    </w:p>
    <w:p w14:paraId="213F33B9" w14:textId="77777777" w:rsidR="00F3647A" w:rsidRDefault="00B12D33">
      <w:pPr>
        <w:spacing w:before="560" w:after="280"/>
      </w:pPr>
      <w:r>
        <w:rPr>
          <w:b/>
          <w:bCs/>
          <w:sz w:val="28"/>
          <w:szCs w:val="28"/>
        </w:rPr>
        <w:lastRenderedPageBreak/>
        <w:t>1. Introduction</w:t>
      </w:r>
    </w:p>
    <w:p w14:paraId="10B00A17" w14:textId="41DCDF87" w:rsidR="00F3647A" w:rsidRDefault="00B12D33">
      <w:pPr>
        <w:spacing w:after="200" w:line="480" w:lineRule="auto"/>
        <w:ind w:firstLine="720"/>
        <w:jc w:val="both"/>
      </w:pPr>
      <w:r>
        <w:t>For approximately two millennia, Christianity served as the dominant spiritual, moral, and institutional framework of Western civilisation. From the codification of canon law to the foundation of universities, hospitals, and charitable networks, the Christian church shaped the architecture of European and, subsequently, North American social life. Yet since the middle of the twentieth century, a sustained and accelerating decline in Christian affiliation, attendance, and cultural influence has been document</w:t>
      </w:r>
      <w:r>
        <w:t xml:space="preserve">ed across Western democratic societies. In the United Kingdom, the 2021 census recorded that fewer than half the population identified as Christian for the first time since the question was introduced. In the United States, the proportion of adults describing themselves as Christian fell from seventy-eight per cent in 2007 to sixty-three per cent in 2021, according to the Pew Research </w:t>
      </w:r>
      <w:r w:rsidR="00823189">
        <w:t>Centre</w:t>
      </w:r>
      <w:r>
        <w:t>.</w:t>
      </w:r>
    </w:p>
    <w:p w14:paraId="4C7FCB94" w14:textId="77777777" w:rsidR="00F3647A" w:rsidRDefault="00B12D33">
      <w:pPr>
        <w:spacing w:after="200" w:line="480" w:lineRule="auto"/>
        <w:ind w:firstLine="720"/>
        <w:jc w:val="both"/>
      </w:pPr>
      <w:r>
        <w:t>These figures are not mere statistical curiosities. They represent the gradual erosion of an institution that has provided social cohesion, welfare provision, educational infrastructure, and systems of moral meaning for centuries. Understanding why this erosion is occurring is of considerable importance not only for theologians and church leaders but also for social scientists, historians, and policymakers.</w:t>
      </w:r>
    </w:p>
    <w:p w14:paraId="5DB1C195" w14:textId="77777777" w:rsidR="00F3647A" w:rsidRDefault="00B12D33">
      <w:pPr>
        <w:spacing w:after="200" w:line="480" w:lineRule="auto"/>
        <w:ind w:firstLine="720"/>
        <w:jc w:val="both"/>
      </w:pPr>
      <w:r>
        <w:t>This project addresses the following research question: what are the major challenges to Christianity's continued existence and influence in modern Western democratic societies, and how do demographic trends, the process of secularisation, and changing moral frameworks contribute to these challenges? The project proceeds through five substantive sections. Following this introduction, Section 2 outlines the theoretical framework of secularisation. Section 3 examines cultural and moral shifts. Section 4 analy</w:t>
      </w:r>
      <w:r>
        <w:t xml:space="preserve">ses institutional crises arising from clerical abuse. Section 5 discusses the weakening of intergenerational transmission and </w:t>
      </w:r>
      <w:r>
        <w:lastRenderedPageBreak/>
        <w:t>the associated financial pressures. Section 6 considers adaptive responses before the conclusion synthesises the findings.</w:t>
      </w:r>
    </w:p>
    <w:p w14:paraId="075C62A6" w14:textId="0519C338" w:rsidR="00F3647A" w:rsidRDefault="00B12D33">
      <w:pPr>
        <w:spacing w:after="200" w:line="480" w:lineRule="auto"/>
        <w:ind w:firstLine="720"/>
        <w:jc w:val="both"/>
      </w:pPr>
      <w:r>
        <w:t xml:space="preserve">The research methodology is primarily qualitative and interpretive, drawing on secondary analysis of longitudinal survey data, including the Pew Research </w:t>
      </w:r>
      <w:r w:rsidR="00823189">
        <w:t>Centre</w:t>
      </w:r>
      <w:r>
        <w:t xml:space="preserve"> Religious Landscape Studies and the European Social Survey, peer-reviewed sociological and theological scholarship, and denominational reports. The project does not collect primary data. Its feasibility rests upon the substantial body of publicly available empirical material on religious decline in Western contexts.</w:t>
      </w:r>
    </w:p>
    <w:p w14:paraId="7E4134E5" w14:textId="77777777" w:rsidR="00F3647A" w:rsidRDefault="00B12D33">
      <w:pPr>
        <w:spacing w:before="560" w:after="280"/>
      </w:pPr>
      <w:r>
        <w:rPr>
          <w:b/>
          <w:bCs/>
          <w:sz w:val="28"/>
          <w:szCs w:val="28"/>
        </w:rPr>
        <w:t>2. Secularisation: Theory, Evidence, and Debate</w:t>
      </w:r>
    </w:p>
    <w:p w14:paraId="2697370B" w14:textId="77777777" w:rsidR="00F3647A" w:rsidRDefault="00B12D33">
      <w:pPr>
        <w:spacing w:before="400" w:after="180"/>
      </w:pPr>
      <w:r>
        <w:rPr>
          <w:b/>
          <w:bCs/>
        </w:rPr>
        <w:t>2.1 The Secularisation Thesis</w:t>
      </w:r>
    </w:p>
    <w:p w14:paraId="12277299" w14:textId="77777777" w:rsidR="00F3647A" w:rsidRDefault="00B12D33">
      <w:pPr>
        <w:spacing w:after="200" w:line="480" w:lineRule="auto"/>
        <w:ind w:firstLine="720"/>
        <w:jc w:val="both"/>
      </w:pPr>
      <w:r>
        <w:t>The secularisation thesis holds that modernisation, understood as a cluster of processes including urbanisation, industrialisation, the expansion of scientific rationality, and the functional differentiation of social institutions, leads systematically to a decline in the social significance of religion. Peter Berger influentially developed this argument in the mid-twentieth century, contending that the plurality of modern life dissolves the taken-for-granted plausibility structures upon which traditional r</w:t>
      </w:r>
      <w:r>
        <w:t>eligious belief depends.</w:t>
      </w:r>
      <w:r>
        <w:rPr>
          <w:sz w:val="16"/>
          <w:szCs w:val="16"/>
          <w:vertAlign w:val="superscript"/>
        </w:rPr>
        <w:t>1</w:t>
      </w:r>
    </w:p>
    <w:p w14:paraId="0E6403A5" w14:textId="77777777" w:rsidR="00F3647A" w:rsidRDefault="00B12D33">
      <w:pPr>
        <w:spacing w:after="200" w:line="480" w:lineRule="auto"/>
        <w:ind w:firstLine="720"/>
        <w:jc w:val="both"/>
      </w:pPr>
      <w:r>
        <w:t>Steve Bruce offers the most thoroughgoing contemporary defence of this position, arguing that secularisation is not merely an empirical trend but a structural consequence of the conditions of modernity itself.</w:t>
      </w:r>
      <w:r>
        <w:rPr>
          <w:sz w:val="16"/>
          <w:szCs w:val="16"/>
          <w:vertAlign w:val="superscript"/>
        </w:rPr>
        <w:t>2</w:t>
      </w:r>
      <w:r>
        <w:t xml:space="preserve"> On this account, as societies become more educated, more technologically proficient, and more internally differentiated, the capacity of traditional religious institutions to command unquestioned assent is progressively undermined. Science provides alternative explanations for natural phenomena; the welfare state assumes functions </w:t>
      </w:r>
      <w:r>
        <w:lastRenderedPageBreak/>
        <w:t>once performed by the church; and the competitive plurality of worldviews weakens the monopoly of any single religious tradition.</w:t>
      </w:r>
    </w:p>
    <w:p w14:paraId="2DEC7CED" w14:textId="77777777" w:rsidR="00F3647A" w:rsidRDefault="00B12D33">
      <w:pPr>
        <w:spacing w:after="200" w:line="480" w:lineRule="auto"/>
        <w:ind w:firstLine="720"/>
        <w:jc w:val="both"/>
      </w:pPr>
      <w:r>
        <w:t>The empirical evidence from Western Europe broadly supports this account. Church attendance in England and Wales has declined steadily since the 1960s. According to the British Social Attitudes Survey, the proportion of people describing themselves as having no religion rose from thirty-one per cent in 1983 to fifty-three per cent in 2018. In France, the Netherlands, and the Nordic countries the pattern is still more pronounced, with regular church attendance falling to single-figure percentages of the popu</w:t>
      </w:r>
      <w:r>
        <w:t>lation in several nations.</w:t>
      </w:r>
    </w:p>
    <w:p w14:paraId="64815B79" w14:textId="77777777" w:rsidR="00F3647A" w:rsidRDefault="00B12D33">
      <w:pPr>
        <w:spacing w:before="400" w:after="180"/>
      </w:pPr>
      <w:r>
        <w:rPr>
          <w:b/>
          <w:bCs/>
        </w:rPr>
        <w:t>2.2 Challenges to the Thesis and the American Case</w:t>
      </w:r>
    </w:p>
    <w:p w14:paraId="519F26D2" w14:textId="77777777" w:rsidR="00F3647A" w:rsidRDefault="00B12D33">
      <w:pPr>
        <w:spacing w:after="200" w:line="480" w:lineRule="auto"/>
        <w:ind w:firstLine="720"/>
        <w:jc w:val="both"/>
      </w:pPr>
      <w:r>
        <w:t>The secularisation thesis has, however, been contested. For much of the twentieth century the United States appeared to constitute a decisive counterexample: a highly modernised society with comparatively robust levels of religious participation. Scholars such as Rodney Stark argued that this apparent exception demonstrated that secularisation was not an inevitable consequence of modernity but rather a product of specific institutional conditions, particularly the presence or absence of a state-supported re</w:t>
      </w:r>
      <w:r>
        <w:t>ligious monopoly.</w:t>
      </w:r>
      <w:r>
        <w:rPr>
          <w:sz w:val="16"/>
          <w:szCs w:val="16"/>
          <w:vertAlign w:val="superscript"/>
        </w:rPr>
        <w:t>3</w:t>
      </w:r>
    </w:p>
    <w:p w14:paraId="61A11569" w14:textId="77777777" w:rsidR="00F3647A" w:rsidRDefault="00B12D33">
      <w:pPr>
        <w:spacing w:after="200" w:line="480" w:lineRule="auto"/>
        <w:ind w:firstLine="720"/>
        <w:jc w:val="both"/>
      </w:pPr>
      <w:r>
        <w:t xml:space="preserve">More recently, however, the American exception has come under sustained pressure. </w:t>
      </w:r>
      <w:proofErr w:type="spellStart"/>
      <w:r>
        <w:t>Voas</w:t>
      </w:r>
      <w:proofErr w:type="spellEnd"/>
      <w:r>
        <w:t xml:space="preserve"> and Chaves demonstrated that, even in the United States, each successive birth cohort is less religious than the preceding one, suggesting that the appearance of aggregate stability concealed a process of generational replacement that was gradually secularising American society.</w:t>
      </w:r>
      <w:r>
        <w:rPr>
          <w:sz w:val="16"/>
          <w:szCs w:val="16"/>
          <w:vertAlign w:val="superscript"/>
        </w:rPr>
        <w:t>4</w:t>
      </w:r>
      <w:r>
        <w:t xml:space="preserve"> The COVID-19 pandemic and its aftermath appear to have accelerated this trend, with church attendance figures failing to recover to pre-pandemic levels in many denominations.</w:t>
      </w:r>
    </w:p>
    <w:p w14:paraId="7BBF5627" w14:textId="77777777" w:rsidR="00F3647A" w:rsidRDefault="00B12D33">
      <w:pPr>
        <w:spacing w:after="200" w:line="480" w:lineRule="auto"/>
        <w:ind w:firstLine="720"/>
        <w:jc w:val="both"/>
      </w:pPr>
      <w:r>
        <w:t xml:space="preserve">What the American case illustrates is that secularisation operates differently across institutional and cultural contexts. It is not a uniform, linear process but one shaped by historical legacies, institutional arrangements, and the specific character of the competing </w:t>
      </w:r>
      <w:r>
        <w:lastRenderedPageBreak/>
        <w:t>claims that religious and secular worldviews make upon individuals. Nevertheless, the overall trajectory in Western democratic societies is broadly consistent: Christianity is progressively losing its capacity to define the terms of public and private life.</w:t>
      </w:r>
    </w:p>
    <w:p w14:paraId="7658FD6B" w14:textId="77777777" w:rsidR="00F3647A" w:rsidRDefault="00B12D33">
      <w:pPr>
        <w:spacing w:before="560" w:after="280"/>
      </w:pPr>
      <w:r>
        <w:rPr>
          <w:b/>
          <w:bCs/>
          <w:sz w:val="28"/>
          <w:szCs w:val="28"/>
        </w:rPr>
        <w:t>3. Cultural Liberalisation and the Crisis of Moral Authority</w:t>
      </w:r>
    </w:p>
    <w:p w14:paraId="4EFED766" w14:textId="77777777" w:rsidR="00F3647A" w:rsidRDefault="00B12D33">
      <w:pPr>
        <w:spacing w:before="400" w:after="180"/>
      </w:pPr>
      <w:r>
        <w:rPr>
          <w:b/>
          <w:bCs/>
        </w:rPr>
        <w:t>3.1 The Transformation of Values</w:t>
      </w:r>
    </w:p>
    <w:p w14:paraId="219A42B1" w14:textId="77777777" w:rsidR="00F3647A" w:rsidRDefault="00B12D33">
      <w:pPr>
        <w:spacing w:after="200" w:line="480" w:lineRule="auto"/>
        <w:ind w:firstLine="720"/>
        <w:jc w:val="both"/>
      </w:pPr>
      <w:r>
        <w:t>Alongside the structural pressures identified by secularisation theorists, Christianity faces a profound crisis of moral authority rooted in the transformation of cultural values that has characterised Western societies since the 1960s. Norris and Inglehart have documented a broad shift from "survival values" to "self-expression values" across economically advanced societies, a shift that tends to reduce deference to traditional authority and to elevate personal autonomy as the supreme moral principle.</w:t>
      </w:r>
      <w:r>
        <w:rPr>
          <w:sz w:val="16"/>
          <w:szCs w:val="16"/>
          <w:vertAlign w:val="superscript"/>
        </w:rPr>
        <w:t>5</w:t>
      </w:r>
    </w:p>
    <w:p w14:paraId="35FD4396" w14:textId="77777777" w:rsidR="00F3647A" w:rsidRDefault="00B12D33">
      <w:pPr>
        <w:spacing w:after="200" w:line="480" w:lineRule="auto"/>
        <w:ind w:firstLine="720"/>
        <w:jc w:val="both"/>
      </w:pPr>
      <w:r>
        <w:t>The sociologists Robert Putnam and David Campbell have detailed the specific consequences of this shift for American Christianity, showing how the sexual revolution of the 1960s and 1970s, and the subsequent consolidation of liberal norms around gender equality, sexual orientation, reproductive rights, and family structure, created a deep tension between traditional Christian moral teaching and the values of a growing proportion of the population.</w:t>
      </w:r>
      <w:r>
        <w:rPr>
          <w:sz w:val="16"/>
          <w:szCs w:val="16"/>
          <w:vertAlign w:val="superscript"/>
        </w:rPr>
        <w:t>6</w:t>
      </w:r>
      <w:r>
        <w:t xml:space="preserve"> For many younger adults, Christian churches appear as institutions that are not only theologically demanding but actively hostile to the values of inclusion, personal autonomy, and social justice that they regard as foundational.</w:t>
      </w:r>
    </w:p>
    <w:p w14:paraId="5016AFAD" w14:textId="77777777" w:rsidR="00F3647A" w:rsidRDefault="00B12D33">
      <w:pPr>
        <w:spacing w:after="200" w:line="480" w:lineRule="auto"/>
        <w:ind w:firstLine="720"/>
        <w:jc w:val="both"/>
      </w:pPr>
      <w:r>
        <w:t xml:space="preserve">The Catholic Church's sustained opposition to contraception, the opposition of many evangelical and Anglican conservative factions to same-sex marriage and the ordination of women, and the handling of questions of gender identity have all contributed to a perception that institutional Christianity is, at best, out of step with contemporary ethics and, at worst, an </w:t>
      </w:r>
      <w:r>
        <w:lastRenderedPageBreak/>
        <w:t>active instrument of discrimination. This perception is particularly acute among the young adults whose engagement would be essential to the long-term vitality of any institution.</w:t>
      </w:r>
    </w:p>
    <w:p w14:paraId="115E660E" w14:textId="77777777" w:rsidR="00F3647A" w:rsidRDefault="00B12D33">
      <w:pPr>
        <w:spacing w:before="400" w:after="180"/>
      </w:pPr>
      <w:r>
        <w:rPr>
          <w:b/>
          <w:bCs/>
        </w:rPr>
        <w:t>3.2 The Young Adult Problem and Digital Pluralism</w:t>
      </w:r>
    </w:p>
    <w:p w14:paraId="6D7DD145" w14:textId="0CE0382E" w:rsidR="00F3647A" w:rsidRDefault="00B12D33">
      <w:pPr>
        <w:spacing w:after="200" w:line="480" w:lineRule="auto"/>
        <w:ind w:firstLine="720"/>
        <w:jc w:val="both"/>
      </w:pPr>
      <w:r>
        <w:t xml:space="preserve">Research consistently demonstrates that the process of religious disaffiliation is concentrated in the late teenage and early adult years. Putnam and Campbell describe a "shock and aftershock" dynamic: the conservative religious response to the cultural liberalisation of the 1960s and 1970s provoked a </w:t>
      </w:r>
      <w:r w:rsidR="00823189">
        <w:t>counterreaction</w:t>
      </w:r>
      <w:r>
        <w:t xml:space="preserve"> among younger generations who came to associate organised religion with political conservatism, intolerance, and moral hypocrisy.</w:t>
      </w:r>
      <w:r>
        <w:rPr>
          <w:sz w:val="16"/>
          <w:szCs w:val="16"/>
          <w:vertAlign w:val="superscript"/>
        </w:rPr>
        <w:t>7</w:t>
      </w:r>
    </w:p>
    <w:p w14:paraId="0ED22806" w14:textId="77777777" w:rsidR="00F3647A" w:rsidRDefault="00B12D33">
      <w:pPr>
        <w:spacing w:after="200" w:line="480" w:lineRule="auto"/>
        <w:ind w:firstLine="720"/>
        <w:jc w:val="both"/>
      </w:pPr>
      <w:r>
        <w:t>This dynamic is compounded by the digital information environment. Young people today grow up with immediate access to diverse perspectives, including critiques of religious institutions, accounts of historical religious violence and oppression, and secular philosophical frameworks that offer meaning and community without the doctrinal commitments that Christianity requires. The internet has, in effect, pluralised the marketplace of ideas in ways that tend to disadvantage institutions requiring assent to sp</w:t>
      </w:r>
      <w:r>
        <w:t>ecific truth claims.</w:t>
      </w:r>
    </w:p>
    <w:p w14:paraId="2F562DA5" w14:textId="77777777" w:rsidR="00F3647A" w:rsidRDefault="00B12D33">
      <w:pPr>
        <w:spacing w:after="200" w:line="480" w:lineRule="auto"/>
        <w:ind w:firstLine="720"/>
        <w:jc w:val="both"/>
      </w:pPr>
      <w:r>
        <w:t>It would, however, be a mistake to characterise the contemporary situation as one of simple irreligion. Research by Grace Davie has shown that levels of personal spirituality in Western societies have not declined as sharply as levels of institutional religious participation, giving rise to what she termed "believing without belonging."</w:t>
      </w:r>
      <w:r>
        <w:rPr>
          <w:sz w:val="16"/>
          <w:szCs w:val="16"/>
          <w:vertAlign w:val="superscript"/>
        </w:rPr>
        <w:t>8</w:t>
      </w:r>
      <w:r>
        <w:t xml:space="preserve"> This formulation captures the tendency of many people to retain personal religious or spiritual beliefs whilst declining to affiliate with or attend institutional churches. The challenge facing Christianity is therefore not primarily the elimination of spiritual interest but the failure of institutions to translate that diffuse interest into committed membership.</w:t>
      </w:r>
    </w:p>
    <w:p w14:paraId="1821E704" w14:textId="77777777" w:rsidR="00F3647A" w:rsidRDefault="00B12D33">
      <w:pPr>
        <w:spacing w:before="560" w:after="280"/>
      </w:pPr>
      <w:r>
        <w:rPr>
          <w:b/>
          <w:bCs/>
          <w:sz w:val="28"/>
          <w:szCs w:val="28"/>
        </w:rPr>
        <w:t>4. Institutional Damage: Abuse Scandals and the Collapse of Trust</w:t>
      </w:r>
    </w:p>
    <w:p w14:paraId="67A83049" w14:textId="77777777" w:rsidR="00F3647A" w:rsidRDefault="00B12D33">
      <w:pPr>
        <w:spacing w:before="400" w:after="180"/>
      </w:pPr>
      <w:r>
        <w:rPr>
          <w:b/>
          <w:bCs/>
        </w:rPr>
        <w:lastRenderedPageBreak/>
        <w:t>4.1 The Scale of the Crisis</w:t>
      </w:r>
    </w:p>
    <w:p w14:paraId="3A514453" w14:textId="77777777" w:rsidR="00F3647A" w:rsidRDefault="00B12D33">
      <w:pPr>
        <w:spacing w:after="200" w:line="480" w:lineRule="auto"/>
        <w:ind w:firstLine="720"/>
        <w:jc w:val="both"/>
      </w:pPr>
      <w:r>
        <w:t>No analysis of Christianity's contemporary challenges can avoid the catastrophic damage inflicted upon the institutional church by the clerical sexual abuse scandal, above all within the Roman Catholic Church. The revelations that emerged in the United States from 2002 onwards, and which were subsequently confirmed and extended by investigations in Ireland, Australia, Germany, France, and numerous other countries, demonstrated a pattern of abuse that was not merely the product of individual moral failure bu</w:t>
      </w:r>
      <w:r>
        <w:t>t was sustained and enabled by institutional structures designed to protect the reputation of the church at the expense of victims.</w:t>
      </w:r>
      <w:r>
        <w:rPr>
          <w:sz w:val="16"/>
          <w:szCs w:val="16"/>
          <w:vertAlign w:val="superscript"/>
        </w:rPr>
        <w:t>9</w:t>
      </w:r>
    </w:p>
    <w:p w14:paraId="5AB6FBE4" w14:textId="77777777" w:rsidR="00F3647A" w:rsidRDefault="00B12D33">
      <w:pPr>
        <w:spacing w:after="200" w:line="480" w:lineRule="auto"/>
        <w:ind w:firstLine="720"/>
        <w:jc w:val="both"/>
      </w:pPr>
      <w:r>
        <w:t xml:space="preserve">The French independent commission on sexual abuse in the church, known by its French acronym CIASE, published its report in 2021, estimating that approximately 330,000 individuals had been abused by clergy or lay members of the church since 1950. The scale of these figures, and the evidence of systematic concealment at the highest levels of the hierarchy, produced what the commission described as a systemic institutional failure rooted in the culture of clericalism, the deference to ordained authority that </w:t>
      </w:r>
      <w:r>
        <w:t>had placed clergy beyond effective scrutiny or accountability for decades.</w:t>
      </w:r>
    </w:p>
    <w:p w14:paraId="38EA4E91" w14:textId="77777777" w:rsidR="00F3647A" w:rsidRDefault="00B12D33">
      <w:pPr>
        <w:spacing w:before="400" w:after="180"/>
      </w:pPr>
      <w:r>
        <w:rPr>
          <w:b/>
          <w:bCs/>
        </w:rPr>
        <w:t>4.2 Consequences for Affiliation and Credibility</w:t>
      </w:r>
    </w:p>
    <w:p w14:paraId="0FD4EA5E" w14:textId="77777777" w:rsidR="00F3647A" w:rsidRDefault="00B12D33">
      <w:pPr>
        <w:spacing w:after="200" w:line="480" w:lineRule="auto"/>
        <w:ind w:firstLine="720"/>
        <w:jc w:val="both"/>
      </w:pPr>
      <w:r>
        <w:t>The consequences for public trust in the Catholic Church have been severe and, in many respects, difficult to reverse in the short to medium term. Surveys conducted in Ireland, once one of the most intensely Catholic societies in Western Europe, recorded a collapse in institutional confidence that coincided with the publication of successive national abuse reports. Mass attendance in Ireland fell from over eighty per cent of Catholics in the 1970s to approximately thirty per cent by 2010 and has continued t</w:t>
      </w:r>
      <w:r>
        <w:t>o decline since.</w:t>
      </w:r>
    </w:p>
    <w:p w14:paraId="762FDBE1" w14:textId="77777777" w:rsidR="00F3647A" w:rsidRDefault="00B12D33">
      <w:pPr>
        <w:spacing w:after="200" w:line="480" w:lineRule="auto"/>
        <w:ind w:firstLine="720"/>
        <w:jc w:val="both"/>
      </w:pPr>
      <w:r>
        <w:lastRenderedPageBreak/>
        <w:t>Whilst the abuse scandal is most closely associated with the Catholic Church, it has also affected Protestant denominations. The Church of England's Independent Inquiry into Child Sexual Abuse, which reported in 2020, identified widespread failures of safeguarding and a culture that had prioritised institutional reputation over the welfare of children and vulnerable adults. Similar findings emerged from investigations into the Southern Baptist Convention in the United States.</w:t>
      </w:r>
      <w:r>
        <w:rPr>
          <w:sz w:val="16"/>
          <w:szCs w:val="16"/>
          <w:vertAlign w:val="superscript"/>
        </w:rPr>
        <w:t>9</w:t>
      </w:r>
    </w:p>
    <w:p w14:paraId="25134EBC" w14:textId="77777777" w:rsidR="00F3647A" w:rsidRDefault="00B12D33">
      <w:pPr>
        <w:spacing w:after="200" w:line="480" w:lineRule="auto"/>
        <w:ind w:firstLine="720"/>
        <w:jc w:val="both"/>
      </w:pPr>
      <w:r>
        <w:t>The damage extends beyond those directly affected. For many nominal or occasional churchgoers, the abuse revelations provided a decisive reason to disengage entirely from institutional Christianity. For others, they reinforced pre-existing scepticism about the moral credentials of religious institutions. The scandal has also compromised the churches' capacity to speak with authority on matters of sexual ethics, an area in which they had previously positioned themselves as guardians of public morality.</w:t>
      </w:r>
    </w:p>
    <w:p w14:paraId="70C04FD8" w14:textId="77777777" w:rsidR="00F3647A" w:rsidRDefault="00B12D33">
      <w:pPr>
        <w:spacing w:before="560" w:after="280"/>
      </w:pPr>
      <w:r>
        <w:rPr>
          <w:b/>
          <w:bCs/>
          <w:sz w:val="28"/>
          <w:szCs w:val="28"/>
        </w:rPr>
        <w:t>5. Intergenerational Transmission and Financial Pressures</w:t>
      </w:r>
    </w:p>
    <w:p w14:paraId="1CC41199" w14:textId="77777777" w:rsidR="00F3647A" w:rsidRDefault="00B12D33">
      <w:pPr>
        <w:spacing w:before="400" w:after="180"/>
      </w:pPr>
      <w:r>
        <w:rPr>
          <w:b/>
          <w:bCs/>
        </w:rPr>
        <w:t>5.1 The Breaking of the Transmission Chain</w:t>
      </w:r>
    </w:p>
    <w:p w14:paraId="28E3E570" w14:textId="77777777" w:rsidR="00F3647A" w:rsidRDefault="00B12D33">
      <w:pPr>
        <w:spacing w:after="200" w:line="480" w:lineRule="auto"/>
        <w:ind w:firstLine="720"/>
        <w:jc w:val="both"/>
      </w:pPr>
      <w:r>
        <w:t xml:space="preserve">Perhaps the most structurally significant challenge facing Christianity is the weakening of intergenerational religious transmission. Research by David </w:t>
      </w:r>
      <w:proofErr w:type="spellStart"/>
      <w:r>
        <w:t>Voas</w:t>
      </w:r>
      <w:proofErr w:type="spellEnd"/>
      <w:r>
        <w:t xml:space="preserve"> and Inge Storm has demonstrated that the family remains the primary site of religious socialisation and that parental religious practice is the strongest predictor of adult religious affiliation.</w:t>
      </w:r>
      <w:r>
        <w:rPr>
          <w:sz w:val="16"/>
          <w:szCs w:val="16"/>
          <w:vertAlign w:val="superscript"/>
        </w:rPr>
        <w:t>10</w:t>
      </w:r>
      <w:r>
        <w:t xml:space="preserve"> When parents attend church regularly, pray at home, and embed religious practice in family life, the probability that their children will maintain religious affiliation in adulthood is substantially higher than in households where religious observance is nominal or absent.</w:t>
      </w:r>
    </w:p>
    <w:p w14:paraId="49E5BEC5" w14:textId="77777777" w:rsidR="00F3647A" w:rsidRDefault="00B12D33">
      <w:pPr>
        <w:spacing w:after="200" w:line="480" w:lineRule="auto"/>
        <w:ind w:firstLine="720"/>
        <w:jc w:val="both"/>
      </w:pPr>
      <w:r>
        <w:t xml:space="preserve">The challenge for contemporary Christianity is that the cohort of parents raising children today is itself substantially less religiously active than preceding cohorts. As each </w:t>
      </w:r>
      <w:r>
        <w:lastRenderedPageBreak/>
        <w:t xml:space="preserve">generation is less observant than the one before, the pool of families capable of transmitting strong religious identities to the next generation shrinks. </w:t>
      </w:r>
      <w:proofErr w:type="spellStart"/>
      <w:r>
        <w:t>Voas</w:t>
      </w:r>
      <w:proofErr w:type="spellEnd"/>
      <w:r>
        <w:t xml:space="preserve"> and Storm describe this as a process of "fuzzy fidelity" in which nominal affiliation is maintained across one generation but dissolves in the next. The consequence is a structural ratchet of decline that is difficult to reverse because it operates at the level of the family rather than through the conscious individual choices of adults.</w:t>
      </w:r>
    </w:p>
    <w:p w14:paraId="0DD4778B" w14:textId="77777777" w:rsidR="00F3647A" w:rsidRDefault="00B12D33">
      <w:pPr>
        <w:spacing w:after="200" w:line="480" w:lineRule="auto"/>
        <w:ind w:firstLine="720"/>
        <w:jc w:val="both"/>
      </w:pPr>
      <w:r>
        <w:t xml:space="preserve">This dynamic is compounded by broader changes in family life. The decline of regular communal activities, the fragmentation of Sunday as a distinctive day of rest and worship, the competing demands of extracurricular activities, digital entertainment, and sport on the time of children and young people, and the increasing reluctance of many parents to impose any particular worldview upon their children all tend to reduce the intensity and regularity of religious socialisation. Churches that once relied upon </w:t>
      </w:r>
      <w:r>
        <w:t>Sunday schools, confirmation classes, and youth groups as institutional mechanisms for forming the next generation have seen these programmes hollowed out by declining numbers and volunteer exhaustion.</w:t>
      </w:r>
    </w:p>
    <w:p w14:paraId="2AFAB928" w14:textId="77777777" w:rsidR="00F3647A" w:rsidRDefault="00B12D33">
      <w:pPr>
        <w:spacing w:before="400" w:after="180"/>
      </w:pPr>
      <w:r>
        <w:rPr>
          <w:b/>
          <w:bCs/>
        </w:rPr>
        <w:t>5.2 The Financial Dimension of Decline</w:t>
      </w:r>
    </w:p>
    <w:p w14:paraId="6F9E0D11" w14:textId="77777777" w:rsidR="00F3647A" w:rsidRDefault="00B12D33">
      <w:pPr>
        <w:spacing w:after="200" w:line="480" w:lineRule="auto"/>
        <w:ind w:firstLine="720"/>
        <w:jc w:val="both"/>
      </w:pPr>
      <w:r>
        <w:t>The financial consequences of declining attendance are significant and operate as a self-reinforcing mechanism of institutional contraction. Churches in the United Kingdom, as in most Western countries, are primarily funded by the giving of their congregations. As congregations shrink and age, the financial base narrows. Maintenance costs for historic church buildings, which in the Church of England alone run to hundreds of millions of pounds annually, remain constant or increase whilst income falls. The re</w:t>
      </w:r>
      <w:r>
        <w:t xml:space="preserve">sult is a sustained pattern of church closures, amalgamations of parishes, and reductions in the number of paid </w:t>
      </w:r>
      <w:proofErr w:type="gramStart"/>
      <w:r>
        <w:t>clergy</w:t>
      </w:r>
      <w:proofErr w:type="gramEnd"/>
      <w:r>
        <w:t>.</w:t>
      </w:r>
    </w:p>
    <w:p w14:paraId="1D6847B4" w14:textId="77777777" w:rsidR="00F3647A" w:rsidRDefault="00B12D33">
      <w:pPr>
        <w:spacing w:after="200" w:line="480" w:lineRule="auto"/>
        <w:ind w:firstLine="720"/>
        <w:jc w:val="both"/>
      </w:pPr>
      <w:r>
        <w:t xml:space="preserve">These closures carry consequences that extend beyond the congregations directly affected. In rural areas and post-industrial urban communities, the church building is frequently </w:t>
      </w:r>
      <w:r>
        <w:lastRenderedPageBreak/>
        <w:t>the last remaining communal institution. Its closure marks the final dissolution of a local community's organised social life, with cascading consequences for social cohesion, voluntary service, and the provision of informal welfare.</w:t>
      </w:r>
    </w:p>
    <w:p w14:paraId="4493880D" w14:textId="77777777" w:rsidR="00F3647A" w:rsidRDefault="00B12D33">
      <w:pPr>
        <w:spacing w:after="200" w:line="480" w:lineRule="auto"/>
        <w:ind w:firstLine="720"/>
        <w:jc w:val="both"/>
      </w:pPr>
      <w:r>
        <w:t>Financial pressure also limits the capacity of churches to invest in the outreach, youth work, and community engagement that might attract new members or re-engage the lapsed. The result is a cycle in which declining resources produce declining capacity for renewal, which in turn accelerates decline. Breaking this cycle requires either a significant influx of new members, which demographic trends make unlikely in the short term, or a fundamental rethinking of the resource model upon which institutional Chri</w:t>
      </w:r>
      <w:r>
        <w:t>stianity has historically depended.</w:t>
      </w:r>
    </w:p>
    <w:p w14:paraId="6AD73562" w14:textId="77777777" w:rsidR="00F3647A" w:rsidRDefault="00B12D33">
      <w:pPr>
        <w:spacing w:before="560" w:after="280"/>
      </w:pPr>
      <w:r>
        <w:rPr>
          <w:b/>
          <w:bCs/>
          <w:sz w:val="28"/>
          <w:szCs w:val="28"/>
        </w:rPr>
        <w:t>6. Adaptive Strategies: Responses to Institutional Decline</w:t>
      </w:r>
    </w:p>
    <w:p w14:paraId="5D27E88F" w14:textId="77777777" w:rsidR="00F3647A" w:rsidRDefault="00B12D33">
      <w:pPr>
        <w:spacing w:before="400" w:after="180"/>
      </w:pPr>
      <w:r>
        <w:rPr>
          <w:b/>
          <w:bCs/>
        </w:rPr>
        <w:t>6.1 Progressive Accommodation</w:t>
      </w:r>
    </w:p>
    <w:p w14:paraId="5F11AECF" w14:textId="77777777" w:rsidR="00F3647A" w:rsidRDefault="00B12D33">
      <w:pPr>
        <w:spacing w:after="200" w:line="480" w:lineRule="auto"/>
        <w:ind w:firstLine="720"/>
        <w:jc w:val="both"/>
      </w:pPr>
      <w:r>
        <w:t>Faced with these converging pressures, Christian denominations have pursued a range of adaptive strategies with varying degrees of success. One broad approach, associated with liberal and progressive Christianity, involves the deliberate accommodation of cultural change. Denominations or congregations pursuing this strategy revise their positions on contested moral questions, adopt more inclusive language and liturgy, emphasise themes of social justice, environmental responsibility, and community service, a</w:t>
      </w:r>
      <w:r>
        <w:t>nd attempt to present Christianity as compatible with, rather than opposed to, contemporary values of equality and personal autonomy.</w:t>
      </w:r>
      <w:r>
        <w:rPr>
          <w:sz w:val="16"/>
          <w:szCs w:val="16"/>
          <w:vertAlign w:val="superscript"/>
        </w:rPr>
        <w:t>11</w:t>
      </w:r>
    </w:p>
    <w:p w14:paraId="446C1484" w14:textId="77777777" w:rsidR="00F3647A" w:rsidRDefault="00B12D33">
      <w:pPr>
        <w:spacing w:after="200" w:line="480" w:lineRule="auto"/>
        <w:ind w:firstLine="720"/>
        <w:jc w:val="both"/>
      </w:pPr>
      <w:r>
        <w:t xml:space="preserve">The Church of Scotland, certain Anglican dioceses, and many Quaker and Methodist communities have moved in this direction, ordaining women, celebrating same-sex marriages or blessings, and embracing LGBTQ+ inclusion. Evidence on whether these moves arrest </w:t>
      </w:r>
      <w:r>
        <w:lastRenderedPageBreak/>
        <w:t>decline is mixed. Some progressive congregations have grown, particularly in urban areas with highly educated populations. Critics within the churches argue, however, that progressive accommodation risks surrendering the distinctive doctrinal commitments that give Christianity its identity and rationale, and that the resulting faith, characterised more by therapeutic affirmation than by theological substance, lacks the capacity to command sustained loyalty.</w:t>
      </w:r>
    </w:p>
    <w:p w14:paraId="015BD337" w14:textId="77777777" w:rsidR="00F3647A" w:rsidRDefault="00B12D33">
      <w:pPr>
        <w:spacing w:before="400" w:after="180"/>
      </w:pPr>
      <w:r>
        <w:rPr>
          <w:b/>
          <w:bCs/>
        </w:rPr>
        <w:t>6.2 Conservative Renewal and the Charismatic Movement</w:t>
      </w:r>
    </w:p>
    <w:p w14:paraId="3AC28E7E" w14:textId="77777777" w:rsidR="00F3647A" w:rsidRDefault="00B12D33">
      <w:pPr>
        <w:spacing w:after="200" w:line="480" w:lineRule="auto"/>
        <w:ind w:firstLine="720"/>
        <w:jc w:val="both"/>
      </w:pPr>
      <w:r>
        <w:t>A contrasting adaptive strategy involves the reaffirmation of traditional orthodoxy, often combined with charismatic forms of worship emphasising personal spiritual experience, healing, and direct encounter with the divine. The charismatic and Pentecostal movements have been among the fastest-growing forms of Christianity globally and have shown significant vitality in the United Kingdom, particularly through networks such as Holy Trinity Brompton, which developed the Alpha Course as a widely adopted tool f</w:t>
      </w:r>
      <w:r>
        <w:t>or adult evangelism.</w:t>
      </w:r>
      <w:r>
        <w:rPr>
          <w:sz w:val="16"/>
          <w:szCs w:val="16"/>
          <w:vertAlign w:val="superscript"/>
        </w:rPr>
        <w:t>11</w:t>
      </w:r>
    </w:p>
    <w:p w14:paraId="54E14360" w14:textId="77777777" w:rsidR="00F3647A" w:rsidRDefault="00B12D33">
      <w:pPr>
        <w:spacing w:after="200" w:line="480" w:lineRule="auto"/>
        <w:ind w:firstLine="720"/>
        <w:jc w:val="both"/>
      </w:pPr>
      <w:r>
        <w:t>Conservative evangelical and charismatic congregations have in several instances grown against the broader trend of institutional decline, attracting younger adults and maintaining active youth programmes. However, their growth has frequently come at the expense of more traditional denominations rather than through the conversion of the non-religious. This raises the question of whether such growth represents a genuine reversal of secularisation or merely a redistribution of a steadily shrinking pool of rel</w:t>
      </w:r>
      <w:r>
        <w:t>igious believers.</w:t>
      </w:r>
    </w:p>
    <w:p w14:paraId="60E2A9BE" w14:textId="77777777" w:rsidR="00F3647A" w:rsidRDefault="00B12D33">
      <w:pPr>
        <w:spacing w:before="400" w:after="180"/>
      </w:pPr>
      <w:r>
        <w:rPr>
          <w:b/>
          <w:bCs/>
        </w:rPr>
        <w:t>6.3 Community Mission and Digital Engagement</w:t>
      </w:r>
    </w:p>
    <w:p w14:paraId="7296BF21" w14:textId="77777777" w:rsidR="00F3647A" w:rsidRDefault="00B12D33">
      <w:pPr>
        <w:spacing w:after="200" w:line="480" w:lineRule="auto"/>
        <w:ind w:firstLine="720"/>
        <w:jc w:val="both"/>
      </w:pPr>
      <w:r>
        <w:t xml:space="preserve">A third adaptive strategy involves reorienting the church towards community service and, more recently, digital engagement. Many congregations have expanded their social provision, running food banks, debt counselling services, mental health support groups, and community cafes, seeking to demonstrate the practical relevance of Christian values to people who would not attend a conventional Sunday service. This approach, associated with the "fresh </w:t>
      </w:r>
      <w:r>
        <w:lastRenderedPageBreak/>
        <w:t>expressions" and "messy church" movements, attempts to create new forms of Christian community that are accessible to those alienated from traditional liturgical forms.</w:t>
      </w:r>
    </w:p>
    <w:p w14:paraId="1C2F3E6A" w14:textId="77777777" w:rsidR="00F3647A" w:rsidRDefault="00B12D33">
      <w:pPr>
        <w:spacing w:after="200" w:line="480" w:lineRule="auto"/>
        <w:ind w:firstLine="720"/>
        <w:jc w:val="both"/>
      </w:pPr>
      <w:r>
        <w:t>The COVID-19 pandemic, whilst devastating for attendance in the short term, accelerated the adoption of digital technologies across most denominations. Many churches discovered that online services reached individuals who would never have entered a church building. Whether digital engagement can substitute for the embodied, place-based community that has historically been the church's most distinctive offering remains an open question. It has, however, expanded the reach of some congregations and created ne</w:t>
      </w:r>
      <w:r>
        <w:t>w possibilities for contact with the nominally religious and the spiritually curious.</w:t>
      </w:r>
    </w:p>
    <w:p w14:paraId="5B7A31DC" w14:textId="77777777" w:rsidR="00F3647A" w:rsidRDefault="00B12D33">
      <w:pPr>
        <w:spacing w:before="560" w:after="280"/>
      </w:pPr>
      <w:r>
        <w:rPr>
          <w:b/>
          <w:bCs/>
          <w:sz w:val="28"/>
          <w:szCs w:val="28"/>
        </w:rPr>
        <w:t>7. Conclusion</w:t>
      </w:r>
    </w:p>
    <w:p w14:paraId="79D7BE74" w14:textId="77777777" w:rsidR="00F3647A" w:rsidRDefault="00B12D33">
      <w:pPr>
        <w:spacing w:after="200" w:line="480" w:lineRule="auto"/>
        <w:ind w:firstLine="720"/>
        <w:jc w:val="both"/>
      </w:pPr>
      <w:r>
        <w:t>This project has examined four principal challenges to Christianity's survival and influence in modern Western democratic societies: the structural pressures of secularisation, the moral authority crisis produced by cultural liberalisation, the institutional damage caused by clerical abuse scandals, and the weakening of intergenerational religious transmission compounded by financial contraction. The analysis demonstrates that these challenges are not independent of one another but operate as a mutually rei</w:t>
      </w:r>
      <w:r>
        <w:t>nforcing dynamic. Secularisation reduces the plausibility of religious claims; cultural liberalisation widens the gap between Christian moral teaching and popular ethics; abuse scandals destroy institutional credibility; and the collapse of effective intergenerational transmission ensures that each cohort is less religious than the one before.</w:t>
      </w:r>
    </w:p>
    <w:p w14:paraId="64B259CE" w14:textId="77777777" w:rsidR="00F3647A" w:rsidRDefault="00B12D33">
      <w:pPr>
        <w:spacing w:after="200" w:line="480" w:lineRule="auto"/>
        <w:ind w:firstLine="720"/>
        <w:jc w:val="both"/>
      </w:pPr>
      <w:r>
        <w:t xml:space="preserve">The project also found that Christianity is not a passive victim of these forces. Adaptive responses, whether in the form of progressive accommodation, charismatic renewal, or community-oriented mission, have enabled some congregations and denominations to maintain </w:t>
      </w:r>
      <w:r>
        <w:lastRenderedPageBreak/>
        <w:t xml:space="preserve">vitality or to grow. These responses do not, however, amount to a reversal of the overall trajectory of decline in Western contexts. They represent successful navigation of the challenges by </w:t>
      </w:r>
      <w:proofErr w:type="gramStart"/>
      <w:r>
        <w:t>particular communities</w:t>
      </w:r>
      <w:proofErr w:type="gramEnd"/>
      <w:r>
        <w:t xml:space="preserve"> rather than a systemic resolution of the structural forces driving secularisation.</w:t>
      </w:r>
    </w:p>
    <w:p w14:paraId="292C22CE" w14:textId="77777777" w:rsidR="00F3647A" w:rsidRDefault="00B12D33">
      <w:pPr>
        <w:spacing w:after="200" w:line="480" w:lineRule="auto"/>
        <w:ind w:firstLine="720"/>
        <w:jc w:val="both"/>
      </w:pPr>
      <w:r>
        <w:t>The implications of these findings extend beyond the churches themselves. Christianity has historically performed functions of social integration, welfare provision, moral formation, and community organisation that secular institutions have not fully replicated. The question of what fills the social and cultural space vacated by the retreat of institutional Christianity is one that concerns sociologists, political scientists, and policymakers as well as theologians. Whether secular humanism, new religious m</w:t>
      </w:r>
      <w:r>
        <w:t xml:space="preserve">ovements, civic institutions, or some </w:t>
      </w:r>
      <w:proofErr w:type="gramStart"/>
      <w:r>
        <w:t>as yet</w:t>
      </w:r>
      <w:proofErr w:type="gramEnd"/>
      <w:r>
        <w:t xml:space="preserve"> unanticipated formation will assume these functions remains genuinely open.</w:t>
      </w:r>
    </w:p>
    <w:p w14:paraId="1D40130D" w14:textId="77777777" w:rsidR="00F3647A" w:rsidRDefault="00B12D33">
      <w:pPr>
        <w:spacing w:after="200" w:line="480" w:lineRule="auto"/>
        <w:ind w:firstLine="720"/>
        <w:jc w:val="both"/>
      </w:pPr>
      <w:r>
        <w:t>This project has been necessarily selective in its scope, focusing on Western Christianity and the post-war period. Further research might productively examine the relationship between Christianity's decline in the West and its remarkable growth in the Global South; the specific experiences of minority ethnic Christian communities within Western countries; and the long-term effects of digital evangelism on religious identity formation. What the present analysis makes clear, however, is that the challenges f</w:t>
      </w:r>
      <w:r>
        <w:t>acing Christianity are simultaneously structural, cultural, and institutional, and that understanding them requires the kind of interdisciplinary approach that brings together demographic data, sociological theory, and careful attention to the lived experiences of faith communities in a period of rapid and unsettling change.</w:t>
      </w:r>
    </w:p>
    <w:p w14:paraId="3E27A7E0" w14:textId="77777777" w:rsidR="00F3647A" w:rsidRDefault="00B12D33">
      <w:pPr>
        <w:spacing w:before="560" w:after="280"/>
      </w:pPr>
      <w:r>
        <w:rPr>
          <w:b/>
          <w:bCs/>
          <w:sz w:val="28"/>
          <w:szCs w:val="28"/>
        </w:rPr>
        <w:t>Footnotes</w:t>
      </w:r>
    </w:p>
    <w:p w14:paraId="1260012A" w14:textId="77777777" w:rsidR="00F3647A" w:rsidRDefault="00B12D33">
      <w:pPr>
        <w:spacing w:after="200" w:line="480" w:lineRule="auto"/>
        <w:jc w:val="both"/>
      </w:pPr>
      <w:r>
        <w:rPr>
          <w:b/>
          <w:bCs/>
        </w:rPr>
        <w:lastRenderedPageBreak/>
        <w:t xml:space="preserve">1.  </w:t>
      </w:r>
      <w:r>
        <w:t xml:space="preserve">Peter L. Berger, </w:t>
      </w:r>
      <w:r>
        <w:rPr>
          <w:i/>
          <w:iCs/>
        </w:rPr>
        <w:t>The Many Altars of Modernity: Toward a Paradigm for Religion in a Pluralist Age</w:t>
      </w:r>
      <w:r>
        <w:t xml:space="preserve"> (Boston: De Gruyter, 2014), pp. 1-20.</w:t>
      </w:r>
    </w:p>
    <w:p w14:paraId="081951FF" w14:textId="77777777" w:rsidR="00F3647A" w:rsidRDefault="00B12D33">
      <w:pPr>
        <w:spacing w:after="200" w:line="480" w:lineRule="auto"/>
        <w:jc w:val="both"/>
      </w:pPr>
      <w:r>
        <w:rPr>
          <w:b/>
          <w:bCs/>
        </w:rPr>
        <w:t xml:space="preserve">2.  </w:t>
      </w:r>
      <w:r>
        <w:t xml:space="preserve">Steve Bruce, </w:t>
      </w:r>
      <w:r>
        <w:rPr>
          <w:i/>
          <w:iCs/>
        </w:rPr>
        <w:t>Secularization: In Defence of an Unfashionable Theory</w:t>
      </w:r>
      <w:r>
        <w:t xml:space="preserve"> (Oxford: Oxford University Press, 2011), pp. 1-30.</w:t>
      </w:r>
    </w:p>
    <w:p w14:paraId="4E6B5DC8" w14:textId="77777777" w:rsidR="00F3647A" w:rsidRDefault="00B12D33">
      <w:pPr>
        <w:spacing w:after="200" w:line="480" w:lineRule="auto"/>
        <w:jc w:val="both"/>
      </w:pPr>
      <w:r>
        <w:rPr>
          <w:b/>
          <w:bCs/>
        </w:rPr>
        <w:t xml:space="preserve">3.  </w:t>
      </w:r>
      <w:r>
        <w:t xml:space="preserve">Rodney Stark and William Sims Bainbridge, </w:t>
      </w:r>
      <w:r>
        <w:rPr>
          <w:i/>
          <w:iCs/>
        </w:rPr>
        <w:t>The Future of Religion: Secularization, Revival and Cult Formation</w:t>
      </w:r>
      <w:r>
        <w:t xml:space="preserve"> (Berkeley: University of California Press, 1985), pp. 429-56.</w:t>
      </w:r>
    </w:p>
    <w:p w14:paraId="07F999B3" w14:textId="77777777" w:rsidR="00F3647A" w:rsidRDefault="00B12D33">
      <w:pPr>
        <w:spacing w:after="200" w:line="480" w:lineRule="auto"/>
        <w:jc w:val="both"/>
      </w:pPr>
      <w:r>
        <w:rPr>
          <w:b/>
          <w:bCs/>
        </w:rPr>
        <w:t xml:space="preserve">4.  </w:t>
      </w:r>
      <w:r>
        <w:t xml:space="preserve">David </w:t>
      </w:r>
      <w:proofErr w:type="spellStart"/>
      <w:r>
        <w:t>Voas</w:t>
      </w:r>
      <w:proofErr w:type="spellEnd"/>
      <w:r>
        <w:t xml:space="preserve"> and Mark Chaves, 'Is the United States a Counterexample to the Secularization Thesis?', </w:t>
      </w:r>
      <w:r>
        <w:rPr>
          <w:i/>
          <w:iCs/>
        </w:rPr>
        <w:t>American Journal of Sociology</w:t>
      </w:r>
      <w:r>
        <w:t>, 121.5 (2016), 1517-1556 (p. 1520).</w:t>
      </w:r>
    </w:p>
    <w:p w14:paraId="0D8A2BEA" w14:textId="77777777" w:rsidR="00F3647A" w:rsidRDefault="00B12D33">
      <w:pPr>
        <w:spacing w:after="200" w:line="480" w:lineRule="auto"/>
        <w:jc w:val="both"/>
      </w:pPr>
      <w:r>
        <w:rPr>
          <w:b/>
          <w:bCs/>
        </w:rPr>
        <w:t xml:space="preserve">5.  </w:t>
      </w:r>
      <w:r>
        <w:t xml:space="preserve">Pippa Norris and Ronald Inglehart, </w:t>
      </w:r>
      <w:r>
        <w:rPr>
          <w:i/>
          <w:iCs/>
        </w:rPr>
        <w:t>Sacred and Secular: Religion and Politics Worldwide</w:t>
      </w:r>
      <w:r>
        <w:t xml:space="preserve"> (Cambridge: Cambridge University Press, 2004), pp. 15-40.</w:t>
      </w:r>
    </w:p>
    <w:p w14:paraId="08C37937" w14:textId="77777777" w:rsidR="00F3647A" w:rsidRDefault="00B12D33">
      <w:pPr>
        <w:spacing w:after="200" w:line="480" w:lineRule="auto"/>
        <w:jc w:val="both"/>
      </w:pPr>
      <w:r>
        <w:rPr>
          <w:b/>
          <w:bCs/>
        </w:rPr>
        <w:t xml:space="preserve">6.  </w:t>
      </w:r>
      <w:r>
        <w:t xml:space="preserve">Robert D. Putnam and David E. Campbell, </w:t>
      </w:r>
      <w:r>
        <w:rPr>
          <w:i/>
          <w:iCs/>
        </w:rPr>
        <w:t>American Grace: How Religion Divides and Unites Us</w:t>
      </w:r>
      <w:r>
        <w:t xml:space="preserve"> (New York: Simon and Schuster, 2010), pp. 91-133.</w:t>
      </w:r>
    </w:p>
    <w:p w14:paraId="4E0DF837" w14:textId="77777777" w:rsidR="00F3647A" w:rsidRDefault="00B12D33">
      <w:pPr>
        <w:spacing w:after="200" w:line="480" w:lineRule="auto"/>
        <w:jc w:val="both"/>
      </w:pPr>
      <w:r>
        <w:rPr>
          <w:b/>
          <w:bCs/>
        </w:rPr>
        <w:t xml:space="preserve">7.  </w:t>
      </w:r>
      <w:r>
        <w:t>Putnam and Campbell, pp. 120-35.</w:t>
      </w:r>
    </w:p>
    <w:p w14:paraId="08F82987" w14:textId="77777777" w:rsidR="00F3647A" w:rsidRDefault="00B12D33">
      <w:pPr>
        <w:spacing w:after="200" w:line="480" w:lineRule="auto"/>
        <w:jc w:val="both"/>
      </w:pPr>
      <w:r>
        <w:rPr>
          <w:b/>
          <w:bCs/>
        </w:rPr>
        <w:t xml:space="preserve">8.  </w:t>
      </w:r>
      <w:r>
        <w:t xml:space="preserve">Grace Davie, </w:t>
      </w:r>
      <w:r>
        <w:rPr>
          <w:i/>
          <w:iCs/>
        </w:rPr>
        <w:t>Religion in Britain Since 1945: Believing Without Belonging</w:t>
      </w:r>
      <w:r>
        <w:t xml:space="preserve"> (Oxford: Blackwell, 1994), pp. 1-18.</w:t>
      </w:r>
    </w:p>
    <w:p w14:paraId="335DE7D3" w14:textId="77777777" w:rsidR="00F3647A" w:rsidRDefault="00B12D33">
      <w:pPr>
        <w:spacing w:after="200" w:line="480" w:lineRule="auto"/>
        <w:jc w:val="both"/>
      </w:pPr>
      <w:r>
        <w:rPr>
          <w:b/>
          <w:bCs/>
        </w:rPr>
        <w:t xml:space="preserve">9.  </w:t>
      </w:r>
      <w:r>
        <w:t xml:space="preserve">D. Paul Sullins, 'Is Catholic Clergy Sex Abuse Related to Homosexuality?', </w:t>
      </w:r>
      <w:r>
        <w:rPr>
          <w:i/>
          <w:iCs/>
        </w:rPr>
        <w:t>Linacre Quarterly</w:t>
      </w:r>
      <w:r>
        <w:t>, 85.4 (2018), 339-344 (p. 340).</w:t>
      </w:r>
    </w:p>
    <w:p w14:paraId="349363F1" w14:textId="77777777" w:rsidR="00F3647A" w:rsidRDefault="00B12D33">
      <w:pPr>
        <w:spacing w:after="200" w:line="480" w:lineRule="auto"/>
        <w:jc w:val="both"/>
      </w:pPr>
      <w:r>
        <w:rPr>
          <w:b/>
          <w:bCs/>
        </w:rPr>
        <w:t xml:space="preserve">10. </w:t>
      </w:r>
      <w:r>
        <w:t xml:space="preserve">David </w:t>
      </w:r>
      <w:proofErr w:type="spellStart"/>
      <w:r>
        <w:t>Voas</w:t>
      </w:r>
      <w:proofErr w:type="spellEnd"/>
      <w:r>
        <w:t xml:space="preserve"> and Inge Storm, 'The Intergenerational Transmission of Churchgoing in England and Australia', </w:t>
      </w:r>
      <w:r>
        <w:rPr>
          <w:i/>
          <w:iCs/>
        </w:rPr>
        <w:t>Review of Religious Research</w:t>
      </w:r>
      <w:r>
        <w:t>, 53.4 (2012), 377-395 (p. 379).</w:t>
      </w:r>
    </w:p>
    <w:p w14:paraId="156DE9AC" w14:textId="77777777" w:rsidR="00F3647A" w:rsidRDefault="00B12D33">
      <w:pPr>
        <w:spacing w:after="200" w:line="480" w:lineRule="auto"/>
        <w:jc w:val="both"/>
      </w:pPr>
      <w:r>
        <w:rPr>
          <w:b/>
          <w:bCs/>
        </w:rPr>
        <w:t xml:space="preserve">11. </w:t>
      </w:r>
      <w:r>
        <w:t xml:space="preserve">Grace Davie, </w:t>
      </w:r>
      <w:r>
        <w:rPr>
          <w:i/>
          <w:iCs/>
        </w:rPr>
        <w:t>The Sociology of Religion: A Critical Agenda</w:t>
      </w:r>
      <w:r>
        <w:t xml:space="preserve">, 2nd </w:t>
      </w:r>
      <w:proofErr w:type="spellStart"/>
      <w:r>
        <w:t>edn</w:t>
      </w:r>
      <w:proofErr w:type="spellEnd"/>
      <w:r>
        <w:t xml:space="preserve"> (London: SAGE Publications, 2013), pp. 57-89.</w:t>
      </w:r>
    </w:p>
    <w:p w14:paraId="34AA2C26" w14:textId="77777777" w:rsidR="00F3647A" w:rsidRDefault="00B12D33">
      <w:pPr>
        <w:spacing w:before="560" w:after="280"/>
      </w:pPr>
      <w:r>
        <w:rPr>
          <w:b/>
          <w:bCs/>
          <w:sz w:val="28"/>
          <w:szCs w:val="28"/>
        </w:rPr>
        <w:lastRenderedPageBreak/>
        <w:t>Bibliography</w:t>
      </w:r>
    </w:p>
    <w:p w14:paraId="7F6C7E46" w14:textId="77777777" w:rsidR="00F3647A" w:rsidRDefault="00B12D33">
      <w:pPr>
        <w:spacing w:after="200" w:line="480" w:lineRule="auto"/>
        <w:ind w:left="720" w:hanging="720"/>
        <w:jc w:val="both"/>
      </w:pPr>
      <w:r>
        <w:t xml:space="preserve">Berger, Peter L., </w:t>
      </w:r>
      <w:r>
        <w:rPr>
          <w:i/>
          <w:iCs/>
        </w:rPr>
        <w:t>The Many Altars of Modernity: Toward a Paradigm for Religion in a Pluralist Age</w:t>
      </w:r>
      <w:r>
        <w:t xml:space="preserve"> (Boston: De Gruyter, 2014)</w:t>
      </w:r>
    </w:p>
    <w:p w14:paraId="003546C9" w14:textId="77777777" w:rsidR="00F3647A" w:rsidRDefault="00B12D33">
      <w:pPr>
        <w:spacing w:after="200" w:line="480" w:lineRule="auto"/>
        <w:ind w:left="720" w:hanging="720"/>
        <w:jc w:val="both"/>
      </w:pPr>
      <w:r>
        <w:t xml:space="preserve">Bruce, Steve, </w:t>
      </w:r>
      <w:r>
        <w:rPr>
          <w:i/>
          <w:iCs/>
        </w:rPr>
        <w:t>Secularization: In Defence of an Unfashionable Theory</w:t>
      </w:r>
      <w:r>
        <w:t xml:space="preserve"> (Oxford: Oxford University Press, 2011)</w:t>
      </w:r>
    </w:p>
    <w:p w14:paraId="16E92A2B" w14:textId="77777777" w:rsidR="00F3647A" w:rsidRDefault="00B12D33">
      <w:pPr>
        <w:spacing w:after="200" w:line="480" w:lineRule="auto"/>
        <w:ind w:left="720" w:hanging="720"/>
        <w:jc w:val="both"/>
      </w:pPr>
      <w:r>
        <w:t xml:space="preserve">Commission </w:t>
      </w:r>
      <w:proofErr w:type="spellStart"/>
      <w:r>
        <w:t>Independante</w:t>
      </w:r>
      <w:proofErr w:type="spellEnd"/>
      <w:r>
        <w:t xml:space="preserve"> sur les Abus </w:t>
      </w:r>
      <w:proofErr w:type="spellStart"/>
      <w:r>
        <w:t>Sexuels</w:t>
      </w:r>
      <w:proofErr w:type="spellEnd"/>
      <w:r>
        <w:t xml:space="preserve"> dans </w:t>
      </w:r>
      <w:proofErr w:type="spellStart"/>
      <w:r>
        <w:t>l'Eglise</w:t>
      </w:r>
      <w:proofErr w:type="spellEnd"/>
      <w:r>
        <w:t xml:space="preserve">, </w:t>
      </w:r>
      <w:r>
        <w:rPr>
          <w:i/>
          <w:iCs/>
        </w:rPr>
        <w:t xml:space="preserve">Les violences </w:t>
      </w:r>
      <w:proofErr w:type="spellStart"/>
      <w:r>
        <w:rPr>
          <w:i/>
          <w:iCs/>
        </w:rPr>
        <w:t>sexuelles</w:t>
      </w:r>
      <w:proofErr w:type="spellEnd"/>
      <w:r>
        <w:rPr>
          <w:i/>
          <w:iCs/>
        </w:rPr>
        <w:t xml:space="preserve"> dans </w:t>
      </w:r>
      <w:proofErr w:type="spellStart"/>
      <w:r>
        <w:rPr>
          <w:i/>
          <w:iCs/>
        </w:rPr>
        <w:t>l'Eglise</w:t>
      </w:r>
      <w:proofErr w:type="spellEnd"/>
      <w:r>
        <w:rPr>
          <w:i/>
          <w:iCs/>
        </w:rPr>
        <w:t xml:space="preserve"> catholique: France 1950-2020</w:t>
      </w:r>
      <w:r>
        <w:t xml:space="preserve"> (Paris: CIASE, 2021)</w:t>
      </w:r>
    </w:p>
    <w:p w14:paraId="0A03805A" w14:textId="77777777" w:rsidR="00F3647A" w:rsidRDefault="00B12D33">
      <w:pPr>
        <w:spacing w:after="200" w:line="480" w:lineRule="auto"/>
        <w:ind w:left="720" w:hanging="720"/>
        <w:jc w:val="both"/>
      </w:pPr>
      <w:r>
        <w:t xml:space="preserve">Davie, Grace, </w:t>
      </w:r>
      <w:r>
        <w:rPr>
          <w:i/>
          <w:iCs/>
        </w:rPr>
        <w:t>Religion in Britain Since 1945: Believing Without Belonging</w:t>
      </w:r>
      <w:r>
        <w:t xml:space="preserve"> (Oxford: Blackwell, 1994)</w:t>
      </w:r>
    </w:p>
    <w:p w14:paraId="435FBE8A" w14:textId="77777777" w:rsidR="00F3647A" w:rsidRDefault="00B12D33">
      <w:pPr>
        <w:spacing w:after="200" w:line="480" w:lineRule="auto"/>
        <w:ind w:left="720" w:hanging="720"/>
        <w:jc w:val="both"/>
      </w:pPr>
      <w:r>
        <w:t xml:space="preserve">Davie, Grace, </w:t>
      </w:r>
      <w:r>
        <w:rPr>
          <w:i/>
          <w:iCs/>
        </w:rPr>
        <w:t>The Sociology of Religion: A Critical Agenda</w:t>
      </w:r>
      <w:r>
        <w:t xml:space="preserve">, 2nd </w:t>
      </w:r>
      <w:proofErr w:type="spellStart"/>
      <w:r>
        <w:t>edn</w:t>
      </w:r>
      <w:proofErr w:type="spellEnd"/>
      <w:r>
        <w:t xml:space="preserve"> (London: SAGE Publications, 2013)</w:t>
      </w:r>
    </w:p>
    <w:p w14:paraId="4B1D88DC" w14:textId="77777777" w:rsidR="00F3647A" w:rsidRDefault="00B12D33">
      <w:pPr>
        <w:spacing w:after="200" w:line="480" w:lineRule="auto"/>
        <w:ind w:left="720" w:hanging="720"/>
        <w:jc w:val="both"/>
      </w:pPr>
      <w:r>
        <w:t xml:space="preserve">Norris, Pippa, and Ronald Inglehart, </w:t>
      </w:r>
      <w:r>
        <w:rPr>
          <w:i/>
          <w:iCs/>
        </w:rPr>
        <w:t>Sacred and Secular: Religion and Politics Worldwide</w:t>
      </w:r>
      <w:r>
        <w:t xml:space="preserve"> (Cambridge: Cambridge University Press, 2004)</w:t>
      </w:r>
    </w:p>
    <w:p w14:paraId="47182BF9" w14:textId="77777777" w:rsidR="00F3647A" w:rsidRDefault="00B12D33">
      <w:pPr>
        <w:spacing w:after="200" w:line="480" w:lineRule="auto"/>
        <w:ind w:left="720" w:hanging="720"/>
        <w:jc w:val="both"/>
      </w:pPr>
      <w:r>
        <w:t xml:space="preserve">Office for National Statistics, </w:t>
      </w:r>
      <w:r>
        <w:rPr>
          <w:i/>
          <w:iCs/>
        </w:rPr>
        <w:t>Census 2021: Religion, England and Wales</w:t>
      </w:r>
      <w:r>
        <w:t xml:space="preserve"> (London: ONS, 2022)</w:t>
      </w:r>
    </w:p>
    <w:p w14:paraId="055BD750" w14:textId="77777777" w:rsidR="00F3647A" w:rsidRDefault="00B12D33">
      <w:pPr>
        <w:spacing w:after="200" w:line="480" w:lineRule="auto"/>
        <w:ind w:left="720" w:hanging="720"/>
        <w:jc w:val="both"/>
      </w:pPr>
      <w:r>
        <w:t xml:space="preserve">Pew Research </w:t>
      </w:r>
      <w:proofErr w:type="spellStart"/>
      <w:r>
        <w:t>Center</w:t>
      </w:r>
      <w:proofErr w:type="spellEnd"/>
      <w:r>
        <w:t xml:space="preserve">, </w:t>
      </w:r>
      <w:r>
        <w:rPr>
          <w:i/>
          <w:iCs/>
        </w:rPr>
        <w:t>In U.S., Decline of Christianity Continues at Rapid Pace</w:t>
      </w:r>
      <w:r>
        <w:t xml:space="preserve"> (Washington DC: Pew Research </w:t>
      </w:r>
      <w:proofErr w:type="spellStart"/>
      <w:r>
        <w:t>Center</w:t>
      </w:r>
      <w:proofErr w:type="spellEnd"/>
      <w:r>
        <w:t>, 2019)</w:t>
      </w:r>
    </w:p>
    <w:p w14:paraId="2F5FC219" w14:textId="77777777" w:rsidR="00F3647A" w:rsidRDefault="00B12D33">
      <w:pPr>
        <w:spacing w:after="200" w:line="480" w:lineRule="auto"/>
        <w:ind w:left="720" w:hanging="720"/>
        <w:jc w:val="both"/>
      </w:pPr>
      <w:r>
        <w:t xml:space="preserve">Pew Research </w:t>
      </w:r>
      <w:proofErr w:type="spellStart"/>
      <w:r>
        <w:t>Center</w:t>
      </w:r>
      <w:proofErr w:type="spellEnd"/>
      <w:r>
        <w:t xml:space="preserve">, </w:t>
      </w:r>
      <w:r>
        <w:rPr>
          <w:i/>
          <w:iCs/>
        </w:rPr>
        <w:t>Religious Landscape Study: Religious Composition of Adults</w:t>
      </w:r>
      <w:r>
        <w:t xml:space="preserve"> (Washington DC: Pew Research </w:t>
      </w:r>
      <w:proofErr w:type="spellStart"/>
      <w:r>
        <w:t>Center</w:t>
      </w:r>
      <w:proofErr w:type="spellEnd"/>
      <w:r>
        <w:t>, 2021)</w:t>
      </w:r>
    </w:p>
    <w:p w14:paraId="07A60F1A" w14:textId="77777777" w:rsidR="00F3647A" w:rsidRDefault="00B12D33">
      <w:pPr>
        <w:spacing w:after="200" w:line="480" w:lineRule="auto"/>
        <w:ind w:left="720" w:hanging="720"/>
        <w:jc w:val="both"/>
      </w:pPr>
      <w:r>
        <w:t xml:space="preserve">Putnam, Robert D., and David E. Campbell, </w:t>
      </w:r>
      <w:r>
        <w:rPr>
          <w:i/>
          <w:iCs/>
        </w:rPr>
        <w:t>American Grace: How Religion Divides and Unites Us</w:t>
      </w:r>
      <w:r>
        <w:t xml:space="preserve"> (New York: Simon and Schuster, 2010)</w:t>
      </w:r>
    </w:p>
    <w:p w14:paraId="089E2001" w14:textId="77777777" w:rsidR="00F3647A" w:rsidRDefault="00B12D33">
      <w:pPr>
        <w:spacing w:after="200" w:line="480" w:lineRule="auto"/>
        <w:ind w:left="720" w:hanging="720"/>
        <w:jc w:val="both"/>
      </w:pPr>
      <w:r>
        <w:lastRenderedPageBreak/>
        <w:t xml:space="preserve">Stark, Rodney, and William Sims Bainbridge, </w:t>
      </w:r>
      <w:r>
        <w:rPr>
          <w:i/>
          <w:iCs/>
        </w:rPr>
        <w:t>The Future of Religion: Secularization, Revival and Cult Formation</w:t>
      </w:r>
      <w:r>
        <w:t xml:space="preserve"> (Berkeley: University of California Press, 1985)</w:t>
      </w:r>
    </w:p>
    <w:p w14:paraId="353E8BBF" w14:textId="77777777" w:rsidR="00F3647A" w:rsidRDefault="00B12D33">
      <w:pPr>
        <w:spacing w:after="200" w:line="480" w:lineRule="auto"/>
        <w:ind w:left="720" w:hanging="720"/>
        <w:jc w:val="both"/>
      </w:pPr>
      <w:r>
        <w:t xml:space="preserve">Sullins, D. Paul, 'Is Catholic Clergy Sex Abuse Related to Homosexuality?', </w:t>
      </w:r>
      <w:r>
        <w:rPr>
          <w:i/>
          <w:iCs/>
        </w:rPr>
        <w:t>Linacre Quarterly</w:t>
      </w:r>
      <w:r>
        <w:t>, 85.4 (2018), 339-344</w:t>
      </w:r>
    </w:p>
    <w:p w14:paraId="3B83FFDE" w14:textId="77777777" w:rsidR="00F3647A" w:rsidRDefault="00B12D33">
      <w:pPr>
        <w:spacing w:after="200" w:line="480" w:lineRule="auto"/>
        <w:ind w:left="720" w:hanging="720"/>
        <w:jc w:val="both"/>
      </w:pPr>
      <w:proofErr w:type="spellStart"/>
      <w:r>
        <w:t>Voas</w:t>
      </w:r>
      <w:proofErr w:type="spellEnd"/>
      <w:r>
        <w:t xml:space="preserve">, David, and Mark Chaves, 'Is the United States a Counterexample to the Secularization Thesis?', </w:t>
      </w:r>
      <w:r>
        <w:rPr>
          <w:i/>
          <w:iCs/>
        </w:rPr>
        <w:t>American Journal of Sociology</w:t>
      </w:r>
      <w:r>
        <w:t>, 121.5 (2016), 1517-1556</w:t>
      </w:r>
    </w:p>
    <w:p w14:paraId="51FBCD8D" w14:textId="77777777" w:rsidR="00F3647A" w:rsidRDefault="00B12D33">
      <w:pPr>
        <w:spacing w:after="200" w:line="480" w:lineRule="auto"/>
        <w:ind w:left="720" w:hanging="720"/>
        <w:jc w:val="both"/>
      </w:pPr>
      <w:proofErr w:type="spellStart"/>
      <w:r>
        <w:t>Voas</w:t>
      </w:r>
      <w:proofErr w:type="spellEnd"/>
      <w:r>
        <w:t xml:space="preserve">, David, and Inge Storm, 'The Intergenerational Transmission of Churchgoing in England and Australia', </w:t>
      </w:r>
      <w:r>
        <w:rPr>
          <w:i/>
          <w:iCs/>
        </w:rPr>
        <w:t>Review of Religious Research</w:t>
      </w:r>
      <w:r>
        <w:t>, 53.4 (2012), 377-395</w:t>
      </w:r>
    </w:p>
    <w:sectPr w:rsidR="00F3647A">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5373E" w14:textId="77777777" w:rsidR="00B12D33" w:rsidRDefault="00B12D33" w:rsidP="00F05C53">
      <w:r>
        <w:separator/>
      </w:r>
    </w:p>
  </w:endnote>
  <w:endnote w:type="continuationSeparator" w:id="0">
    <w:p w14:paraId="49C6B5D8" w14:textId="77777777" w:rsidR="00B12D33" w:rsidRDefault="00B12D33" w:rsidP="00F05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67DE18" w14:textId="77777777" w:rsidR="00B12D33" w:rsidRDefault="00B12D33" w:rsidP="00F05C53">
      <w:r>
        <w:separator/>
      </w:r>
    </w:p>
  </w:footnote>
  <w:footnote w:type="continuationSeparator" w:id="0">
    <w:p w14:paraId="666D1ACC" w14:textId="77777777" w:rsidR="00B12D33" w:rsidRDefault="00B12D33" w:rsidP="00F05C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522529"/>
    <w:multiLevelType w:val="hybridMultilevel"/>
    <w:tmpl w:val="91CA71AC"/>
    <w:lvl w:ilvl="0" w:tplc="50F08AAA">
      <w:start w:val="1"/>
      <w:numFmt w:val="bullet"/>
      <w:lvlText w:val="●"/>
      <w:lvlJc w:val="left"/>
      <w:pPr>
        <w:ind w:left="720" w:hanging="360"/>
      </w:pPr>
    </w:lvl>
    <w:lvl w:ilvl="1" w:tplc="006EC010">
      <w:start w:val="1"/>
      <w:numFmt w:val="bullet"/>
      <w:lvlText w:val="○"/>
      <w:lvlJc w:val="left"/>
      <w:pPr>
        <w:ind w:left="1440" w:hanging="360"/>
      </w:pPr>
    </w:lvl>
    <w:lvl w:ilvl="2" w:tplc="D9B471C6">
      <w:start w:val="1"/>
      <w:numFmt w:val="bullet"/>
      <w:lvlText w:val="■"/>
      <w:lvlJc w:val="left"/>
      <w:pPr>
        <w:ind w:left="2160" w:hanging="360"/>
      </w:pPr>
    </w:lvl>
    <w:lvl w:ilvl="3" w:tplc="25824BBE">
      <w:start w:val="1"/>
      <w:numFmt w:val="bullet"/>
      <w:lvlText w:val="●"/>
      <w:lvlJc w:val="left"/>
      <w:pPr>
        <w:ind w:left="2880" w:hanging="360"/>
      </w:pPr>
    </w:lvl>
    <w:lvl w:ilvl="4" w:tplc="2CB6B7CA">
      <w:start w:val="1"/>
      <w:numFmt w:val="bullet"/>
      <w:lvlText w:val="○"/>
      <w:lvlJc w:val="left"/>
      <w:pPr>
        <w:ind w:left="3600" w:hanging="360"/>
      </w:pPr>
    </w:lvl>
    <w:lvl w:ilvl="5" w:tplc="685AA156">
      <w:start w:val="1"/>
      <w:numFmt w:val="bullet"/>
      <w:lvlText w:val="■"/>
      <w:lvlJc w:val="left"/>
      <w:pPr>
        <w:ind w:left="4320" w:hanging="360"/>
      </w:pPr>
    </w:lvl>
    <w:lvl w:ilvl="6" w:tplc="FEFCB678">
      <w:start w:val="1"/>
      <w:numFmt w:val="bullet"/>
      <w:lvlText w:val="●"/>
      <w:lvlJc w:val="left"/>
      <w:pPr>
        <w:ind w:left="5040" w:hanging="360"/>
      </w:pPr>
    </w:lvl>
    <w:lvl w:ilvl="7" w:tplc="D2C448E8">
      <w:start w:val="1"/>
      <w:numFmt w:val="bullet"/>
      <w:lvlText w:val="●"/>
      <w:lvlJc w:val="left"/>
      <w:pPr>
        <w:ind w:left="5760" w:hanging="360"/>
      </w:pPr>
    </w:lvl>
    <w:lvl w:ilvl="8" w:tplc="59244E54">
      <w:start w:val="1"/>
      <w:numFmt w:val="bullet"/>
      <w:lvlText w:val="●"/>
      <w:lvlJc w:val="left"/>
      <w:pPr>
        <w:ind w:left="6480" w:hanging="360"/>
      </w:pPr>
    </w:lvl>
  </w:abstractNum>
  <w:num w:numId="1" w16cid:durableId="84864418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647A"/>
    <w:rsid w:val="00823189"/>
    <w:rsid w:val="00A27CD1"/>
    <w:rsid w:val="00B12D33"/>
    <w:rsid w:val="00F05C53"/>
    <w:rsid w:val="00F364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FE0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560" w:after="280"/>
      <w:outlineLvl w:val="0"/>
    </w:pPr>
    <w:rPr>
      <w:b/>
      <w:bCs/>
      <w:color w:val="000000"/>
      <w:sz w:val="28"/>
      <w:szCs w:val="28"/>
    </w:rPr>
  </w:style>
  <w:style w:type="paragraph" w:styleId="Heading2">
    <w:name w:val="heading 2"/>
    <w:uiPriority w:val="9"/>
    <w:semiHidden/>
    <w:unhideWhenUsed/>
    <w:qFormat/>
    <w:pPr>
      <w:spacing w:before="400" w:after="180"/>
      <w:outlineLvl w:val="1"/>
    </w:pPr>
    <w:rPr>
      <w:b/>
      <w:bCs/>
      <w:color w:val="000000"/>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F05C53"/>
    <w:pPr>
      <w:tabs>
        <w:tab w:val="center" w:pos="4513"/>
        <w:tab w:val="right" w:pos="9026"/>
      </w:tabs>
    </w:pPr>
  </w:style>
  <w:style w:type="character" w:customStyle="1" w:styleId="HeaderChar">
    <w:name w:val="Header Char"/>
    <w:basedOn w:val="DefaultParagraphFont"/>
    <w:link w:val="Header"/>
    <w:uiPriority w:val="99"/>
    <w:rsid w:val="00F05C53"/>
  </w:style>
  <w:style w:type="paragraph" w:styleId="Footer">
    <w:name w:val="footer"/>
    <w:basedOn w:val="Normal"/>
    <w:link w:val="FooterChar"/>
    <w:uiPriority w:val="99"/>
    <w:unhideWhenUsed/>
    <w:rsid w:val="00F05C53"/>
    <w:pPr>
      <w:tabs>
        <w:tab w:val="center" w:pos="4513"/>
        <w:tab w:val="right" w:pos="9026"/>
      </w:tabs>
    </w:pPr>
  </w:style>
  <w:style w:type="character" w:customStyle="1" w:styleId="FooterChar">
    <w:name w:val="Footer Char"/>
    <w:basedOn w:val="DefaultParagraphFont"/>
    <w:link w:val="Footer"/>
    <w:uiPriority w:val="99"/>
    <w:rsid w:val="00F05C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3801</Words>
  <Characters>23648</Characters>
  <Application>Microsoft Office Word</Application>
  <DocSecurity>0</DocSecurity>
  <Lines>358</Lines>
  <Paragraphs>103</Paragraphs>
  <ScaleCrop>false</ScaleCrop>
  <Company/>
  <LinksUpToDate>false</LinksUpToDate>
  <CharactersWithSpaces>27346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2026-05-04T08:38:00Z</dcterms:created>
  <dcterms:modified xsi:type="dcterms:W3CDTF">2026-05-04T08:38:00Z</dcterms:modified>
</cp:coreProperties>
</file>