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60C393" w14:textId="1C1925A9" w:rsidR="00EC0E4D" w:rsidRPr="005B3D3C" w:rsidRDefault="00EC0E4D" w:rsidP="00EC0E4D">
      <w:pPr>
        <w:spacing w:after="1200"/>
        <w:rPr>
          <w:rStyle w:val="Strong"/>
          <w:rFonts w:ascii="Arial" w:hAnsi="Arial" w:cs="Arial"/>
          <w:color w:val="0F1115"/>
        </w:rPr>
      </w:pPr>
      <w:r>
        <w:rPr>
          <w:noProof/>
          <w:lang w:val="en-US"/>
        </w:rPr>
        <w:drawing>
          <wp:anchor distT="0" distB="0" distL="114300" distR="114300" simplePos="0" relativeHeight="251658240" behindDoc="0" locked="0" layoutInCell="1" allowOverlap="1" wp14:anchorId="16C92B0F" wp14:editId="136128A1">
            <wp:simplePos x="0" y="0"/>
            <wp:positionH relativeFrom="column">
              <wp:posOffset>1130400</wp:posOffset>
            </wp:positionH>
            <wp:positionV relativeFrom="paragraph">
              <wp:posOffset>7200</wp:posOffset>
            </wp:positionV>
            <wp:extent cx="3380400" cy="1353600"/>
            <wp:effectExtent l="0" t="0" r="0" b="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0400" cy="1353600"/>
                    </a:xfrm>
                    <a:prstGeom prst="rect">
                      <a:avLst/>
                    </a:prstGeom>
                    <a:noFill/>
                  </pic:spPr>
                </pic:pic>
              </a:graphicData>
            </a:graphic>
            <wp14:sizeRelH relativeFrom="margin">
              <wp14:pctWidth>0</wp14:pctWidth>
            </wp14:sizeRelH>
            <wp14:sizeRelV relativeFrom="margin">
              <wp14:pctHeight>0</wp14:pctHeight>
            </wp14:sizeRelV>
          </wp:anchor>
        </w:drawing>
      </w:r>
    </w:p>
    <w:p w14:paraId="60F28DA1" w14:textId="77777777" w:rsidR="00EC0E4D" w:rsidRDefault="00EC0E4D" w:rsidP="00EC0E4D">
      <w:pPr>
        <w:spacing w:line="360" w:lineRule="auto"/>
        <w:jc w:val="center"/>
        <w:rPr>
          <w:rFonts w:ascii="Arial" w:hAnsi="Arial" w:cs="Arial"/>
          <w:b/>
          <w:bCs/>
          <w:sz w:val="36"/>
        </w:rPr>
      </w:pPr>
    </w:p>
    <w:p w14:paraId="3BB741BE" w14:textId="77777777" w:rsidR="00EC0E4D" w:rsidRDefault="00EC0E4D" w:rsidP="00EC0E4D">
      <w:pPr>
        <w:spacing w:line="360" w:lineRule="auto"/>
        <w:jc w:val="center"/>
        <w:rPr>
          <w:rFonts w:ascii="Arial" w:hAnsi="Arial" w:cs="Arial"/>
          <w:b/>
          <w:bCs/>
          <w:sz w:val="36"/>
        </w:rPr>
      </w:pPr>
    </w:p>
    <w:p w14:paraId="771BF174" w14:textId="1160700C" w:rsidR="00EC0E4D" w:rsidRDefault="00EC0E4D" w:rsidP="00EC0E4D">
      <w:pPr>
        <w:spacing w:line="360" w:lineRule="auto"/>
        <w:jc w:val="center"/>
        <w:rPr>
          <w:rFonts w:ascii="Arial" w:hAnsi="Arial" w:cs="Arial"/>
          <w:b/>
          <w:bCs/>
          <w:sz w:val="36"/>
        </w:rPr>
      </w:pPr>
      <w:r w:rsidRPr="00EC0E4D">
        <w:rPr>
          <w:rFonts w:ascii="Arial" w:hAnsi="Arial" w:cs="Arial"/>
          <w:b/>
          <w:bCs/>
          <w:sz w:val="36"/>
        </w:rPr>
        <w:t>A Critical Analysis of Nike, Inc.'s Strategic Management Practices</w:t>
      </w:r>
      <w:bookmarkStart w:id="0" w:name="_Toc213936329"/>
      <w:bookmarkStart w:id="1" w:name="_Toc213937709"/>
    </w:p>
    <w:p w14:paraId="18011219" w14:textId="0D377BEC" w:rsidR="00EC0E4D" w:rsidRDefault="00EC0E4D" w:rsidP="00EC0E4D">
      <w:pPr>
        <w:spacing w:line="360" w:lineRule="auto"/>
        <w:jc w:val="center"/>
        <w:rPr>
          <w:rFonts w:ascii="Arial" w:hAnsi="Arial" w:cs="Arial"/>
        </w:rPr>
      </w:pPr>
      <w:r w:rsidRPr="005B3D3C">
        <w:rPr>
          <w:rStyle w:val="Strong"/>
          <w:rFonts w:ascii="Arial" w:hAnsi="Arial" w:cs="Arial"/>
          <w:color w:val="0F1115"/>
        </w:rPr>
        <w:t>Programme:</w:t>
      </w:r>
      <w:r w:rsidRPr="005B3D3C">
        <w:rPr>
          <w:rFonts w:ascii="Arial" w:hAnsi="Arial" w:cs="Arial"/>
        </w:rPr>
        <w:t> Master of Business Administration</w:t>
      </w:r>
      <w:r w:rsidRPr="005B3D3C">
        <w:rPr>
          <w:rFonts w:ascii="Arial" w:hAnsi="Arial" w:cs="Arial"/>
        </w:rPr>
        <w:br/>
      </w:r>
      <w:r w:rsidRPr="005B3D3C">
        <w:rPr>
          <w:rStyle w:val="Strong"/>
          <w:rFonts w:ascii="Arial" w:hAnsi="Arial" w:cs="Arial"/>
          <w:color w:val="0F1115"/>
        </w:rPr>
        <w:t>Module:</w:t>
      </w:r>
      <w:r w:rsidRPr="005B3D3C">
        <w:rPr>
          <w:rFonts w:ascii="Arial" w:hAnsi="Arial" w:cs="Arial"/>
        </w:rPr>
        <w:t> </w:t>
      </w:r>
      <w:r w:rsidRPr="00EC0E4D">
        <w:rPr>
          <w:rFonts w:ascii="Arial" w:hAnsi="Arial" w:cs="Arial"/>
        </w:rPr>
        <w:t>Strategic Management</w:t>
      </w:r>
      <w:r>
        <w:rPr>
          <w:rFonts w:ascii="Arial" w:hAnsi="Arial" w:cs="Arial"/>
        </w:rPr>
        <w:t xml:space="preserve"> (LCMB7003)</w:t>
      </w:r>
      <w:r w:rsidRPr="005B3D3C">
        <w:rPr>
          <w:rFonts w:ascii="Arial" w:hAnsi="Arial" w:cs="Arial"/>
        </w:rPr>
        <w:br/>
      </w:r>
      <w:r w:rsidRPr="005B3D3C">
        <w:rPr>
          <w:rStyle w:val="Strong"/>
          <w:rFonts w:ascii="Arial" w:hAnsi="Arial" w:cs="Arial"/>
          <w:color w:val="0F1115"/>
        </w:rPr>
        <w:t>Lecturer:</w:t>
      </w:r>
      <w:r w:rsidRPr="005B3D3C">
        <w:rPr>
          <w:rFonts w:ascii="Arial" w:hAnsi="Arial" w:cs="Arial"/>
        </w:rPr>
        <w:t> Dr Hoang Nguyen</w:t>
      </w:r>
      <w:r w:rsidRPr="005B3D3C">
        <w:rPr>
          <w:rFonts w:ascii="Arial" w:hAnsi="Arial" w:cs="Arial"/>
        </w:rPr>
        <w:br/>
      </w:r>
      <w:r w:rsidRPr="005B3D3C">
        <w:rPr>
          <w:rStyle w:val="Strong"/>
          <w:rFonts w:ascii="Arial" w:hAnsi="Arial" w:cs="Arial"/>
          <w:color w:val="0F1115"/>
        </w:rPr>
        <w:t>Student Name:</w:t>
      </w:r>
      <w:r>
        <w:rPr>
          <w:rFonts w:ascii="Arial" w:hAnsi="Arial" w:cs="Arial"/>
        </w:rPr>
        <w:t> </w:t>
      </w:r>
      <w:r w:rsidR="004C3A79">
        <w:rPr>
          <w:rFonts w:ascii="Arial" w:hAnsi="Arial" w:cs="Arial"/>
        </w:rPr>
        <w:t>Imran Ahmed</w:t>
      </w:r>
    </w:p>
    <w:p w14:paraId="4905E863" w14:textId="77777777" w:rsidR="00075B93" w:rsidRDefault="00EC0E4D" w:rsidP="00EC0E4D">
      <w:pPr>
        <w:spacing w:line="360" w:lineRule="auto"/>
        <w:jc w:val="center"/>
        <w:rPr>
          <w:rStyle w:val="Strong"/>
          <w:rFonts w:ascii="Arial" w:hAnsi="Arial" w:cs="Arial"/>
          <w:color w:val="0F1115"/>
        </w:rPr>
      </w:pPr>
      <w:r w:rsidRPr="005B3D3C">
        <w:rPr>
          <w:rStyle w:val="Strong"/>
          <w:rFonts w:ascii="Arial" w:hAnsi="Arial" w:cs="Arial"/>
          <w:color w:val="0F1115"/>
        </w:rPr>
        <w:t>Student ID:</w:t>
      </w:r>
      <w:r w:rsidRPr="005B3D3C">
        <w:rPr>
          <w:rFonts w:ascii="Arial" w:hAnsi="Arial" w:cs="Arial"/>
        </w:rPr>
        <w:t xml:space="preserve">  </w:t>
      </w:r>
      <w:r w:rsidR="004C3A79">
        <w:rPr>
          <w:rFonts w:ascii="Arial" w:hAnsi="Arial" w:cs="Arial"/>
        </w:rPr>
        <w:t>2438392</w:t>
      </w:r>
      <w:r w:rsidRPr="005B3D3C">
        <w:rPr>
          <w:rFonts w:ascii="Arial" w:hAnsi="Arial" w:cs="Arial"/>
        </w:rPr>
        <w:br/>
      </w:r>
    </w:p>
    <w:p w14:paraId="3C456FBF" w14:textId="7130FA86" w:rsidR="00EC0E4D" w:rsidRPr="00EC0E4D" w:rsidRDefault="00EC0E4D" w:rsidP="00EC0E4D">
      <w:pPr>
        <w:spacing w:line="360" w:lineRule="auto"/>
        <w:jc w:val="center"/>
        <w:rPr>
          <w:rFonts w:ascii="Arial" w:hAnsi="Arial" w:cs="Arial"/>
          <w:b/>
          <w:bCs/>
          <w:sz w:val="36"/>
        </w:rPr>
      </w:pPr>
      <w:r w:rsidRPr="005B3D3C">
        <w:rPr>
          <w:rStyle w:val="Strong"/>
          <w:rFonts w:ascii="Arial" w:hAnsi="Arial" w:cs="Arial"/>
          <w:color w:val="0F1115"/>
        </w:rPr>
        <w:t xml:space="preserve">Word Count: </w:t>
      </w:r>
      <w:bookmarkEnd w:id="0"/>
      <w:bookmarkEnd w:id="1"/>
      <w:r w:rsidR="006D6D28">
        <w:rPr>
          <w:rStyle w:val="Strong"/>
          <w:rFonts w:ascii="Arial" w:hAnsi="Arial" w:cs="Arial"/>
          <w:color w:val="0F1115"/>
        </w:rPr>
        <w:t>5500</w:t>
      </w:r>
    </w:p>
    <w:p w14:paraId="7F2F79EE" w14:textId="77777777" w:rsidR="00EC0E4D" w:rsidRDefault="00EC0E4D" w:rsidP="00EC0E4D">
      <w:pPr>
        <w:spacing w:line="360" w:lineRule="auto"/>
        <w:jc w:val="both"/>
        <w:rPr>
          <w:rStyle w:val="Strong"/>
          <w:rFonts w:ascii="Arial" w:eastAsiaTheme="majorEastAsia" w:hAnsi="Arial" w:cs="Arial"/>
          <w:color w:val="0F1115"/>
        </w:rPr>
      </w:pPr>
      <w:r>
        <w:rPr>
          <w:rStyle w:val="Strong"/>
          <w:rFonts w:ascii="Arial" w:eastAsiaTheme="majorEastAsia" w:hAnsi="Arial" w:cs="Arial"/>
          <w:color w:val="0F1115"/>
        </w:rPr>
        <w:t xml:space="preserve">         </w:t>
      </w:r>
    </w:p>
    <w:p w14:paraId="6E45FD86" w14:textId="77777777" w:rsidR="00EC0E4D" w:rsidRDefault="00EC0E4D" w:rsidP="00EC0E4D">
      <w:pPr>
        <w:spacing w:line="360" w:lineRule="auto"/>
        <w:jc w:val="both"/>
        <w:rPr>
          <w:rStyle w:val="Strong"/>
          <w:rFonts w:ascii="Arial" w:eastAsiaTheme="majorEastAsia" w:hAnsi="Arial" w:cs="Arial"/>
          <w:color w:val="0F1115"/>
        </w:rPr>
      </w:pPr>
      <w:r>
        <w:rPr>
          <w:rStyle w:val="Strong"/>
          <w:rFonts w:ascii="Arial" w:eastAsiaTheme="majorEastAsia" w:hAnsi="Arial" w:cs="Arial"/>
          <w:color w:val="0F1115"/>
        </w:rPr>
        <w:t xml:space="preserve">                                </w:t>
      </w:r>
    </w:p>
    <w:p w14:paraId="15C214E0" w14:textId="114382B0" w:rsidR="00F61593" w:rsidRPr="00EC0E4D" w:rsidRDefault="00EC0E4D" w:rsidP="00075B93">
      <w:pPr>
        <w:spacing w:line="360" w:lineRule="auto"/>
        <w:jc w:val="center"/>
        <w:rPr>
          <w:rFonts w:ascii="Arial" w:eastAsiaTheme="majorEastAsia" w:hAnsi="Arial" w:cs="Arial"/>
          <w:b/>
          <w:bCs/>
          <w:color w:val="0F1115"/>
        </w:rPr>
      </w:pPr>
      <w:r w:rsidRPr="005B3D3C">
        <w:rPr>
          <w:rStyle w:val="Strong"/>
          <w:rFonts w:ascii="Arial" w:eastAsiaTheme="majorEastAsia" w:hAnsi="Arial" w:cs="Arial"/>
          <w:color w:val="0F1115"/>
        </w:rPr>
        <w:t>Submission Date:</w:t>
      </w:r>
      <w:r w:rsidRPr="005B3D3C">
        <w:rPr>
          <w:rFonts w:ascii="Arial" w:hAnsi="Arial" w:cs="Arial"/>
        </w:rPr>
        <w:t> </w:t>
      </w:r>
      <w:r w:rsidR="00075B93">
        <w:rPr>
          <w:rFonts w:ascii="Arial" w:hAnsi="Arial" w:cs="Arial"/>
        </w:rPr>
        <w:t>01</w:t>
      </w:r>
      <w:r w:rsidR="00075B93" w:rsidRPr="00075B93">
        <w:rPr>
          <w:rFonts w:ascii="Arial" w:hAnsi="Arial" w:cs="Arial"/>
          <w:vertAlign w:val="superscript"/>
        </w:rPr>
        <w:t>st</w:t>
      </w:r>
      <w:r w:rsidR="00075B93">
        <w:rPr>
          <w:rFonts w:ascii="Arial" w:hAnsi="Arial" w:cs="Arial"/>
        </w:rPr>
        <w:t xml:space="preserve"> May 2026</w:t>
      </w:r>
    </w:p>
    <w:p w14:paraId="76FD7F25" w14:textId="0FC2B74E" w:rsidR="00757FC5" w:rsidRDefault="00757FC5" w:rsidP="00584791">
      <w:pPr>
        <w:spacing w:line="360" w:lineRule="auto"/>
        <w:jc w:val="both"/>
        <w:rPr>
          <w:sz w:val="20"/>
          <w:szCs w:val="20"/>
        </w:rPr>
      </w:pPr>
      <w:r>
        <w:rPr>
          <w:sz w:val="20"/>
          <w:szCs w:val="20"/>
        </w:rPr>
        <w:br w:type="page"/>
      </w:r>
    </w:p>
    <w:p w14:paraId="16BDB73C" w14:textId="6016D191" w:rsidR="00075B93" w:rsidRPr="00075B93" w:rsidRDefault="00075B93" w:rsidP="004C3A79">
      <w:pPr>
        <w:spacing w:line="360" w:lineRule="auto"/>
        <w:jc w:val="both"/>
        <w:rPr>
          <w:rFonts w:ascii="Arial" w:hAnsi="Arial" w:cs="Arial"/>
          <w:b/>
          <w:lang w:val="en-US"/>
        </w:rPr>
      </w:pPr>
      <w:r w:rsidRPr="00075B93">
        <w:rPr>
          <w:rFonts w:ascii="Arial" w:hAnsi="Arial" w:cs="Arial"/>
          <w:b/>
          <w:lang w:val="en-US"/>
        </w:rPr>
        <w:lastRenderedPageBreak/>
        <w:t>AI Use Acknowledgement</w:t>
      </w:r>
    </w:p>
    <w:p w14:paraId="2BB612BE" w14:textId="0D627F63" w:rsidR="004C3A79" w:rsidRPr="00D61F00" w:rsidRDefault="004C3A79" w:rsidP="004C3A79">
      <w:pPr>
        <w:spacing w:line="360" w:lineRule="auto"/>
        <w:jc w:val="both"/>
        <w:rPr>
          <w:rFonts w:ascii="Arial" w:hAnsi="Arial" w:cs="Arial"/>
          <w:lang w:val="en-US"/>
        </w:rPr>
      </w:pPr>
      <w:r w:rsidRPr="00D61F00">
        <w:rPr>
          <w:rFonts w:ascii="Arial" w:hAnsi="Arial" w:cs="Arial"/>
          <w:lang w:val="en-US"/>
        </w:rPr>
        <w:t>I acknowledge the use of the following artificial intelligence</w:t>
      </w:r>
      <w:r w:rsidRPr="00D61F00">
        <w:rPr>
          <w:rFonts w:ascii="Cambria Math" w:hAnsi="Cambria Math" w:cs="Cambria Math"/>
          <w:lang w:val="en-US"/>
        </w:rPr>
        <w:t>‑</w:t>
      </w:r>
      <w:r w:rsidRPr="00D61F00">
        <w:rPr>
          <w:rFonts w:ascii="Arial" w:hAnsi="Arial" w:cs="Arial"/>
          <w:lang w:val="en-US"/>
        </w:rPr>
        <w:t>assisted tools to support the writing and research process on 22</w:t>
      </w:r>
      <w:r w:rsidRPr="00D61F00">
        <w:rPr>
          <w:rFonts w:ascii="Arial" w:hAnsi="Arial" w:cs="Arial"/>
          <w:vertAlign w:val="superscript"/>
          <w:lang w:val="en-US"/>
        </w:rPr>
        <w:t>nd</w:t>
      </w:r>
      <w:r w:rsidRPr="00D61F00">
        <w:rPr>
          <w:rFonts w:ascii="Arial" w:hAnsi="Arial" w:cs="Arial"/>
          <w:lang w:val="en-US"/>
        </w:rPr>
        <w:t xml:space="preserve"> March 2026 to 22</w:t>
      </w:r>
      <w:r w:rsidRPr="00D61F00">
        <w:rPr>
          <w:rFonts w:ascii="Arial" w:hAnsi="Arial" w:cs="Arial"/>
          <w:vertAlign w:val="superscript"/>
          <w:lang w:val="en-US"/>
        </w:rPr>
        <w:t>nd</w:t>
      </w:r>
      <w:r w:rsidRPr="00D61F00">
        <w:rPr>
          <w:rFonts w:ascii="Arial" w:hAnsi="Arial" w:cs="Arial"/>
          <w:lang w:val="en-US"/>
        </w:rPr>
        <w:t xml:space="preserve"> April 2026:</w:t>
      </w:r>
    </w:p>
    <w:p w14:paraId="02F9DCB7" w14:textId="77777777" w:rsidR="004C3A79" w:rsidRPr="00D61F00" w:rsidRDefault="004C3A79" w:rsidP="004C3A79">
      <w:pPr>
        <w:spacing w:line="360" w:lineRule="auto"/>
        <w:jc w:val="both"/>
        <w:rPr>
          <w:rFonts w:ascii="Arial" w:hAnsi="Arial" w:cs="Arial"/>
          <w:lang w:val="en-US"/>
        </w:rPr>
      </w:pPr>
    </w:p>
    <w:p w14:paraId="46951C37" w14:textId="43A01B11" w:rsidR="004C3A79" w:rsidRPr="00D61F00" w:rsidRDefault="004C3A79" w:rsidP="00D61F00">
      <w:pPr>
        <w:numPr>
          <w:ilvl w:val="0"/>
          <w:numId w:val="47"/>
        </w:numPr>
        <w:spacing w:line="360" w:lineRule="auto"/>
        <w:jc w:val="both"/>
        <w:rPr>
          <w:rFonts w:ascii="Arial" w:hAnsi="Arial" w:cs="Arial"/>
          <w:lang w:val="en-US"/>
        </w:rPr>
      </w:pPr>
      <w:proofErr w:type="spellStart"/>
      <w:r w:rsidRPr="00D61F00">
        <w:rPr>
          <w:rFonts w:ascii="Arial" w:hAnsi="Arial" w:cs="Arial"/>
          <w:lang w:val="en-US"/>
        </w:rPr>
        <w:t>Grammarly</w:t>
      </w:r>
      <w:proofErr w:type="spellEnd"/>
      <w:r w:rsidRPr="00D61F00">
        <w:rPr>
          <w:rFonts w:ascii="Arial" w:hAnsi="Arial" w:cs="Arial"/>
          <w:lang w:val="en-US"/>
        </w:rPr>
        <w:t xml:space="preserve"> </w:t>
      </w:r>
      <w:hyperlink r:id="rId9" w:history="1">
        <w:r w:rsidR="00D61F00" w:rsidRPr="0027204C">
          <w:rPr>
            <w:rStyle w:val="Hyperlink"/>
            <w:rFonts w:ascii="Arial" w:hAnsi="Arial" w:cs="Arial"/>
            <w:lang w:val="en-US"/>
          </w:rPr>
          <w:t>https://www.grammarly.com/</w:t>
        </w:r>
      </w:hyperlink>
      <w:r w:rsidR="00D61F00">
        <w:rPr>
          <w:rFonts w:ascii="Arial" w:hAnsi="Arial" w:cs="Arial"/>
          <w:lang w:val="en-US"/>
        </w:rPr>
        <w:t xml:space="preserve"> </w:t>
      </w:r>
      <w:r w:rsidRPr="00D61F00">
        <w:rPr>
          <w:rFonts w:ascii="Arial" w:hAnsi="Arial" w:cs="Arial"/>
          <w:lang w:val="en-US"/>
        </w:rPr>
        <w:t>was used for proofreading, grammar checking, and stylistic refinement of the final draft.</w:t>
      </w:r>
    </w:p>
    <w:p w14:paraId="61684B9D" w14:textId="61C5B87B" w:rsidR="004C3A79" w:rsidRPr="00D61F00" w:rsidRDefault="004C3A79" w:rsidP="00D61F00">
      <w:pPr>
        <w:numPr>
          <w:ilvl w:val="0"/>
          <w:numId w:val="47"/>
        </w:numPr>
        <w:spacing w:line="360" w:lineRule="auto"/>
        <w:jc w:val="both"/>
        <w:rPr>
          <w:rFonts w:ascii="Arial" w:hAnsi="Arial" w:cs="Arial"/>
          <w:lang w:val="en-US"/>
        </w:rPr>
      </w:pPr>
      <w:r w:rsidRPr="00D61F00">
        <w:rPr>
          <w:rFonts w:ascii="Arial" w:hAnsi="Arial" w:cs="Arial"/>
        </w:rPr>
        <w:t>Research Rabbit</w:t>
      </w:r>
      <w:r w:rsidR="00D61F00">
        <w:rPr>
          <w:rFonts w:ascii="Arial" w:hAnsi="Arial" w:cs="Arial"/>
        </w:rPr>
        <w:t xml:space="preserve"> </w:t>
      </w:r>
      <w:hyperlink r:id="rId10" w:history="1">
        <w:r w:rsidR="00D61F00" w:rsidRPr="0027204C">
          <w:rPr>
            <w:rStyle w:val="Hyperlink"/>
            <w:rFonts w:ascii="Arial" w:hAnsi="Arial" w:cs="Arial"/>
          </w:rPr>
          <w:t>https://www.researchrabbit.ai/</w:t>
        </w:r>
      </w:hyperlink>
      <w:r w:rsidR="00D61F00">
        <w:rPr>
          <w:rFonts w:ascii="Arial" w:hAnsi="Arial" w:cs="Arial"/>
          <w:lang w:val="en-US"/>
        </w:rPr>
        <w:t xml:space="preserve"> </w:t>
      </w:r>
      <w:r w:rsidRPr="00D61F00">
        <w:rPr>
          <w:rFonts w:ascii="Arial" w:hAnsi="Arial" w:cs="Arial"/>
        </w:rPr>
        <w:t xml:space="preserve"> </w:t>
      </w:r>
      <w:r w:rsidRPr="00D61F00">
        <w:rPr>
          <w:rFonts w:ascii="Arial" w:hAnsi="Arial" w:cs="Arial"/>
          <w:lang w:val="en-US"/>
        </w:rPr>
        <w:t xml:space="preserve">was used as a research AI tool to identify relevant academic literature and to </w:t>
      </w:r>
      <w:proofErr w:type="spellStart"/>
      <w:r w:rsidRPr="00D61F00">
        <w:rPr>
          <w:rFonts w:ascii="Arial" w:hAnsi="Arial" w:cs="Arial"/>
          <w:lang w:val="en-US"/>
        </w:rPr>
        <w:t>organise</w:t>
      </w:r>
      <w:proofErr w:type="spellEnd"/>
      <w:r w:rsidRPr="00D61F00">
        <w:rPr>
          <w:rFonts w:ascii="Arial" w:hAnsi="Arial" w:cs="Arial"/>
          <w:lang w:val="en-US"/>
        </w:rPr>
        <w:t xml:space="preserve"> source materials during the early stages of the literature review. Such as: “</w:t>
      </w:r>
      <w:r w:rsidRPr="00D61F00">
        <w:rPr>
          <w:rFonts w:ascii="Arial" w:eastAsia="Calibri" w:hAnsi="Arial" w:cs="Arial"/>
        </w:rPr>
        <w:t>Emerging trends in the sporting goods industry in North America and Europe</w:t>
      </w:r>
      <w:r w:rsidRPr="00D61F00">
        <w:rPr>
          <w:rFonts w:ascii="Arial" w:hAnsi="Arial" w:cs="Arial"/>
          <w:lang w:val="en-US"/>
        </w:rPr>
        <w:t xml:space="preserve">. </w:t>
      </w:r>
      <w:proofErr w:type="spellStart"/>
      <w:r w:rsidRPr="00D61F00">
        <w:rPr>
          <w:rFonts w:ascii="Arial" w:hAnsi="Arial" w:cs="Arial"/>
          <w:lang w:val="en-US"/>
        </w:rPr>
        <w:t>Summarise</w:t>
      </w:r>
      <w:proofErr w:type="spellEnd"/>
      <w:r w:rsidRPr="00D61F00">
        <w:rPr>
          <w:rFonts w:ascii="Arial" w:hAnsi="Arial" w:cs="Arial"/>
          <w:lang w:val="en-US"/>
        </w:rPr>
        <w:t xml:space="preserve"> the key findings, research methods, and limitations of each study. Write in an academic tone and include Harvard-style in-text citations and references from 2024 onwards’’</w:t>
      </w:r>
    </w:p>
    <w:p w14:paraId="7929AA83" w14:textId="77777777" w:rsidR="004C3A79" w:rsidRPr="00D61F00" w:rsidRDefault="004C3A79" w:rsidP="004C3A79">
      <w:pPr>
        <w:spacing w:line="360" w:lineRule="auto"/>
        <w:jc w:val="both"/>
        <w:rPr>
          <w:rFonts w:ascii="Arial" w:hAnsi="Arial" w:cs="Arial"/>
          <w:lang w:val="en-US"/>
        </w:rPr>
      </w:pPr>
    </w:p>
    <w:p w14:paraId="4E7F53AF" w14:textId="77777777" w:rsidR="004C3A79" w:rsidRPr="00D61F00" w:rsidRDefault="004C3A79" w:rsidP="004C3A79">
      <w:pPr>
        <w:spacing w:line="360" w:lineRule="auto"/>
        <w:jc w:val="both"/>
        <w:rPr>
          <w:rFonts w:ascii="Arial" w:hAnsi="Arial" w:cs="Arial"/>
          <w:lang w:val="en-US"/>
        </w:rPr>
      </w:pPr>
      <w:r w:rsidRPr="00D61F00">
        <w:rPr>
          <w:rFonts w:ascii="Arial" w:hAnsi="Arial" w:cs="Arial"/>
          <w:lang w:val="en-US"/>
        </w:rPr>
        <w:t>It is confirmed that no AI</w:t>
      </w:r>
      <w:r w:rsidRPr="00D61F00">
        <w:rPr>
          <w:rFonts w:ascii="Cambria Math" w:hAnsi="Cambria Math" w:cs="Cambria Math"/>
          <w:lang w:val="en-US"/>
        </w:rPr>
        <w:t>‑</w:t>
      </w:r>
      <w:r w:rsidRPr="00D61F00">
        <w:rPr>
          <w:rFonts w:ascii="Arial" w:hAnsi="Arial" w:cs="Arial"/>
          <w:lang w:val="en-US"/>
        </w:rPr>
        <w:t>generated text has been presented as my own original work. All analysis, synthesis, strategic recommendations, and conclusions contained in this report are my own, derived from critical evaluation of primary and secondary sources obtained through independent research. Copies of all drafts, handwritten notes, and other resources consulted before and after the use of these AI tools have been retained and may be submitted as evidence of original work if required.</w:t>
      </w:r>
    </w:p>
    <w:p w14:paraId="3BFED645" w14:textId="77777777" w:rsidR="00C242AD" w:rsidRDefault="00C242AD" w:rsidP="00584791">
      <w:pPr>
        <w:spacing w:line="360" w:lineRule="auto"/>
        <w:jc w:val="both"/>
        <w:rPr>
          <w:sz w:val="20"/>
          <w:szCs w:val="20"/>
        </w:rPr>
      </w:pPr>
    </w:p>
    <w:p w14:paraId="553B6006" w14:textId="16BDDE91" w:rsidR="00E744DA" w:rsidRDefault="00E744DA" w:rsidP="00584791">
      <w:pPr>
        <w:spacing w:line="360" w:lineRule="auto"/>
        <w:jc w:val="both"/>
        <w:rPr>
          <w:sz w:val="20"/>
          <w:szCs w:val="20"/>
        </w:rPr>
      </w:pPr>
    </w:p>
    <w:p w14:paraId="0D1013DB" w14:textId="3BF4357C" w:rsidR="00E744DA" w:rsidRDefault="00E744DA" w:rsidP="00584791">
      <w:pPr>
        <w:spacing w:line="360" w:lineRule="auto"/>
        <w:jc w:val="both"/>
        <w:rPr>
          <w:sz w:val="20"/>
          <w:szCs w:val="20"/>
        </w:rPr>
      </w:pPr>
    </w:p>
    <w:p w14:paraId="22B4AF70" w14:textId="6CE243DD" w:rsidR="00CA6021" w:rsidRDefault="00CA6021" w:rsidP="004C3A79">
      <w:pPr>
        <w:spacing w:line="360" w:lineRule="auto"/>
        <w:jc w:val="both"/>
        <w:rPr>
          <w:sz w:val="20"/>
          <w:szCs w:val="20"/>
        </w:rPr>
      </w:pPr>
      <w:r>
        <w:rPr>
          <w:sz w:val="20"/>
          <w:szCs w:val="20"/>
        </w:rPr>
        <w:br w:type="page"/>
      </w:r>
    </w:p>
    <w:sdt>
      <w:sdtPr>
        <w:rPr>
          <w:rFonts w:asciiTheme="minorHAnsi" w:eastAsiaTheme="minorHAnsi" w:hAnsiTheme="minorHAnsi" w:cstheme="minorBidi"/>
          <w:b w:val="0"/>
          <w:kern w:val="2"/>
          <w:sz w:val="24"/>
          <w:szCs w:val="24"/>
          <w:lang w:val="en-MY"/>
          <w14:ligatures w14:val="standardContextual"/>
        </w:rPr>
        <w:id w:val="-747960224"/>
        <w:docPartObj>
          <w:docPartGallery w:val="Table of Contents"/>
          <w:docPartUnique/>
        </w:docPartObj>
      </w:sdtPr>
      <w:sdtEndPr>
        <w:rPr>
          <w:rFonts w:ascii="Arial" w:hAnsi="Arial" w:cs="Arial"/>
          <w:bCs/>
          <w:noProof/>
          <w:sz w:val="18"/>
          <w:szCs w:val="18"/>
        </w:rPr>
      </w:sdtEndPr>
      <w:sdtContent>
        <w:p w14:paraId="6525AE66" w14:textId="38352414" w:rsidR="00CD51DD" w:rsidRDefault="00CD51DD">
          <w:pPr>
            <w:pStyle w:val="TOCHeading"/>
          </w:pPr>
          <w:r>
            <w:t>Con</w:t>
          </w:r>
          <w:bookmarkStart w:id="2" w:name="_GoBack"/>
          <w:bookmarkEnd w:id="2"/>
          <w:r>
            <w:t>tents</w:t>
          </w:r>
        </w:p>
        <w:p w14:paraId="4ECD60B8" w14:textId="5658BC3E" w:rsidR="00EC512A" w:rsidRDefault="00CD51DD">
          <w:pPr>
            <w:pStyle w:val="TOC1"/>
            <w:tabs>
              <w:tab w:val="right" w:leader="dot" w:pos="9016"/>
            </w:tabs>
            <w:rPr>
              <w:rFonts w:eastAsiaTheme="minorEastAsia"/>
              <w:noProof/>
              <w:kern w:val="0"/>
              <w:sz w:val="22"/>
              <w:szCs w:val="22"/>
              <w:lang w:val="en-US"/>
              <w14:ligatures w14:val="none"/>
            </w:rPr>
          </w:pPr>
          <w:r w:rsidRPr="00282DCA">
            <w:rPr>
              <w:rFonts w:ascii="Arial" w:hAnsi="Arial" w:cs="Arial"/>
              <w:sz w:val="18"/>
              <w:szCs w:val="18"/>
            </w:rPr>
            <w:fldChar w:fldCharType="begin"/>
          </w:r>
          <w:r w:rsidRPr="00282DCA">
            <w:rPr>
              <w:rFonts w:ascii="Arial" w:hAnsi="Arial" w:cs="Arial"/>
              <w:sz w:val="18"/>
              <w:szCs w:val="18"/>
            </w:rPr>
            <w:instrText xml:space="preserve"> TOC \o "1-3" \h \z \u </w:instrText>
          </w:r>
          <w:r w:rsidRPr="00282DCA">
            <w:rPr>
              <w:rFonts w:ascii="Arial" w:hAnsi="Arial" w:cs="Arial"/>
              <w:sz w:val="18"/>
              <w:szCs w:val="18"/>
            </w:rPr>
            <w:fldChar w:fldCharType="separate"/>
          </w:r>
          <w:hyperlink w:anchor="_Toc228482314" w:history="1">
            <w:r w:rsidR="00EC512A" w:rsidRPr="00554493">
              <w:rPr>
                <w:rStyle w:val="Hyperlink"/>
                <w:noProof/>
              </w:rPr>
              <w:t>1. Introduction</w:t>
            </w:r>
            <w:r w:rsidR="00EC512A">
              <w:rPr>
                <w:noProof/>
                <w:webHidden/>
              </w:rPr>
              <w:tab/>
            </w:r>
            <w:r w:rsidR="00EC512A">
              <w:rPr>
                <w:noProof/>
                <w:webHidden/>
              </w:rPr>
              <w:fldChar w:fldCharType="begin"/>
            </w:r>
            <w:r w:rsidR="00EC512A">
              <w:rPr>
                <w:noProof/>
                <w:webHidden/>
              </w:rPr>
              <w:instrText xml:space="preserve"> PAGEREF _Toc228482314 \h </w:instrText>
            </w:r>
            <w:r w:rsidR="00EC512A">
              <w:rPr>
                <w:noProof/>
                <w:webHidden/>
              </w:rPr>
            </w:r>
            <w:r w:rsidR="00EC512A">
              <w:rPr>
                <w:noProof/>
                <w:webHidden/>
              </w:rPr>
              <w:fldChar w:fldCharType="separate"/>
            </w:r>
            <w:r w:rsidR="00EC512A">
              <w:rPr>
                <w:noProof/>
                <w:webHidden/>
              </w:rPr>
              <w:t>4</w:t>
            </w:r>
            <w:r w:rsidR="00EC512A">
              <w:rPr>
                <w:noProof/>
                <w:webHidden/>
              </w:rPr>
              <w:fldChar w:fldCharType="end"/>
            </w:r>
          </w:hyperlink>
        </w:p>
        <w:p w14:paraId="38044843" w14:textId="47FD7F15" w:rsidR="00EC512A" w:rsidRDefault="00EC512A">
          <w:pPr>
            <w:pStyle w:val="TOC2"/>
            <w:tabs>
              <w:tab w:val="right" w:leader="dot" w:pos="9016"/>
            </w:tabs>
            <w:rPr>
              <w:rFonts w:eastAsiaTheme="minorEastAsia"/>
              <w:noProof/>
              <w:kern w:val="0"/>
              <w:sz w:val="22"/>
              <w:szCs w:val="22"/>
              <w:lang w:val="en-US"/>
              <w14:ligatures w14:val="none"/>
            </w:rPr>
          </w:pPr>
          <w:hyperlink w:anchor="_Toc228482315" w:history="1">
            <w:r w:rsidRPr="00554493">
              <w:rPr>
                <w:rStyle w:val="Hyperlink"/>
                <w:noProof/>
              </w:rPr>
              <w:t>1.1 Organisational Context and Overview</w:t>
            </w:r>
            <w:r>
              <w:rPr>
                <w:noProof/>
                <w:webHidden/>
              </w:rPr>
              <w:tab/>
            </w:r>
            <w:r>
              <w:rPr>
                <w:noProof/>
                <w:webHidden/>
              </w:rPr>
              <w:fldChar w:fldCharType="begin"/>
            </w:r>
            <w:r>
              <w:rPr>
                <w:noProof/>
                <w:webHidden/>
              </w:rPr>
              <w:instrText xml:space="preserve"> PAGEREF _Toc228482315 \h </w:instrText>
            </w:r>
            <w:r>
              <w:rPr>
                <w:noProof/>
                <w:webHidden/>
              </w:rPr>
            </w:r>
            <w:r>
              <w:rPr>
                <w:noProof/>
                <w:webHidden/>
              </w:rPr>
              <w:fldChar w:fldCharType="separate"/>
            </w:r>
            <w:r>
              <w:rPr>
                <w:noProof/>
                <w:webHidden/>
              </w:rPr>
              <w:t>4</w:t>
            </w:r>
            <w:r>
              <w:rPr>
                <w:noProof/>
                <w:webHidden/>
              </w:rPr>
              <w:fldChar w:fldCharType="end"/>
            </w:r>
          </w:hyperlink>
        </w:p>
        <w:p w14:paraId="17550EE1" w14:textId="7D08FBB9" w:rsidR="00EC512A" w:rsidRDefault="00EC512A">
          <w:pPr>
            <w:pStyle w:val="TOC2"/>
            <w:tabs>
              <w:tab w:val="right" w:leader="dot" w:pos="9016"/>
            </w:tabs>
            <w:rPr>
              <w:rFonts w:eastAsiaTheme="minorEastAsia"/>
              <w:noProof/>
              <w:kern w:val="0"/>
              <w:sz w:val="22"/>
              <w:szCs w:val="22"/>
              <w:lang w:val="en-US"/>
              <w14:ligatures w14:val="none"/>
            </w:rPr>
          </w:pPr>
          <w:hyperlink w:anchor="_Toc228482316" w:history="1">
            <w:r w:rsidRPr="00554493">
              <w:rPr>
                <w:rStyle w:val="Hyperlink"/>
                <w:noProof/>
              </w:rPr>
              <w:t>1.2 Business Model and Competitive Landscape</w:t>
            </w:r>
            <w:r>
              <w:rPr>
                <w:noProof/>
                <w:webHidden/>
              </w:rPr>
              <w:tab/>
            </w:r>
            <w:r>
              <w:rPr>
                <w:noProof/>
                <w:webHidden/>
              </w:rPr>
              <w:fldChar w:fldCharType="begin"/>
            </w:r>
            <w:r>
              <w:rPr>
                <w:noProof/>
                <w:webHidden/>
              </w:rPr>
              <w:instrText xml:space="preserve"> PAGEREF _Toc228482316 \h </w:instrText>
            </w:r>
            <w:r>
              <w:rPr>
                <w:noProof/>
                <w:webHidden/>
              </w:rPr>
            </w:r>
            <w:r>
              <w:rPr>
                <w:noProof/>
                <w:webHidden/>
              </w:rPr>
              <w:fldChar w:fldCharType="separate"/>
            </w:r>
            <w:r>
              <w:rPr>
                <w:noProof/>
                <w:webHidden/>
              </w:rPr>
              <w:t>4</w:t>
            </w:r>
            <w:r>
              <w:rPr>
                <w:noProof/>
                <w:webHidden/>
              </w:rPr>
              <w:fldChar w:fldCharType="end"/>
            </w:r>
          </w:hyperlink>
        </w:p>
        <w:p w14:paraId="35288DBA" w14:textId="4D0982B4" w:rsidR="00EC512A" w:rsidRDefault="00EC512A">
          <w:pPr>
            <w:pStyle w:val="TOC2"/>
            <w:tabs>
              <w:tab w:val="right" w:leader="dot" w:pos="9016"/>
            </w:tabs>
            <w:rPr>
              <w:rFonts w:eastAsiaTheme="minorEastAsia"/>
              <w:noProof/>
              <w:kern w:val="0"/>
              <w:sz w:val="22"/>
              <w:szCs w:val="22"/>
              <w:lang w:val="en-US"/>
              <w14:ligatures w14:val="none"/>
            </w:rPr>
          </w:pPr>
          <w:hyperlink w:anchor="_Toc228482317" w:history="1">
            <w:r w:rsidRPr="00554493">
              <w:rPr>
                <w:rStyle w:val="Hyperlink"/>
                <w:noProof/>
              </w:rPr>
              <w:t>1.3 Market Position</w:t>
            </w:r>
            <w:r>
              <w:rPr>
                <w:noProof/>
                <w:webHidden/>
              </w:rPr>
              <w:tab/>
            </w:r>
            <w:r>
              <w:rPr>
                <w:noProof/>
                <w:webHidden/>
              </w:rPr>
              <w:fldChar w:fldCharType="begin"/>
            </w:r>
            <w:r>
              <w:rPr>
                <w:noProof/>
                <w:webHidden/>
              </w:rPr>
              <w:instrText xml:space="preserve"> PAGEREF _Toc228482317 \h </w:instrText>
            </w:r>
            <w:r>
              <w:rPr>
                <w:noProof/>
                <w:webHidden/>
              </w:rPr>
            </w:r>
            <w:r>
              <w:rPr>
                <w:noProof/>
                <w:webHidden/>
              </w:rPr>
              <w:fldChar w:fldCharType="separate"/>
            </w:r>
            <w:r>
              <w:rPr>
                <w:noProof/>
                <w:webHidden/>
              </w:rPr>
              <w:t>5</w:t>
            </w:r>
            <w:r>
              <w:rPr>
                <w:noProof/>
                <w:webHidden/>
              </w:rPr>
              <w:fldChar w:fldCharType="end"/>
            </w:r>
          </w:hyperlink>
        </w:p>
        <w:p w14:paraId="6FD1F70D" w14:textId="1B842733" w:rsidR="00EC512A" w:rsidRDefault="00EC512A">
          <w:pPr>
            <w:pStyle w:val="TOC1"/>
            <w:tabs>
              <w:tab w:val="right" w:leader="dot" w:pos="9016"/>
            </w:tabs>
            <w:rPr>
              <w:rFonts w:eastAsiaTheme="minorEastAsia"/>
              <w:noProof/>
              <w:kern w:val="0"/>
              <w:sz w:val="22"/>
              <w:szCs w:val="22"/>
              <w:lang w:val="en-US"/>
              <w14:ligatures w14:val="none"/>
            </w:rPr>
          </w:pPr>
          <w:hyperlink w:anchor="_Toc228482318" w:history="1">
            <w:r w:rsidRPr="00554493">
              <w:rPr>
                <w:rStyle w:val="Hyperlink"/>
                <w:noProof/>
              </w:rPr>
              <w:t>2 External and Internal Environment Analysis</w:t>
            </w:r>
            <w:r>
              <w:rPr>
                <w:noProof/>
                <w:webHidden/>
              </w:rPr>
              <w:tab/>
            </w:r>
            <w:r>
              <w:rPr>
                <w:noProof/>
                <w:webHidden/>
              </w:rPr>
              <w:fldChar w:fldCharType="begin"/>
            </w:r>
            <w:r>
              <w:rPr>
                <w:noProof/>
                <w:webHidden/>
              </w:rPr>
              <w:instrText xml:space="preserve"> PAGEREF _Toc228482318 \h </w:instrText>
            </w:r>
            <w:r>
              <w:rPr>
                <w:noProof/>
                <w:webHidden/>
              </w:rPr>
            </w:r>
            <w:r>
              <w:rPr>
                <w:noProof/>
                <w:webHidden/>
              </w:rPr>
              <w:fldChar w:fldCharType="separate"/>
            </w:r>
            <w:r>
              <w:rPr>
                <w:noProof/>
                <w:webHidden/>
              </w:rPr>
              <w:t>6</w:t>
            </w:r>
            <w:r>
              <w:rPr>
                <w:noProof/>
                <w:webHidden/>
              </w:rPr>
              <w:fldChar w:fldCharType="end"/>
            </w:r>
          </w:hyperlink>
        </w:p>
        <w:p w14:paraId="64FFAFCC" w14:textId="2C5B3C94" w:rsidR="00EC512A" w:rsidRDefault="00EC512A">
          <w:pPr>
            <w:pStyle w:val="TOC2"/>
            <w:tabs>
              <w:tab w:val="right" w:leader="dot" w:pos="9016"/>
            </w:tabs>
            <w:rPr>
              <w:rFonts w:eastAsiaTheme="minorEastAsia"/>
              <w:noProof/>
              <w:kern w:val="0"/>
              <w:sz w:val="22"/>
              <w:szCs w:val="22"/>
              <w:lang w:val="en-US"/>
              <w14:ligatures w14:val="none"/>
            </w:rPr>
          </w:pPr>
          <w:hyperlink w:anchor="_Toc228482319" w:history="1">
            <w:r w:rsidRPr="00554493">
              <w:rPr>
                <w:rStyle w:val="Hyperlink"/>
                <w:noProof/>
              </w:rPr>
              <w:t>2.1 External Environment Analysis (PESTEL)</w:t>
            </w:r>
            <w:r>
              <w:rPr>
                <w:noProof/>
                <w:webHidden/>
              </w:rPr>
              <w:tab/>
            </w:r>
            <w:r>
              <w:rPr>
                <w:noProof/>
                <w:webHidden/>
              </w:rPr>
              <w:fldChar w:fldCharType="begin"/>
            </w:r>
            <w:r>
              <w:rPr>
                <w:noProof/>
                <w:webHidden/>
              </w:rPr>
              <w:instrText xml:space="preserve"> PAGEREF _Toc228482319 \h </w:instrText>
            </w:r>
            <w:r>
              <w:rPr>
                <w:noProof/>
                <w:webHidden/>
              </w:rPr>
            </w:r>
            <w:r>
              <w:rPr>
                <w:noProof/>
                <w:webHidden/>
              </w:rPr>
              <w:fldChar w:fldCharType="separate"/>
            </w:r>
            <w:r>
              <w:rPr>
                <w:noProof/>
                <w:webHidden/>
              </w:rPr>
              <w:t>6</w:t>
            </w:r>
            <w:r>
              <w:rPr>
                <w:noProof/>
                <w:webHidden/>
              </w:rPr>
              <w:fldChar w:fldCharType="end"/>
            </w:r>
          </w:hyperlink>
        </w:p>
        <w:p w14:paraId="40080B89" w14:textId="0E345095" w:rsidR="00EC512A" w:rsidRDefault="00EC512A">
          <w:pPr>
            <w:pStyle w:val="TOC3"/>
            <w:tabs>
              <w:tab w:val="right" w:leader="dot" w:pos="9016"/>
            </w:tabs>
            <w:rPr>
              <w:rFonts w:eastAsiaTheme="minorEastAsia"/>
              <w:noProof/>
              <w:kern w:val="0"/>
              <w:sz w:val="22"/>
              <w:szCs w:val="22"/>
              <w:lang w:val="en-US"/>
              <w14:ligatures w14:val="none"/>
            </w:rPr>
          </w:pPr>
          <w:hyperlink w:anchor="_Toc228482320" w:history="1">
            <w:r w:rsidRPr="00554493">
              <w:rPr>
                <w:rStyle w:val="Hyperlink"/>
                <w:noProof/>
              </w:rPr>
              <w:t>Political Factors (Threat)</w:t>
            </w:r>
            <w:r>
              <w:rPr>
                <w:noProof/>
                <w:webHidden/>
              </w:rPr>
              <w:tab/>
            </w:r>
            <w:r>
              <w:rPr>
                <w:noProof/>
                <w:webHidden/>
              </w:rPr>
              <w:fldChar w:fldCharType="begin"/>
            </w:r>
            <w:r>
              <w:rPr>
                <w:noProof/>
                <w:webHidden/>
              </w:rPr>
              <w:instrText xml:space="preserve"> PAGEREF _Toc228482320 \h </w:instrText>
            </w:r>
            <w:r>
              <w:rPr>
                <w:noProof/>
                <w:webHidden/>
              </w:rPr>
            </w:r>
            <w:r>
              <w:rPr>
                <w:noProof/>
                <w:webHidden/>
              </w:rPr>
              <w:fldChar w:fldCharType="separate"/>
            </w:r>
            <w:r>
              <w:rPr>
                <w:noProof/>
                <w:webHidden/>
              </w:rPr>
              <w:t>6</w:t>
            </w:r>
            <w:r>
              <w:rPr>
                <w:noProof/>
                <w:webHidden/>
              </w:rPr>
              <w:fldChar w:fldCharType="end"/>
            </w:r>
          </w:hyperlink>
        </w:p>
        <w:p w14:paraId="0FAF6C3A" w14:textId="5F91CC1B" w:rsidR="00EC512A" w:rsidRDefault="00EC512A">
          <w:pPr>
            <w:pStyle w:val="TOC3"/>
            <w:tabs>
              <w:tab w:val="right" w:leader="dot" w:pos="9016"/>
            </w:tabs>
            <w:rPr>
              <w:rFonts w:eastAsiaTheme="minorEastAsia"/>
              <w:noProof/>
              <w:kern w:val="0"/>
              <w:sz w:val="22"/>
              <w:szCs w:val="22"/>
              <w:lang w:val="en-US"/>
              <w14:ligatures w14:val="none"/>
            </w:rPr>
          </w:pPr>
          <w:hyperlink w:anchor="_Toc228482321" w:history="1">
            <w:r w:rsidRPr="00554493">
              <w:rPr>
                <w:rStyle w:val="Hyperlink"/>
                <w:noProof/>
              </w:rPr>
              <w:t>Economic Factors (Threat)</w:t>
            </w:r>
            <w:r>
              <w:rPr>
                <w:noProof/>
                <w:webHidden/>
              </w:rPr>
              <w:tab/>
            </w:r>
            <w:r>
              <w:rPr>
                <w:noProof/>
                <w:webHidden/>
              </w:rPr>
              <w:fldChar w:fldCharType="begin"/>
            </w:r>
            <w:r>
              <w:rPr>
                <w:noProof/>
                <w:webHidden/>
              </w:rPr>
              <w:instrText xml:space="preserve"> PAGEREF _Toc228482321 \h </w:instrText>
            </w:r>
            <w:r>
              <w:rPr>
                <w:noProof/>
                <w:webHidden/>
              </w:rPr>
            </w:r>
            <w:r>
              <w:rPr>
                <w:noProof/>
                <w:webHidden/>
              </w:rPr>
              <w:fldChar w:fldCharType="separate"/>
            </w:r>
            <w:r>
              <w:rPr>
                <w:noProof/>
                <w:webHidden/>
              </w:rPr>
              <w:t>6</w:t>
            </w:r>
            <w:r>
              <w:rPr>
                <w:noProof/>
                <w:webHidden/>
              </w:rPr>
              <w:fldChar w:fldCharType="end"/>
            </w:r>
          </w:hyperlink>
        </w:p>
        <w:p w14:paraId="57D79E4C" w14:textId="03AE48CC" w:rsidR="00EC512A" w:rsidRDefault="00EC512A">
          <w:pPr>
            <w:pStyle w:val="TOC3"/>
            <w:tabs>
              <w:tab w:val="right" w:leader="dot" w:pos="9016"/>
            </w:tabs>
            <w:rPr>
              <w:rFonts w:eastAsiaTheme="minorEastAsia"/>
              <w:noProof/>
              <w:kern w:val="0"/>
              <w:sz w:val="22"/>
              <w:szCs w:val="22"/>
              <w:lang w:val="en-US"/>
              <w14:ligatures w14:val="none"/>
            </w:rPr>
          </w:pPr>
          <w:hyperlink w:anchor="_Toc228482322" w:history="1">
            <w:r w:rsidRPr="00554493">
              <w:rPr>
                <w:rStyle w:val="Hyperlink"/>
                <w:noProof/>
              </w:rPr>
              <w:t>Sociocultural Factors (Threat and Opportunity)</w:t>
            </w:r>
            <w:r>
              <w:rPr>
                <w:noProof/>
                <w:webHidden/>
              </w:rPr>
              <w:tab/>
            </w:r>
            <w:r>
              <w:rPr>
                <w:noProof/>
                <w:webHidden/>
              </w:rPr>
              <w:fldChar w:fldCharType="begin"/>
            </w:r>
            <w:r>
              <w:rPr>
                <w:noProof/>
                <w:webHidden/>
              </w:rPr>
              <w:instrText xml:space="preserve"> PAGEREF _Toc228482322 \h </w:instrText>
            </w:r>
            <w:r>
              <w:rPr>
                <w:noProof/>
                <w:webHidden/>
              </w:rPr>
            </w:r>
            <w:r>
              <w:rPr>
                <w:noProof/>
                <w:webHidden/>
              </w:rPr>
              <w:fldChar w:fldCharType="separate"/>
            </w:r>
            <w:r>
              <w:rPr>
                <w:noProof/>
                <w:webHidden/>
              </w:rPr>
              <w:t>7</w:t>
            </w:r>
            <w:r>
              <w:rPr>
                <w:noProof/>
                <w:webHidden/>
              </w:rPr>
              <w:fldChar w:fldCharType="end"/>
            </w:r>
          </w:hyperlink>
        </w:p>
        <w:p w14:paraId="05E0B06A" w14:textId="3E212F60" w:rsidR="00EC512A" w:rsidRDefault="00EC512A">
          <w:pPr>
            <w:pStyle w:val="TOC3"/>
            <w:tabs>
              <w:tab w:val="right" w:leader="dot" w:pos="9016"/>
            </w:tabs>
            <w:rPr>
              <w:rFonts w:eastAsiaTheme="minorEastAsia"/>
              <w:noProof/>
              <w:kern w:val="0"/>
              <w:sz w:val="22"/>
              <w:szCs w:val="22"/>
              <w:lang w:val="en-US"/>
              <w14:ligatures w14:val="none"/>
            </w:rPr>
          </w:pPr>
          <w:hyperlink w:anchor="_Toc228482323" w:history="1">
            <w:r w:rsidRPr="00554493">
              <w:rPr>
                <w:rStyle w:val="Hyperlink"/>
                <w:noProof/>
              </w:rPr>
              <w:t>Technological Factors (Opportunity)</w:t>
            </w:r>
            <w:r>
              <w:rPr>
                <w:noProof/>
                <w:webHidden/>
              </w:rPr>
              <w:tab/>
            </w:r>
            <w:r>
              <w:rPr>
                <w:noProof/>
                <w:webHidden/>
              </w:rPr>
              <w:fldChar w:fldCharType="begin"/>
            </w:r>
            <w:r>
              <w:rPr>
                <w:noProof/>
                <w:webHidden/>
              </w:rPr>
              <w:instrText xml:space="preserve"> PAGEREF _Toc228482323 \h </w:instrText>
            </w:r>
            <w:r>
              <w:rPr>
                <w:noProof/>
                <w:webHidden/>
              </w:rPr>
            </w:r>
            <w:r>
              <w:rPr>
                <w:noProof/>
                <w:webHidden/>
              </w:rPr>
              <w:fldChar w:fldCharType="separate"/>
            </w:r>
            <w:r>
              <w:rPr>
                <w:noProof/>
                <w:webHidden/>
              </w:rPr>
              <w:t>8</w:t>
            </w:r>
            <w:r>
              <w:rPr>
                <w:noProof/>
                <w:webHidden/>
              </w:rPr>
              <w:fldChar w:fldCharType="end"/>
            </w:r>
          </w:hyperlink>
        </w:p>
        <w:p w14:paraId="17DC8E14" w14:textId="49CF3D15" w:rsidR="00EC512A" w:rsidRDefault="00EC512A">
          <w:pPr>
            <w:pStyle w:val="TOC3"/>
            <w:tabs>
              <w:tab w:val="right" w:leader="dot" w:pos="9016"/>
            </w:tabs>
            <w:rPr>
              <w:rFonts w:eastAsiaTheme="minorEastAsia"/>
              <w:noProof/>
              <w:kern w:val="0"/>
              <w:sz w:val="22"/>
              <w:szCs w:val="22"/>
              <w:lang w:val="en-US"/>
              <w14:ligatures w14:val="none"/>
            </w:rPr>
          </w:pPr>
          <w:hyperlink w:anchor="_Toc228482324" w:history="1">
            <w:r w:rsidRPr="00554493">
              <w:rPr>
                <w:rStyle w:val="Hyperlink"/>
                <w:noProof/>
              </w:rPr>
              <w:t>Environmental Factors (Opportunity)</w:t>
            </w:r>
            <w:r>
              <w:rPr>
                <w:noProof/>
                <w:webHidden/>
              </w:rPr>
              <w:tab/>
            </w:r>
            <w:r>
              <w:rPr>
                <w:noProof/>
                <w:webHidden/>
              </w:rPr>
              <w:fldChar w:fldCharType="begin"/>
            </w:r>
            <w:r>
              <w:rPr>
                <w:noProof/>
                <w:webHidden/>
              </w:rPr>
              <w:instrText xml:space="preserve"> PAGEREF _Toc228482324 \h </w:instrText>
            </w:r>
            <w:r>
              <w:rPr>
                <w:noProof/>
                <w:webHidden/>
              </w:rPr>
            </w:r>
            <w:r>
              <w:rPr>
                <w:noProof/>
                <w:webHidden/>
              </w:rPr>
              <w:fldChar w:fldCharType="separate"/>
            </w:r>
            <w:r>
              <w:rPr>
                <w:noProof/>
                <w:webHidden/>
              </w:rPr>
              <w:t>8</w:t>
            </w:r>
            <w:r>
              <w:rPr>
                <w:noProof/>
                <w:webHidden/>
              </w:rPr>
              <w:fldChar w:fldCharType="end"/>
            </w:r>
          </w:hyperlink>
        </w:p>
        <w:p w14:paraId="03435841" w14:textId="78954043" w:rsidR="00EC512A" w:rsidRDefault="00EC512A">
          <w:pPr>
            <w:pStyle w:val="TOC3"/>
            <w:tabs>
              <w:tab w:val="right" w:leader="dot" w:pos="9016"/>
            </w:tabs>
            <w:rPr>
              <w:rFonts w:eastAsiaTheme="minorEastAsia"/>
              <w:noProof/>
              <w:kern w:val="0"/>
              <w:sz w:val="22"/>
              <w:szCs w:val="22"/>
              <w:lang w:val="en-US"/>
              <w14:ligatures w14:val="none"/>
            </w:rPr>
          </w:pPr>
          <w:hyperlink w:anchor="_Toc228482325" w:history="1">
            <w:r w:rsidRPr="00554493">
              <w:rPr>
                <w:rStyle w:val="Hyperlink"/>
                <w:noProof/>
              </w:rPr>
              <w:t>Legal Factors (Threat)</w:t>
            </w:r>
            <w:r>
              <w:rPr>
                <w:noProof/>
                <w:webHidden/>
              </w:rPr>
              <w:tab/>
            </w:r>
            <w:r>
              <w:rPr>
                <w:noProof/>
                <w:webHidden/>
              </w:rPr>
              <w:fldChar w:fldCharType="begin"/>
            </w:r>
            <w:r>
              <w:rPr>
                <w:noProof/>
                <w:webHidden/>
              </w:rPr>
              <w:instrText xml:space="preserve"> PAGEREF _Toc228482325 \h </w:instrText>
            </w:r>
            <w:r>
              <w:rPr>
                <w:noProof/>
                <w:webHidden/>
              </w:rPr>
            </w:r>
            <w:r>
              <w:rPr>
                <w:noProof/>
                <w:webHidden/>
              </w:rPr>
              <w:fldChar w:fldCharType="separate"/>
            </w:r>
            <w:r>
              <w:rPr>
                <w:noProof/>
                <w:webHidden/>
              </w:rPr>
              <w:t>8</w:t>
            </w:r>
            <w:r>
              <w:rPr>
                <w:noProof/>
                <w:webHidden/>
              </w:rPr>
              <w:fldChar w:fldCharType="end"/>
            </w:r>
          </w:hyperlink>
        </w:p>
        <w:p w14:paraId="499D77ED" w14:textId="1AEF3D43" w:rsidR="00EC512A" w:rsidRDefault="00EC512A">
          <w:pPr>
            <w:pStyle w:val="TOC2"/>
            <w:tabs>
              <w:tab w:val="right" w:leader="dot" w:pos="9016"/>
            </w:tabs>
            <w:rPr>
              <w:rFonts w:eastAsiaTheme="minorEastAsia"/>
              <w:noProof/>
              <w:kern w:val="0"/>
              <w:sz w:val="22"/>
              <w:szCs w:val="22"/>
              <w:lang w:val="en-US"/>
              <w14:ligatures w14:val="none"/>
            </w:rPr>
          </w:pPr>
          <w:hyperlink w:anchor="_Toc228482326" w:history="1">
            <w:r w:rsidRPr="00554493">
              <w:rPr>
                <w:rStyle w:val="Hyperlink"/>
                <w:noProof/>
              </w:rPr>
              <w:t>2.2 Strategic Challenges and Critical Success Factors</w:t>
            </w:r>
            <w:r>
              <w:rPr>
                <w:noProof/>
                <w:webHidden/>
              </w:rPr>
              <w:tab/>
            </w:r>
            <w:r>
              <w:rPr>
                <w:noProof/>
                <w:webHidden/>
              </w:rPr>
              <w:fldChar w:fldCharType="begin"/>
            </w:r>
            <w:r>
              <w:rPr>
                <w:noProof/>
                <w:webHidden/>
              </w:rPr>
              <w:instrText xml:space="preserve"> PAGEREF _Toc228482326 \h </w:instrText>
            </w:r>
            <w:r>
              <w:rPr>
                <w:noProof/>
                <w:webHidden/>
              </w:rPr>
            </w:r>
            <w:r>
              <w:rPr>
                <w:noProof/>
                <w:webHidden/>
              </w:rPr>
              <w:fldChar w:fldCharType="separate"/>
            </w:r>
            <w:r>
              <w:rPr>
                <w:noProof/>
                <w:webHidden/>
              </w:rPr>
              <w:t>9</w:t>
            </w:r>
            <w:r>
              <w:rPr>
                <w:noProof/>
                <w:webHidden/>
              </w:rPr>
              <w:fldChar w:fldCharType="end"/>
            </w:r>
          </w:hyperlink>
        </w:p>
        <w:p w14:paraId="390E8F6D" w14:textId="04452382" w:rsidR="00EC512A" w:rsidRDefault="00EC512A">
          <w:pPr>
            <w:pStyle w:val="TOC2"/>
            <w:tabs>
              <w:tab w:val="right" w:leader="dot" w:pos="9016"/>
            </w:tabs>
            <w:rPr>
              <w:rFonts w:eastAsiaTheme="minorEastAsia"/>
              <w:noProof/>
              <w:kern w:val="0"/>
              <w:sz w:val="22"/>
              <w:szCs w:val="22"/>
              <w:lang w:val="en-US"/>
              <w14:ligatures w14:val="none"/>
            </w:rPr>
          </w:pPr>
          <w:hyperlink w:anchor="_Toc228482327" w:history="1">
            <w:r w:rsidRPr="00554493">
              <w:rPr>
                <w:rStyle w:val="Hyperlink"/>
                <w:noProof/>
              </w:rPr>
              <w:t>2.3 Internal Environmental Factors</w:t>
            </w:r>
            <w:r>
              <w:rPr>
                <w:noProof/>
                <w:webHidden/>
              </w:rPr>
              <w:tab/>
            </w:r>
            <w:r>
              <w:rPr>
                <w:noProof/>
                <w:webHidden/>
              </w:rPr>
              <w:fldChar w:fldCharType="begin"/>
            </w:r>
            <w:r>
              <w:rPr>
                <w:noProof/>
                <w:webHidden/>
              </w:rPr>
              <w:instrText xml:space="preserve"> PAGEREF _Toc228482327 \h </w:instrText>
            </w:r>
            <w:r>
              <w:rPr>
                <w:noProof/>
                <w:webHidden/>
              </w:rPr>
            </w:r>
            <w:r>
              <w:rPr>
                <w:noProof/>
                <w:webHidden/>
              </w:rPr>
              <w:fldChar w:fldCharType="separate"/>
            </w:r>
            <w:r>
              <w:rPr>
                <w:noProof/>
                <w:webHidden/>
              </w:rPr>
              <w:t>10</w:t>
            </w:r>
            <w:r>
              <w:rPr>
                <w:noProof/>
                <w:webHidden/>
              </w:rPr>
              <w:fldChar w:fldCharType="end"/>
            </w:r>
          </w:hyperlink>
        </w:p>
        <w:p w14:paraId="7EA10849" w14:textId="5F43528F" w:rsidR="00EC512A" w:rsidRDefault="00EC512A">
          <w:pPr>
            <w:pStyle w:val="TOC2"/>
            <w:tabs>
              <w:tab w:val="right" w:leader="dot" w:pos="9016"/>
            </w:tabs>
            <w:rPr>
              <w:rFonts w:eastAsiaTheme="minorEastAsia"/>
              <w:noProof/>
              <w:kern w:val="0"/>
              <w:sz w:val="22"/>
              <w:szCs w:val="22"/>
              <w:lang w:val="en-US"/>
              <w14:ligatures w14:val="none"/>
            </w:rPr>
          </w:pPr>
          <w:hyperlink w:anchor="_Toc228482328" w:history="1">
            <w:r w:rsidRPr="00554493">
              <w:rPr>
                <w:rStyle w:val="Hyperlink"/>
                <w:noProof/>
              </w:rPr>
              <w:t>2.4 Definition of Strategic Challenges</w:t>
            </w:r>
            <w:r>
              <w:rPr>
                <w:noProof/>
                <w:webHidden/>
              </w:rPr>
              <w:tab/>
            </w:r>
            <w:r>
              <w:rPr>
                <w:noProof/>
                <w:webHidden/>
              </w:rPr>
              <w:fldChar w:fldCharType="begin"/>
            </w:r>
            <w:r>
              <w:rPr>
                <w:noProof/>
                <w:webHidden/>
              </w:rPr>
              <w:instrText xml:space="preserve"> PAGEREF _Toc228482328 \h </w:instrText>
            </w:r>
            <w:r>
              <w:rPr>
                <w:noProof/>
                <w:webHidden/>
              </w:rPr>
            </w:r>
            <w:r>
              <w:rPr>
                <w:noProof/>
                <w:webHidden/>
              </w:rPr>
              <w:fldChar w:fldCharType="separate"/>
            </w:r>
            <w:r>
              <w:rPr>
                <w:noProof/>
                <w:webHidden/>
              </w:rPr>
              <w:t>11</w:t>
            </w:r>
            <w:r>
              <w:rPr>
                <w:noProof/>
                <w:webHidden/>
              </w:rPr>
              <w:fldChar w:fldCharType="end"/>
            </w:r>
          </w:hyperlink>
        </w:p>
        <w:p w14:paraId="02C7C180" w14:textId="3A0207BB" w:rsidR="00EC512A" w:rsidRDefault="00EC512A">
          <w:pPr>
            <w:pStyle w:val="TOC2"/>
            <w:tabs>
              <w:tab w:val="right" w:leader="dot" w:pos="9016"/>
            </w:tabs>
            <w:rPr>
              <w:rFonts w:eastAsiaTheme="minorEastAsia"/>
              <w:noProof/>
              <w:kern w:val="0"/>
              <w:sz w:val="22"/>
              <w:szCs w:val="22"/>
              <w:lang w:val="en-US"/>
              <w14:ligatures w14:val="none"/>
            </w:rPr>
          </w:pPr>
          <w:hyperlink w:anchor="_Toc228482329" w:history="1">
            <w:r w:rsidRPr="00554493">
              <w:rPr>
                <w:rStyle w:val="Hyperlink"/>
                <w:noProof/>
              </w:rPr>
              <w:t>2.5 Internal Strengths</w:t>
            </w:r>
            <w:r>
              <w:rPr>
                <w:noProof/>
                <w:webHidden/>
              </w:rPr>
              <w:tab/>
            </w:r>
            <w:r>
              <w:rPr>
                <w:noProof/>
                <w:webHidden/>
              </w:rPr>
              <w:fldChar w:fldCharType="begin"/>
            </w:r>
            <w:r>
              <w:rPr>
                <w:noProof/>
                <w:webHidden/>
              </w:rPr>
              <w:instrText xml:space="preserve"> PAGEREF _Toc228482329 \h </w:instrText>
            </w:r>
            <w:r>
              <w:rPr>
                <w:noProof/>
                <w:webHidden/>
              </w:rPr>
            </w:r>
            <w:r>
              <w:rPr>
                <w:noProof/>
                <w:webHidden/>
              </w:rPr>
              <w:fldChar w:fldCharType="separate"/>
            </w:r>
            <w:r>
              <w:rPr>
                <w:noProof/>
                <w:webHidden/>
              </w:rPr>
              <w:t>12</w:t>
            </w:r>
            <w:r>
              <w:rPr>
                <w:noProof/>
                <w:webHidden/>
              </w:rPr>
              <w:fldChar w:fldCharType="end"/>
            </w:r>
          </w:hyperlink>
        </w:p>
        <w:p w14:paraId="4456EB0B" w14:textId="2AB6CA13" w:rsidR="00EC512A" w:rsidRDefault="00EC512A">
          <w:pPr>
            <w:pStyle w:val="TOC1"/>
            <w:tabs>
              <w:tab w:val="right" w:leader="dot" w:pos="9016"/>
            </w:tabs>
            <w:rPr>
              <w:rFonts w:eastAsiaTheme="minorEastAsia"/>
              <w:noProof/>
              <w:kern w:val="0"/>
              <w:sz w:val="22"/>
              <w:szCs w:val="22"/>
              <w:lang w:val="en-US"/>
              <w14:ligatures w14:val="none"/>
            </w:rPr>
          </w:pPr>
          <w:hyperlink w:anchor="_Toc228482330" w:history="1">
            <w:r w:rsidRPr="00554493">
              <w:rPr>
                <w:rStyle w:val="Hyperlink"/>
                <w:noProof/>
              </w:rPr>
              <w:t>3. CSR Strategy and Sustainability</w:t>
            </w:r>
            <w:r>
              <w:rPr>
                <w:noProof/>
                <w:webHidden/>
              </w:rPr>
              <w:tab/>
            </w:r>
            <w:r>
              <w:rPr>
                <w:noProof/>
                <w:webHidden/>
              </w:rPr>
              <w:fldChar w:fldCharType="begin"/>
            </w:r>
            <w:r>
              <w:rPr>
                <w:noProof/>
                <w:webHidden/>
              </w:rPr>
              <w:instrText xml:space="preserve"> PAGEREF _Toc228482330 \h </w:instrText>
            </w:r>
            <w:r>
              <w:rPr>
                <w:noProof/>
                <w:webHidden/>
              </w:rPr>
            </w:r>
            <w:r>
              <w:rPr>
                <w:noProof/>
                <w:webHidden/>
              </w:rPr>
              <w:fldChar w:fldCharType="separate"/>
            </w:r>
            <w:r>
              <w:rPr>
                <w:noProof/>
                <w:webHidden/>
              </w:rPr>
              <w:t>13</w:t>
            </w:r>
            <w:r>
              <w:rPr>
                <w:noProof/>
                <w:webHidden/>
              </w:rPr>
              <w:fldChar w:fldCharType="end"/>
            </w:r>
          </w:hyperlink>
        </w:p>
        <w:p w14:paraId="5583F0E5" w14:textId="7CCA10C9" w:rsidR="00EC512A" w:rsidRDefault="00EC512A">
          <w:pPr>
            <w:pStyle w:val="TOC2"/>
            <w:tabs>
              <w:tab w:val="right" w:leader="dot" w:pos="9016"/>
            </w:tabs>
            <w:rPr>
              <w:rFonts w:eastAsiaTheme="minorEastAsia"/>
              <w:noProof/>
              <w:kern w:val="0"/>
              <w:sz w:val="22"/>
              <w:szCs w:val="22"/>
              <w:lang w:val="en-US"/>
              <w14:ligatures w14:val="none"/>
            </w:rPr>
          </w:pPr>
          <w:hyperlink w:anchor="_Toc228482331" w:history="1">
            <w:r w:rsidRPr="00554493">
              <w:rPr>
                <w:rStyle w:val="Hyperlink"/>
                <w:noProof/>
              </w:rPr>
              <w:t>3.1 Nike’s CSR Strategy and Its Alignment with Business Objectives</w:t>
            </w:r>
            <w:r>
              <w:rPr>
                <w:noProof/>
                <w:webHidden/>
              </w:rPr>
              <w:tab/>
            </w:r>
            <w:r>
              <w:rPr>
                <w:noProof/>
                <w:webHidden/>
              </w:rPr>
              <w:fldChar w:fldCharType="begin"/>
            </w:r>
            <w:r>
              <w:rPr>
                <w:noProof/>
                <w:webHidden/>
              </w:rPr>
              <w:instrText xml:space="preserve"> PAGEREF _Toc228482331 \h </w:instrText>
            </w:r>
            <w:r>
              <w:rPr>
                <w:noProof/>
                <w:webHidden/>
              </w:rPr>
            </w:r>
            <w:r>
              <w:rPr>
                <w:noProof/>
                <w:webHidden/>
              </w:rPr>
              <w:fldChar w:fldCharType="separate"/>
            </w:r>
            <w:r>
              <w:rPr>
                <w:noProof/>
                <w:webHidden/>
              </w:rPr>
              <w:t>13</w:t>
            </w:r>
            <w:r>
              <w:rPr>
                <w:noProof/>
                <w:webHidden/>
              </w:rPr>
              <w:fldChar w:fldCharType="end"/>
            </w:r>
          </w:hyperlink>
        </w:p>
        <w:p w14:paraId="41BD6140" w14:textId="69D04061" w:rsidR="00EC512A" w:rsidRDefault="00EC512A">
          <w:pPr>
            <w:pStyle w:val="TOC2"/>
            <w:tabs>
              <w:tab w:val="right" w:leader="dot" w:pos="9016"/>
            </w:tabs>
            <w:rPr>
              <w:rFonts w:eastAsiaTheme="minorEastAsia"/>
              <w:noProof/>
              <w:kern w:val="0"/>
              <w:sz w:val="22"/>
              <w:szCs w:val="22"/>
              <w:lang w:val="en-US"/>
              <w14:ligatures w14:val="none"/>
            </w:rPr>
          </w:pPr>
          <w:hyperlink w:anchor="_Toc228482332" w:history="1">
            <w:r w:rsidRPr="00554493">
              <w:rPr>
                <w:rStyle w:val="Hyperlink"/>
                <w:noProof/>
              </w:rPr>
              <w:t>3.2 Critical Evaluation:</w:t>
            </w:r>
            <w:r>
              <w:rPr>
                <w:noProof/>
                <w:webHidden/>
              </w:rPr>
              <w:tab/>
            </w:r>
            <w:r>
              <w:rPr>
                <w:noProof/>
                <w:webHidden/>
              </w:rPr>
              <w:fldChar w:fldCharType="begin"/>
            </w:r>
            <w:r>
              <w:rPr>
                <w:noProof/>
                <w:webHidden/>
              </w:rPr>
              <w:instrText xml:space="preserve"> PAGEREF _Toc228482332 \h </w:instrText>
            </w:r>
            <w:r>
              <w:rPr>
                <w:noProof/>
                <w:webHidden/>
              </w:rPr>
            </w:r>
            <w:r>
              <w:rPr>
                <w:noProof/>
                <w:webHidden/>
              </w:rPr>
              <w:fldChar w:fldCharType="separate"/>
            </w:r>
            <w:r>
              <w:rPr>
                <w:noProof/>
                <w:webHidden/>
              </w:rPr>
              <w:t>13</w:t>
            </w:r>
            <w:r>
              <w:rPr>
                <w:noProof/>
                <w:webHidden/>
              </w:rPr>
              <w:fldChar w:fldCharType="end"/>
            </w:r>
          </w:hyperlink>
        </w:p>
        <w:p w14:paraId="1948A8D9" w14:textId="1C90F116" w:rsidR="00EC512A" w:rsidRDefault="00EC512A">
          <w:pPr>
            <w:pStyle w:val="TOC1"/>
            <w:tabs>
              <w:tab w:val="right" w:leader="dot" w:pos="9016"/>
            </w:tabs>
            <w:rPr>
              <w:rFonts w:eastAsiaTheme="minorEastAsia"/>
              <w:noProof/>
              <w:kern w:val="0"/>
              <w:sz w:val="22"/>
              <w:szCs w:val="22"/>
              <w:lang w:val="en-US"/>
              <w14:ligatures w14:val="none"/>
            </w:rPr>
          </w:pPr>
          <w:hyperlink w:anchor="_Toc228482333" w:history="1">
            <w:r w:rsidRPr="00554493">
              <w:rPr>
                <w:rStyle w:val="Hyperlink"/>
                <w:noProof/>
              </w:rPr>
              <w:t>4. Comprehensive and Holistic View: Balanced Scorecard Analysis</w:t>
            </w:r>
            <w:r>
              <w:rPr>
                <w:noProof/>
                <w:webHidden/>
              </w:rPr>
              <w:tab/>
            </w:r>
            <w:r>
              <w:rPr>
                <w:noProof/>
                <w:webHidden/>
              </w:rPr>
              <w:fldChar w:fldCharType="begin"/>
            </w:r>
            <w:r>
              <w:rPr>
                <w:noProof/>
                <w:webHidden/>
              </w:rPr>
              <w:instrText xml:space="preserve"> PAGEREF _Toc228482333 \h </w:instrText>
            </w:r>
            <w:r>
              <w:rPr>
                <w:noProof/>
                <w:webHidden/>
              </w:rPr>
            </w:r>
            <w:r>
              <w:rPr>
                <w:noProof/>
                <w:webHidden/>
              </w:rPr>
              <w:fldChar w:fldCharType="separate"/>
            </w:r>
            <w:r>
              <w:rPr>
                <w:noProof/>
                <w:webHidden/>
              </w:rPr>
              <w:t>13</w:t>
            </w:r>
            <w:r>
              <w:rPr>
                <w:noProof/>
                <w:webHidden/>
              </w:rPr>
              <w:fldChar w:fldCharType="end"/>
            </w:r>
          </w:hyperlink>
        </w:p>
        <w:p w14:paraId="13824315" w14:textId="5CE48A29" w:rsidR="00EC512A" w:rsidRDefault="00EC512A">
          <w:pPr>
            <w:pStyle w:val="TOC2"/>
            <w:tabs>
              <w:tab w:val="right" w:leader="dot" w:pos="9016"/>
            </w:tabs>
            <w:rPr>
              <w:rFonts w:eastAsiaTheme="minorEastAsia"/>
              <w:noProof/>
              <w:kern w:val="0"/>
              <w:sz w:val="22"/>
              <w:szCs w:val="22"/>
              <w:lang w:val="en-US"/>
              <w14:ligatures w14:val="none"/>
            </w:rPr>
          </w:pPr>
          <w:hyperlink w:anchor="_Toc228482334" w:history="1">
            <w:r w:rsidRPr="00554493">
              <w:rPr>
                <w:rStyle w:val="Hyperlink"/>
                <w:noProof/>
              </w:rPr>
              <w:t>4.1 Four Core perspective analysis:</w:t>
            </w:r>
            <w:r>
              <w:rPr>
                <w:noProof/>
                <w:webHidden/>
              </w:rPr>
              <w:tab/>
            </w:r>
            <w:r>
              <w:rPr>
                <w:noProof/>
                <w:webHidden/>
              </w:rPr>
              <w:fldChar w:fldCharType="begin"/>
            </w:r>
            <w:r>
              <w:rPr>
                <w:noProof/>
                <w:webHidden/>
              </w:rPr>
              <w:instrText xml:space="preserve"> PAGEREF _Toc228482334 \h </w:instrText>
            </w:r>
            <w:r>
              <w:rPr>
                <w:noProof/>
                <w:webHidden/>
              </w:rPr>
            </w:r>
            <w:r>
              <w:rPr>
                <w:noProof/>
                <w:webHidden/>
              </w:rPr>
              <w:fldChar w:fldCharType="separate"/>
            </w:r>
            <w:r>
              <w:rPr>
                <w:noProof/>
                <w:webHidden/>
              </w:rPr>
              <w:t>14</w:t>
            </w:r>
            <w:r>
              <w:rPr>
                <w:noProof/>
                <w:webHidden/>
              </w:rPr>
              <w:fldChar w:fldCharType="end"/>
            </w:r>
          </w:hyperlink>
        </w:p>
        <w:p w14:paraId="07544397" w14:textId="2DADC9AA" w:rsidR="00EC512A" w:rsidRDefault="00EC512A">
          <w:pPr>
            <w:pStyle w:val="TOC3"/>
            <w:tabs>
              <w:tab w:val="right" w:leader="dot" w:pos="9016"/>
            </w:tabs>
            <w:rPr>
              <w:rFonts w:eastAsiaTheme="minorEastAsia"/>
              <w:noProof/>
              <w:kern w:val="0"/>
              <w:sz w:val="22"/>
              <w:szCs w:val="22"/>
              <w:lang w:val="en-US"/>
              <w14:ligatures w14:val="none"/>
            </w:rPr>
          </w:pPr>
          <w:hyperlink w:anchor="_Toc228482335" w:history="1">
            <w:r w:rsidRPr="00554493">
              <w:rPr>
                <w:rStyle w:val="Hyperlink"/>
                <w:noProof/>
              </w:rPr>
              <w:t>Financial Perspective</w:t>
            </w:r>
            <w:r>
              <w:rPr>
                <w:noProof/>
                <w:webHidden/>
              </w:rPr>
              <w:tab/>
            </w:r>
            <w:r>
              <w:rPr>
                <w:noProof/>
                <w:webHidden/>
              </w:rPr>
              <w:fldChar w:fldCharType="begin"/>
            </w:r>
            <w:r>
              <w:rPr>
                <w:noProof/>
                <w:webHidden/>
              </w:rPr>
              <w:instrText xml:space="preserve"> PAGEREF _Toc228482335 \h </w:instrText>
            </w:r>
            <w:r>
              <w:rPr>
                <w:noProof/>
                <w:webHidden/>
              </w:rPr>
            </w:r>
            <w:r>
              <w:rPr>
                <w:noProof/>
                <w:webHidden/>
              </w:rPr>
              <w:fldChar w:fldCharType="separate"/>
            </w:r>
            <w:r>
              <w:rPr>
                <w:noProof/>
                <w:webHidden/>
              </w:rPr>
              <w:t>14</w:t>
            </w:r>
            <w:r>
              <w:rPr>
                <w:noProof/>
                <w:webHidden/>
              </w:rPr>
              <w:fldChar w:fldCharType="end"/>
            </w:r>
          </w:hyperlink>
        </w:p>
        <w:p w14:paraId="46B1ABDB" w14:textId="097A4DE6" w:rsidR="00EC512A" w:rsidRDefault="00EC512A">
          <w:pPr>
            <w:pStyle w:val="TOC3"/>
            <w:tabs>
              <w:tab w:val="right" w:leader="dot" w:pos="9016"/>
            </w:tabs>
            <w:rPr>
              <w:rFonts w:eastAsiaTheme="minorEastAsia"/>
              <w:noProof/>
              <w:kern w:val="0"/>
              <w:sz w:val="22"/>
              <w:szCs w:val="22"/>
              <w:lang w:val="en-US"/>
              <w14:ligatures w14:val="none"/>
            </w:rPr>
          </w:pPr>
          <w:hyperlink w:anchor="_Toc228482336" w:history="1">
            <w:r w:rsidRPr="00554493">
              <w:rPr>
                <w:rStyle w:val="Hyperlink"/>
                <w:noProof/>
              </w:rPr>
              <w:t>Customer Perspective</w:t>
            </w:r>
            <w:r>
              <w:rPr>
                <w:noProof/>
                <w:webHidden/>
              </w:rPr>
              <w:tab/>
            </w:r>
            <w:r>
              <w:rPr>
                <w:noProof/>
                <w:webHidden/>
              </w:rPr>
              <w:fldChar w:fldCharType="begin"/>
            </w:r>
            <w:r>
              <w:rPr>
                <w:noProof/>
                <w:webHidden/>
              </w:rPr>
              <w:instrText xml:space="preserve"> PAGEREF _Toc228482336 \h </w:instrText>
            </w:r>
            <w:r>
              <w:rPr>
                <w:noProof/>
                <w:webHidden/>
              </w:rPr>
            </w:r>
            <w:r>
              <w:rPr>
                <w:noProof/>
                <w:webHidden/>
              </w:rPr>
              <w:fldChar w:fldCharType="separate"/>
            </w:r>
            <w:r>
              <w:rPr>
                <w:noProof/>
                <w:webHidden/>
              </w:rPr>
              <w:t>14</w:t>
            </w:r>
            <w:r>
              <w:rPr>
                <w:noProof/>
                <w:webHidden/>
              </w:rPr>
              <w:fldChar w:fldCharType="end"/>
            </w:r>
          </w:hyperlink>
        </w:p>
        <w:p w14:paraId="291ACCA6" w14:textId="1E952269" w:rsidR="00EC512A" w:rsidRDefault="00EC512A">
          <w:pPr>
            <w:pStyle w:val="TOC3"/>
            <w:tabs>
              <w:tab w:val="right" w:leader="dot" w:pos="9016"/>
            </w:tabs>
            <w:rPr>
              <w:rFonts w:eastAsiaTheme="minorEastAsia"/>
              <w:noProof/>
              <w:kern w:val="0"/>
              <w:sz w:val="22"/>
              <w:szCs w:val="22"/>
              <w:lang w:val="en-US"/>
              <w14:ligatures w14:val="none"/>
            </w:rPr>
          </w:pPr>
          <w:hyperlink w:anchor="_Toc228482337" w:history="1">
            <w:r w:rsidRPr="00554493">
              <w:rPr>
                <w:rStyle w:val="Hyperlink"/>
                <w:noProof/>
              </w:rPr>
              <w:t>Internal Business Processes Perspective</w:t>
            </w:r>
            <w:r>
              <w:rPr>
                <w:noProof/>
                <w:webHidden/>
              </w:rPr>
              <w:tab/>
            </w:r>
            <w:r>
              <w:rPr>
                <w:noProof/>
                <w:webHidden/>
              </w:rPr>
              <w:fldChar w:fldCharType="begin"/>
            </w:r>
            <w:r>
              <w:rPr>
                <w:noProof/>
                <w:webHidden/>
              </w:rPr>
              <w:instrText xml:space="preserve"> PAGEREF _Toc228482337 \h </w:instrText>
            </w:r>
            <w:r>
              <w:rPr>
                <w:noProof/>
                <w:webHidden/>
              </w:rPr>
            </w:r>
            <w:r>
              <w:rPr>
                <w:noProof/>
                <w:webHidden/>
              </w:rPr>
              <w:fldChar w:fldCharType="separate"/>
            </w:r>
            <w:r>
              <w:rPr>
                <w:noProof/>
                <w:webHidden/>
              </w:rPr>
              <w:t>14</w:t>
            </w:r>
            <w:r>
              <w:rPr>
                <w:noProof/>
                <w:webHidden/>
              </w:rPr>
              <w:fldChar w:fldCharType="end"/>
            </w:r>
          </w:hyperlink>
        </w:p>
        <w:p w14:paraId="0429B8DA" w14:textId="07646CDA" w:rsidR="00EC512A" w:rsidRDefault="00EC512A">
          <w:pPr>
            <w:pStyle w:val="TOC3"/>
            <w:tabs>
              <w:tab w:val="right" w:leader="dot" w:pos="9016"/>
            </w:tabs>
            <w:rPr>
              <w:rFonts w:eastAsiaTheme="minorEastAsia"/>
              <w:noProof/>
              <w:kern w:val="0"/>
              <w:sz w:val="22"/>
              <w:szCs w:val="22"/>
              <w:lang w:val="en-US"/>
              <w14:ligatures w14:val="none"/>
            </w:rPr>
          </w:pPr>
          <w:hyperlink w:anchor="_Toc228482338" w:history="1">
            <w:r w:rsidRPr="00554493">
              <w:rPr>
                <w:rStyle w:val="Hyperlink"/>
                <w:noProof/>
              </w:rPr>
              <w:t>Learning and Growth Perspective</w:t>
            </w:r>
            <w:r>
              <w:rPr>
                <w:noProof/>
                <w:webHidden/>
              </w:rPr>
              <w:tab/>
            </w:r>
            <w:r>
              <w:rPr>
                <w:noProof/>
                <w:webHidden/>
              </w:rPr>
              <w:fldChar w:fldCharType="begin"/>
            </w:r>
            <w:r>
              <w:rPr>
                <w:noProof/>
                <w:webHidden/>
              </w:rPr>
              <w:instrText xml:space="preserve"> PAGEREF _Toc228482338 \h </w:instrText>
            </w:r>
            <w:r>
              <w:rPr>
                <w:noProof/>
                <w:webHidden/>
              </w:rPr>
            </w:r>
            <w:r>
              <w:rPr>
                <w:noProof/>
                <w:webHidden/>
              </w:rPr>
              <w:fldChar w:fldCharType="separate"/>
            </w:r>
            <w:r>
              <w:rPr>
                <w:noProof/>
                <w:webHidden/>
              </w:rPr>
              <w:t>14</w:t>
            </w:r>
            <w:r>
              <w:rPr>
                <w:noProof/>
                <w:webHidden/>
              </w:rPr>
              <w:fldChar w:fldCharType="end"/>
            </w:r>
          </w:hyperlink>
        </w:p>
        <w:p w14:paraId="4FA52DAE" w14:textId="1727B9A9" w:rsidR="00EC512A" w:rsidRDefault="00EC512A">
          <w:pPr>
            <w:pStyle w:val="TOC1"/>
            <w:tabs>
              <w:tab w:val="right" w:leader="dot" w:pos="9016"/>
            </w:tabs>
            <w:rPr>
              <w:rFonts w:eastAsiaTheme="minorEastAsia"/>
              <w:noProof/>
              <w:kern w:val="0"/>
              <w:sz w:val="22"/>
              <w:szCs w:val="22"/>
              <w:lang w:val="en-US"/>
              <w14:ligatures w14:val="none"/>
            </w:rPr>
          </w:pPr>
          <w:hyperlink w:anchor="_Toc228482339" w:history="1">
            <w:r w:rsidRPr="00554493">
              <w:rPr>
                <w:rStyle w:val="Hyperlink"/>
                <w:noProof/>
              </w:rPr>
              <w:t>5. Strategic Choices and Implementation</w:t>
            </w:r>
            <w:r>
              <w:rPr>
                <w:noProof/>
                <w:webHidden/>
              </w:rPr>
              <w:tab/>
            </w:r>
            <w:r>
              <w:rPr>
                <w:noProof/>
                <w:webHidden/>
              </w:rPr>
              <w:fldChar w:fldCharType="begin"/>
            </w:r>
            <w:r>
              <w:rPr>
                <w:noProof/>
                <w:webHidden/>
              </w:rPr>
              <w:instrText xml:space="preserve"> PAGEREF _Toc228482339 \h </w:instrText>
            </w:r>
            <w:r>
              <w:rPr>
                <w:noProof/>
                <w:webHidden/>
              </w:rPr>
            </w:r>
            <w:r>
              <w:rPr>
                <w:noProof/>
                <w:webHidden/>
              </w:rPr>
              <w:fldChar w:fldCharType="separate"/>
            </w:r>
            <w:r>
              <w:rPr>
                <w:noProof/>
                <w:webHidden/>
              </w:rPr>
              <w:t>16</w:t>
            </w:r>
            <w:r>
              <w:rPr>
                <w:noProof/>
                <w:webHidden/>
              </w:rPr>
              <w:fldChar w:fldCharType="end"/>
            </w:r>
          </w:hyperlink>
        </w:p>
        <w:p w14:paraId="0ED645AE" w14:textId="0EA42A11" w:rsidR="00EC512A" w:rsidRDefault="00EC512A">
          <w:pPr>
            <w:pStyle w:val="TOC2"/>
            <w:tabs>
              <w:tab w:val="right" w:leader="dot" w:pos="9016"/>
            </w:tabs>
            <w:rPr>
              <w:rFonts w:eastAsiaTheme="minorEastAsia"/>
              <w:noProof/>
              <w:kern w:val="0"/>
              <w:sz w:val="22"/>
              <w:szCs w:val="22"/>
              <w:lang w:val="en-US"/>
              <w14:ligatures w14:val="none"/>
            </w:rPr>
          </w:pPr>
          <w:hyperlink w:anchor="_Toc228482340" w:history="1">
            <w:r w:rsidRPr="00554493">
              <w:rPr>
                <w:rStyle w:val="Hyperlink"/>
                <w:noProof/>
              </w:rPr>
              <w:t>5.1 Evaluation of Strategic Choices Available to Nike</w:t>
            </w:r>
            <w:r>
              <w:rPr>
                <w:noProof/>
                <w:webHidden/>
              </w:rPr>
              <w:tab/>
            </w:r>
            <w:r>
              <w:rPr>
                <w:noProof/>
                <w:webHidden/>
              </w:rPr>
              <w:fldChar w:fldCharType="begin"/>
            </w:r>
            <w:r>
              <w:rPr>
                <w:noProof/>
                <w:webHidden/>
              </w:rPr>
              <w:instrText xml:space="preserve"> PAGEREF _Toc228482340 \h </w:instrText>
            </w:r>
            <w:r>
              <w:rPr>
                <w:noProof/>
                <w:webHidden/>
              </w:rPr>
            </w:r>
            <w:r>
              <w:rPr>
                <w:noProof/>
                <w:webHidden/>
              </w:rPr>
              <w:fldChar w:fldCharType="separate"/>
            </w:r>
            <w:r>
              <w:rPr>
                <w:noProof/>
                <w:webHidden/>
              </w:rPr>
              <w:t>16</w:t>
            </w:r>
            <w:r>
              <w:rPr>
                <w:noProof/>
                <w:webHidden/>
              </w:rPr>
              <w:fldChar w:fldCharType="end"/>
            </w:r>
          </w:hyperlink>
        </w:p>
        <w:p w14:paraId="4D3BD30A" w14:textId="070813BF" w:rsidR="00EC512A" w:rsidRDefault="00EC512A">
          <w:pPr>
            <w:pStyle w:val="TOC2"/>
            <w:tabs>
              <w:tab w:val="right" w:leader="dot" w:pos="9016"/>
            </w:tabs>
            <w:rPr>
              <w:rFonts w:eastAsiaTheme="minorEastAsia"/>
              <w:noProof/>
              <w:kern w:val="0"/>
              <w:sz w:val="22"/>
              <w:szCs w:val="22"/>
              <w:lang w:val="en-US"/>
              <w14:ligatures w14:val="none"/>
            </w:rPr>
          </w:pPr>
          <w:hyperlink w:anchor="_Toc228482341" w:history="1">
            <w:r w:rsidRPr="00554493">
              <w:rPr>
                <w:rStyle w:val="Hyperlink"/>
                <w:noProof/>
              </w:rPr>
              <w:t>5.2 Renewed Differentiation and Dual</w:t>
            </w:r>
            <w:r w:rsidRPr="00554493">
              <w:rPr>
                <w:rStyle w:val="Hyperlink"/>
                <w:rFonts w:ascii="Cambria Math" w:hAnsi="Cambria Math" w:cs="Cambria Math"/>
                <w:noProof/>
              </w:rPr>
              <w:t>‑</w:t>
            </w:r>
            <w:r w:rsidRPr="00554493">
              <w:rPr>
                <w:rStyle w:val="Hyperlink"/>
                <w:noProof/>
              </w:rPr>
              <w:t>Path International Expansion</w:t>
            </w:r>
            <w:r>
              <w:rPr>
                <w:noProof/>
                <w:webHidden/>
              </w:rPr>
              <w:tab/>
            </w:r>
            <w:r>
              <w:rPr>
                <w:noProof/>
                <w:webHidden/>
              </w:rPr>
              <w:fldChar w:fldCharType="begin"/>
            </w:r>
            <w:r>
              <w:rPr>
                <w:noProof/>
                <w:webHidden/>
              </w:rPr>
              <w:instrText xml:space="preserve"> PAGEREF _Toc228482341 \h </w:instrText>
            </w:r>
            <w:r>
              <w:rPr>
                <w:noProof/>
                <w:webHidden/>
              </w:rPr>
            </w:r>
            <w:r>
              <w:rPr>
                <w:noProof/>
                <w:webHidden/>
              </w:rPr>
              <w:fldChar w:fldCharType="separate"/>
            </w:r>
            <w:r>
              <w:rPr>
                <w:noProof/>
                <w:webHidden/>
              </w:rPr>
              <w:t>16</w:t>
            </w:r>
            <w:r>
              <w:rPr>
                <w:noProof/>
                <w:webHidden/>
              </w:rPr>
              <w:fldChar w:fldCharType="end"/>
            </w:r>
          </w:hyperlink>
        </w:p>
        <w:p w14:paraId="0B1C14A2" w14:textId="2BC2DD13" w:rsidR="00EC512A" w:rsidRDefault="00EC512A">
          <w:pPr>
            <w:pStyle w:val="TOC2"/>
            <w:tabs>
              <w:tab w:val="right" w:leader="dot" w:pos="9016"/>
            </w:tabs>
            <w:rPr>
              <w:rFonts w:eastAsiaTheme="minorEastAsia"/>
              <w:noProof/>
              <w:kern w:val="0"/>
              <w:sz w:val="22"/>
              <w:szCs w:val="22"/>
              <w:lang w:val="en-US"/>
              <w14:ligatures w14:val="none"/>
            </w:rPr>
          </w:pPr>
          <w:hyperlink w:anchor="_Toc228482342" w:history="1">
            <w:r w:rsidRPr="00554493">
              <w:rPr>
                <w:rStyle w:val="Hyperlink"/>
                <w:noProof/>
              </w:rPr>
              <w:t>5.3 Critical Assessment of Change Management and Impact on Strategic Implementation</w:t>
            </w:r>
            <w:r>
              <w:rPr>
                <w:noProof/>
                <w:webHidden/>
              </w:rPr>
              <w:tab/>
            </w:r>
            <w:r>
              <w:rPr>
                <w:noProof/>
                <w:webHidden/>
              </w:rPr>
              <w:fldChar w:fldCharType="begin"/>
            </w:r>
            <w:r>
              <w:rPr>
                <w:noProof/>
                <w:webHidden/>
              </w:rPr>
              <w:instrText xml:space="preserve"> PAGEREF _Toc228482342 \h </w:instrText>
            </w:r>
            <w:r>
              <w:rPr>
                <w:noProof/>
                <w:webHidden/>
              </w:rPr>
            </w:r>
            <w:r>
              <w:rPr>
                <w:noProof/>
                <w:webHidden/>
              </w:rPr>
              <w:fldChar w:fldCharType="separate"/>
            </w:r>
            <w:r>
              <w:rPr>
                <w:noProof/>
                <w:webHidden/>
              </w:rPr>
              <w:t>17</w:t>
            </w:r>
            <w:r>
              <w:rPr>
                <w:noProof/>
                <w:webHidden/>
              </w:rPr>
              <w:fldChar w:fldCharType="end"/>
            </w:r>
          </w:hyperlink>
        </w:p>
        <w:p w14:paraId="4F5030D7" w14:textId="0A5AB338" w:rsidR="00EC512A" w:rsidRDefault="00EC512A">
          <w:pPr>
            <w:pStyle w:val="TOC1"/>
            <w:tabs>
              <w:tab w:val="right" w:leader="dot" w:pos="9016"/>
            </w:tabs>
            <w:rPr>
              <w:rFonts w:eastAsiaTheme="minorEastAsia"/>
              <w:noProof/>
              <w:kern w:val="0"/>
              <w:sz w:val="22"/>
              <w:szCs w:val="22"/>
              <w:lang w:val="en-US"/>
              <w14:ligatures w14:val="none"/>
            </w:rPr>
          </w:pPr>
          <w:hyperlink w:anchor="_Toc228482343" w:history="1">
            <w:r w:rsidRPr="00554493">
              <w:rPr>
                <w:rStyle w:val="Hyperlink"/>
                <w:noProof/>
              </w:rPr>
              <w:t>6. Strategic Evaluation and Recommendations</w:t>
            </w:r>
            <w:r>
              <w:rPr>
                <w:noProof/>
                <w:webHidden/>
              </w:rPr>
              <w:tab/>
            </w:r>
            <w:r>
              <w:rPr>
                <w:noProof/>
                <w:webHidden/>
              </w:rPr>
              <w:fldChar w:fldCharType="begin"/>
            </w:r>
            <w:r>
              <w:rPr>
                <w:noProof/>
                <w:webHidden/>
              </w:rPr>
              <w:instrText xml:space="preserve"> PAGEREF _Toc228482343 \h </w:instrText>
            </w:r>
            <w:r>
              <w:rPr>
                <w:noProof/>
                <w:webHidden/>
              </w:rPr>
            </w:r>
            <w:r>
              <w:rPr>
                <w:noProof/>
                <w:webHidden/>
              </w:rPr>
              <w:fldChar w:fldCharType="separate"/>
            </w:r>
            <w:r>
              <w:rPr>
                <w:noProof/>
                <w:webHidden/>
              </w:rPr>
              <w:t>17</w:t>
            </w:r>
            <w:r>
              <w:rPr>
                <w:noProof/>
                <w:webHidden/>
              </w:rPr>
              <w:fldChar w:fldCharType="end"/>
            </w:r>
          </w:hyperlink>
        </w:p>
        <w:p w14:paraId="526E8577" w14:textId="1A1B7C02" w:rsidR="00EC512A" w:rsidRDefault="00EC512A">
          <w:pPr>
            <w:pStyle w:val="TOC1"/>
            <w:tabs>
              <w:tab w:val="right" w:leader="dot" w:pos="9016"/>
            </w:tabs>
            <w:rPr>
              <w:rFonts w:eastAsiaTheme="minorEastAsia"/>
              <w:noProof/>
              <w:kern w:val="0"/>
              <w:sz w:val="22"/>
              <w:szCs w:val="22"/>
              <w:lang w:val="en-US"/>
              <w14:ligatures w14:val="none"/>
            </w:rPr>
          </w:pPr>
          <w:hyperlink w:anchor="_Toc228482344" w:history="1">
            <w:r w:rsidRPr="00554493">
              <w:rPr>
                <w:rStyle w:val="Hyperlink"/>
                <w:noProof/>
              </w:rPr>
              <w:t>Section 02: A Gibbs Reflective Cycle Analysis of the Strategic Management Assessment Process</w:t>
            </w:r>
            <w:r>
              <w:rPr>
                <w:noProof/>
                <w:webHidden/>
              </w:rPr>
              <w:tab/>
            </w:r>
            <w:r>
              <w:rPr>
                <w:noProof/>
                <w:webHidden/>
              </w:rPr>
              <w:fldChar w:fldCharType="begin"/>
            </w:r>
            <w:r>
              <w:rPr>
                <w:noProof/>
                <w:webHidden/>
              </w:rPr>
              <w:instrText xml:space="preserve"> PAGEREF _Toc228482344 \h </w:instrText>
            </w:r>
            <w:r>
              <w:rPr>
                <w:noProof/>
                <w:webHidden/>
              </w:rPr>
            </w:r>
            <w:r>
              <w:rPr>
                <w:noProof/>
                <w:webHidden/>
              </w:rPr>
              <w:fldChar w:fldCharType="separate"/>
            </w:r>
            <w:r>
              <w:rPr>
                <w:noProof/>
                <w:webHidden/>
              </w:rPr>
              <w:t>20</w:t>
            </w:r>
            <w:r>
              <w:rPr>
                <w:noProof/>
                <w:webHidden/>
              </w:rPr>
              <w:fldChar w:fldCharType="end"/>
            </w:r>
          </w:hyperlink>
        </w:p>
        <w:p w14:paraId="75030C81" w14:textId="4AAE24B1" w:rsidR="00EC512A" w:rsidRDefault="00EC512A">
          <w:pPr>
            <w:pStyle w:val="TOC2"/>
            <w:tabs>
              <w:tab w:val="right" w:leader="dot" w:pos="9016"/>
            </w:tabs>
            <w:rPr>
              <w:rFonts w:eastAsiaTheme="minorEastAsia"/>
              <w:noProof/>
              <w:kern w:val="0"/>
              <w:sz w:val="22"/>
              <w:szCs w:val="22"/>
              <w:lang w:val="en-US"/>
              <w14:ligatures w14:val="none"/>
            </w:rPr>
          </w:pPr>
          <w:hyperlink w:anchor="_Toc228482345" w:history="1">
            <w:r w:rsidRPr="00554493">
              <w:rPr>
                <w:rStyle w:val="Hyperlink"/>
                <w:noProof/>
              </w:rPr>
              <w:t>Step 01: Description</w:t>
            </w:r>
            <w:r>
              <w:rPr>
                <w:noProof/>
                <w:webHidden/>
              </w:rPr>
              <w:tab/>
            </w:r>
            <w:r>
              <w:rPr>
                <w:noProof/>
                <w:webHidden/>
              </w:rPr>
              <w:fldChar w:fldCharType="begin"/>
            </w:r>
            <w:r>
              <w:rPr>
                <w:noProof/>
                <w:webHidden/>
              </w:rPr>
              <w:instrText xml:space="preserve"> PAGEREF _Toc228482345 \h </w:instrText>
            </w:r>
            <w:r>
              <w:rPr>
                <w:noProof/>
                <w:webHidden/>
              </w:rPr>
            </w:r>
            <w:r>
              <w:rPr>
                <w:noProof/>
                <w:webHidden/>
              </w:rPr>
              <w:fldChar w:fldCharType="separate"/>
            </w:r>
            <w:r>
              <w:rPr>
                <w:noProof/>
                <w:webHidden/>
              </w:rPr>
              <w:t>20</w:t>
            </w:r>
            <w:r>
              <w:rPr>
                <w:noProof/>
                <w:webHidden/>
              </w:rPr>
              <w:fldChar w:fldCharType="end"/>
            </w:r>
          </w:hyperlink>
        </w:p>
        <w:p w14:paraId="1103AEBF" w14:textId="1A8E0D6A" w:rsidR="00EC512A" w:rsidRDefault="00EC512A">
          <w:pPr>
            <w:pStyle w:val="TOC2"/>
            <w:tabs>
              <w:tab w:val="right" w:leader="dot" w:pos="9016"/>
            </w:tabs>
            <w:rPr>
              <w:rFonts w:eastAsiaTheme="minorEastAsia"/>
              <w:noProof/>
              <w:kern w:val="0"/>
              <w:sz w:val="22"/>
              <w:szCs w:val="22"/>
              <w:lang w:val="en-US"/>
              <w14:ligatures w14:val="none"/>
            </w:rPr>
          </w:pPr>
          <w:hyperlink w:anchor="_Toc228482346" w:history="1">
            <w:r w:rsidRPr="00554493">
              <w:rPr>
                <w:rStyle w:val="Hyperlink"/>
                <w:noProof/>
              </w:rPr>
              <w:t>Step: 02 Feelings</w:t>
            </w:r>
            <w:r>
              <w:rPr>
                <w:noProof/>
                <w:webHidden/>
              </w:rPr>
              <w:tab/>
            </w:r>
            <w:r>
              <w:rPr>
                <w:noProof/>
                <w:webHidden/>
              </w:rPr>
              <w:fldChar w:fldCharType="begin"/>
            </w:r>
            <w:r>
              <w:rPr>
                <w:noProof/>
                <w:webHidden/>
              </w:rPr>
              <w:instrText xml:space="preserve"> PAGEREF _Toc228482346 \h </w:instrText>
            </w:r>
            <w:r>
              <w:rPr>
                <w:noProof/>
                <w:webHidden/>
              </w:rPr>
            </w:r>
            <w:r>
              <w:rPr>
                <w:noProof/>
                <w:webHidden/>
              </w:rPr>
              <w:fldChar w:fldCharType="separate"/>
            </w:r>
            <w:r>
              <w:rPr>
                <w:noProof/>
                <w:webHidden/>
              </w:rPr>
              <w:t>20</w:t>
            </w:r>
            <w:r>
              <w:rPr>
                <w:noProof/>
                <w:webHidden/>
              </w:rPr>
              <w:fldChar w:fldCharType="end"/>
            </w:r>
          </w:hyperlink>
        </w:p>
        <w:p w14:paraId="55538EDB" w14:textId="5E25EEDA" w:rsidR="00EC512A" w:rsidRDefault="00EC512A">
          <w:pPr>
            <w:pStyle w:val="TOC2"/>
            <w:tabs>
              <w:tab w:val="right" w:leader="dot" w:pos="9016"/>
            </w:tabs>
            <w:rPr>
              <w:rFonts w:eastAsiaTheme="minorEastAsia"/>
              <w:noProof/>
              <w:kern w:val="0"/>
              <w:sz w:val="22"/>
              <w:szCs w:val="22"/>
              <w:lang w:val="en-US"/>
              <w14:ligatures w14:val="none"/>
            </w:rPr>
          </w:pPr>
          <w:hyperlink w:anchor="_Toc228482347" w:history="1">
            <w:r w:rsidRPr="00554493">
              <w:rPr>
                <w:rStyle w:val="Hyperlink"/>
                <w:noProof/>
              </w:rPr>
              <w:t>Step: 03 Evaluation</w:t>
            </w:r>
            <w:r>
              <w:rPr>
                <w:noProof/>
                <w:webHidden/>
              </w:rPr>
              <w:tab/>
            </w:r>
            <w:r>
              <w:rPr>
                <w:noProof/>
                <w:webHidden/>
              </w:rPr>
              <w:fldChar w:fldCharType="begin"/>
            </w:r>
            <w:r>
              <w:rPr>
                <w:noProof/>
                <w:webHidden/>
              </w:rPr>
              <w:instrText xml:space="preserve"> PAGEREF _Toc228482347 \h </w:instrText>
            </w:r>
            <w:r>
              <w:rPr>
                <w:noProof/>
                <w:webHidden/>
              </w:rPr>
            </w:r>
            <w:r>
              <w:rPr>
                <w:noProof/>
                <w:webHidden/>
              </w:rPr>
              <w:fldChar w:fldCharType="separate"/>
            </w:r>
            <w:r>
              <w:rPr>
                <w:noProof/>
                <w:webHidden/>
              </w:rPr>
              <w:t>20</w:t>
            </w:r>
            <w:r>
              <w:rPr>
                <w:noProof/>
                <w:webHidden/>
              </w:rPr>
              <w:fldChar w:fldCharType="end"/>
            </w:r>
          </w:hyperlink>
        </w:p>
        <w:p w14:paraId="019C4D9D" w14:textId="49A9A859" w:rsidR="00EC512A" w:rsidRDefault="00EC512A">
          <w:pPr>
            <w:pStyle w:val="TOC2"/>
            <w:tabs>
              <w:tab w:val="right" w:leader="dot" w:pos="9016"/>
            </w:tabs>
            <w:rPr>
              <w:rFonts w:eastAsiaTheme="minorEastAsia"/>
              <w:noProof/>
              <w:kern w:val="0"/>
              <w:sz w:val="22"/>
              <w:szCs w:val="22"/>
              <w:lang w:val="en-US"/>
              <w14:ligatures w14:val="none"/>
            </w:rPr>
          </w:pPr>
          <w:hyperlink w:anchor="_Toc228482348" w:history="1">
            <w:r w:rsidRPr="00554493">
              <w:rPr>
                <w:rStyle w:val="Hyperlink"/>
                <w:noProof/>
              </w:rPr>
              <w:t>Stage: 04 Analysis</w:t>
            </w:r>
            <w:r>
              <w:rPr>
                <w:noProof/>
                <w:webHidden/>
              </w:rPr>
              <w:tab/>
            </w:r>
            <w:r>
              <w:rPr>
                <w:noProof/>
                <w:webHidden/>
              </w:rPr>
              <w:fldChar w:fldCharType="begin"/>
            </w:r>
            <w:r>
              <w:rPr>
                <w:noProof/>
                <w:webHidden/>
              </w:rPr>
              <w:instrText xml:space="preserve"> PAGEREF _Toc228482348 \h </w:instrText>
            </w:r>
            <w:r>
              <w:rPr>
                <w:noProof/>
                <w:webHidden/>
              </w:rPr>
            </w:r>
            <w:r>
              <w:rPr>
                <w:noProof/>
                <w:webHidden/>
              </w:rPr>
              <w:fldChar w:fldCharType="separate"/>
            </w:r>
            <w:r>
              <w:rPr>
                <w:noProof/>
                <w:webHidden/>
              </w:rPr>
              <w:t>21</w:t>
            </w:r>
            <w:r>
              <w:rPr>
                <w:noProof/>
                <w:webHidden/>
              </w:rPr>
              <w:fldChar w:fldCharType="end"/>
            </w:r>
          </w:hyperlink>
        </w:p>
        <w:p w14:paraId="645A42A5" w14:textId="3B203C58" w:rsidR="00EC512A" w:rsidRDefault="00EC512A">
          <w:pPr>
            <w:pStyle w:val="TOC2"/>
            <w:tabs>
              <w:tab w:val="right" w:leader="dot" w:pos="9016"/>
            </w:tabs>
            <w:rPr>
              <w:rFonts w:eastAsiaTheme="minorEastAsia"/>
              <w:noProof/>
              <w:kern w:val="0"/>
              <w:sz w:val="22"/>
              <w:szCs w:val="22"/>
              <w:lang w:val="en-US"/>
              <w14:ligatures w14:val="none"/>
            </w:rPr>
          </w:pPr>
          <w:hyperlink w:anchor="_Toc228482349" w:history="1">
            <w:r w:rsidRPr="00554493">
              <w:rPr>
                <w:rStyle w:val="Hyperlink"/>
                <w:noProof/>
              </w:rPr>
              <w:t>Stage:05 Conclusion</w:t>
            </w:r>
            <w:r>
              <w:rPr>
                <w:noProof/>
                <w:webHidden/>
              </w:rPr>
              <w:tab/>
            </w:r>
            <w:r>
              <w:rPr>
                <w:noProof/>
                <w:webHidden/>
              </w:rPr>
              <w:fldChar w:fldCharType="begin"/>
            </w:r>
            <w:r>
              <w:rPr>
                <w:noProof/>
                <w:webHidden/>
              </w:rPr>
              <w:instrText xml:space="preserve"> PAGEREF _Toc228482349 \h </w:instrText>
            </w:r>
            <w:r>
              <w:rPr>
                <w:noProof/>
                <w:webHidden/>
              </w:rPr>
            </w:r>
            <w:r>
              <w:rPr>
                <w:noProof/>
                <w:webHidden/>
              </w:rPr>
              <w:fldChar w:fldCharType="separate"/>
            </w:r>
            <w:r>
              <w:rPr>
                <w:noProof/>
                <w:webHidden/>
              </w:rPr>
              <w:t>21</w:t>
            </w:r>
            <w:r>
              <w:rPr>
                <w:noProof/>
                <w:webHidden/>
              </w:rPr>
              <w:fldChar w:fldCharType="end"/>
            </w:r>
          </w:hyperlink>
        </w:p>
        <w:p w14:paraId="75BBA023" w14:textId="58FA6603" w:rsidR="00EC512A" w:rsidRDefault="00EC512A">
          <w:pPr>
            <w:pStyle w:val="TOC2"/>
            <w:tabs>
              <w:tab w:val="right" w:leader="dot" w:pos="9016"/>
            </w:tabs>
            <w:rPr>
              <w:rFonts w:eastAsiaTheme="minorEastAsia"/>
              <w:noProof/>
              <w:kern w:val="0"/>
              <w:sz w:val="22"/>
              <w:szCs w:val="22"/>
              <w:lang w:val="en-US"/>
              <w14:ligatures w14:val="none"/>
            </w:rPr>
          </w:pPr>
          <w:hyperlink w:anchor="_Toc228482350" w:history="1">
            <w:r w:rsidRPr="00554493">
              <w:rPr>
                <w:rStyle w:val="Hyperlink"/>
                <w:rFonts w:cs="Arial"/>
                <w:noProof/>
              </w:rPr>
              <w:t>Stage:06 Action Plan</w:t>
            </w:r>
            <w:r>
              <w:rPr>
                <w:noProof/>
                <w:webHidden/>
              </w:rPr>
              <w:tab/>
            </w:r>
            <w:r>
              <w:rPr>
                <w:noProof/>
                <w:webHidden/>
              </w:rPr>
              <w:fldChar w:fldCharType="begin"/>
            </w:r>
            <w:r>
              <w:rPr>
                <w:noProof/>
                <w:webHidden/>
              </w:rPr>
              <w:instrText xml:space="preserve"> PAGEREF _Toc228482350 \h </w:instrText>
            </w:r>
            <w:r>
              <w:rPr>
                <w:noProof/>
                <w:webHidden/>
              </w:rPr>
            </w:r>
            <w:r>
              <w:rPr>
                <w:noProof/>
                <w:webHidden/>
              </w:rPr>
              <w:fldChar w:fldCharType="separate"/>
            </w:r>
            <w:r>
              <w:rPr>
                <w:noProof/>
                <w:webHidden/>
              </w:rPr>
              <w:t>21</w:t>
            </w:r>
            <w:r>
              <w:rPr>
                <w:noProof/>
                <w:webHidden/>
              </w:rPr>
              <w:fldChar w:fldCharType="end"/>
            </w:r>
          </w:hyperlink>
        </w:p>
        <w:p w14:paraId="39FB4F1C" w14:textId="4EC64D7F" w:rsidR="00EC512A" w:rsidRDefault="00EC512A">
          <w:pPr>
            <w:pStyle w:val="TOC3"/>
            <w:tabs>
              <w:tab w:val="right" w:leader="dot" w:pos="9016"/>
            </w:tabs>
            <w:rPr>
              <w:rFonts w:eastAsiaTheme="minorEastAsia"/>
              <w:noProof/>
              <w:kern w:val="0"/>
              <w:sz w:val="22"/>
              <w:szCs w:val="22"/>
              <w:lang w:val="en-US"/>
              <w14:ligatures w14:val="none"/>
            </w:rPr>
          </w:pPr>
          <w:hyperlink w:anchor="_Toc228482351" w:history="1">
            <w:r w:rsidRPr="00554493">
              <w:rPr>
                <w:rStyle w:val="Hyperlink"/>
                <w:rFonts w:cs="Arial"/>
                <w:noProof/>
              </w:rPr>
              <w:t>Reflection on Gibbs Cycle Utility</w:t>
            </w:r>
            <w:r>
              <w:rPr>
                <w:noProof/>
                <w:webHidden/>
              </w:rPr>
              <w:tab/>
            </w:r>
            <w:r>
              <w:rPr>
                <w:noProof/>
                <w:webHidden/>
              </w:rPr>
              <w:fldChar w:fldCharType="begin"/>
            </w:r>
            <w:r>
              <w:rPr>
                <w:noProof/>
                <w:webHidden/>
              </w:rPr>
              <w:instrText xml:space="preserve"> PAGEREF _Toc228482351 \h </w:instrText>
            </w:r>
            <w:r>
              <w:rPr>
                <w:noProof/>
                <w:webHidden/>
              </w:rPr>
            </w:r>
            <w:r>
              <w:rPr>
                <w:noProof/>
                <w:webHidden/>
              </w:rPr>
              <w:fldChar w:fldCharType="separate"/>
            </w:r>
            <w:r>
              <w:rPr>
                <w:noProof/>
                <w:webHidden/>
              </w:rPr>
              <w:t>22</w:t>
            </w:r>
            <w:r>
              <w:rPr>
                <w:noProof/>
                <w:webHidden/>
              </w:rPr>
              <w:fldChar w:fldCharType="end"/>
            </w:r>
          </w:hyperlink>
        </w:p>
        <w:p w14:paraId="7916AA54" w14:textId="2BB8AECA" w:rsidR="00EC512A" w:rsidRDefault="00EC512A">
          <w:pPr>
            <w:pStyle w:val="TOC1"/>
            <w:tabs>
              <w:tab w:val="right" w:leader="dot" w:pos="9016"/>
            </w:tabs>
            <w:rPr>
              <w:rFonts w:eastAsiaTheme="minorEastAsia"/>
              <w:noProof/>
              <w:kern w:val="0"/>
              <w:sz w:val="22"/>
              <w:szCs w:val="22"/>
              <w:lang w:val="en-US"/>
              <w14:ligatures w14:val="none"/>
            </w:rPr>
          </w:pPr>
          <w:hyperlink w:anchor="_Toc228482352" w:history="1">
            <w:r w:rsidRPr="00554493">
              <w:rPr>
                <w:rStyle w:val="Hyperlink"/>
                <w:rFonts w:cs="Arial"/>
                <w:noProof/>
              </w:rPr>
              <w:t>Conclusion</w:t>
            </w:r>
            <w:r>
              <w:rPr>
                <w:noProof/>
                <w:webHidden/>
              </w:rPr>
              <w:tab/>
            </w:r>
            <w:r>
              <w:rPr>
                <w:noProof/>
                <w:webHidden/>
              </w:rPr>
              <w:fldChar w:fldCharType="begin"/>
            </w:r>
            <w:r>
              <w:rPr>
                <w:noProof/>
                <w:webHidden/>
              </w:rPr>
              <w:instrText xml:space="preserve"> PAGEREF _Toc228482352 \h </w:instrText>
            </w:r>
            <w:r>
              <w:rPr>
                <w:noProof/>
                <w:webHidden/>
              </w:rPr>
            </w:r>
            <w:r>
              <w:rPr>
                <w:noProof/>
                <w:webHidden/>
              </w:rPr>
              <w:fldChar w:fldCharType="separate"/>
            </w:r>
            <w:r>
              <w:rPr>
                <w:noProof/>
                <w:webHidden/>
              </w:rPr>
              <w:t>22</w:t>
            </w:r>
            <w:r>
              <w:rPr>
                <w:noProof/>
                <w:webHidden/>
              </w:rPr>
              <w:fldChar w:fldCharType="end"/>
            </w:r>
          </w:hyperlink>
        </w:p>
        <w:p w14:paraId="75914B74" w14:textId="4F3683B6" w:rsidR="00EC512A" w:rsidRDefault="00EC512A">
          <w:pPr>
            <w:pStyle w:val="TOC1"/>
            <w:tabs>
              <w:tab w:val="right" w:leader="dot" w:pos="9016"/>
            </w:tabs>
            <w:rPr>
              <w:rFonts w:eastAsiaTheme="minorEastAsia"/>
              <w:noProof/>
              <w:kern w:val="0"/>
              <w:sz w:val="22"/>
              <w:szCs w:val="22"/>
              <w:lang w:val="en-US"/>
              <w14:ligatures w14:val="none"/>
            </w:rPr>
          </w:pPr>
          <w:hyperlink w:anchor="_Toc228482353" w:history="1">
            <w:r w:rsidRPr="00554493">
              <w:rPr>
                <w:rStyle w:val="Hyperlink"/>
                <w:rFonts w:cs="Arial"/>
                <w:noProof/>
              </w:rPr>
              <w:t>References</w:t>
            </w:r>
            <w:r>
              <w:rPr>
                <w:noProof/>
                <w:webHidden/>
              </w:rPr>
              <w:tab/>
            </w:r>
            <w:r>
              <w:rPr>
                <w:noProof/>
                <w:webHidden/>
              </w:rPr>
              <w:fldChar w:fldCharType="begin"/>
            </w:r>
            <w:r>
              <w:rPr>
                <w:noProof/>
                <w:webHidden/>
              </w:rPr>
              <w:instrText xml:space="preserve"> PAGEREF _Toc228482353 \h </w:instrText>
            </w:r>
            <w:r>
              <w:rPr>
                <w:noProof/>
                <w:webHidden/>
              </w:rPr>
            </w:r>
            <w:r>
              <w:rPr>
                <w:noProof/>
                <w:webHidden/>
              </w:rPr>
              <w:fldChar w:fldCharType="separate"/>
            </w:r>
            <w:r>
              <w:rPr>
                <w:noProof/>
                <w:webHidden/>
              </w:rPr>
              <w:t>22</w:t>
            </w:r>
            <w:r>
              <w:rPr>
                <w:noProof/>
                <w:webHidden/>
              </w:rPr>
              <w:fldChar w:fldCharType="end"/>
            </w:r>
          </w:hyperlink>
        </w:p>
        <w:p w14:paraId="71A05FC9" w14:textId="18A36103" w:rsidR="00CD51DD" w:rsidRPr="00282DCA" w:rsidRDefault="00CD51DD">
          <w:pPr>
            <w:rPr>
              <w:rFonts w:ascii="Arial" w:hAnsi="Arial" w:cs="Arial"/>
              <w:sz w:val="18"/>
              <w:szCs w:val="18"/>
            </w:rPr>
          </w:pPr>
          <w:r w:rsidRPr="00282DCA">
            <w:rPr>
              <w:rFonts w:ascii="Arial" w:hAnsi="Arial" w:cs="Arial"/>
              <w:b/>
              <w:bCs/>
              <w:noProof/>
              <w:sz w:val="18"/>
              <w:szCs w:val="18"/>
            </w:rPr>
            <w:fldChar w:fldCharType="end"/>
          </w:r>
        </w:p>
      </w:sdtContent>
    </w:sdt>
    <w:p w14:paraId="1C50B75E" w14:textId="7E1881EF" w:rsidR="00E744DA" w:rsidRPr="00D14863" w:rsidRDefault="00CA6021" w:rsidP="00D14863">
      <w:pPr>
        <w:pStyle w:val="Heading1"/>
        <w:rPr>
          <w:sz w:val="20"/>
          <w:szCs w:val="20"/>
        </w:rPr>
      </w:pPr>
      <w:r>
        <w:rPr>
          <w:sz w:val="20"/>
          <w:szCs w:val="20"/>
        </w:rPr>
        <w:br w:type="page"/>
      </w:r>
      <w:bookmarkStart w:id="3" w:name="_Toc225513406"/>
      <w:bookmarkStart w:id="4" w:name="_Toc228482314"/>
      <w:r w:rsidR="00C242AD" w:rsidRPr="00D14863">
        <w:lastRenderedPageBreak/>
        <w:t xml:space="preserve">1. </w:t>
      </w:r>
      <w:bookmarkStart w:id="5" w:name="_Toc225513407"/>
      <w:bookmarkEnd w:id="3"/>
      <w:r w:rsidR="00E744DA" w:rsidRPr="00D14863">
        <w:t>Introduction</w:t>
      </w:r>
      <w:bookmarkEnd w:id="4"/>
    </w:p>
    <w:p w14:paraId="5E60548B" w14:textId="4808EFBE" w:rsidR="00E744DA" w:rsidRPr="00E744DA" w:rsidRDefault="00E744DA" w:rsidP="004C2376">
      <w:pPr>
        <w:jc w:val="both"/>
        <w:rPr>
          <w:rFonts w:ascii="Arial" w:hAnsi="Arial" w:cs="Arial"/>
        </w:rPr>
      </w:pPr>
      <w:r w:rsidRPr="00E744DA">
        <w:rPr>
          <w:rFonts w:ascii="Arial" w:hAnsi="Arial" w:cs="Arial"/>
        </w:rPr>
        <w:t>A critical analysis of the strategic management practices of Nike, Inc., the world’s leading athletic footwear and apparel brand, is provided in this report. The current strategic position of Nike is evaluated, its key challenges are diagnosed, and actionable recommendations for sus</w:t>
      </w:r>
      <w:r>
        <w:rPr>
          <w:rFonts w:ascii="Arial" w:hAnsi="Arial" w:cs="Arial"/>
        </w:rPr>
        <w:t>tainable growth are formulated</w:t>
      </w:r>
      <w:r w:rsidR="00EB3AEE">
        <w:rPr>
          <w:rFonts w:ascii="Arial" w:hAnsi="Arial" w:cs="Arial"/>
        </w:rPr>
        <w:t xml:space="preserve"> </w:t>
      </w:r>
      <w:r w:rsidR="00EB3AEE" w:rsidRPr="00EB3AEE">
        <w:rPr>
          <w:rFonts w:ascii="Arial" w:hAnsi="Arial" w:cs="Arial"/>
        </w:rPr>
        <w:t>(Fuertes et.al,2020)</w:t>
      </w:r>
      <w:r>
        <w:rPr>
          <w:rFonts w:ascii="Arial" w:hAnsi="Arial" w:cs="Arial"/>
        </w:rPr>
        <w:t xml:space="preserve">. </w:t>
      </w:r>
      <w:r w:rsidRPr="00E744DA">
        <w:rPr>
          <w:rFonts w:ascii="Arial" w:hAnsi="Arial" w:cs="Arial"/>
        </w:rPr>
        <w:t xml:space="preserve">The main areas to be </w:t>
      </w:r>
      <w:proofErr w:type="spellStart"/>
      <w:r w:rsidRPr="00E744DA">
        <w:rPr>
          <w:rFonts w:ascii="Arial" w:hAnsi="Arial" w:cs="Arial"/>
        </w:rPr>
        <w:t>analyzed</w:t>
      </w:r>
      <w:proofErr w:type="spellEnd"/>
      <w:r w:rsidRPr="00E744DA">
        <w:rPr>
          <w:rFonts w:ascii="Arial" w:hAnsi="Arial" w:cs="Arial"/>
        </w:rPr>
        <w:t xml:space="preserve"> include Nike’s external and internal environments through the application of PESTEL and VRIO frameworks, its alignment with Corporate Social Responsibility (CSR), strategic performance via the Balanced Scorecard, and the viability of future strategic choices</w:t>
      </w:r>
      <w:r w:rsidR="00EB3AEE">
        <w:rPr>
          <w:rFonts w:ascii="Arial" w:hAnsi="Arial" w:cs="Arial"/>
        </w:rPr>
        <w:t xml:space="preserve"> </w:t>
      </w:r>
      <w:r w:rsidR="00EB3AEE" w:rsidRPr="00EB3AEE">
        <w:rPr>
          <w:rFonts w:ascii="Arial" w:hAnsi="Arial" w:cs="Arial"/>
        </w:rPr>
        <w:t>(Fuertes et.al,2020)</w:t>
      </w:r>
      <w:r w:rsidRPr="00E744DA">
        <w:rPr>
          <w:rFonts w:ascii="Arial" w:hAnsi="Arial" w:cs="Arial"/>
        </w:rPr>
        <w:t>. While Nike operates globally, particular attention is paid to the United Kingdom (UK) market as a key geographic focus for the application of cultural and economic analyses. In Section 2, a reflective account of the research and analytical process is provided</w:t>
      </w:r>
      <w:r w:rsidR="00EB3AEE">
        <w:rPr>
          <w:rFonts w:ascii="Arial" w:hAnsi="Arial" w:cs="Arial"/>
        </w:rPr>
        <w:t xml:space="preserve"> (Caroll,2021)</w:t>
      </w:r>
      <w:r w:rsidRPr="00E744DA">
        <w:rPr>
          <w:rFonts w:ascii="Arial" w:hAnsi="Arial" w:cs="Arial"/>
        </w:rPr>
        <w:t>.</w:t>
      </w:r>
    </w:p>
    <w:p w14:paraId="5572BF23" w14:textId="55A60D7D" w:rsidR="00090423" w:rsidRPr="00CD51DD" w:rsidRDefault="00090423" w:rsidP="00CD51DD">
      <w:pPr>
        <w:pStyle w:val="Heading2"/>
      </w:pPr>
      <w:bookmarkStart w:id="6" w:name="_Toc228482315"/>
      <w:r w:rsidRPr="00CD51DD">
        <w:t>1.1 Organisational Context and Overview</w:t>
      </w:r>
      <w:bookmarkEnd w:id="5"/>
      <w:bookmarkEnd w:id="6"/>
    </w:p>
    <w:p w14:paraId="0039E177" w14:textId="35E7DD31" w:rsidR="00E744DA" w:rsidRDefault="00E744DA" w:rsidP="004C2376">
      <w:pPr>
        <w:jc w:val="both"/>
        <w:rPr>
          <w:rFonts w:ascii="Arial" w:hAnsi="Arial" w:cs="Arial"/>
        </w:rPr>
      </w:pPr>
      <w:bookmarkStart w:id="7" w:name="_Toc225513411"/>
      <w:r w:rsidRPr="00E744DA">
        <w:rPr>
          <w:rFonts w:ascii="Arial" w:hAnsi="Arial" w:cs="Arial"/>
        </w:rPr>
        <w:t xml:space="preserve">Nike, Inc. was established in 1964 as Blue Ribbon Sports by Phil Knight and Bill </w:t>
      </w:r>
      <w:proofErr w:type="spellStart"/>
      <w:r w:rsidRPr="00E744DA">
        <w:rPr>
          <w:rFonts w:ascii="Arial" w:hAnsi="Arial" w:cs="Arial"/>
        </w:rPr>
        <w:t>Bowerman</w:t>
      </w:r>
      <w:proofErr w:type="spellEnd"/>
      <w:r w:rsidRPr="00E744DA">
        <w:rPr>
          <w:rFonts w:ascii="Arial" w:hAnsi="Arial" w:cs="Arial"/>
        </w:rPr>
        <w:t>, before being officially rebranded as Nike, Inc. in 1971. The organization has been transitioned from a distributor of Japanese footwear into the preeminent global manufacturer of athletic apparel, equipment, and footwear (Nike, 2023). Headquartered in Beaverton, Oregon, global operations are maintained with a market capitalization exceeding $160 billion and a workforce of approximately 83,700 employees (Nike, 2023). Inspiration and innovation are intended to be brought to every athlete worldwide, a mission supported by the foundational philosophy that any individual with a body is defined as an athlete. Furthermore, a sustainable and digitally enabled future for sport is envisioned, with the brand intended to remain the most distinctive and connected entity in the industry through continuous innovation and the cultivation of deep consumer relationships (Nike, 2023).</w:t>
      </w:r>
    </w:p>
    <w:p w14:paraId="4828109F" w14:textId="4DCA1CC8" w:rsidR="004C2376" w:rsidRPr="004C2376" w:rsidRDefault="00EB3AEE" w:rsidP="00CD51DD">
      <w:pPr>
        <w:pStyle w:val="Heading2"/>
      </w:pPr>
      <w:bookmarkStart w:id="8" w:name="_Toc228482316"/>
      <w:r>
        <w:t xml:space="preserve">1.2 </w:t>
      </w:r>
      <w:r w:rsidR="004C2376" w:rsidRPr="004C2376">
        <w:t>Business Model and Competitive Landscape</w:t>
      </w:r>
      <w:bookmarkEnd w:id="8"/>
    </w:p>
    <w:p w14:paraId="705B04DA" w14:textId="20315412" w:rsidR="00E744DA" w:rsidRDefault="004C2376" w:rsidP="00EB3AEE">
      <w:pPr>
        <w:jc w:val="both"/>
        <w:rPr>
          <w:rFonts w:ascii="Arial" w:hAnsi="Arial" w:cs="Arial"/>
        </w:rPr>
      </w:pPr>
      <w:r w:rsidRPr="004C2376">
        <w:rPr>
          <w:rFonts w:ascii="Arial" w:hAnsi="Arial" w:cs="Arial"/>
        </w:rPr>
        <w:t>A diversified business model is utilized by the company, wherein revenue is generated through footwear (66%), apparel (30%), and equipment (4%). These streams are facilitated via wholesale partnerships, licensing agreements, and Direct-to-Consumer (DTC) channels, including digital commerce and Nike-owned retail outlets (Nike, 2023). Under the "Consumer Direct Offense" strategy, an aggressive pivot toward DTC channels has been executed, with priority placed on digital transformation and personalized consumer experiences to secure higher margins (Nike, 2023). Operations are conducted within a global industry valued at approximately $380 billion, which is characterized by rapid technological advancement and a shift toward athleisure and sustainability. Market share is contested by key competitors such as Adidas and Under Armour, while the premium athleisure segment is domina</w:t>
      </w:r>
      <w:r>
        <w:rPr>
          <w:rFonts w:ascii="Arial" w:hAnsi="Arial" w:cs="Arial"/>
        </w:rPr>
        <w:t xml:space="preserve">ted by </w:t>
      </w:r>
      <w:proofErr w:type="spellStart"/>
      <w:r>
        <w:rPr>
          <w:rFonts w:ascii="Arial" w:hAnsi="Arial" w:cs="Arial"/>
        </w:rPr>
        <w:t>Lululemon</w:t>
      </w:r>
      <w:proofErr w:type="spellEnd"/>
      <w:r>
        <w:rPr>
          <w:rFonts w:ascii="Arial" w:hAnsi="Arial" w:cs="Arial"/>
        </w:rPr>
        <w:t xml:space="preserve"> </w:t>
      </w:r>
      <w:r w:rsidRPr="004C2376">
        <w:rPr>
          <w:rFonts w:ascii="Arial" w:hAnsi="Arial" w:cs="Arial"/>
        </w:rPr>
        <w:t>(</w:t>
      </w:r>
      <w:proofErr w:type="spellStart"/>
      <w:r w:rsidRPr="004C2376">
        <w:rPr>
          <w:rFonts w:ascii="Arial" w:hAnsi="Arial" w:cs="Arial"/>
        </w:rPr>
        <w:t>Lestan</w:t>
      </w:r>
      <w:proofErr w:type="spellEnd"/>
      <w:r w:rsidRPr="004C2376">
        <w:rPr>
          <w:rFonts w:ascii="Arial" w:hAnsi="Arial" w:cs="Arial"/>
        </w:rPr>
        <w:t xml:space="preserve"> et. al, 2021). Additionally, industry boundaries are increasingly blurred by fast-fashion retailers, including H&amp;M and Zara, through the provision of sport-influenced apparel at lower price points.</w:t>
      </w:r>
    </w:p>
    <w:p w14:paraId="21FCF16B" w14:textId="47286D4B" w:rsidR="00090423" w:rsidRPr="00EB3AEE" w:rsidRDefault="00EB3AEE" w:rsidP="00CD51DD">
      <w:pPr>
        <w:pStyle w:val="Heading2"/>
      </w:pPr>
      <w:bookmarkStart w:id="9" w:name="_Toc228482317"/>
      <w:r w:rsidRPr="00EB3AEE">
        <w:lastRenderedPageBreak/>
        <w:t>1.3</w:t>
      </w:r>
      <w:r w:rsidR="00090423" w:rsidRPr="00EB3AEE">
        <w:t xml:space="preserve"> Market Position</w:t>
      </w:r>
      <w:bookmarkEnd w:id="7"/>
      <w:bookmarkEnd w:id="9"/>
    </w:p>
    <w:p w14:paraId="22212F31" w14:textId="72A7C6BD" w:rsidR="00EB3AEE" w:rsidRDefault="00EB3AEE" w:rsidP="00CD51DD">
      <w:pPr>
        <w:jc w:val="both"/>
        <w:rPr>
          <w:rFonts w:ascii="Arial" w:hAnsi="Arial" w:cs="Arial"/>
        </w:rPr>
      </w:pPr>
      <w:bookmarkStart w:id="10" w:name="_Toc225513412"/>
      <w:r w:rsidRPr="00EB3AEE">
        <w:rPr>
          <w:rFonts w:ascii="Arial" w:hAnsi="Arial" w:cs="Arial"/>
        </w:rPr>
        <w:t xml:space="preserve">Within the UK athletic footwear and apparel market, Nike is positioned as a premium, authentic sport brand through which performance and lifestyle are successfully bridged. Unlike competitors that are focused purely on function (e.g., Under Armour) or fashion (e.g., </w:t>
      </w:r>
      <w:proofErr w:type="spellStart"/>
      <w:r w:rsidRPr="00EB3AEE">
        <w:rPr>
          <w:rFonts w:ascii="Arial" w:hAnsi="Arial" w:cs="Arial"/>
        </w:rPr>
        <w:t>Lululemon</w:t>
      </w:r>
      <w:proofErr w:type="spellEnd"/>
      <w:r w:rsidRPr="00EB3AEE">
        <w:rPr>
          <w:rFonts w:ascii="Arial" w:hAnsi="Arial" w:cs="Arial"/>
        </w:rPr>
        <w:t>), a dual appeal is maintained by Nike; innovation is trusted by elite athletes, while products are frequently utilized as casualwear by everyday consumers. A distinctive competitive advantage is afforded to Nike by this "athleisure" cr</w:t>
      </w:r>
      <w:r>
        <w:rPr>
          <w:rFonts w:ascii="Arial" w:hAnsi="Arial" w:cs="Arial"/>
        </w:rPr>
        <w:t xml:space="preserve">edibility </w:t>
      </w:r>
      <w:r w:rsidRPr="00EB3AEE">
        <w:rPr>
          <w:rFonts w:ascii="Arial" w:hAnsi="Arial" w:cs="Arial"/>
        </w:rPr>
        <w:t>(</w:t>
      </w:r>
      <w:proofErr w:type="spellStart"/>
      <w:r w:rsidRPr="00EB3AEE">
        <w:rPr>
          <w:rFonts w:ascii="Arial" w:hAnsi="Arial" w:cs="Arial"/>
        </w:rPr>
        <w:t>Ko</w:t>
      </w:r>
      <w:proofErr w:type="spellEnd"/>
      <w:r w:rsidRPr="00EB3AEE">
        <w:rPr>
          <w:rFonts w:ascii="Arial" w:hAnsi="Arial" w:cs="Arial"/>
        </w:rPr>
        <w:t xml:space="preserve"> &amp; E et.al,2012). Furthermore, the strategic integration of technical performance with cultural relevance is recognized as a key driver of market dominance in highly competitive regions </w:t>
      </w:r>
      <w:r w:rsidR="00AC42B0" w:rsidRPr="00AC42B0">
        <w:rPr>
          <w:rFonts w:ascii="Arial" w:hAnsi="Arial" w:cs="Arial"/>
        </w:rPr>
        <w:t>(</w:t>
      </w:r>
      <w:proofErr w:type="spellStart"/>
      <w:r w:rsidR="00AC42B0" w:rsidRPr="00AC42B0">
        <w:rPr>
          <w:rFonts w:ascii="Arial" w:hAnsi="Arial" w:cs="Arial"/>
        </w:rPr>
        <w:t>Hitt</w:t>
      </w:r>
      <w:proofErr w:type="spellEnd"/>
      <w:r w:rsidR="00AC42B0" w:rsidRPr="00AC42B0">
        <w:rPr>
          <w:rFonts w:ascii="Arial" w:hAnsi="Arial" w:cs="Arial"/>
        </w:rPr>
        <w:t xml:space="preserve"> et.al,2020)</w:t>
      </w:r>
      <w:r w:rsidR="00AC42B0">
        <w:rPr>
          <w:rFonts w:ascii="Arial" w:hAnsi="Arial" w:cs="Arial"/>
        </w:rPr>
        <w:t xml:space="preserve">. </w:t>
      </w:r>
    </w:p>
    <w:p w14:paraId="39788BF9" w14:textId="612F6BD6" w:rsidR="007F2C92" w:rsidRDefault="007F2C92" w:rsidP="00E744DA">
      <w:pPr>
        <w:rPr>
          <w:rFonts w:ascii="Arial" w:hAnsi="Arial" w:cs="Arial"/>
        </w:rPr>
      </w:pPr>
      <w:r>
        <w:rPr>
          <w:rFonts w:ascii="Arial" w:hAnsi="Arial" w:cs="Arial"/>
          <w:noProof/>
          <w:lang w:val="en-US"/>
        </w:rPr>
        <w:drawing>
          <wp:anchor distT="0" distB="0" distL="114300" distR="114300" simplePos="0" relativeHeight="251659264" behindDoc="0" locked="0" layoutInCell="1" allowOverlap="1" wp14:anchorId="374D1E7C" wp14:editId="5ADE8386">
            <wp:simplePos x="0" y="0"/>
            <wp:positionH relativeFrom="margin">
              <wp:posOffset>871283</wp:posOffset>
            </wp:positionH>
            <wp:positionV relativeFrom="paragraph">
              <wp:posOffset>6871</wp:posOffset>
            </wp:positionV>
            <wp:extent cx="4360054" cy="3270040"/>
            <wp:effectExtent l="0" t="0" r="2540"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ike P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60054" cy="3270040"/>
                    </a:xfrm>
                    <a:prstGeom prst="rect">
                      <a:avLst/>
                    </a:prstGeom>
                  </pic:spPr>
                </pic:pic>
              </a:graphicData>
            </a:graphic>
            <wp14:sizeRelH relativeFrom="margin">
              <wp14:pctWidth>0</wp14:pctWidth>
            </wp14:sizeRelH>
            <wp14:sizeRelV relativeFrom="margin">
              <wp14:pctHeight>0</wp14:pctHeight>
            </wp14:sizeRelV>
          </wp:anchor>
        </w:drawing>
      </w:r>
    </w:p>
    <w:p w14:paraId="6F99602F" w14:textId="3F3EF4FE" w:rsidR="007F2C92" w:rsidRDefault="007F2C92" w:rsidP="00E744DA">
      <w:pPr>
        <w:rPr>
          <w:rFonts w:ascii="Arial" w:hAnsi="Arial" w:cs="Arial"/>
        </w:rPr>
      </w:pPr>
    </w:p>
    <w:p w14:paraId="41B1F72D" w14:textId="08F1C707" w:rsidR="007F2C92" w:rsidRDefault="007F2C92" w:rsidP="00E744DA">
      <w:pPr>
        <w:rPr>
          <w:rFonts w:ascii="Arial" w:hAnsi="Arial" w:cs="Arial"/>
        </w:rPr>
      </w:pPr>
    </w:p>
    <w:p w14:paraId="1894BCA9" w14:textId="3395C407" w:rsidR="007F2C92" w:rsidRDefault="007F2C92" w:rsidP="00E744DA">
      <w:pPr>
        <w:rPr>
          <w:rFonts w:ascii="Arial" w:hAnsi="Arial" w:cs="Arial"/>
        </w:rPr>
      </w:pPr>
    </w:p>
    <w:p w14:paraId="138DFF09" w14:textId="4D3DE321" w:rsidR="007F2C92" w:rsidRDefault="007F2C92" w:rsidP="00E744DA">
      <w:pPr>
        <w:rPr>
          <w:rFonts w:ascii="Arial" w:hAnsi="Arial" w:cs="Arial"/>
        </w:rPr>
      </w:pPr>
    </w:p>
    <w:p w14:paraId="5A3F3E55" w14:textId="59608BEF" w:rsidR="007F2C92" w:rsidRDefault="007F2C92" w:rsidP="00E744DA">
      <w:pPr>
        <w:rPr>
          <w:rFonts w:ascii="Arial" w:hAnsi="Arial" w:cs="Arial"/>
        </w:rPr>
      </w:pPr>
    </w:p>
    <w:p w14:paraId="67E545AF" w14:textId="77777777" w:rsidR="007F2C92" w:rsidRDefault="007F2C92" w:rsidP="00E744DA">
      <w:pPr>
        <w:rPr>
          <w:rFonts w:ascii="Arial" w:hAnsi="Arial" w:cs="Arial"/>
        </w:rPr>
      </w:pPr>
    </w:p>
    <w:p w14:paraId="36764A5C" w14:textId="2B62593A" w:rsidR="007F2C92" w:rsidRDefault="007F2C92" w:rsidP="00E744DA">
      <w:pPr>
        <w:rPr>
          <w:rFonts w:ascii="Arial" w:hAnsi="Arial" w:cs="Arial"/>
        </w:rPr>
      </w:pPr>
    </w:p>
    <w:p w14:paraId="7705D857" w14:textId="77777777" w:rsidR="007F2C92" w:rsidRDefault="007F2C92" w:rsidP="00E744DA">
      <w:pPr>
        <w:rPr>
          <w:rFonts w:ascii="Arial" w:hAnsi="Arial" w:cs="Arial"/>
        </w:rPr>
      </w:pPr>
    </w:p>
    <w:p w14:paraId="0252F083" w14:textId="77777777" w:rsidR="007F2C92" w:rsidRDefault="007F2C92" w:rsidP="00E744DA">
      <w:pPr>
        <w:rPr>
          <w:rFonts w:ascii="Arial" w:hAnsi="Arial" w:cs="Arial"/>
        </w:rPr>
      </w:pPr>
    </w:p>
    <w:p w14:paraId="74DEF9C9" w14:textId="77777777" w:rsidR="007F2C92" w:rsidRDefault="007F2C92" w:rsidP="00E744DA">
      <w:pPr>
        <w:rPr>
          <w:rFonts w:ascii="Arial" w:hAnsi="Arial" w:cs="Arial"/>
        </w:rPr>
      </w:pPr>
    </w:p>
    <w:p w14:paraId="29C3BBCF" w14:textId="3D565317" w:rsidR="007F2C92" w:rsidRPr="007F2C92" w:rsidRDefault="007F2C92" w:rsidP="007F2C92">
      <w:pPr>
        <w:jc w:val="center"/>
        <w:rPr>
          <w:rFonts w:ascii="Arial" w:hAnsi="Arial" w:cs="Arial"/>
          <w:i/>
          <w:sz w:val="16"/>
        </w:rPr>
      </w:pPr>
      <w:r w:rsidRPr="007F2C92">
        <w:rPr>
          <w:rFonts w:ascii="Arial" w:hAnsi="Arial" w:cs="Arial"/>
          <w:i/>
          <w:sz w:val="16"/>
        </w:rPr>
        <w:t>Fig: 01 Nike’s marketing positioning analysis in the UK</w:t>
      </w:r>
    </w:p>
    <w:p w14:paraId="5536B8E1" w14:textId="09533F78" w:rsidR="007F2C92" w:rsidRDefault="007F2C92" w:rsidP="00E744DA">
      <w:pPr>
        <w:rPr>
          <w:rFonts w:ascii="Arial" w:hAnsi="Arial" w:cs="Arial"/>
        </w:rPr>
      </w:pPr>
    </w:p>
    <w:p w14:paraId="59B6A2DA" w14:textId="2C9FC442" w:rsidR="007F2C92" w:rsidRDefault="00D3119A" w:rsidP="00D3119A">
      <w:pPr>
        <w:jc w:val="both"/>
        <w:rPr>
          <w:rFonts w:ascii="Arial" w:hAnsi="Arial" w:cs="Arial"/>
        </w:rPr>
      </w:pPr>
      <w:r w:rsidRPr="00D3119A">
        <w:rPr>
          <w:rFonts w:ascii="Arial" w:hAnsi="Arial" w:cs="Arial"/>
        </w:rPr>
        <w:t xml:space="preserve">The perceptual map positions Nike within the premium price and performance-led (authentic sport) quadrant, indicating that the brand’s core identity in the UK market continues to be grounded in athletic credibility rather than purely fashion-driven appeal. A comparison with </w:t>
      </w:r>
      <w:proofErr w:type="spellStart"/>
      <w:r w:rsidRPr="00D3119A">
        <w:rPr>
          <w:rFonts w:ascii="Arial" w:hAnsi="Arial" w:cs="Arial"/>
        </w:rPr>
        <w:t>Lululemon</w:t>
      </w:r>
      <w:proofErr w:type="spellEnd"/>
      <w:r w:rsidRPr="00D3119A">
        <w:rPr>
          <w:rFonts w:ascii="Arial" w:hAnsi="Arial" w:cs="Arial"/>
        </w:rPr>
        <w:t xml:space="preserve"> reveals that although both brands are positioned at premium price points, </w:t>
      </w:r>
      <w:proofErr w:type="spellStart"/>
      <w:r w:rsidRPr="00D3119A">
        <w:rPr>
          <w:rFonts w:ascii="Arial" w:hAnsi="Arial" w:cs="Arial"/>
        </w:rPr>
        <w:t>Lululemon</w:t>
      </w:r>
      <w:proofErr w:type="spellEnd"/>
      <w:r w:rsidRPr="00D3119A">
        <w:rPr>
          <w:rFonts w:ascii="Arial" w:hAnsi="Arial" w:cs="Arial"/>
        </w:rPr>
        <w:t xml:space="preserve"> is more strongly associated with the fashion-led lifestyle segment; consequently, Nike’s performance orientation is perceived to provide a competitive advantage when consumers prioritise technical sportswear functionality, particularly in categories such as runn</w:t>
      </w:r>
      <w:r>
        <w:rPr>
          <w:rFonts w:ascii="Arial" w:hAnsi="Arial" w:cs="Arial"/>
        </w:rPr>
        <w:t xml:space="preserve">ing and football </w:t>
      </w:r>
      <w:r w:rsidRPr="00D3119A">
        <w:rPr>
          <w:rFonts w:ascii="Arial" w:hAnsi="Arial" w:cs="Arial"/>
        </w:rPr>
        <w:t>(</w:t>
      </w:r>
      <w:proofErr w:type="spellStart"/>
      <w:r w:rsidRPr="00D3119A">
        <w:rPr>
          <w:rFonts w:ascii="Arial" w:hAnsi="Arial" w:cs="Arial"/>
        </w:rPr>
        <w:t>Brodone</w:t>
      </w:r>
      <w:proofErr w:type="spellEnd"/>
      <w:r w:rsidRPr="00D3119A">
        <w:rPr>
          <w:rFonts w:ascii="Arial" w:hAnsi="Arial" w:cs="Arial"/>
        </w:rPr>
        <w:t xml:space="preserve">, 2024). In contrast, </w:t>
      </w:r>
      <w:proofErr w:type="spellStart"/>
      <w:r w:rsidRPr="00D3119A">
        <w:rPr>
          <w:rFonts w:ascii="Arial" w:hAnsi="Arial" w:cs="Arial"/>
        </w:rPr>
        <w:t>Hoka</w:t>
      </w:r>
      <w:proofErr w:type="spellEnd"/>
      <w:r w:rsidRPr="00D3119A">
        <w:rPr>
          <w:rFonts w:ascii="Arial" w:hAnsi="Arial" w:cs="Arial"/>
        </w:rPr>
        <w:t xml:space="preserve"> is similarly positioned within the premium performance segment, targeting serious runners, while Adidas is typically located at a slightly lower price point with a more balanced focus between sport and lifestyle, thereby competing across a wider consumer base (Statista, 2024). Economy-focused retailers such as Decathlon and Sports Direct are generally situated within the low-price, performance-led quadrant, </w:t>
      </w:r>
      <w:r w:rsidRPr="00D3119A">
        <w:rPr>
          <w:rFonts w:ascii="Arial" w:hAnsi="Arial" w:cs="Arial"/>
        </w:rPr>
        <w:lastRenderedPageBreak/>
        <w:t>capturing price-sensitive consumers without directly threatening Nike’s premium positioning (Deloitte, 2023). Strategically, it is suggested that the greatest risk would be created if brand positioning were shifted excessively toward fashion orientation or price reductions were implemented to pursue volume growth, as such actions could weaken perceived authenticity; therefore, continued investment in performance innovation is considered necessary to sustain differentiation and justify premium pricing within the competitive UK sportswear market (Porter, 2008; Nike, 2024).</w:t>
      </w:r>
    </w:p>
    <w:p w14:paraId="20354DF6" w14:textId="3D3F9565" w:rsidR="00D3119A" w:rsidRDefault="00D3119A" w:rsidP="00D14863"/>
    <w:p w14:paraId="6E5325CF" w14:textId="77777777" w:rsidR="008A6A7B" w:rsidRDefault="00090423" w:rsidP="00CD51DD">
      <w:pPr>
        <w:pStyle w:val="Heading1"/>
      </w:pPr>
      <w:bookmarkStart w:id="11" w:name="_Toc228482318"/>
      <w:r w:rsidRPr="008A6A7B">
        <w:t>2 External and Internal Environment Analysis</w:t>
      </w:r>
      <w:bookmarkEnd w:id="10"/>
      <w:bookmarkEnd w:id="11"/>
    </w:p>
    <w:p w14:paraId="5B3552F2" w14:textId="1A5F9B87" w:rsidR="00090423" w:rsidRPr="00AB27F9" w:rsidRDefault="008A6A7B" w:rsidP="00927583">
      <w:pPr>
        <w:jc w:val="both"/>
        <w:rPr>
          <w:rFonts w:ascii="Arial" w:hAnsi="Arial" w:cs="Arial"/>
          <w:b/>
        </w:rPr>
      </w:pPr>
      <w:r w:rsidRPr="00AB27F9">
        <w:rPr>
          <w:rFonts w:ascii="Arial" w:hAnsi="Arial" w:cs="Arial"/>
        </w:rPr>
        <w:t>The external environment is defined as the set of macro-level forces that exist outside the direct control of an organisation, including political, economic, social, technological, environmental, and legal factors, while the internal environment is comprised of organisational resources, capabilities, and competencies that can be managed and controlled internally (Johnson et.al, 2020). In strategic management, the alignment of internal strengths with external opportunities is considered essential for achieving sustainable competitive advantage and long-term organisational performance, as firms are required to adapt their resources and strategies to changing environmental conditions (Barney, 1991).</w:t>
      </w:r>
      <w:r w:rsidR="00090423" w:rsidRPr="00AB27F9">
        <w:rPr>
          <w:rFonts w:ascii="Arial" w:hAnsi="Arial" w:cs="Arial"/>
          <w:b/>
        </w:rPr>
        <w:t xml:space="preserve"> </w:t>
      </w:r>
    </w:p>
    <w:p w14:paraId="27BBF5FE" w14:textId="16194A06" w:rsidR="00090423" w:rsidRPr="008A6A7B" w:rsidRDefault="00090423" w:rsidP="00CD51DD">
      <w:pPr>
        <w:pStyle w:val="Heading2"/>
      </w:pPr>
      <w:bookmarkStart w:id="12" w:name="_Toc225513413"/>
      <w:bookmarkStart w:id="13" w:name="_Toc228482319"/>
      <w:r w:rsidRPr="008A6A7B">
        <w:t>2.1 External Environment Analysis (PESTEL)</w:t>
      </w:r>
      <w:bookmarkEnd w:id="12"/>
      <w:bookmarkEnd w:id="13"/>
    </w:p>
    <w:p w14:paraId="75E6DD56" w14:textId="528639E6" w:rsidR="00927583" w:rsidRDefault="00927583" w:rsidP="00927583">
      <w:pPr>
        <w:jc w:val="both"/>
        <w:rPr>
          <w:rFonts w:ascii="Arial" w:hAnsi="Arial" w:cs="Arial"/>
        </w:rPr>
      </w:pPr>
      <w:bookmarkStart w:id="14" w:name="_Toc225513414"/>
      <w:r w:rsidRPr="00927583">
        <w:rPr>
          <w:rFonts w:ascii="Arial" w:hAnsi="Arial" w:cs="Arial"/>
        </w:rPr>
        <w:t>PESTEL analysis is applied to identify how Political, Economic, Social, Technological, Environmental, and Legal factors influence organisational strategy and decision-making within the external environment (Johnson</w:t>
      </w:r>
      <w:r>
        <w:rPr>
          <w:rFonts w:ascii="Arial" w:hAnsi="Arial" w:cs="Arial"/>
        </w:rPr>
        <w:t xml:space="preserve"> et.al</w:t>
      </w:r>
      <w:r w:rsidRPr="00927583">
        <w:rPr>
          <w:rFonts w:ascii="Arial" w:hAnsi="Arial" w:cs="Arial"/>
        </w:rPr>
        <w:t>, 2020).</w:t>
      </w:r>
    </w:p>
    <w:p w14:paraId="3725E5FE" w14:textId="77777777" w:rsidR="00927583" w:rsidRPr="00927583" w:rsidRDefault="00927583" w:rsidP="00CD51DD">
      <w:pPr>
        <w:pStyle w:val="Heading3"/>
        <w:rPr>
          <w:b w:val="0"/>
        </w:rPr>
      </w:pPr>
      <w:bookmarkStart w:id="15" w:name="_Toc228482320"/>
      <w:r w:rsidRPr="00927583">
        <w:t>Political Factors (Threat)</w:t>
      </w:r>
      <w:bookmarkEnd w:id="15"/>
    </w:p>
    <w:p w14:paraId="2BAB6871" w14:textId="569AFECD" w:rsidR="00927583" w:rsidRDefault="00927583" w:rsidP="00927583">
      <w:pPr>
        <w:jc w:val="both"/>
        <w:rPr>
          <w:rFonts w:ascii="Arial" w:hAnsi="Arial" w:cs="Arial"/>
        </w:rPr>
      </w:pPr>
      <w:r w:rsidRPr="00927583">
        <w:rPr>
          <w:rFonts w:ascii="Arial" w:hAnsi="Arial" w:cs="Arial"/>
        </w:rPr>
        <w:t>Ongoing geopolitical tensions between the United States and China and the introduction of reciprocal tariffs have been reported to create significant cost pressures for multinational firms such as Nike, while post-</w:t>
      </w:r>
      <w:proofErr w:type="spellStart"/>
      <w:r w:rsidRPr="00927583">
        <w:rPr>
          <w:rFonts w:ascii="Arial" w:hAnsi="Arial" w:cs="Arial"/>
        </w:rPr>
        <w:t>Brexit</w:t>
      </w:r>
      <w:proofErr w:type="spellEnd"/>
      <w:r w:rsidRPr="00927583">
        <w:rPr>
          <w:rFonts w:ascii="Arial" w:hAnsi="Arial" w:cs="Arial"/>
        </w:rPr>
        <w:t xml:space="preserve"> trade arrangements between the United Kingdom and manufacturing hubs such as Vietnam have been associated with increased customs procedures and regulatory complexity. As a result, gross margins have been negatively affected by rising import and logistics costs, and operational efficiency has been challenged by border frictions. Consequently, supply chain diversification strategies and the strengthening of regional distribution networks have been considered necessary to reduce dependency on single geographic regions and to enhance resilience against political and trade disruptions (World Trade Organization, 2024).</w:t>
      </w:r>
    </w:p>
    <w:p w14:paraId="6413AC2B" w14:textId="77777777" w:rsidR="00927583" w:rsidRPr="00927583" w:rsidRDefault="00927583" w:rsidP="00CD51DD">
      <w:pPr>
        <w:pStyle w:val="Heading3"/>
      </w:pPr>
      <w:bookmarkStart w:id="16" w:name="_Toc228482321"/>
      <w:r w:rsidRPr="00927583">
        <w:t>Economic Factors (Threat)</w:t>
      </w:r>
      <w:bookmarkEnd w:id="16"/>
    </w:p>
    <w:p w14:paraId="0225B558" w14:textId="61C0CAC1" w:rsidR="00927583" w:rsidRDefault="00927583" w:rsidP="00927583">
      <w:pPr>
        <w:jc w:val="both"/>
        <w:rPr>
          <w:rFonts w:ascii="Arial" w:hAnsi="Arial" w:cs="Arial"/>
        </w:rPr>
      </w:pPr>
      <w:r w:rsidRPr="00927583">
        <w:rPr>
          <w:rFonts w:ascii="Arial" w:hAnsi="Arial" w:cs="Arial"/>
        </w:rPr>
        <w:t xml:space="preserve">High inflation rates and rising interest rates in the United Kingdom have been associated with declining consumer purchasing power and reduced discretionary spending on premium goods. Under these conditions, consumer demand for high-priced sportswear products has been weakened, and a shift toward mid-priced </w:t>
      </w:r>
      <w:r w:rsidRPr="00927583">
        <w:rPr>
          <w:rFonts w:ascii="Arial" w:hAnsi="Arial" w:cs="Arial"/>
        </w:rPr>
        <w:lastRenderedPageBreak/>
        <w:t>alternatives has been observed across the retail sector. As a result, profit margins within the sportswear industry have been pressured, and revenue growth has been constrained. Therefore, the restoration of full-price sales strategies and the reduction of promotional dependency have been widely recommended to protect profitability and sustain financial performance in challenging economic environments (Office for National Statistics, 2024).</w:t>
      </w:r>
    </w:p>
    <w:p w14:paraId="6A051401" w14:textId="77777777" w:rsidR="00927583" w:rsidRPr="00927583" w:rsidRDefault="00927583" w:rsidP="00CD51DD">
      <w:pPr>
        <w:pStyle w:val="Heading3"/>
      </w:pPr>
      <w:bookmarkStart w:id="17" w:name="_Toc228482322"/>
      <w:r w:rsidRPr="00927583">
        <w:t>Sociocultural Factors (Threat and Opportunity)</w:t>
      </w:r>
      <w:bookmarkEnd w:id="17"/>
    </w:p>
    <w:p w14:paraId="186EDA9C" w14:textId="70F96644" w:rsidR="00927583" w:rsidRDefault="00927583" w:rsidP="00927583">
      <w:pPr>
        <w:jc w:val="both"/>
        <w:rPr>
          <w:rFonts w:ascii="Arial" w:hAnsi="Arial" w:cs="Arial"/>
        </w:rPr>
      </w:pPr>
      <w:r w:rsidRPr="00927583">
        <w:rPr>
          <w:rFonts w:ascii="Arial" w:hAnsi="Arial" w:cs="Arial"/>
        </w:rPr>
        <w:t xml:space="preserve">Sociocultural dynamics within the United Kingdom have been shaped by high levels of individualism and openness to innovation, characteristics that have been identified within Hofstede’s cultural </w:t>
      </w:r>
      <w:proofErr w:type="gramStart"/>
      <w:r w:rsidRPr="00927583">
        <w:rPr>
          <w:rFonts w:ascii="Arial" w:hAnsi="Arial" w:cs="Arial"/>
        </w:rPr>
        <w:t>dimensions</w:t>
      </w:r>
      <w:proofErr w:type="gramEnd"/>
      <w:r w:rsidRPr="00927583">
        <w:rPr>
          <w:rFonts w:ascii="Arial" w:hAnsi="Arial" w:cs="Arial"/>
        </w:rPr>
        <w:t xml:space="preserve"> framework. These cultural traits have supported consumer interest in personalised products and innovative technologies, thereby creating opportunities for brands offering customisation and performance innovation. At the same time, increasing consumer awareness of sustainability and ethical production practices has influenced purchasing decisions, particularly among younger consumers. However, intense market saturation and brand ubiquity within the athleisure segment have been associated with declining perceptions of exclusivity among younger demographics, thereby creating both reputational risks and opportunities for repositioning strategies (Hofstede Insights, 2024).</w:t>
      </w:r>
    </w:p>
    <w:p w14:paraId="7E738EDA" w14:textId="2AD527D4" w:rsidR="00150B11" w:rsidRDefault="00150B11" w:rsidP="00927583">
      <w:pPr>
        <w:jc w:val="both"/>
        <w:rPr>
          <w:rFonts w:ascii="Arial" w:hAnsi="Arial" w:cs="Arial"/>
        </w:rPr>
      </w:pPr>
      <w:r w:rsidRPr="00150B11">
        <w:rPr>
          <w:rFonts w:ascii="Arial" w:hAnsi="Arial" w:cs="Arial"/>
          <w:noProof/>
          <w:lang w:val="en-US"/>
        </w:rPr>
        <w:drawing>
          <wp:anchor distT="0" distB="0" distL="114300" distR="114300" simplePos="0" relativeHeight="251662336" behindDoc="0" locked="0" layoutInCell="1" allowOverlap="1" wp14:anchorId="5885EC19" wp14:editId="68E58E32">
            <wp:simplePos x="0" y="0"/>
            <wp:positionH relativeFrom="margin">
              <wp:posOffset>665106</wp:posOffset>
            </wp:positionH>
            <wp:positionV relativeFrom="paragraph">
              <wp:posOffset>13335</wp:posOffset>
            </wp:positionV>
            <wp:extent cx="5213594" cy="2747616"/>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13594" cy="2747616"/>
                    </a:xfrm>
                    <a:prstGeom prst="rect">
                      <a:avLst/>
                    </a:prstGeom>
                  </pic:spPr>
                </pic:pic>
              </a:graphicData>
            </a:graphic>
            <wp14:sizeRelH relativeFrom="margin">
              <wp14:pctWidth>0</wp14:pctWidth>
            </wp14:sizeRelH>
            <wp14:sizeRelV relativeFrom="margin">
              <wp14:pctHeight>0</wp14:pctHeight>
            </wp14:sizeRelV>
          </wp:anchor>
        </w:drawing>
      </w:r>
    </w:p>
    <w:p w14:paraId="2C61AA61" w14:textId="77777777" w:rsidR="00150B11" w:rsidRDefault="00150B11" w:rsidP="00927583">
      <w:pPr>
        <w:jc w:val="both"/>
        <w:rPr>
          <w:rFonts w:ascii="Arial" w:hAnsi="Arial" w:cs="Arial"/>
          <w:b/>
        </w:rPr>
      </w:pPr>
    </w:p>
    <w:p w14:paraId="2EEFCA01" w14:textId="77777777" w:rsidR="00150B11" w:rsidRDefault="00150B11" w:rsidP="00927583">
      <w:pPr>
        <w:jc w:val="both"/>
        <w:rPr>
          <w:rFonts w:ascii="Arial" w:hAnsi="Arial" w:cs="Arial"/>
          <w:b/>
        </w:rPr>
      </w:pPr>
    </w:p>
    <w:p w14:paraId="1477DFCC" w14:textId="77777777" w:rsidR="00150B11" w:rsidRDefault="00150B11" w:rsidP="00927583">
      <w:pPr>
        <w:jc w:val="both"/>
        <w:rPr>
          <w:rFonts w:ascii="Arial" w:hAnsi="Arial" w:cs="Arial"/>
          <w:b/>
        </w:rPr>
      </w:pPr>
    </w:p>
    <w:p w14:paraId="5C7A122B" w14:textId="77777777" w:rsidR="00150B11" w:rsidRDefault="00150B11" w:rsidP="00927583">
      <w:pPr>
        <w:jc w:val="both"/>
        <w:rPr>
          <w:rFonts w:ascii="Arial" w:hAnsi="Arial" w:cs="Arial"/>
          <w:b/>
        </w:rPr>
      </w:pPr>
    </w:p>
    <w:p w14:paraId="75CC04D4" w14:textId="77777777" w:rsidR="00150B11" w:rsidRDefault="00150B11" w:rsidP="00927583">
      <w:pPr>
        <w:jc w:val="both"/>
        <w:rPr>
          <w:rFonts w:ascii="Arial" w:hAnsi="Arial" w:cs="Arial"/>
          <w:b/>
        </w:rPr>
      </w:pPr>
    </w:p>
    <w:p w14:paraId="33C0A38C" w14:textId="77777777" w:rsidR="00150B11" w:rsidRDefault="00150B11" w:rsidP="00927583">
      <w:pPr>
        <w:jc w:val="both"/>
        <w:rPr>
          <w:rFonts w:ascii="Arial" w:hAnsi="Arial" w:cs="Arial"/>
          <w:b/>
        </w:rPr>
      </w:pPr>
    </w:p>
    <w:p w14:paraId="550D4599" w14:textId="77777777" w:rsidR="00150B11" w:rsidRDefault="00150B11" w:rsidP="00927583">
      <w:pPr>
        <w:jc w:val="both"/>
        <w:rPr>
          <w:rFonts w:ascii="Arial" w:hAnsi="Arial" w:cs="Arial"/>
          <w:b/>
        </w:rPr>
      </w:pPr>
    </w:p>
    <w:p w14:paraId="6C750708" w14:textId="77777777" w:rsidR="00150B11" w:rsidRDefault="00150B11" w:rsidP="00927583">
      <w:pPr>
        <w:jc w:val="both"/>
        <w:rPr>
          <w:rFonts w:ascii="Arial" w:hAnsi="Arial" w:cs="Arial"/>
          <w:b/>
        </w:rPr>
      </w:pPr>
    </w:p>
    <w:p w14:paraId="28D1B8B4" w14:textId="06F6D96B" w:rsidR="00150B11" w:rsidRDefault="00150B11" w:rsidP="00927583">
      <w:pPr>
        <w:jc w:val="both"/>
        <w:rPr>
          <w:rFonts w:ascii="Arial" w:hAnsi="Arial" w:cs="Arial"/>
          <w:b/>
        </w:rPr>
      </w:pPr>
    </w:p>
    <w:p w14:paraId="46FFA4FA" w14:textId="32A6C50D" w:rsidR="00150B11" w:rsidRPr="00150B11" w:rsidRDefault="00150B11" w:rsidP="00150B11">
      <w:pPr>
        <w:jc w:val="center"/>
        <w:rPr>
          <w:rFonts w:ascii="Arial" w:hAnsi="Arial" w:cs="Arial"/>
          <w:i/>
          <w:sz w:val="16"/>
        </w:rPr>
      </w:pPr>
      <w:r w:rsidRPr="00150B11">
        <w:rPr>
          <w:rFonts w:ascii="Arial" w:hAnsi="Arial" w:cs="Arial"/>
          <w:i/>
          <w:sz w:val="16"/>
        </w:rPr>
        <w:t>Fig: 02 Hofstede Cultural dimensions between UK &amp; Vietnam</w:t>
      </w:r>
    </w:p>
    <w:p w14:paraId="02B9D200" w14:textId="2A73FF73" w:rsidR="00150B11" w:rsidRDefault="00D161FF" w:rsidP="00927583">
      <w:pPr>
        <w:jc w:val="both"/>
        <w:rPr>
          <w:rFonts w:ascii="Arial" w:hAnsi="Arial" w:cs="Arial"/>
          <w:b/>
        </w:rPr>
      </w:pPr>
      <w:r w:rsidRPr="00D161FF">
        <w:rPr>
          <w:rFonts w:ascii="Arial" w:hAnsi="Arial" w:cs="Arial"/>
        </w:rPr>
        <w:t xml:space="preserve">Based on Hofstede’s cultural </w:t>
      </w:r>
      <w:proofErr w:type="gramStart"/>
      <w:r w:rsidRPr="00D161FF">
        <w:rPr>
          <w:rFonts w:ascii="Arial" w:hAnsi="Arial" w:cs="Arial"/>
        </w:rPr>
        <w:t>dimensions</w:t>
      </w:r>
      <w:proofErr w:type="gramEnd"/>
      <w:r w:rsidRPr="00D161FF">
        <w:rPr>
          <w:rFonts w:ascii="Arial" w:hAnsi="Arial" w:cs="Arial"/>
        </w:rPr>
        <w:t xml:space="preserve"> framework, significant cultural differences are identified between the United Kingdom consumer market and the Vietnamese manufacturing environment. The United Kingdom is characterised by high Individualism (76) and Indulgence (69), where self-expression and achievement-oriented consumption are widely supported, aligning with performance-driven and lifestyle branding strategies</w:t>
      </w:r>
      <w:r>
        <w:rPr>
          <w:rFonts w:ascii="Arial" w:hAnsi="Arial" w:cs="Arial"/>
        </w:rPr>
        <w:t xml:space="preserve"> (</w:t>
      </w:r>
      <w:r w:rsidRPr="00D161FF">
        <w:rPr>
          <w:rFonts w:ascii="Arial" w:hAnsi="Arial" w:cs="Arial"/>
        </w:rPr>
        <w:t xml:space="preserve">De </w:t>
      </w:r>
      <w:proofErr w:type="spellStart"/>
      <w:r w:rsidRPr="00D161FF">
        <w:rPr>
          <w:rFonts w:ascii="Arial" w:hAnsi="Arial" w:cs="Arial"/>
        </w:rPr>
        <w:t>Mooij</w:t>
      </w:r>
      <w:proofErr w:type="spellEnd"/>
      <w:r w:rsidRPr="00D161FF">
        <w:rPr>
          <w:rFonts w:ascii="Arial" w:hAnsi="Arial" w:cs="Arial"/>
        </w:rPr>
        <w:t>, 2019</w:t>
      </w:r>
      <w:r>
        <w:rPr>
          <w:rFonts w:ascii="Arial" w:hAnsi="Arial" w:cs="Arial"/>
        </w:rPr>
        <w:t>)</w:t>
      </w:r>
      <w:r w:rsidRPr="00D161FF">
        <w:rPr>
          <w:rFonts w:ascii="Arial" w:hAnsi="Arial" w:cs="Arial"/>
        </w:rPr>
        <w:t xml:space="preserve">. In contrast, Vietnam is characterised by lower Individualism (30) and Indulgence (35), where collectivist values and practical communication approaches are emphasised. Differences in Power Distance are also </w:t>
      </w:r>
      <w:r w:rsidRPr="00D161FF">
        <w:rPr>
          <w:rFonts w:ascii="Arial" w:hAnsi="Arial" w:cs="Arial"/>
        </w:rPr>
        <w:lastRenderedPageBreak/>
        <w:t xml:space="preserve">observed, with lower levels in the United Kingdom supporting informal engagement, while higher levels in Vietnam necessitate hierarchical organisational structures. Consequently, marketing and management practices are required to be culturally adapted to local societal expectations and workplace </w:t>
      </w:r>
      <w:r>
        <w:rPr>
          <w:rFonts w:ascii="Arial" w:hAnsi="Arial" w:cs="Arial"/>
        </w:rPr>
        <w:t>norms (Hofstede Insights, 2024</w:t>
      </w:r>
      <w:r w:rsidRPr="00D161FF">
        <w:rPr>
          <w:rFonts w:ascii="Arial" w:hAnsi="Arial" w:cs="Arial"/>
        </w:rPr>
        <w:t>).</w:t>
      </w:r>
    </w:p>
    <w:p w14:paraId="68D54945" w14:textId="31A0D937" w:rsidR="00927583" w:rsidRPr="00CD51DD" w:rsidRDefault="00927583" w:rsidP="00CD51DD">
      <w:pPr>
        <w:pStyle w:val="Heading3"/>
      </w:pPr>
      <w:bookmarkStart w:id="18" w:name="_Toc228482323"/>
      <w:r w:rsidRPr="00CD51DD">
        <w:t>Technological Factors (Opportunity)</w:t>
      </w:r>
      <w:bookmarkEnd w:id="18"/>
    </w:p>
    <w:p w14:paraId="53404DAB" w14:textId="2CD57A54" w:rsidR="00927583" w:rsidRDefault="00927583" w:rsidP="00927583">
      <w:pPr>
        <w:jc w:val="both"/>
        <w:rPr>
          <w:rFonts w:ascii="Arial" w:hAnsi="Arial" w:cs="Arial"/>
        </w:rPr>
      </w:pPr>
      <w:r w:rsidRPr="00927583">
        <w:rPr>
          <w:rFonts w:ascii="Arial" w:hAnsi="Arial" w:cs="Arial"/>
        </w:rPr>
        <w:t>Continuous technological innovation within the sportswear industry has been recognised as a key driver of competitive advantage, particularly in product development, digital retailing, and performance enhancement technologies. Investments in advanced product innovation, wearable technologies, and research and development capabilities have been shown to strengthen brand differentiation and improve customer engagement. Consequently, the introduction of new performance-oriented technologies has been viewed as an opportunity to reinforce product leadership and sustain long-term market competitiveness (McKinsey &amp; Company, 2023).</w:t>
      </w:r>
    </w:p>
    <w:p w14:paraId="58C683D8" w14:textId="77777777" w:rsidR="00927583" w:rsidRPr="00927583" w:rsidRDefault="00927583" w:rsidP="00CD51DD">
      <w:pPr>
        <w:pStyle w:val="Heading3"/>
      </w:pPr>
      <w:bookmarkStart w:id="19" w:name="_Toc228482324"/>
      <w:r w:rsidRPr="00927583">
        <w:t>Environmental Factors (Opportunity)</w:t>
      </w:r>
      <w:bookmarkEnd w:id="19"/>
    </w:p>
    <w:p w14:paraId="635BCC71" w14:textId="42DF8AAB" w:rsidR="00927583" w:rsidRDefault="00927583" w:rsidP="00927583">
      <w:pPr>
        <w:jc w:val="both"/>
        <w:rPr>
          <w:rFonts w:ascii="Arial" w:hAnsi="Arial" w:cs="Arial"/>
        </w:rPr>
      </w:pPr>
      <w:r w:rsidRPr="00927583">
        <w:rPr>
          <w:rFonts w:ascii="Arial" w:hAnsi="Arial" w:cs="Arial"/>
        </w:rPr>
        <w:t>Environmental sustainability has increasingly been prioritised within the global apparel and footwear industry due to regulatory pressures and growing consumer demand for environmentally responsible products. The adoption of circular economy practices, recycled materials, and carbon reduction initiatives has been associated with improved corporate reputation and stronger alignment with environmentally conscious consumers. As a result, sustainability-focused supply chain partnerships and resource efficiency strategies have been recognised as important mechanisms for enhancing brand differentiation and supporting long-term environmental performance (United Nations Environment Programme, 2023).</w:t>
      </w:r>
    </w:p>
    <w:p w14:paraId="50DC15A3" w14:textId="77777777" w:rsidR="00927583" w:rsidRPr="00927583" w:rsidRDefault="00927583" w:rsidP="00CD51DD">
      <w:pPr>
        <w:pStyle w:val="Heading3"/>
      </w:pPr>
      <w:bookmarkStart w:id="20" w:name="_Toc228482325"/>
      <w:r w:rsidRPr="00927583">
        <w:t>Legal Factors (Threat)</w:t>
      </w:r>
      <w:bookmarkEnd w:id="20"/>
    </w:p>
    <w:p w14:paraId="02EA6B81" w14:textId="4C409F0D" w:rsidR="00927583" w:rsidRDefault="00927583" w:rsidP="00927583">
      <w:pPr>
        <w:jc w:val="both"/>
        <w:rPr>
          <w:rFonts w:ascii="Arial" w:hAnsi="Arial" w:cs="Arial"/>
        </w:rPr>
      </w:pPr>
      <w:r w:rsidRPr="00927583">
        <w:rPr>
          <w:rFonts w:ascii="Arial" w:hAnsi="Arial" w:cs="Arial"/>
        </w:rPr>
        <w:t>Legal compliance requirements within the United Kingdom, including data protection regulations under the UK General Data Protection Regulation (UK GDPR) and modern slavery legislation, have imposed stricter obligations on organisations to ensure responsible data management and transparent supply chain practices. These regulatory frameworks have increased administrative costs and operational complexity, particularly for companies operating digital direct-to-consumer platforms and global sourcing networks. Therefore, comprehensive compliance systems and rigorous auditing procedures have been considered essential to mitigate legal risks and maintain stakeholder trust (UK Government, 2024)</w:t>
      </w:r>
      <w:r>
        <w:rPr>
          <w:rFonts w:ascii="Arial" w:hAnsi="Arial" w:cs="Arial"/>
        </w:rPr>
        <w:t>.</w:t>
      </w:r>
    </w:p>
    <w:p w14:paraId="66228286" w14:textId="77777777" w:rsidR="00927583" w:rsidRDefault="00927583" w:rsidP="00927583">
      <w:pPr>
        <w:jc w:val="both"/>
        <w:rPr>
          <w:rFonts w:ascii="Arial" w:hAnsi="Arial" w:cs="Arial"/>
        </w:rPr>
      </w:pPr>
    </w:p>
    <w:p w14:paraId="5A78E248" w14:textId="7B48043B" w:rsidR="00927583" w:rsidRDefault="00927583" w:rsidP="00927583">
      <w:pPr>
        <w:rPr>
          <w:rFonts w:ascii="Arial" w:hAnsi="Arial" w:cs="Arial"/>
        </w:rPr>
      </w:pPr>
    </w:p>
    <w:p w14:paraId="14D7493E" w14:textId="3904823E" w:rsidR="008B3803" w:rsidRDefault="008B3803" w:rsidP="00927583">
      <w:pPr>
        <w:rPr>
          <w:rFonts w:ascii="Arial" w:hAnsi="Arial" w:cs="Arial"/>
        </w:rPr>
      </w:pPr>
    </w:p>
    <w:p w14:paraId="7D055238" w14:textId="77777777" w:rsidR="008B3803" w:rsidRDefault="008B3803" w:rsidP="00927583">
      <w:pPr>
        <w:rPr>
          <w:rFonts w:ascii="Arial" w:hAnsi="Arial" w:cs="Arial"/>
        </w:rPr>
      </w:pPr>
    </w:p>
    <w:p w14:paraId="46263086" w14:textId="294E251D" w:rsidR="008B3803" w:rsidRPr="00CD51DD" w:rsidRDefault="008B3803" w:rsidP="00CD51DD">
      <w:pPr>
        <w:pStyle w:val="Heading2"/>
        <w:rPr>
          <w:rStyle w:val="Strong"/>
          <w:b/>
          <w:bCs w:val="0"/>
        </w:rPr>
      </w:pPr>
      <w:bookmarkStart w:id="21" w:name="_Toc228482326"/>
      <w:r w:rsidRPr="00CD51DD">
        <w:rPr>
          <w:rStyle w:val="Heading2Char"/>
          <w:b/>
        </w:rPr>
        <w:lastRenderedPageBreak/>
        <w:t xml:space="preserve">2.2 </w:t>
      </w:r>
      <w:r w:rsidRPr="00CD51DD">
        <w:rPr>
          <w:rStyle w:val="Strong"/>
          <w:b/>
          <w:bCs w:val="0"/>
        </w:rPr>
        <w:t>Strategic Challenges and Critical Success Factors</w:t>
      </w:r>
      <w:bookmarkEnd w:id="21"/>
    </w:p>
    <w:p w14:paraId="35F29597" w14:textId="29790E8B" w:rsidR="008B3803" w:rsidRDefault="008B3803" w:rsidP="00CD51DD">
      <w:pPr>
        <w:jc w:val="both"/>
        <w:rPr>
          <w:rFonts w:ascii="Arial" w:hAnsi="Arial" w:cs="Arial"/>
        </w:rPr>
      </w:pPr>
      <w:r>
        <w:rPr>
          <w:rFonts w:ascii="Arial" w:hAnsi="Arial" w:cs="Arial"/>
        </w:rPr>
        <w:t>S</w:t>
      </w:r>
      <w:r w:rsidRPr="008B3803">
        <w:rPr>
          <w:rFonts w:ascii="Arial" w:hAnsi="Arial" w:cs="Arial"/>
        </w:rPr>
        <w:t>trategic Challenges are defined as obstacles, pressures, or uncertainties that arise from internal and external environments and that hinder the achievement of long-term organisational objectives</w:t>
      </w:r>
      <w:r>
        <w:rPr>
          <w:rFonts w:ascii="Arial" w:hAnsi="Arial" w:cs="Arial"/>
        </w:rPr>
        <w:t xml:space="preserve"> </w:t>
      </w:r>
      <w:r w:rsidRPr="008B3803">
        <w:rPr>
          <w:rFonts w:ascii="Arial" w:hAnsi="Arial" w:cs="Arial"/>
        </w:rPr>
        <w:t>(Johnson</w:t>
      </w:r>
      <w:r>
        <w:rPr>
          <w:rFonts w:ascii="Arial" w:hAnsi="Arial" w:cs="Arial"/>
        </w:rPr>
        <w:t xml:space="preserve"> et.al,2020). </w:t>
      </w:r>
      <w:r w:rsidRPr="008B3803">
        <w:rPr>
          <w:rFonts w:ascii="Arial" w:hAnsi="Arial" w:cs="Arial"/>
        </w:rPr>
        <w:t>They are conceptualised as gaps between current organisational performance and desired strategic outcomes, through which risks to competitiveness and sustainability are created. Consequently, deliberate managerial action and continuous environmental monitoring are required to address these challenges and to maintain strategic alignment with organisational goals (Johnson</w:t>
      </w:r>
      <w:r>
        <w:rPr>
          <w:rFonts w:ascii="Arial" w:hAnsi="Arial" w:cs="Arial"/>
        </w:rPr>
        <w:t xml:space="preserve"> et.al,2020).</w:t>
      </w:r>
    </w:p>
    <w:p w14:paraId="62805311" w14:textId="661659A7" w:rsidR="00282DCA" w:rsidRPr="00282DCA" w:rsidRDefault="008B3803" w:rsidP="00282DCA">
      <w:pPr>
        <w:jc w:val="both"/>
        <w:rPr>
          <w:rFonts w:ascii="Arial" w:hAnsi="Arial" w:cs="Arial"/>
        </w:rPr>
      </w:pPr>
      <w:r w:rsidRPr="008B3803">
        <w:rPr>
          <w:rFonts w:ascii="Arial" w:hAnsi="Arial" w:cs="Arial"/>
        </w:rPr>
        <w:t>Critical Success Factors (CSFs) are defined as the limited number of key areas in which satisfactory performance must be achieved to ensure successful competitive outcomes for an organisation. They are regarded as essential organisational conditions, capabilities, or performance outcomes that must be delivered to support the achievement of the mission and long-term strategic objectives</w:t>
      </w:r>
      <w:r w:rsidR="00BC669F">
        <w:rPr>
          <w:rFonts w:ascii="Arial" w:hAnsi="Arial" w:cs="Arial"/>
        </w:rPr>
        <w:t xml:space="preserve"> </w:t>
      </w:r>
      <w:r w:rsidR="00BC669F" w:rsidRPr="00AB27F9">
        <w:rPr>
          <w:rFonts w:ascii="Arial" w:hAnsi="Arial" w:cs="Arial"/>
        </w:rPr>
        <w:t>(Thompson et al., 2022)</w:t>
      </w:r>
      <w:r w:rsidRPr="008B3803">
        <w:rPr>
          <w:rFonts w:ascii="Arial" w:hAnsi="Arial" w:cs="Arial"/>
        </w:rPr>
        <w:t>. Therefore, organisational resources and managerial attention are required to be concentrated on these priority areas to sustain competitive advantage and operational effectiveness</w:t>
      </w:r>
      <w:r>
        <w:rPr>
          <w:rFonts w:ascii="Arial" w:hAnsi="Arial" w:cs="Arial"/>
        </w:rPr>
        <w:t xml:space="preserve"> </w:t>
      </w:r>
      <w:r w:rsidR="00C56CAF">
        <w:rPr>
          <w:rFonts w:ascii="Arial" w:hAnsi="Arial" w:cs="Arial"/>
        </w:rPr>
        <w:t>(</w:t>
      </w:r>
      <w:r w:rsidR="00C56CAF" w:rsidRPr="00C56CAF">
        <w:rPr>
          <w:rFonts w:ascii="Arial" w:hAnsi="Arial" w:cs="Arial"/>
        </w:rPr>
        <w:t>Thompson et al., 2022)</w:t>
      </w:r>
      <w:r w:rsidR="00C56CAF">
        <w:rPr>
          <w:rFonts w:ascii="Arial" w:hAnsi="Arial" w:cs="Arial"/>
        </w:rPr>
        <w:t>.</w:t>
      </w:r>
    </w:p>
    <w:p w14:paraId="53D876EE" w14:textId="77777777" w:rsidR="00282DCA" w:rsidRDefault="00282DCA" w:rsidP="00282DCA">
      <w:pPr>
        <w:rPr>
          <w:rFonts w:ascii="Arial" w:hAnsi="Arial" w:cs="Arial"/>
          <w:i/>
          <w:sz w:val="16"/>
        </w:rPr>
      </w:pPr>
    </w:p>
    <w:p w14:paraId="5021B740" w14:textId="1D311F42" w:rsidR="008B3803" w:rsidRPr="00282DCA" w:rsidRDefault="00282DCA" w:rsidP="00282DCA">
      <w:pPr>
        <w:rPr>
          <w:rStyle w:val="Heading2Char"/>
          <w:rFonts w:eastAsiaTheme="minorHAnsi" w:cs="Arial"/>
          <w:b w:val="0"/>
          <w:i/>
          <w:sz w:val="16"/>
          <w:szCs w:val="24"/>
        </w:rPr>
      </w:pPr>
      <w:r w:rsidRPr="00282DCA">
        <w:rPr>
          <w:rFonts w:ascii="Arial" w:hAnsi="Arial" w:cs="Arial"/>
          <w:i/>
          <w:sz w:val="16"/>
        </w:rPr>
        <w:t>Fig: 03 Strategic challenges &amp; Critical Success Factors Analysis</w:t>
      </w:r>
      <w:r>
        <w:rPr>
          <w:rFonts w:ascii="Arial" w:hAnsi="Arial" w:cs="Arial"/>
          <w:i/>
          <w:sz w:val="16"/>
        </w:rPr>
        <w:t xml:space="preserve"> (Self-</w:t>
      </w:r>
      <w:proofErr w:type="spellStart"/>
      <w:r>
        <w:rPr>
          <w:rFonts w:ascii="Arial" w:hAnsi="Arial" w:cs="Arial"/>
          <w:i/>
          <w:sz w:val="16"/>
        </w:rPr>
        <w:t>Analyzed</w:t>
      </w:r>
      <w:proofErr w:type="spellEnd"/>
      <w:r>
        <w:rPr>
          <w:rFonts w:ascii="Arial" w:hAnsi="Arial" w:cs="Arial"/>
          <w:i/>
          <w:sz w:val="16"/>
        </w:rPr>
        <w:t>)</w:t>
      </w:r>
    </w:p>
    <w:p w14:paraId="472D0FB6" w14:textId="34DCA037" w:rsidR="008B3803" w:rsidRDefault="00282DCA" w:rsidP="00282DCA">
      <w:pPr>
        <w:rPr>
          <w:rStyle w:val="Heading2Char"/>
          <w:rFonts w:cs="Arial"/>
          <w:b w:val="0"/>
          <w:bCs/>
          <w:sz w:val="24"/>
          <w:szCs w:val="24"/>
        </w:rPr>
      </w:pPr>
      <w:r>
        <w:rPr>
          <w:rFonts w:ascii="Arial" w:eastAsiaTheme="majorEastAsia" w:hAnsi="Arial" w:cs="Arial"/>
          <w:b/>
          <w:bCs/>
          <w:noProof/>
          <w:lang w:val="en-US"/>
        </w:rPr>
        <w:drawing>
          <wp:anchor distT="0" distB="0" distL="114300" distR="114300" simplePos="0" relativeHeight="251663360" behindDoc="0" locked="0" layoutInCell="1" allowOverlap="1" wp14:anchorId="4512A2C2" wp14:editId="05C0FFFF">
            <wp:simplePos x="0" y="0"/>
            <wp:positionH relativeFrom="margin">
              <wp:posOffset>227330</wp:posOffset>
            </wp:positionH>
            <wp:positionV relativeFrom="paragraph">
              <wp:posOffset>5715</wp:posOffset>
            </wp:positionV>
            <wp:extent cx="5286375" cy="2772410"/>
            <wp:effectExtent l="0" t="0" r="0" b="889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9adce2d-c680-4f30-b6bb-001d688d607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86375" cy="2772410"/>
                    </a:xfrm>
                    <a:prstGeom prst="rect">
                      <a:avLst/>
                    </a:prstGeom>
                  </pic:spPr>
                </pic:pic>
              </a:graphicData>
            </a:graphic>
            <wp14:sizeRelH relativeFrom="margin">
              <wp14:pctWidth>0</wp14:pctWidth>
            </wp14:sizeRelH>
            <wp14:sizeRelV relativeFrom="margin">
              <wp14:pctHeight>0</wp14:pctHeight>
            </wp14:sizeRelV>
          </wp:anchor>
        </w:drawing>
      </w:r>
    </w:p>
    <w:p w14:paraId="5B03E66D" w14:textId="77777777" w:rsidR="008B3803" w:rsidRDefault="008B3803" w:rsidP="00282DCA">
      <w:pPr>
        <w:rPr>
          <w:rStyle w:val="Heading2Char"/>
          <w:rFonts w:cs="Arial"/>
          <w:b w:val="0"/>
          <w:bCs/>
          <w:sz w:val="24"/>
          <w:szCs w:val="24"/>
        </w:rPr>
      </w:pPr>
    </w:p>
    <w:p w14:paraId="423C65C4" w14:textId="77777777" w:rsidR="008B3803" w:rsidRDefault="008B3803" w:rsidP="00282DCA">
      <w:pPr>
        <w:rPr>
          <w:rStyle w:val="Heading2Char"/>
          <w:rFonts w:cs="Arial"/>
          <w:b w:val="0"/>
          <w:bCs/>
          <w:sz w:val="24"/>
          <w:szCs w:val="24"/>
        </w:rPr>
      </w:pPr>
    </w:p>
    <w:p w14:paraId="72186248" w14:textId="77777777" w:rsidR="008B3803" w:rsidRDefault="008B3803" w:rsidP="00282DCA">
      <w:pPr>
        <w:rPr>
          <w:rStyle w:val="Heading2Char"/>
          <w:rFonts w:cs="Arial"/>
          <w:b w:val="0"/>
          <w:bCs/>
          <w:sz w:val="24"/>
          <w:szCs w:val="24"/>
        </w:rPr>
      </w:pPr>
    </w:p>
    <w:p w14:paraId="01C3B023" w14:textId="77777777" w:rsidR="008B3803" w:rsidRDefault="008B3803" w:rsidP="00282DCA">
      <w:pPr>
        <w:rPr>
          <w:rStyle w:val="Heading2Char"/>
          <w:rFonts w:cs="Arial"/>
          <w:b w:val="0"/>
          <w:bCs/>
          <w:sz w:val="24"/>
          <w:szCs w:val="24"/>
        </w:rPr>
      </w:pPr>
    </w:p>
    <w:p w14:paraId="3C95CBD2" w14:textId="77777777" w:rsidR="00BC669F" w:rsidRDefault="00BC669F" w:rsidP="00282DCA">
      <w:pPr>
        <w:rPr>
          <w:rStyle w:val="Heading2Char"/>
          <w:rFonts w:cs="Arial"/>
          <w:b w:val="0"/>
          <w:bCs/>
          <w:sz w:val="24"/>
          <w:szCs w:val="24"/>
        </w:rPr>
      </w:pPr>
    </w:p>
    <w:p w14:paraId="7D0D4CBE" w14:textId="77777777" w:rsidR="00BC669F" w:rsidRDefault="00BC669F" w:rsidP="00282DCA">
      <w:pPr>
        <w:rPr>
          <w:rStyle w:val="Heading2Char"/>
          <w:rFonts w:cs="Arial"/>
          <w:b w:val="0"/>
          <w:bCs/>
          <w:sz w:val="24"/>
          <w:szCs w:val="24"/>
        </w:rPr>
      </w:pPr>
    </w:p>
    <w:p w14:paraId="2DCA7A55" w14:textId="47B07638" w:rsidR="00BC669F" w:rsidRPr="00BC669F" w:rsidRDefault="00BC669F" w:rsidP="00282DCA">
      <w:pPr>
        <w:rPr>
          <w:rStyle w:val="Heading2Char"/>
          <w:rFonts w:cs="Arial"/>
          <w:bCs/>
          <w:i/>
          <w:sz w:val="16"/>
          <w:szCs w:val="24"/>
        </w:rPr>
      </w:pPr>
    </w:p>
    <w:p w14:paraId="57B42D31" w14:textId="40FF7CE3" w:rsidR="00BC669F" w:rsidRPr="00D14863" w:rsidRDefault="00BC669F" w:rsidP="00282DCA">
      <w:pPr>
        <w:rPr>
          <w:rStyle w:val="Heading2Char"/>
          <w:rFonts w:cs="Arial"/>
          <w:b w:val="0"/>
          <w:bCs/>
          <w:i/>
          <w:sz w:val="16"/>
          <w:szCs w:val="24"/>
        </w:rPr>
      </w:pPr>
    </w:p>
    <w:p w14:paraId="27DBB90D" w14:textId="77777777" w:rsidR="00BC669F" w:rsidRDefault="00BC669F" w:rsidP="00282DCA">
      <w:pPr>
        <w:rPr>
          <w:rStyle w:val="Heading2Char"/>
          <w:rFonts w:cs="Arial"/>
          <w:b w:val="0"/>
          <w:bCs/>
          <w:sz w:val="24"/>
          <w:szCs w:val="24"/>
        </w:rPr>
      </w:pPr>
    </w:p>
    <w:bookmarkEnd w:id="14"/>
    <w:p w14:paraId="30DDC223" w14:textId="77777777" w:rsidR="00923AC6" w:rsidRDefault="00923AC6" w:rsidP="00E744DA">
      <w:pPr>
        <w:rPr>
          <w:rFonts w:ascii="Arial" w:hAnsi="Arial" w:cs="Arial"/>
        </w:rPr>
      </w:pPr>
    </w:p>
    <w:p w14:paraId="499D4F5D" w14:textId="77777777" w:rsidR="00923AC6" w:rsidRDefault="00923AC6" w:rsidP="00E744DA">
      <w:pPr>
        <w:rPr>
          <w:rFonts w:ascii="Arial" w:hAnsi="Arial" w:cs="Arial"/>
        </w:rPr>
      </w:pPr>
    </w:p>
    <w:p w14:paraId="082B96C4" w14:textId="77777777" w:rsidR="00923AC6" w:rsidRDefault="00923AC6" w:rsidP="00E744DA">
      <w:pPr>
        <w:rPr>
          <w:rFonts w:ascii="Arial" w:hAnsi="Arial" w:cs="Arial"/>
        </w:rPr>
      </w:pPr>
    </w:p>
    <w:p w14:paraId="52E767AD" w14:textId="77777777" w:rsidR="00923AC6" w:rsidRDefault="00923AC6" w:rsidP="00E744DA">
      <w:pPr>
        <w:rPr>
          <w:rFonts w:ascii="Arial" w:hAnsi="Arial" w:cs="Arial"/>
        </w:rPr>
      </w:pPr>
    </w:p>
    <w:p w14:paraId="5D301638" w14:textId="77777777" w:rsidR="00923AC6" w:rsidRDefault="00923AC6" w:rsidP="00E744DA">
      <w:pPr>
        <w:rPr>
          <w:rFonts w:ascii="Arial" w:hAnsi="Arial" w:cs="Arial"/>
        </w:rPr>
      </w:pPr>
    </w:p>
    <w:p w14:paraId="5D5AEDF2" w14:textId="55D2995B" w:rsidR="006E17D1" w:rsidRPr="006E17D1" w:rsidRDefault="006E17D1" w:rsidP="00CD51DD">
      <w:pPr>
        <w:pStyle w:val="Heading2"/>
      </w:pPr>
      <w:bookmarkStart w:id="22" w:name="_Toc228482327"/>
      <w:r w:rsidRPr="006E17D1">
        <w:lastRenderedPageBreak/>
        <w:t>2.3 Internal Environmental Factors</w:t>
      </w:r>
      <w:bookmarkEnd w:id="22"/>
    </w:p>
    <w:p w14:paraId="2B438291" w14:textId="6322DA60" w:rsidR="00923AC6" w:rsidRDefault="00923AC6" w:rsidP="006E17D1">
      <w:pPr>
        <w:jc w:val="both"/>
        <w:rPr>
          <w:rFonts w:ascii="Arial" w:hAnsi="Arial" w:cs="Arial"/>
        </w:rPr>
      </w:pPr>
      <w:r w:rsidRPr="00923AC6">
        <w:rPr>
          <w:rFonts w:ascii="Arial" w:hAnsi="Arial" w:cs="Arial"/>
        </w:rPr>
        <w:t>Internal environment factors are defined as the resources (both tangible and intangible) and capabilities through which organisational effectiveness is achieved (Barney, 1991). A tangible resource is represented by global distribution centres, including the United Kingdom regional hub, through which operational efficiency and market responsiv</w:t>
      </w:r>
      <w:r w:rsidR="006E17D1">
        <w:rPr>
          <w:rFonts w:ascii="Arial" w:hAnsi="Arial" w:cs="Arial"/>
        </w:rPr>
        <w:t>eness are supported (Grant, 2021</w:t>
      </w:r>
      <w:r w:rsidRPr="00923AC6">
        <w:rPr>
          <w:rFonts w:ascii="Arial" w:hAnsi="Arial" w:cs="Arial"/>
        </w:rPr>
        <w:t>).</w:t>
      </w:r>
    </w:p>
    <w:p w14:paraId="3B8C511B" w14:textId="499FE0D9" w:rsidR="006E17D1" w:rsidRPr="00D56A49" w:rsidRDefault="006E17D1" w:rsidP="00D56A49">
      <w:pPr>
        <w:rPr>
          <w:rFonts w:ascii="Arial" w:hAnsi="Arial" w:cs="Arial"/>
          <w:b/>
        </w:rPr>
      </w:pPr>
      <w:r w:rsidRPr="00D56A49">
        <w:rPr>
          <w:rFonts w:ascii="Arial" w:hAnsi="Arial" w:cs="Arial"/>
          <w:b/>
        </w:rPr>
        <w:t>Tangible Resource – Global Distribution Infrastructure</w:t>
      </w:r>
    </w:p>
    <w:p w14:paraId="11104457" w14:textId="77E0D167" w:rsidR="006E17D1" w:rsidRPr="006E17D1" w:rsidRDefault="006E17D1" w:rsidP="006E17D1">
      <w:pPr>
        <w:jc w:val="both"/>
        <w:rPr>
          <w:rFonts w:ascii="Arial" w:hAnsi="Arial" w:cs="Arial"/>
        </w:rPr>
      </w:pPr>
      <w:r w:rsidRPr="006E17D1">
        <w:rPr>
          <w:rFonts w:ascii="Arial" w:hAnsi="Arial" w:cs="Arial"/>
        </w:rPr>
        <w:t>A global network of regional distribution centres, advanced inventory systems, and logistics assets is maintained, through which rapid and cost-effective delivery worldwide is enabled. Both wholesale and direct-to-consumer (DTC) channels are supported by this physical resource, through which product availability and supply chain resilience</w:t>
      </w:r>
      <w:r>
        <w:rPr>
          <w:rFonts w:ascii="Arial" w:hAnsi="Arial" w:cs="Arial"/>
        </w:rPr>
        <w:t xml:space="preserve"> are ensured (Grant, 2021</w:t>
      </w:r>
      <w:r w:rsidRPr="006E17D1">
        <w:rPr>
          <w:rFonts w:ascii="Arial" w:hAnsi="Arial" w:cs="Arial"/>
        </w:rPr>
        <w:t>).</w:t>
      </w:r>
    </w:p>
    <w:p w14:paraId="381A74AE" w14:textId="77777777" w:rsidR="006E17D1" w:rsidRPr="00D56A49" w:rsidRDefault="006E17D1" w:rsidP="00D56A49">
      <w:pPr>
        <w:rPr>
          <w:rFonts w:ascii="Arial" w:hAnsi="Arial" w:cs="Arial"/>
          <w:b/>
        </w:rPr>
      </w:pPr>
      <w:r w:rsidRPr="00D56A49">
        <w:rPr>
          <w:rFonts w:ascii="Arial" w:hAnsi="Arial" w:cs="Arial"/>
          <w:b/>
        </w:rPr>
        <w:t>Intangible Resource – Brand Equity (The Swoosh)</w:t>
      </w:r>
    </w:p>
    <w:p w14:paraId="69FAFE17" w14:textId="329B2039" w:rsidR="006E17D1" w:rsidRPr="006E17D1" w:rsidRDefault="006E17D1" w:rsidP="006E17D1">
      <w:pPr>
        <w:jc w:val="both"/>
        <w:rPr>
          <w:rFonts w:ascii="Arial" w:hAnsi="Arial" w:cs="Arial"/>
        </w:rPr>
      </w:pPr>
      <w:r w:rsidRPr="006E17D1">
        <w:rPr>
          <w:rFonts w:ascii="Arial" w:hAnsi="Arial" w:cs="Arial"/>
        </w:rPr>
        <w:t>A globally recognised logo, brand name, and reputation have been developed over more than five decades, with brand equity having been valued at over $30 billion. Premium pricing is enabled, customer loyalty is strengthened, and a strong emotional connection is created through this intangible asset, which is not easily replicated by competitors (Keller, 2013).</w:t>
      </w:r>
    </w:p>
    <w:p w14:paraId="5CF2B21D" w14:textId="77777777" w:rsidR="006E17D1" w:rsidRPr="00D56A49" w:rsidRDefault="006E17D1" w:rsidP="00D56A49">
      <w:pPr>
        <w:rPr>
          <w:rFonts w:ascii="Arial" w:hAnsi="Arial" w:cs="Arial"/>
          <w:b/>
        </w:rPr>
      </w:pPr>
      <w:r w:rsidRPr="00D56A49">
        <w:rPr>
          <w:rFonts w:ascii="Arial" w:hAnsi="Arial" w:cs="Arial"/>
          <w:b/>
        </w:rPr>
        <w:t>Capability – Product Innovation</w:t>
      </w:r>
    </w:p>
    <w:p w14:paraId="65A7E2BE" w14:textId="77777777" w:rsidR="006E17D1" w:rsidRPr="006E17D1" w:rsidRDefault="006E17D1" w:rsidP="006E17D1">
      <w:pPr>
        <w:jc w:val="both"/>
        <w:rPr>
          <w:rFonts w:ascii="Arial" w:hAnsi="Arial" w:cs="Arial"/>
        </w:rPr>
      </w:pPr>
      <w:r w:rsidRPr="006E17D1">
        <w:rPr>
          <w:rFonts w:ascii="Arial" w:hAnsi="Arial" w:cs="Arial"/>
        </w:rPr>
        <w:t xml:space="preserve">A systematic research and development process is employed, through which breakthrough technologies such as Air Max, </w:t>
      </w:r>
      <w:proofErr w:type="spellStart"/>
      <w:r w:rsidRPr="006E17D1">
        <w:rPr>
          <w:rFonts w:ascii="Arial" w:hAnsi="Arial" w:cs="Arial"/>
        </w:rPr>
        <w:t>Flyknit</w:t>
      </w:r>
      <w:proofErr w:type="spellEnd"/>
      <w:r w:rsidRPr="006E17D1">
        <w:rPr>
          <w:rFonts w:ascii="Arial" w:hAnsi="Arial" w:cs="Arial"/>
        </w:rPr>
        <w:t>, Nike Mind, and Project Amplify are consistently delivered. Product differentiation is achieved, premium pricing is justified, and a renewed focus on sport performance is reinforced through this capability (</w:t>
      </w:r>
      <w:proofErr w:type="spellStart"/>
      <w:r w:rsidRPr="006E17D1">
        <w:rPr>
          <w:rFonts w:ascii="Arial" w:hAnsi="Arial" w:cs="Arial"/>
        </w:rPr>
        <w:t>Teece</w:t>
      </w:r>
      <w:proofErr w:type="spellEnd"/>
      <w:r w:rsidRPr="006E17D1">
        <w:rPr>
          <w:rFonts w:ascii="Arial" w:hAnsi="Arial" w:cs="Arial"/>
        </w:rPr>
        <w:t>, 2018; Nike Inc., 2023).</w:t>
      </w:r>
    </w:p>
    <w:p w14:paraId="74B2758D" w14:textId="77777777" w:rsidR="006E17D1" w:rsidRPr="00D56A49" w:rsidRDefault="006E17D1" w:rsidP="00D56A49">
      <w:pPr>
        <w:rPr>
          <w:rFonts w:ascii="Arial" w:hAnsi="Arial" w:cs="Arial"/>
          <w:b/>
        </w:rPr>
      </w:pPr>
      <w:r w:rsidRPr="00D56A49">
        <w:rPr>
          <w:rFonts w:ascii="Arial" w:hAnsi="Arial" w:cs="Arial"/>
          <w:b/>
        </w:rPr>
        <w:t>Capability – Marketing Excellence</w:t>
      </w:r>
    </w:p>
    <w:p w14:paraId="7D549CF4" w14:textId="0889DF15" w:rsidR="006E17D1" w:rsidRPr="006E17D1" w:rsidRDefault="006E17D1" w:rsidP="006E17D1">
      <w:pPr>
        <w:jc w:val="both"/>
        <w:rPr>
          <w:rFonts w:ascii="Arial" w:hAnsi="Arial" w:cs="Arial"/>
        </w:rPr>
      </w:pPr>
      <w:r w:rsidRPr="006E17D1">
        <w:rPr>
          <w:rFonts w:ascii="Arial" w:hAnsi="Arial" w:cs="Arial"/>
        </w:rPr>
        <w:t xml:space="preserve">Culturally resonant storytelling, global campaign execution, and athlete endorsement management are leveraged, through which connections between sport and lifestyle are established. Brand preference, cultural relevance, and consumer engagement are driven through this capability </w:t>
      </w:r>
      <w:r>
        <w:rPr>
          <w:rFonts w:ascii="Arial" w:hAnsi="Arial" w:cs="Arial"/>
        </w:rPr>
        <w:t>(Kotler &amp; Keller, 2015</w:t>
      </w:r>
      <w:r w:rsidRPr="006E17D1">
        <w:rPr>
          <w:rFonts w:ascii="Arial" w:hAnsi="Arial" w:cs="Arial"/>
        </w:rPr>
        <w:t>).</w:t>
      </w:r>
    </w:p>
    <w:p w14:paraId="32162ADC" w14:textId="77777777" w:rsidR="006E17D1" w:rsidRPr="00D56A49" w:rsidRDefault="006E17D1" w:rsidP="00D56A49">
      <w:pPr>
        <w:rPr>
          <w:rFonts w:ascii="Arial" w:hAnsi="Arial" w:cs="Arial"/>
          <w:b/>
        </w:rPr>
      </w:pPr>
      <w:r w:rsidRPr="00D56A49">
        <w:rPr>
          <w:rFonts w:ascii="Arial" w:hAnsi="Arial" w:cs="Arial"/>
          <w:b/>
        </w:rPr>
        <w:t>Core Competency – Athlete Relationship Network</w:t>
      </w:r>
    </w:p>
    <w:p w14:paraId="17771B42" w14:textId="7BABB166" w:rsidR="006E17D1" w:rsidRDefault="006E17D1" w:rsidP="006E17D1">
      <w:pPr>
        <w:jc w:val="both"/>
        <w:rPr>
          <w:rFonts w:ascii="Arial" w:hAnsi="Arial" w:cs="Arial"/>
        </w:rPr>
      </w:pPr>
      <w:r w:rsidRPr="006E17D1">
        <w:rPr>
          <w:rFonts w:ascii="Arial" w:hAnsi="Arial" w:cs="Arial"/>
        </w:rPr>
        <w:t>Long-term exclusive partnerships with elite athletes have been established, through which marketing assets and product co-creation are integrated. A trust-based network is developed that is costly to imitate, through which sustained competitive advantage, authenticity, and performance feedback are achieved (Barney, 1991; Nike Inc., 2023).</w:t>
      </w:r>
    </w:p>
    <w:p w14:paraId="04C19DFB" w14:textId="16E246D8" w:rsidR="007B615E" w:rsidRDefault="007B615E" w:rsidP="006E17D1">
      <w:pPr>
        <w:jc w:val="both"/>
        <w:rPr>
          <w:rFonts w:ascii="Arial" w:hAnsi="Arial" w:cs="Arial"/>
        </w:rPr>
      </w:pPr>
    </w:p>
    <w:p w14:paraId="01C49288" w14:textId="77777777" w:rsidR="007B615E" w:rsidRPr="006E17D1" w:rsidRDefault="007B615E" w:rsidP="006E17D1">
      <w:pPr>
        <w:jc w:val="both"/>
        <w:rPr>
          <w:rFonts w:ascii="Arial" w:hAnsi="Arial" w:cs="Arial"/>
        </w:rPr>
      </w:pPr>
    </w:p>
    <w:p w14:paraId="4F5D6494" w14:textId="77777777" w:rsidR="006E17D1" w:rsidRPr="00D56A49" w:rsidRDefault="006E17D1" w:rsidP="00D56A49">
      <w:pPr>
        <w:rPr>
          <w:rFonts w:ascii="Arial" w:hAnsi="Arial" w:cs="Arial"/>
          <w:b/>
        </w:rPr>
      </w:pPr>
      <w:r w:rsidRPr="00D56A49">
        <w:rPr>
          <w:rFonts w:ascii="Arial" w:hAnsi="Arial" w:cs="Arial"/>
          <w:b/>
        </w:rPr>
        <w:lastRenderedPageBreak/>
        <w:t>Core Competency – Supply Chain Orchestration</w:t>
      </w:r>
    </w:p>
    <w:p w14:paraId="6523F996" w14:textId="246FC5F5" w:rsidR="00923AC6" w:rsidRDefault="006E17D1" w:rsidP="006E17D1">
      <w:pPr>
        <w:jc w:val="both"/>
        <w:rPr>
          <w:rFonts w:ascii="Arial" w:hAnsi="Arial" w:cs="Arial"/>
        </w:rPr>
      </w:pPr>
      <w:r w:rsidRPr="006E17D1">
        <w:rPr>
          <w:rFonts w:ascii="Arial" w:hAnsi="Arial" w:cs="Arial"/>
        </w:rPr>
        <w:t>A complex global sourcing, manufacturing, and distribution network across countries such as Vietnam, China, and Indonesia is coordinated, through which rapid product launches, inventory optimisation, and cost efficiency at scale are enabled. Operational reliability is underpinned by this</w:t>
      </w:r>
      <w:r w:rsidR="004B7501">
        <w:rPr>
          <w:rFonts w:ascii="Arial" w:hAnsi="Arial" w:cs="Arial"/>
        </w:rPr>
        <w:t xml:space="preserve"> competency (Slack &amp; Brandon-Jones, 2022</w:t>
      </w:r>
      <w:r w:rsidRPr="006E17D1">
        <w:rPr>
          <w:rFonts w:ascii="Arial" w:hAnsi="Arial" w:cs="Arial"/>
        </w:rPr>
        <w:t>).</w:t>
      </w:r>
    </w:p>
    <w:p w14:paraId="6C8297CA" w14:textId="699120A8" w:rsidR="00923AC6" w:rsidRDefault="009457A2" w:rsidP="00CD51DD">
      <w:pPr>
        <w:pStyle w:val="Heading2"/>
      </w:pPr>
      <w:bookmarkStart w:id="23" w:name="_Toc228482328"/>
      <w:r w:rsidRPr="009457A2">
        <w:t>2.4 Definition of Strategic Challenges</w:t>
      </w:r>
      <w:bookmarkEnd w:id="23"/>
    </w:p>
    <w:p w14:paraId="32ACA6AE" w14:textId="77777777" w:rsidR="00F57492" w:rsidRPr="00075B93" w:rsidRDefault="00647EB4" w:rsidP="00647EB4">
      <w:pPr>
        <w:jc w:val="both"/>
        <w:rPr>
          <w:rFonts w:ascii="Arial" w:hAnsi="Arial" w:cs="Arial"/>
        </w:rPr>
      </w:pPr>
      <w:r w:rsidRPr="00075B93">
        <w:rPr>
          <w:rFonts w:ascii="Arial" w:hAnsi="Arial" w:cs="Arial"/>
        </w:rPr>
        <w:t>Strategic challenges are defined as critical obstacles, pressures, or capability gaps that are encountered within the internal or external environment, by which the achievement of an organisation’s long-term objectives is hindered. Such challenges are required to be addressed through deliberate and coordinated strategic actions in order for sustained performance to be ensured (Porter, 2008). In the case of Nike, strategic challenges have been identified in the form of margin compression, a decline in the China market, a reduction in digital traffic, and increasing competitive fragmentation within the global sportswear industry (Porter, 2008).</w:t>
      </w:r>
    </w:p>
    <w:p w14:paraId="180666CC" w14:textId="705B35EC" w:rsidR="00F57492" w:rsidRDefault="00F57492" w:rsidP="00647EB4">
      <w:pPr>
        <w:jc w:val="both"/>
        <w:rPr>
          <w:rFonts w:ascii="Arial" w:hAnsi="Arial" w:cs="Arial"/>
        </w:rPr>
      </w:pPr>
      <w:r w:rsidRPr="00F57492">
        <w:rPr>
          <w:rFonts w:ascii="Arial" w:hAnsi="Arial" w:cs="Arial"/>
        </w:rPr>
        <w:t>The VRIO framework (Value, Rarity, Imitability, Organisation) is utilised for the evaluation of strategic capabilities, as it is determined whether a resource or capability is able to provide a sustained competitive advantage through the assessment of its value, rarity, inimitability, and organisational support (Barney, 1991)</w:t>
      </w:r>
      <w:r>
        <w:rPr>
          <w:rFonts w:ascii="Arial" w:hAnsi="Arial" w:cs="Arial"/>
        </w:rPr>
        <w:t>.</w:t>
      </w:r>
    </w:p>
    <w:p w14:paraId="34B99083" w14:textId="76308A08" w:rsidR="00F57492" w:rsidRDefault="001F3E79" w:rsidP="00647EB4">
      <w:pPr>
        <w:jc w:val="both"/>
        <w:rPr>
          <w:rFonts w:ascii="Arial" w:hAnsi="Arial" w:cs="Arial"/>
        </w:rPr>
      </w:pPr>
      <w:r>
        <w:rPr>
          <w:rFonts w:ascii="Arial" w:hAnsi="Arial" w:cs="Arial"/>
          <w:noProof/>
          <w:lang w:val="en-US"/>
        </w:rPr>
        <w:drawing>
          <wp:anchor distT="0" distB="0" distL="114300" distR="114300" simplePos="0" relativeHeight="251664384" behindDoc="0" locked="0" layoutInCell="1" allowOverlap="1" wp14:anchorId="7778FE2E" wp14:editId="3ACAFDD5">
            <wp:simplePos x="0" y="0"/>
            <wp:positionH relativeFrom="margin">
              <wp:posOffset>254337</wp:posOffset>
            </wp:positionH>
            <wp:positionV relativeFrom="paragraph">
              <wp:posOffset>6056</wp:posOffset>
            </wp:positionV>
            <wp:extent cx="5141229" cy="3426409"/>
            <wp:effectExtent l="0" t="0" r="254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RIO for Nik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41229" cy="3426409"/>
                    </a:xfrm>
                    <a:prstGeom prst="rect">
                      <a:avLst/>
                    </a:prstGeom>
                  </pic:spPr>
                </pic:pic>
              </a:graphicData>
            </a:graphic>
            <wp14:sizeRelH relativeFrom="margin">
              <wp14:pctWidth>0</wp14:pctWidth>
            </wp14:sizeRelH>
            <wp14:sizeRelV relativeFrom="margin">
              <wp14:pctHeight>0</wp14:pctHeight>
            </wp14:sizeRelV>
          </wp:anchor>
        </w:drawing>
      </w:r>
    </w:p>
    <w:p w14:paraId="0C775C57" w14:textId="77777777" w:rsidR="001F3E79" w:rsidRDefault="001F3E79" w:rsidP="00647EB4">
      <w:pPr>
        <w:jc w:val="both"/>
        <w:rPr>
          <w:rFonts w:ascii="Arial" w:hAnsi="Arial" w:cs="Arial"/>
        </w:rPr>
      </w:pPr>
    </w:p>
    <w:p w14:paraId="27D9A4C0" w14:textId="77777777" w:rsidR="001F3E79" w:rsidRDefault="001F3E79" w:rsidP="00647EB4">
      <w:pPr>
        <w:jc w:val="both"/>
        <w:rPr>
          <w:rFonts w:ascii="Arial" w:hAnsi="Arial" w:cs="Arial"/>
        </w:rPr>
      </w:pPr>
    </w:p>
    <w:p w14:paraId="17929D3C" w14:textId="77777777" w:rsidR="001F3E79" w:rsidRDefault="001F3E79" w:rsidP="00647EB4">
      <w:pPr>
        <w:jc w:val="both"/>
        <w:rPr>
          <w:rFonts w:ascii="Arial" w:hAnsi="Arial" w:cs="Arial"/>
        </w:rPr>
      </w:pPr>
    </w:p>
    <w:p w14:paraId="3A343521" w14:textId="77777777" w:rsidR="001F3E79" w:rsidRDefault="001F3E79" w:rsidP="00647EB4">
      <w:pPr>
        <w:jc w:val="both"/>
        <w:rPr>
          <w:rFonts w:ascii="Arial" w:hAnsi="Arial" w:cs="Arial"/>
        </w:rPr>
      </w:pPr>
    </w:p>
    <w:p w14:paraId="367DC099" w14:textId="77777777" w:rsidR="001F3E79" w:rsidRDefault="001F3E79" w:rsidP="00647EB4">
      <w:pPr>
        <w:jc w:val="both"/>
        <w:rPr>
          <w:rFonts w:ascii="Arial" w:hAnsi="Arial" w:cs="Arial"/>
        </w:rPr>
      </w:pPr>
    </w:p>
    <w:p w14:paraId="7CC98DC7" w14:textId="77777777" w:rsidR="001F3E79" w:rsidRDefault="001F3E79" w:rsidP="00647EB4">
      <w:pPr>
        <w:jc w:val="both"/>
        <w:rPr>
          <w:rFonts w:ascii="Arial" w:hAnsi="Arial" w:cs="Arial"/>
        </w:rPr>
      </w:pPr>
    </w:p>
    <w:p w14:paraId="553C9CAE" w14:textId="77777777" w:rsidR="001F3E79" w:rsidRDefault="001F3E79" w:rsidP="00647EB4">
      <w:pPr>
        <w:jc w:val="both"/>
        <w:rPr>
          <w:rFonts w:ascii="Arial" w:hAnsi="Arial" w:cs="Arial"/>
        </w:rPr>
      </w:pPr>
    </w:p>
    <w:p w14:paraId="5AD457A2" w14:textId="77777777" w:rsidR="001F3E79" w:rsidRDefault="001F3E79" w:rsidP="00647EB4">
      <w:pPr>
        <w:jc w:val="both"/>
        <w:rPr>
          <w:rFonts w:ascii="Arial" w:hAnsi="Arial" w:cs="Arial"/>
        </w:rPr>
      </w:pPr>
    </w:p>
    <w:p w14:paraId="540FFAB3" w14:textId="77777777" w:rsidR="001F3E79" w:rsidRDefault="001F3E79" w:rsidP="00647EB4">
      <w:pPr>
        <w:jc w:val="both"/>
        <w:rPr>
          <w:rFonts w:ascii="Arial" w:hAnsi="Arial" w:cs="Arial"/>
        </w:rPr>
      </w:pPr>
    </w:p>
    <w:p w14:paraId="3FED7A0F" w14:textId="77777777" w:rsidR="001F3E79" w:rsidRDefault="001F3E79" w:rsidP="00647EB4">
      <w:pPr>
        <w:jc w:val="both"/>
        <w:rPr>
          <w:rFonts w:ascii="Arial" w:hAnsi="Arial" w:cs="Arial"/>
        </w:rPr>
      </w:pPr>
    </w:p>
    <w:p w14:paraId="1EE31E75" w14:textId="77777777" w:rsidR="001F3E79" w:rsidRPr="001F3E79" w:rsidRDefault="001F3E79" w:rsidP="001F3E79">
      <w:pPr>
        <w:jc w:val="center"/>
        <w:rPr>
          <w:rFonts w:ascii="Arial" w:hAnsi="Arial" w:cs="Arial"/>
          <w:i/>
          <w:sz w:val="16"/>
        </w:rPr>
      </w:pPr>
    </w:p>
    <w:p w14:paraId="15810584" w14:textId="77777777" w:rsidR="001F3E79" w:rsidRDefault="001F3E79" w:rsidP="001F3E79">
      <w:pPr>
        <w:jc w:val="center"/>
        <w:rPr>
          <w:rFonts w:ascii="Arial" w:hAnsi="Arial" w:cs="Arial"/>
          <w:i/>
          <w:sz w:val="16"/>
        </w:rPr>
      </w:pPr>
      <w:r w:rsidRPr="001F3E79">
        <w:rPr>
          <w:rFonts w:ascii="Arial" w:hAnsi="Arial" w:cs="Arial"/>
          <w:i/>
          <w:sz w:val="16"/>
        </w:rPr>
        <w:t>Fig: 04 VRIO Framework Analysis for Nike</w:t>
      </w:r>
    </w:p>
    <w:p w14:paraId="5DEF650D" w14:textId="3F559253" w:rsidR="001F3E79" w:rsidRPr="001F3E79" w:rsidRDefault="001F3E79" w:rsidP="001F3E79">
      <w:pPr>
        <w:jc w:val="both"/>
        <w:rPr>
          <w:rFonts w:ascii="Arial" w:hAnsi="Arial" w:cs="Arial"/>
        </w:rPr>
      </w:pPr>
      <w:r w:rsidRPr="001F3E79">
        <w:rPr>
          <w:rFonts w:ascii="Arial" w:hAnsi="Arial" w:cs="Arial"/>
        </w:rPr>
        <w:t xml:space="preserve">The VRIO framework is applied as an analytical tool through which organisational resources and capabilities are evaluated to determine their potential to create and sustain competitive advantage. Four criteria—Value, Rarity, Imitability, and Organisation—are systematically assessed to identify whether resources contribute to </w:t>
      </w:r>
      <w:r w:rsidRPr="001F3E79">
        <w:rPr>
          <w:rFonts w:ascii="Arial" w:hAnsi="Arial" w:cs="Arial"/>
        </w:rPr>
        <w:lastRenderedPageBreak/>
        <w:t>competitive parity, temporary advantage, or sustained advantage</w:t>
      </w:r>
      <w:r>
        <w:rPr>
          <w:rFonts w:ascii="Arial" w:hAnsi="Arial" w:cs="Arial"/>
        </w:rPr>
        <w:t xml:space="preserve"> (Barney, 1991</w:t>
      </w:r>
      <w:r w:rsidRPr="001F3E79">
        <w:rPr>
          <w:rFonts w:ascii="Arial" w:hAnsi="Arial" w:cs="Arial"/>
        </w:rPr>
        <w:t>). It is argued that only resources that are valuable, rare, difficult to imitate, and effectively organised can generate long-term superior performance.</w:t>
      </w:r>
    </w:p>
    <w:p w14:paraId="440495C3" w14:textId="77777777" w:rsidR="001F3E79" w:rsidRPr="001F3E79" w:rsidRDefault="001F3E79" w:rsidP="001F3E79">
      <w:pPr>
        <w:jc w:val="both"/>
        <w:rPr>
          <w:rFonts w:ascii="Arial" w:hAnsi="Arial" w:cs="Arial"/>
        </w:rPr>
      </w:pPr>
    </w:p>
    <w:p w14:paraId="2CFF5662" w14:textId="6FA9BD1F" w:rsidR="001F3E79" w:rsidRPr="00D56A49" w:rsidRDefault="001F3E79" w:rsidP="00D56A49">
      <w:pPr>
        <w:jc w:val="both"/>
        <w:rPr>
          <w:rFonts w:ascii="Arial" w:hAnsi="Arial" w:cs="Arial"/>
        </w:rPr>
      </w:pPr>
      <w:r w:rsidRPr="001F3E79">
        <w:rPr>
          <w:rFonts w:ascii="Arial" w:hAnsi="Arial" w:cs="Arial"/>
        </w:rPr>
        <w:t>The value of a resource is examined to assess whether opportunities can be exploited or threats can be mitigated. Rarity is evaluated to determine whether resources are limited across competitors. The cost of imitation is also analysed, as difficulties arising from causal ambiguity or social complexity can strengthen competitive positioning (Grant, 2022). Finally, organisational support is assessed to ensure resources are fully utilised. Overall, sustained competitive advantage is achieved only when all four criteria are satisfied</w:t>
      </w:r>
      <w:r>
        <w:rPr>
          <w:rFonts w:ascii="Arial" w:hAnsi="Arial" w:cs="Arial"/>
        </w:rPr>
        <w:t xml:space="preserve"> </w:t>
      </w:r>
      <w:r w:rsidRPr="00D56A49">
        <w:rPr>
          <w:rFonts w:ascii="Arial" w:hAnsi="Arial" w:cs="Arial"/>
        </w:rPr>
        <w:t>(Porter, 2008).</w:t>
      </w:r>
    </w:p>
    <w:p w14:paraId="44D4527D" w14:textId="77777777" w:rsidR="001F3E79" w:rsidRDefault="001F3E79" w:rsidP="00CD51DD">
      <w:pPr>
        <w:pStyle w:val="Heading2"/>
      </w:pPr>
      <w:bookmarkStart w:id="24" w:name="_Toc228482329"/>
      <w:r w:rsidRPr="001F3E79">
        <w:t>2.5 Internal Strengths</w:t>
      </w:r>
      <w:bookmarkEnd w:id="24"/>
      <w:r w:rsidRPr="001F3E79">
        <w:t xml:space="preserve"> </w:t>
      </w:r>
    </w:p>
    <w:p w14:paraId="5DFD27BD" w14:textId="77777777" w:rsidR="001330B0" w:rsidRDefault="001F3E79" w:rsidP="001F3E79">
      <w:pPr>
        <w:jc w:val="both"/>
        <w:rPr>
          <w:rFonts w:ascii="Arial" w:hAnsi="Arial" w:cs="Arial"/>
        </w:rPr>
      </w:pPr>
      <w:r w:rsidRPr="001F3E79">
        <w:rPr>
          <w:rFonts w:ascii="Arial" w:hAnsi="Arial" w:cs="Arial"/>
        </w:rPr>
        <w:t>Internal strengths are defined as the resources, capabilities, and core competencies that are possessed by an organisation and through which superior performance relative to competitors is enabled</w:t>
      </w:r>
      <w:r w:rsidR="001330B0">
        <w:rPr>
          <w:rFonts w:ascii="Arial" w:hAnsi="Arial" w:cs="Arial"/>
        </w:rPr>
        <w:t xml:space="preserve"> (</w:t>
      </w:r>
      <w:r w:rsidR="001330B0" w:rsidRPr="001F3E79">
        <w:rPr>
          <w:rFonts w:ascii="Arial" w:hAnsi="Arial" w:cs="Arial"/>
        </w:rPr>
        <w:t>Barney, 1991</w:t>
      </w:r>
      <w:r w:rsidR="001330B0">
        <w:rPr>
          <w:rFonts w:ascii="Arial" w:hAnsi="Arial" w:cs="Arial"/>
          <w:lang w:val="en-US"/>
        </w:rPr>
        <w:t>)</w:t>
      </w:r>
      <w:r w:rsidRPr="001F3E79">
        <w:rPr>
          <w:rFonts w:ascii="Arial" w:hAnsi="Arial" w:cs="Arial"/>
        </w:rPr>
        <w:t>. These strengths are regarded as positive internal factors by which strategic objectives are supported, customer value is created, and a foundation for competitive advantage is established (Grant, 2022).</w:t>
      </w:r>
    </w:p>
    <w:p w14:paraId="354BC17E" w14:textId="77777777" w:rsidR="001330B0" w:rsidRPr="00D56A49" w:rsidRDefault="001330B0" w:rsidP="00D56A49">
      <w:pPr>
        <w:rPr>
          <w:rFonts w:ascii="Arial" w:hAnsi="Arial" w:cs="Arial"/>
          <w:b/>
        </w:rPr>
      </w:pPr>
      <w:r w:rsidRPr="00D56A49">
        <w:rPr>
          <w:rFonts w:ascii="Arial" w:hAnsi="Arial" w:cs="Arial"/>
          <w:b/>
        </w:rPr>
        <w:t>Critical Discussion: Contribution of Internal Strengths to Competitive Advantage</w:t>
      </w:r>
    </w:p>
    <w:p w14:paraId="5E761DB9" w14:textId="77777777" w:rsidR="00800635" w:rsidRPr="00800635" w:rsidRDefault="00800635" w:rsidP="00800635">
      <w:pPr>
        <w:jc w:val="both"/>
        <w:rPr>
          <w:rFonts w:ascii="Arial" w:hAnsi="Arial" w:cs="Arial"/>
        </w:rPr>
      </w:pPr>
      <w:r w:rsidRPr="00800635">
        <w:rPr>
          <w:rFonts w:ascii="Arial" w:hAnsi="Arial" w:cs="Arial"/>
        </w:rPr>
        <w:t>Based on prior analytical evaluations, including PESTEL, VRIO, and resource-based analysis, several key internal strengths are identified within Nike. Strong brand equity is recognised as a valuable intangible resource through which global recognition and customer loyalty are enhanced (Barney, 1991). Product innovation capability is emphasised, as technological advancements are continuously utilised to achieve differentiation. An extensive athlete relationship network has been developed, strengthening credibility and visibility (Grant, 2022). Marketing excellence is demonstrated through culturally relevant campaigns, while global distribution infrastructure ensures operational efficiency (</w:t>
      </w:r>
      <w:proofErr w:type="spellStart"/>
      <w:r w:rsidRPr="00800635">
        <w:rPr>
          <w:rFonts w:ascii="Arial" w:hAnsi="Arial" w:cs="Arial"/>
        </w:rPr>
        <w:t>Rothaermel</w:t>
      </w:r>
      <w:proofErr w:type="spellEnd"/>
      <w:r w:rsidRPr="00800635">
        <w:rPr>
          <w:rFonts w:ascii="Arial" w:hAnsi="Arial" w:cs="Arial"/>
        </w:rPr>
        <w:t>, 2021).</w:t>
      </w:r>
    </w:p>
    <w:p w14:paraId="76012F42" w14:textId="71F5BA91" w:rsidR="00800635" w:rsidRDefault="00800635" w:rsidP="00800635">
      <w:pPr>
        <w:jc w:val="both"/>
        <w:rPr>
          <w:rFonts w:ascii="Arial" w:hAnsi="Arial" w:cs="Arial"/>
        </w:rPr>
      </w:pPr>
      <w:r w:rsidRPr="00800635">
        <w:rPr>
          <w:rFonts w:ascii="Arial" w:hAnsi="Arial" w:cs="Arial"/>
        </w:rPr>
        <w:t>Nike’s brand equity is considered a source of sustained competitive advantage, as premium pricing, loyalty, and emotional connections are enabled (Keller, 2013). Product innovation is evaluated as valuable, rare, and inimitable, supporting differentiation and addressing competitive pressures. The athlete network further enhances authenticity. However, it is highlighted that organisational alignment is required, as recent performance challenges suggest that resources have not been fully le</w:t>
      </w:r>
      <w:r>
        <w:rPr>
          <w:rFonts w:ascii="Arial" w:hAnsi="Arial" w:cs="Arial"/>
        </w:rPr>
        <w:t>veraged (Barney, 1991</w:t>
      </w:r>
      <w:r w:rsidRPr="00800635">
        <w:rPr>
          <w:rFonts w:ascii="Arial" w:hAnsi="Arial" w:cs="Arial"/>
        </w:rPr>
        <w:t>).</w:t>
      </w:r>
    </w:p>
    <w:p w14:paraId="7B0344B5" w14:textId="77777777" w:rsidR="007B615E" w:rsidRDefault="007B615E" w:rsidP="00800635">
      <w:pPr>
        <w:jc w:val="both"/>
        <w:rPr>
          <w:rFonts w:ascii="Arial" w:hAnsi="Arial" w:cs="Arial"/>
        </w:rPr>
      </w:pPr>
    </w:p>
    <w:p w14:paraId="6AA9439C" w14:textId="04D838A1" w:rsidR="001330B0" w:rsidRDefault="006B6535" w:rsidP="00CD51DD">
      <w:pPr>
        <w:pStyle w:val="Heading1"/>
      </w:pPr>
      <w:bookmarkStart w:id="25" w:name="_Toc228482330"/>
      <w:r w:rsidRPr="006B6535">
        <w:lastRenderedPageBreak/>
        <w:t>3. CSR Strategy and Sustainability</w:t>
      </w:r>
      <w:bookmarkEnd w:id="25"/>
    </w:p>
    <w:p w14:paraId="4DD730B3" w14:textId="6A218BC5" w:rsidR="006B6535" w:rsidRDefault="005C41C2" w:rsidP="001330B0">
      <w:pPr>
        <w:jc w:val="both"/>
        <w:rPr>
          <w:rFonts w:ascii="Arial" w:hAnsi="Arial" w:cs="Arial"/>
        </w:rPr>
      </w:pPr>
      <w:r w:rsidRPr="005C41C2">
        <w:rPr>
          <w:rFonts w:ascii="Arial" w:hAnsi="Arial" w:cs="Arial"/>
        </w:rPr>
        <w:t>Corporate Social Responsibility (CSR) strategy is defined as the voluntary integration of social, environmental, and ethical concerns into organisational operations and stakeholder interactions. It is characterised by actions that extend beyond legal compliance, through which issues such as labour rights, community engagement, environmental protection, and transparent governance are addresse</w:t>
      </w:r>
      <w:r>
        <w:rPr>
          <w:rFonts w:ascii="Arial" w:hAnsi="Arial" w:cs="Arial"/>
        </w:rPr>
        <w:t xml:space="preserve">d </w:t>
      </w:r>
      <w:r w:rsidRPr="005C41C2">
        <w:rPr>
          <w:rFonts w:ascii="Arial" w:hAnsi="Arial" w:cs="Arial"/>
        </w:rPr>
        <w:t>(</w:t>
      </w:r>
      <w:proofErr w:type="spellStart"/>
      <w:r w:rsidRPr="005C41C2">
        <w:rPr>
          <w:rFonts w:ascii="Arial" w:hAnsi="Arial" w:cs="Arial"/>
        </w:rPr>
        <w:t>Tavanti</w:t>
      </w:r>
      <w:proofErr w:type="spellEnd"/>
      <w:r w:rsidRPr="005C41C2">
        <w:rPr>
          <w:rFonts w:ascii="Arial" w:hAnsi="Arial" w:cs="Arial"/>
        </w:rPr>
        <w:t xml:space="preserve"> &amp; M, 2025)</w:t>
      </w:r>
      <w:r>
        <w:rPr>
          <w:rFonts w:ascii="Arial" w:hAnsi="Arial" w:cs="Arial"/>
        </w:rPr>
        <w:t>.</w:t>
      </w:r>
    </w:p>
    <w:p w14:paraId="210CCB35" w14:textId="693AC661" w:rsidR="005C41C2" w:rsidRPr="00075B93" w:rsidRDefault="005C41C2" w:rsidP="00B94285">
      <w:pPr>
        <w:jc w:val="both"/>
        <w:rPr>
          <w:rFonts w:ascii="Arial" w:hAnsi="Arial" w:cs="Arial"/>
        </w:rPr>
      </w:pPr>
      <w:r w:rsidRPr="00075B93">
        <w:rPr>
          <w:rFonts w:ascii="Arial" w:hAnsi="Arial" w:cs="Arial"/>
        </w:rPr>
        <w:t xml:space="preserve">Sustainability is defined as the principle by which present needs are met without compromising the ability of future generations to meet their own needs. Within a business context, sustainability is conceptualised through environmental, social, and economic dimensions, which are collectively referred to as the triple bottom line, encompassing aspects such as carbon reduction, fair labour practices, and long-term economic viability </w:t>
      </w:r>
      <w:r w:rsidR="00B94285" w:rsidRPr="00075B93">
        <w:rPr>
          <w:rFonts w:ascii="Arial" w:hAnsi="Arial" w:cs="Arial"/>
        </w:rPr>
        <w:t>(Sheehy et.al, 2021).</w:t>
      </w:r>
    </w:p>
    <w:p w14:paraId="0ED9793E" w14:textId="2DE90E98" w:rsidR="00B94285" w:rsidRDefault="008B6328" w:rsidP="00CD51DD">
      <w:pPr>
        <w:pStyle w:val="Heading2"/>
      </w:pPr>
      <w:bookmarkStart w:id="26" w:name="_Toc228482331"/>
      <w:r>
        <w:t xml:space="preserve">3.1 </w:t>
      </w:r>
      <w:r w:rsidR="00A4120A" w:rsidRPr="00A4120A">
        <w:t>Nike’s CSR Strategy and Its Alignment with Business Objectives</w:t>
      </w:r>
      <w:bookmarkEnd w:id="26"/>
    </w:p>
    <w:p w14:paraId="238415FA" w14:textId="77777777" w:rsidR="00AB27F9" w:rsidRDefault="00AB27F9" w:rsidP="00800635">
      <w:pPr>
        <w:jc w:val="both"/>
        <w:rPr>
          <w:rFonts w:ascii="Arial" w:hAnsi="Arial" w:cs="Arial"/>
        </w:rPr>
      </w:pPr>
      <w:r w:rsidRPr="00AB27F9">
        <w:rPr>
          <w:rFonts w:ascii="Arial" w:hAnsi="Arial" w:cs="Arial"/>
        </w:rPr>
        <w:t>Nike</w:t>
      </w:r>
      <w:r w:rsidRPr="00AB27F9">
        <w:rPr>
          <w:rFonts w:ascii="Arial" w:hAnsi="Arial" w:cs="Arial" w:hint="cs"/>
        </w:rPr>
        <w:t>’</w:t>
      </w:r>
      <w:r w:rsidRPr="00AB27F9">
        <w:rPr>
          <w:rFonts w:ascii="Arial" w:hAnsi="Arial" w:cs="Arial"/>
        </w:rPr>
        <w:t>s Corporate Social Responsibility (CSR) strategy has evolved from 1990s labour-related reputational issues to a more integrated and proactive approach. Sustainability initiatives are now embedded within corporate strategy, supported by strengthened environmental and social governance, as reflected in the March 2026 appointment of Cimarron Nix as Chief Sustainability Officer with an enterprise-wide mandate (Nike, 2025). The CSO role ensures sustainability is integrated into strategic decisions, positioning CSR as a core pillar for long-term value creation (Porter and Kramer, 2011; Kotler and Keller, 2015).</w:t>
      </w:r>
    </w:p>
    <w:p w14:paraId="2FC6928A" w14:textId="331B5A55" w:rsidR="00AB27F9" w:rsidRDefault="008B6328" w:rsidP="00AB27F9">
      <w:pPr>
        <w:jc w:val="both"/>
        <w:rPr>
          <w:rFonts w:ascii="Arial" w:hAnsi="Arial" w:cs="Arial"/>
        </w:rPr>
      </w:pPr>
      <w:bookmarkStart w:id="27" w:name="_Toc228482332"/>
      <w:r w:rsidRPr="00CD51DD">
        <w:rPr>
          <w:rStyle w:val="Heading2Char"/>
        </w:rPr>
        <w:t xml:space="preserve">3.2 </w:t>
      </w:r>
      <w:r w:rsidR="00DE59BA" w:rsidRPr="00CD51DD">
        <w:rPr>
          <w:rStyle w:val="Heading2Char"/>
        </w:rPr>
        <w:t>Critical Evaluation:</w:t>
      </w:r>
      <w:bookmarkEnd w:id="27"/>
      <w:r w:rsidR="00DE59BA" w:rsidRPr="00DE59BA">
        <w:rPr>
          <w:rFonts w:ascii="Arial" w:hAnsi="Arial" w:cs="Arial"/>
          <w:b/>
        </w:rPr>
        <w:t xml:space="preserve"> </w:t>
      </w:r>
      <w:r w:rsidR="00AB27F9" w:rsidRPr="00AB27F9">
        <w:rPr>
          <w:rFonts w:ascii="Arial" w:hAnsi="Arial" w:cs="Arial"/>
        </w:rPr>
        <w:t>Nike</w:t>
      </w:r>
      <w:r w:rsidR="00AB27F9" w:rsidRPr="00AB27F9">
        <w:rPr>
          <w:rFonts w:ascii="Arial" w:hAnsi="Arial" w:cs="Arial" w:hint="cs"/>
        </w:rPr>
        <w:t>’</w:t>
      </w:r>
      <w:r w:rsidR="00AB27F9" w:rsidRPr="00AB27F9">
        <w:rPr>
          <w:rFonts w:ascii="Arial" w:hAnsi="Arial" w:cs="Arial"/>
        </w:rPr>
        <w:t>s CSR strategy aligns with long-term objectives, but key tensions remain. Although ambitious targets, such as 100% recycled or renewable materials, have been set, limited large-scale implementation increases the r</w:t>
      </w:r>
      <w:r w:rsidR="00AB27F9">
        <w:rPr>
          <w:rFonts w:ascii="Arial" w:hAnsi="Arial" w:cs="Arial"/>
        </w:rPr>
        <w:t>isk of perceived greenwashing (</w:t>
      </w:r>
      <w:r w:rsidR="00AB27F9" w:rsidRPr="00AB27F9">
        <w:rPr>
          <w:rFonts w:ascii="Arial" w:hAnsi="Arial" w:cs="Arial"/>
        </w:rPr>
        <w:t>Nike, 2023). A structural conflict between growth and circularity is evident, as high-volume production continues while circular initiatives remain limited (</w:t>
      </w:r>
      <w:proofErr w:type="spellStart"/>
      <w:r w:rsidR="00AB27F9" w:rsidRPr="00AB27F9">
        <w:rPr>
          <w:rFonts w:ascii="Arial" w:hAnsi="Arial" w:cs="Arial"/>
        </w:rPr>
        <w:t>Geissdoerfer</w:t>
      </w:r>
      <w:proofErr w:type="spellEnd"/>
      <w:r w:rsidR="00AB27F9" w:rsidRPr="00AB27F9">
        <w:rPr>
          <w:rFonts w:ascii="Arial" w:hAnsi="Arial" w:cs="Arial"/>
        </w:rPr>
        <w:t xml:space="preserve"> et al., 2017). Cost pressures in supply chains also constrain sustainable sourcing. Overall, alignment is partial and requires stronger integration into revenue models.</w:t>
      </w:r>
    </w:p>
    <w:p w14:paraId="5A911BF5" w14:textId="21D2D1C7" w:rsidR="001330B0" w:rsidRPr="008B6328" w:rsidRDefault="008B6328" w:rsidP="00AB27F9">
      <w:pPr>
        <w:pStyle w:val="Heading1"/>
      </w:pPr>
      <w:bookmarkStart w:id="28" w:name="_Toc228482333"/>
      <w:r w:rsidRPr="008B6328">
        <w:t>4. Comprehensive and Holistic View: Balanced Scorecard Analysis</w:t>
      </w:r>
      <w:bookmarkEnd w:id="28"/>
    </w:p>
    <w:p w14:paraId="7271236E" w14:textId="623D70DE" w:rsidR="00DA0A5D" w:rsidRDefault="008B6328" w:rsidP="001330B0">
      <w:pPr>
        <w:jc w:val="both"/>
        <w:rPr>
          <w:rFonts w:ascii="Arial" w:hAnsi="Arial" w:cs="Arial"/>
        </w:rPr>
      </w:pPr>
      <w:r w:rsidRPr="008B6328">
        <w:rPr>
          <w:rFonts w:ascii="Arial" w:hAnsi="Arial" w:cs="Arial"/>
        </w:rPr>
        <w:t xml:space="preserve">The Balanced Scorecard (BSC) is defined as a strategic performance management framework through which an organisation’s mission and vision are translated into measurable objectives across financial, customer, internal process, and learning perspectives. A balanced view of performance is provided by integrating both leading and lagging indicators. Through its application, strategic alignment is facilitated, </w:t>
      </w:r>
      <w:r w:rsidRPr="008B6328">
        <w:rPr>
          <w:rFonts w:ascii="Arial" w:hAnsi="Arial" w:cs="Arial"/>
        </w:rPr>
        <w:lastRenderedPageBreak/>
        <w:t>organisational communication is enhanced, cause–effect relationships are identified, and both financial and non-financial performance are monitored effectively (Kaplan &amp; Norton, 1992)</w:t>
      </w:r>
    </w:p>
    <w:p w14:paraId="527AA201" w14:textId="6AF8C7D3" w:rsidR="006D6D28" w:rsidRDefault="006D6D28" w:rsidP="001330B0">
      <w:pPr>
        <w:jc w:val="both"/>
        <w:rPr>
          <w:rFonts w:ascii="Arial" w:hAnsi="Arial" w:cs="Arial"/>
        </w:rPr>
      </w:pPr>
    </w:p>
    <w:p w14:paraId="6158352E" w14:textId="5F21C2A7" w:rsidR="00DA0A5D" w:rsidRDefault="00DA0A5D" w:rsidP="00CD51DD">
      <w:pPr>
        <w:pStyle w:val="Heading2"/>
      </w:pPr>
      <w:bookmarkStart w:id="29" w:name="_Toc228482334"/>
      <w:r>
        <w:t xml:space="preserve">4.1 </w:t>
      </w:r>
      <w:r w:rsidRPr="00DA0A5D">
        <w:t>Four Core perspective analysis:</w:t>
      </w:r>
      <w:bookmarkEnd w:id="29"/>
    </w:p>
    <w:p w14:paraId="3F7B3F09" w14:textId="77777777" w:rsidR="00DA0A5D" w:rsidRPr="00DA0A5D" w:rsidRDefault="00DA0A5D" w:rsidP="00CD51DD">
      <w:pPr>
        <w:pStyle w:val="Heading3"/>
      </w:pPr>
      <w:bookmarkStart w:id="30" w:name="_Toc228482335"/>
      <w:r w:rsidRPr="00DA0A5D">
        <w:t>Financial Perspective</w:t>
      </w:r>
      <w:bookmarkEnd w:id="30"/>
    </w:p>
    <w:p w14:paraId="60F08365" w14:textId="344E752E" w:rsidR="00DA0A5D" w:rsidRPr="00DA0A5D" w:rsidRDefault="00DA0A5D" w:rsidP="00DA0A5D">
      <w:pPr>
        <w:jc w:val="both"/>
        <w:rPr>
          <w:rFonts w:ascii="Arial" w:hAnsi="Arial" w:cs="Arial"/>
        </w:rPr>
      </w:pPr>
      <w:r w:rsidRPr="00DA0A5D">
        <w:rPr>
          <w:rFonts w:ascii="Arial" w:hAnsi="Arial" w:cs="Arial"/>
        </w:rPr>
        <w:t>The financial perspective is focused on the creation of shareholder value through profitability, growth, and efficiency. Within Nike, financial performance has been challenged by margin compression and declining earnings, through which strategic urgency has been increased</w:t>
      </w:r>
      <w:r w:rsidR="007E00A8">
        <w:rPr>
          <w:rFonts w:ascii="Arial" w:hAnsi="Arial" w:cs="Arial"/>
        </w:rPr>
        <w:t xml:space="preserve"> (Nike Inc.,2023)</w:t>
      </w:r>
      <w:r w:rsidRPr="00DA0A5D">
        <w:rPr>
          <w:rFonts w:ascii="Arial" w:hAnsi="Arial" w:cs="Arial"/>
        </w:rPr>
        <w:t>. Key performance indicators such as revenue growth, operating margin, and return on invested capital are utilised to assess outcomes. It is emphasised that financial stability is required for the support of all other strategic initiatives (Kaplan &amp;</w:t>
      </w:r>
      <w:r>
        <w:rPr>
          <w:rFonts w:ascii="Arial" w:hAnsi="Arial" w:cs="Arial"/>
        </w:rPr>
        <w:t xml:space="preserve"> Norton, 1992).</w:t>
      </w:r>
    </w:p>
    <w:p w14:paraId="05ED9E53" w14:textId="77777777" w:rsidR="00DA0A5D" w:rsidRPr="00DA0A5D" w:rsidRDefault="00DA0A5D" w:rsidP="00CD51DD">
      <w:pPr>
        <w:pStyle w:val="Heading3"/>
      </w:pPr>
      <w:bookmarkStart w:id="31" w:name="_Toc228482336"/>
      <w:r w:rsidRPr="00DA0A5D">
        <w:t>Customer Perspective</w:t>
      </w:r>
      <w:bookmarkEnd w:id="31"/>
    </w:p>
    <w:p w14:paraId="4705740B" w14:textId="77777777" w:rsidR="00DA0A5D" w:rsidRPr="006B6535" w:rsidRDefault="00DA0A5D" w:rsidP="00DA0A5D">
      <w:pPr>
        <w:jc w:val="both"/>
        <w:rPr>
          <w:rFonts w:ascii="Arial" w:hAnsi="Arial" w:cs="Arial"/>
        </w:rPr>
      </w:pPr>
      <w:r w:rsidRPr="00DA0A5D">
        <w:rPr>
          <w:rFonts w:ascii="Arial" w:hAnsi="Arial" w:cs="Arial"/>
        </w:rPr>
        <w:t>The customer perspective is concerned with how the organisation is perceived by its target market, with emphasis placed on brand strength, loyalty, and engagement. In Nike’s case, declining sales in key markets and reduced digital engagement have been observed, indicating weakened customer relationships. Metrics such as Net Promoter Score and brand preference are applied to evaluate performance. Strategic initiatives are therefore implemented to rebuild trust and enhance customer per</w:t>
      </w:r>
      <w:r>
        <w:rPr>
          <w:rFonts w:ascii="Arial" w:hAnsi="Arial" w:cs="Arial"/>
        </w:rPr>
        <w:t xml:space="preserve">ception </w:t>
      </w:r>
      <w:r w:rsidRPr="006B6535">
        <w:rPr>
          <w:rFonts w:ascii="Arial" w:hAnsi="Arial" w:cs="Arial"/>
        </w:rPr>
        <w:t>(Grant, 2022).</w:t>
      </w:r>
    </w:p>
    <w:p w14:paraId="63187A74" w14:textId="6302E5D6" w:rsidR="00DA0A5D" w:rsidRPr="00DA0A5D" w:rsidRDefault="00DA0A5D" w:rsidP="00CD51DD">
      <w:pPr>
        <w:pStyle w:val="Heading3"/>
      </w:pPr>
      <w:bookmarkStart w:id="32" w:name="_Toc228482337"/>
      <w:r w:rsidRPr="00DA0A5D">
        <w:t>Internal Business Processes Perspective</w:t>
      </w:r>
      <w:bookmarkEnd w:id="32"/>
    </w:p>
    <w:p w14:paraId="5A9B0C70" w14:textId="1EADB3DF" w:rsidR="00DA0A5D" w:rsidRPr="00DA0A5D" w:rsidRDefault="00DA0A5D" w:rsidP="00DA0A5D">
      <w:pPr>
        <w:jc w:val="both"/>
        <w:rPr>
          <w:rFonts w:ascii="Arial" w:hAnsi="Arial" w:cs="Arial"/>
        </w:rPr>
      </w:pPr>
      <w:r w:rsidRPr="00DA0A5D">
        <w:rPr>
          <w:rFonts w:ascii="Arial" w:hAnsi="Arial" w:cs="Arial"/>
        </w:rPr>
        <w:t>The internal business processes perspective is focused on the efficiency and effectiveness of operations that drive value creation. Within Nike, key processes such as product innovation, channel management, and supply chain coordination are prioritised</w:t>
      </w:r>
      <w:r>
        <w:rPr>
          <w:rFonts w:ascii="Arial" w:hAnsi="Arial" w:cs="Arial"/>
        </w:rPr>
        <w:t xml:space="preserve"> (</w:t>
      </w:r>
      <w:proofErr w:type="spellStart"/>
      <w:r w:rsidRPr="00DA0A5D">
        <w:rPr>
          <w:rFonts w:ascii="Arial" w:hAnsi="Arial" w:cs="Arial"/>
        </w:rPr>
        <w:t>Rothaermel</w:t>
      </w:r>
      <w:proofErr w:type="spellEnd"/>
      <w:r>
        <w:rPr>
          <w:rFonts w:ascii="Arial" w:hAnsi="Arial" w:cs="Arial"/>
        </w:rPr>
        <w:t>, 2021)</w:t>
      </w:r>
      <w:r w:rsidRPr="00DA0A5D">
        <w:rPr>
          <w:rFonts w:ascii="Arial" w:hAnsi="Arial" w:cs="Arial"/>
        </w:rPr>
        <w:t xml:space="preserve">. Performance is measured through indicators including innovation output and channel performance. Improvements in these processes are required to support differentiation and cost efficiency </w:t>
      </w:r>
      <w:r>
        <w:rPr>
          <w:rFonts w:ascii="Arial" w:hAnsi="Arial" w:cs="Arial"/>
        </w:rPr>
        <w:t>(Kaplan &amp; Norton, 1992).</w:t>
      </w:r>
    </w:p>
    <w:p w14:paraId="093906C6" w14:textId="1B3EAC53" w:rsidR="00DA0A5D" w:rsidRPr="00DA0A5D" w:rsidRDefault="00DA0A5D" w:rsidP="00CD51DD">
      <w:pPr>
        <w:pStyle w:val="Heading3"/>
      </w:pPr>
      <w:bookmarkStart w:id="33" w:name="_Toc228482338"/>
      <w:r w:rsidRPr="00DA0A5D">
        <w:t>Learning and Growth Perspective</w:t>
      </w:r>
      <w:bookmarkEnd w:id="33"/>
    </w:p>
    <w:p w14:paraId="45C4D5B0" w14:textId="408C0254" w:rsidR="00275AFC" w:rsidRDefault="00DA0A5D" w:rsidP="001330B0">
      <w:pPr>
        <w:jc w:val="both"/>
        <w:rPr>
          <w:rFonts w:ascii="Arial" w:hAnsi="Arial" w:cs="Arial"/>
        </w:rPr>
      </w:pPr>
      <w:r w:rsidRPr="00DA0A5D">
        <w:rPr>
          <w:rFonts w:ascii="Arial" w:hAnsi="Arial" w:cs="Arial"/>
        </w:rPr>
        <w:t>The learning and growth perspective is concerned with the development of organisational capabilities, culture, and human capital, through which long-term success is sustained. At Nike, leadership changes and organisational restructuring have been implemented to enhance innovation and cultural alignment</w:t>
      </w:r>
      <w:r>
        <w:rPr>
          <w:rFonts w:ascii="Arial" w:hAnsi="Arial" w:cs="Arial"/>
        </w:rPr>
        <w:t xml:space="preserve"> (Grant, 2022)</w:t>
      </w:r>
      <w:r w:rsidRPr="00DA0A5D">
        <w:rPr>
          <w:rFonts w:ascii="Arial" w:hAnsi="Arial" w:cs="Arial"/>
        </w:rPr>
        <w:t>. However, it is recognised that such developments require time to generate measurable outcomes. This perspective is regarded as a foundation upon which all other performance dime</w:t>
      </w:r>
      <w:r>
        <w:rPr>
          <w:rFonts w:ascii="Arial" w:hAnsi="Arial" w:cs="Arial"/>
        </w:rPr>
        <w:t>nsions are built (</w:t>
      </w:r>
      <w:r w:rsidR="00275AFC">
        <w:rPr>
          <w:rFonts w:ascii="Arial" w:hAnsi="Arial" w:cs="Arial"/>
        </w:rPr>
        <w:t>Kaplan &amp; Norton, 1992).</w:t>
      </w:r>
    </w:p>
    <w:p w14:paraId="50A402B1" w14:textId="786F44E0" w:rsidR="00FD5398" w:rsidRDefault="00FD5398" w:rsidP="001330B0">
      <w:pPr>
        <w:jc w:val="both"/>
        <w:rPr>
          <w:rFonts w:ascii="Arial" w:hAnsi="Arial" w:cs="Arial"/>
        </w:rPr>
      </w:pPr>
    </w:p>
    <w:p w14:paraId="22C6638F" w14:textId="7E0C39F7" w:rsidR="00FD5398" w:rsidRDefault="00FD5398" w:rsidP="001330B0">
      <w:pPr>
        <w:jc w:val="both"/>
        <w:rPr>
          <w:rFonts w:ascii="Arial" w:hAnsi="Arial" w:cs="Arial"/>
        </w:rPr>
      </w:pPr>
    </w:p>
    <w:p w14:paraId="02662A3A" w14:textId="19E97ED3" w:rsidR="00FD5398" w:rsidRDefault="00FD5398" w:rsidP="001330B0">
      <w:pPr>
        <w:jc w:val="both"/>
        <w:rPr>
          <w:rFonts w:ascii="Arial" w:hAnsi="Arial" w:cs="Arial"/>
        </w:rPr>
      </w:pPr>
    </w:p>
    <w:p w14:paraId="750E55E2" w14:textId="7180F2D9" w:rsidR="00275AFC" w:rsidRDefault="006D6D28" w:rsidP="001330B0">
      <w:pPr>
        <w:jc w:val="both"/>
        <w:rPr>
          <w:rFonts w:ascii="Arial" w:hAnsi="Arial" w:cs="Arial"/>
        </w:rPr>
      </w:pPr>
      <w:r w:rsidRPr="0057652E">
        <w:rPr>
          <w:rFonts w:ascii="Arial" w:hAnsi="Arial" w:cs="Arial"/>
          <w:noProof/>
          <w:lang w:val="en-US"/>
        </w:rPr>
        <w:drawing>
          <wp:anchor distT="0" distB="0" distL="114300" distR="114300" simplePos="0" relativeHeight="251666432" behindDoc="0" locked="0" layoutInCell="1" allowOverlap="1" wp14:anchorId="50415418" wp14:editId="1D763928">
            <wp:simplePos x="0" y="0"/>
            <wp:positionH relativeFrom="margin">
              <wp:posOffset>-198120</wp:posOffset>
            </wp:positionH>
            <wp:positionV relativeFrom="paragraph">
              <wp:posOffset>292735</wp:posOffset>
            </wp:positionV>
            <wp:extent cx="6065520" cy="3369310"/>
            <wp:effectExtent l="0" t="0" r="0" b="2540"/>
            <wp:wrapNone/>
            <wp:docPr id="7" name="Picture 7" descr="C:\Users\fabih\Downloads\KPI NIK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bih\Downloads\KPI NIKE.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65520" cy="3369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FA2E78" w14:textId="765C5A1D" w:rsidR="00275AFC" w:rsidRDefault="00275AFC" w:rsidP="001330B0">
      <w:pPr>
        <w:jc w:val="both"/>
        <w:rPr>
          <w:rFonts w:ascii="Arial" w:hAnsi="Arial" w:cs="Arial"/>
        </w:rPr>
      </w:pPr>
    </w:p>
    <w:p w14:paraId="4FFA0F15" w14:textId="005799A3" w:rsidR="0057652E" w:rsidRDefault="0057652E" w:rsidP="001330B0">
      <w:pPr>
        <w:jc w:val="both"/>
        <w:rPr>
          <w:rFonts w:ascii="Arial" w:hAnsi="Arial" w:cs="Arial"/>
        </w:rPr>
      </w:pPr>
    </w:p>
    <w:p w14:paraId="3BADB5FE" w14:textId="77777777" w:rsidR="0057652E" w:rsidRDefault="0057652E" w:rsidP="001330B0">
      <w:pPr>
        <w:jc w:val="both"/>
        <w:rPr>
          <w:rFonts w:ascii="Arial" w:hAnsi="Arial" w:cs="Arial"/>
        </w:rPr>
      </w:pPr>
    </w:p>
    <w:p w14:paraId="0C382CB1" w14:textId="77777777" w:rsidR="0057652E" w:rsidRDefault="0057652E" w:rsidP="00275AFC">
      <w:pPr>
        <w:jc w:val="center"/>
        <w:rPr>
          <w:rFonts w:ascii="Arial" w:hAnsi="Arial" w:cs="Arial"/>
          <w:i/>
          <w:sz w:val="16"/>
        </w:rPr>
      </w:pPr>
    </w:p>
    <w:p w14:paraId="124AD88F" w14:textId="77777777" w:rsidR="0057652E" w:rsidRDefault="0057652E" w:rsidP="00275AFC">
      <w:pPr>
        <w:jc w:val="center"/>
        <w:rPr>
          <w:rFonts w:ascii="Arial" w:hAnsi="Arial" w:cs="Arial"/>
          <w:i/>
          <w:sz w:val="16"/>
        </w:rPr>
      </w:pPr>
    </w:p>
    <w:p w14:paraId="7760E7A4" w14:textId="77777777" w:rsidR="0057652E" w:rsidRPr="0057652E" w:rsidRDefault="0057652E" w:rsidP="00275AFC">
      <w:pPr>
        <w:jc w:val="center"/>
        <w:rPr>
          <w:rFonts w:ascii="Arial" w:hAnsi="Arial" w:cs="Arial"/>
          <w:i/>
          <w:sz w:val="18"/>
        </w:rPr>
      </w:pPr>
    </w:p>
    <w:p w14:paraId="699CB58D" w14:textId="77777777" w:rsidR="006D6D28" w:rsidRDefault="006D6D28" w:rsidP="00275AFC">
      <w:pPr>
        <w:jc w:val="center"/>
        <w:rPr>
          <w:rFonts w:ascii="Arial" w:hAnsi="Arial" w:cs="Arial"/>
          <w:i/>
          <w:sz w:val="18"/>
        </w:rPr>
      </w:pPr>
    </w:p>
    <w:p w14:paraId="6CBF1152" w14:textId="77777777" w:rsidR="006D6D28" w:rsidRDefault="006D6D28" w:rsidP="00275AFC">
      <w:pPr>
        <w:jc w:val="center"/>
        <w:rPr>
          <w:rFonts w:ascii="Arial" w:hAnsi="Arial" w:cs="Arial"/>
          <w:i/>
          <w:sz w:val="18"/>
        </w:rPr>
      </w:pPr>
    </w:p>
    <w:p w14:paraId="4D57E4FA" w14:textId="77777777" w:rsidR="006D6D28" w:rsidRDefault="006D6D28" w:rsidP="00275AFC">
      <w:pPr>
        <w:jc w:val="center"/>
        <w:rPr>
          <w:rFonts w:ascii="Arial" w:hAnsi="Arial" w:cs="Arial"/>
          <w:i/>
          <w:sz w:val="18"/>
        </w:rPr>
      </w:pPr>
    </w:p>
    <w:p w14:paraId="39B0B015" w14:textId="77777777" w:rsidR="006D6D28" w:rsidRDefault="006D6D28" w:rsidP="00275AFC">
      <w:pPr>
        <w:jc w:val="center"/>
        <w:rPr>
          <w:rFonts w:ascii="Arial" w:hAnsi="Arial" w:cs="Arial"/>
          <w:i/>
          <w:sz w:val="18"/>
        </w:rPr>
      </w:pPr>
    </w:p>
    <w:p w14:paraId="520C35E4" w14:textId="77777777" w:rsidR="006D6D28" w:rsidRDefault="006D6D28" w:rsidP="00275AFC">
      <w:pPr>
        <w:jc w:val="center"/>
        <w:rPr>
          <w:rFonts w:ascii="Arial" w:hAnsi="Arial" w:cs="Arial"/>
          <w:i/>
          <w:sz w:val="18"/>
        </w:rPr>
      </w:pPr>
    </w:p>
    <w:p w14:paraId="0584C5A3" w14:textId="77777777" w:rsidR="006D6D28" w:rsidRDefault="006D6D28" w:rsidP="00275AFC">
      <w:pPr>
        <w:jc w:val="center"/>
        <w:rPr>
          <w:rFonts w:ascii="Arial" w:hAnsi="Arial" w:cs="Arial"/>
          <w:i/>
          <w:sz w:val="18"/>
        </w:rPr>
      </w:pPr>
    </w:p>
    <w:p w14:paraId="52BFF7FB" w14:textId="77777777" w:rsidR="006D6D28" w:rsidRDefault="006D6D28" w:rsidP="00275AFC">
      <w:pPr>
        <w:jc w:val="center"/>
        <w:rPr>
          <w:rFonts w:ascii="Arial" w:hAnsi="Arial" w:cs="Arial"/>
          <w:i/>
          <w:sz w:val="18"/>
        </w:rPr>
      </w:pPr>
    </w:p>
    <w:p w14:paraId="6BBAE82E" w14:textId="77777777" w:rsidR="006D6D28" w:rsidRDefault="006D6D28" w:rsidP="00275AFC">
      <w:pPr>
        <w:jc w:val="center"/>
        <w:rPr>
          <w:rFonts w:ascii="Arial" w:hAnsi="Arial" w:cs="Arial"/>
          <w:i/>
          <w:sz w:val="18"/>
        </w:rPr>
      </w:pPr>
    </w:p>
    <w:p w14:paraId="2A7E3D76" w14:textId="5BF1F117" w:rsidR="00275AFC" w:rsidRPr="0057652E" w:rsidRDefault="00275AFC" w:rsidP="00275AFC">
      <w:pPr>
        <w:jc w:val="center"/>
        <w:rPr>
          <w:rFonts w:ascii="Arial" w:hAnsi="Arial" w:cs="Arial"/>
          <w:sz w:val="28"/>
        </w:rPr>
      </w:pPr>
      <w:r w:rsidRPr="0057652E">
        <w:rPr>
          <w:rFonts w:ascii="Arial" w:hAnsi="Arial" w:cs="Arial"/>
          <w:i/>
          <w:sz w:val="18"/>
        </w:rPr>
        <w:t>Fig: 05 Balanced Scorecard Analysis of Nike</w:t>
      </w:r>
      <w:r w:rsidR="006F7C47">
        <w:rPr>
          <w:rFonts w:ascii="Arial" w:hAnsi="Arial" w:cs="Arial"/>
          <w:i/>
          <w:sz w:val="18"/>
        </w:rPr>
        <w:t xml:space="preserve"> (Self-</w:t>
      </w:r>
      <w:proofErr w:type="spellStart"/>
      <w:r w:rsidR="006F7C47">
        <w:rPr>
          <w:rFonts w:ascii="Arial" w:hAnsi="Arial" w:cs="Arial"/>
          <w:i/>
          <w:sz w:val="18"/>
        </w:rPr>
        <w:t>Analyzed</w:t>
      </w:r>
      <w:proofErr w:type="spellEnd"/>
      <w:r w:rsidR="006F7C47">
        <w:rPr>
          <w:rFonts w:ascii="Arial" w:hAnsi="Arial" w:cs="Arial"/>
          <w:i/>
          <w:sz w:val="18"/>
        </w:rPr>
        <w:t>)</w:t>
      </w:r>
    </w:p>
    <w:p w14:paraId="6452061E" w14:textId="77777777" w:rsidR="00BF50CA" w:rsidRDefault="00BF50CA" w:rsidP="00BF50CA">
      <w:pPr>
        <w:jc w:val="both"/>
        <w:rPr>
          <w:rFonts w:ascii="Arial" w:hAnsi="Arial" w:cs="Arial"/>
          <w:b/>
        </w:rPr>
      </w:pPr>
    </w:p>
    <w:p w14:paraId="4CA2FF5F" w14:textId="20F14E35" w:rsidR="00BF50CA" w:rsidRPr="00BF50CA" w:rsidRDefault="00BF50CA" w:rsidP="00BF50CA">
      <w:pPr>
        <w:jc w:val="both"/>
        <w:rPr>
          <w:rFonts w:ascii="Arial" w:hAnsi="Arial" w:cs="Arial"/>
          <w:b/>
        </w:rPr>
      </w:pPr>
      <w:r w:rsidRPr="00BF50CA">
        <w:rPr>
          <w:rFonts w:ascii="Arial" w:hAnsi="Arial" w:cs="Arial"/>
          <w:b/>
        </w:rPr>
        <w:t>Integration: Which Perspectives Are Passing or Failing?</w:t>
      </w:r>
    </w:p>
    <w:p w14:paraId="242BB72E" w14:textId="77777777" w:rsidR="00BF50CA" w:rsidRPr="00BF50CA" w:rsidRDefault="00BF50CA" w:rsidP="00BF50CA">
      <w:pPr>
        <w:jc w:val="both"/>
        <w:rPr>
          <w:rFonts w:ascii="Arial" w:hAnsi="Arial" w:cs="Arial"/>
        </w:rPr>
      </w:pPr>
      <w:r w:rsidRPr="00BF50CA">
        <w:rPr>
          <w:rFonts w:ascii="Arial" w:hAnsi="Arial" w:cs="Arial"/>
        </w:rPr>
        <w:t>A mixed performance is revealed through the Balanced Scorecard, as cause–effect alignment across the four perspectives is assessed. Learning and Growth is evaluated as partially passing, as leadership restructuring and strategic initiatives have been implemented, although cultural transformation remains ongoing. Internal Business Processes are considered partially effective, as improvements in wholesale performance are observed, while inefficiencies in direct-to-consumer operations persist. The Customer perspective is assessed as failing, as declining sales in key markets and weakening brand preference among younger consumers are reported (Grant,2022). Financial performance is also evaluated as failing, as margin contraction and earnings decline are recorded (Nike Inc.,2023). Overall, a strategic disconnect is identified, as leading indicators have not yet translated into improved customer and financial outcomes, highlighting the need for corrective strategic action (Kaplan &amp; Norton, 1992).</w:t>
      </w:r>
    </w:p>
    <w:p w14:paraId="2F218344" w14:textId="1E8B9F2E" w:rsidR="001918CE" w:rsidRPr="007B615E" w:rsidRDefault="009457A2" w:rsidP="007B615E">
      <w:pPr>
        <w:jc w:val="both"/>
        <w:rPr>
          <w:rFonts w:ascii="Arial" w:hAnsi="Arial" w:cs="Arial"/>
          <w:sz w:val="28"/>
        </w:rPr>
      </w:pPr>
      <w:r w:rsidRPr="0057652E">
        <w:rPr>
          <w:rFonts w:ascii="Arial" w:hAnsi="Arial" w:cs="Arial"/>
          <w:sz w:val="28"/>
        </w:rPr>
        <w:br w:type="page"/>
      </w:r>
    </w:p>
    <w:p w14:paraId="1AF52F7C" w14:textId="0F621486" w:rsidR="00AD75D5" w:rsidRPr="004D026C" w:rsidRDefault="00DA0A5D" w:rsidP="00CF0B37">
      <w:pPr>
        <w:pStyle w:val="Heading1"/>
        <w:rPr>
          <w:rFonts w:cs="Arial"/>
          <w:sz w:val="36"/>
        </w:rPr>
      </w:pPr>
      <w:bookmarkStart w:id="34" w:name="_Toc228482339"/>
      <w:r w:rsidRPr="004D026C">
        <w:lastRenderedPageBreak/>
        <w:t>5. Strategic Choices and Implementation</w:t>
      </w:r>
      <w:bookmarkEnd w:id="34"/>
    </w:p>
    <w:p w14:paraId="476FCBAD" w14:textId="7B604C62" w:rsidR="00AD75D5" w:rsidRDefault="007E00A8" w:rsidP="004D026C">
      <w:pPr>
        <w:jc w:val="both"/>
        <w:rPr>
          <w:rFonts w:ascii="Arial" w:hAnsi="Arial" w:cs="Arial"/>
        </w:rPr>
      </w:pPr>
      <w:r w:rsidRPr="007E00A8">
        <w:rPr>
          <w:rFonts w:ascii="Arial" w:hAnsi="Arial" w:cs="Arial"/>
        </w:rPr>
        <w:t>Strategic choice is defined as the decision-making process through which alternative strategies are evaluated and selected to achieve organisational objectives. Suitability, acceptability, and feasibility are assessed to ensure alignment with the external environment, stakeholder expectations, and internal capabilities. Through this process, organisational direction and competitive positioning are determined (Johnson et al., 2020).</w:t>
      </w:r>
    </w:p>
    <w:p w14:paraId="412BAB6C" w14:textId="25D0FED0" w:rsidR="004D026C" w:rsidRPr="004D026C" w:rsidRDefault="004D026C" w:rsidP="00CF0B37">
      <w:pPr>
        <w:pStyle w:val="Heading2"/>
      </w:pPr>
      <w:bookmarkStart w:id="35" w:name="_Toc228482340"/>
      <w:r w:rsidRPr="004D026C">
        <w:t>5.1 Evaluation of Strategic Choices Available to Nike</w:t>
      </w:r>
      <w:bookmarkEnd w:id="35"/>
    </w:p>
    <w:p w14:paraId="329C5BA0" w14:textId="77777777" w:rsidR="0010003E" w:rsidRPr="0010003E" w:rsidRDefault="0010003E" w:rsidP="0010003E">
      <w:pPr>
        <w:jc w:val="both"/>
        <w:rPr>
          <w:rFonts w:ascii="Arial" w:hAnsi="Arial" w:cs="Arial"/>
          <w:lang w:val="en-US"/>
        </w:rPr>
      </w:pPr>
      <w:r w:rsidRPr="0010003E">
        <w:rPr>
          <w:rFonts w:ascii="Arial" w:hAnsi="Arial" w:cs="Arial"/>
          <w:lang w:val="en-US"/>
        </w:rPr>
        <w:t xml:space="preserve">At the business level, strategic choices are evaluated regarding how competitive advantage is to be achieved within the athletic footwear and apparel industry. Cost leadership is considered to have low suitability for Nike, as premium brand positioning would be undermined if price-based competition were </w:t>
      </w:r>
      <w:proofErr w:type="spellStart"/>
      <w:r w:rsidRPr="0010003E">
        <w:rPr>
          <w:rFonts w:ascii="Arial" w:hAnsi="Arial" w:cs="Arial"/>
          <w:lang w:val="en-US"/>
        </w:rPr>
        <w:t>prioritised</w:t>
      </w:r>
      <w:proofErr w:type="spellEnd"/>
      <w:r w:rsidRPr="0010003E">
        <w:rPr>
          <w:rFonts w:ascii="Arial" w:hAnsi="Arial" w:cs="Arial"/>
          <w:lang w:val="en-US"/>
        </w:rPr>
        <w:t>. Although cost efficiencies are achieved through outsourcing, brand value would be diluted (Porter, 1985).</w:t>
      </w:r>
    </w:p>
    <w:p w14:paraId="3373DAB9" w14:textId="77777777" w:rsidR="0010003E" w:rsidRPr="0010003E" w:rsidRDefault="0010003E" w:rsidP="0010003E">
      <w:pPr>
        <w:jc w:val="both"/>
        <w:rPr>
          <w:rFonts w:ascii="Arial" w:hAnsi="Arial" w:cs="Arial"/>
          <w:lang w:val="en-US"/>
        </w:rPr>
      </w:pPr>
      <w:r w:rsidRPr="0010003E">
        <w:rPr>
          <w:rFonts w:ascii="Arial" w:hAnsi="Arial" w:cs="Arial"/>
          <w:lang w:val="en-US"/>
        </w:rPr>
        <w:t xml:space="preserve">Differentiation is assessed as highly suitable, as innovation, design, and brand strength are leveraged to justify premium pricing. This approach is supported by valuable and inimitable resources, including brand equity and athlete relationships (Barney, 1991). However, differentiation is </w:t>
      </w:r>
      <w:proofErr w:type="spellStart"/>
      <w:r w:rsidRPr="0010003E">
        <w:rPr>
          <w:rFonts w:ascii="Arial" w:hAnsi="Arial" w:cs="Arial"/>
          <w:lang w:val="en-US"/>
        </w:rPr>
        <w:t>recognised</w:t>
      </w:r>
      <w:proofErr w:type="spellEnd"/>
      <w:r w:rsidRPr="0010003E">
        <w:rPr>
          <w:rFonts w:ascii="Arial" w:hAnsi="Arial" w:cs="Arial"/>
          <w:lang w:val="en-US"/>
        </w:rPr>
        <w:t xml:space="preserve"> to have been weakened, requiring renewed focus on innovation and authenticity to sustain advantage (</w:t>
      </w:r>
      <w:proofErr w:type="spellStart"/>
      <w:r w:rsidRPr="0010003E">
        <w:rPr>
          <w:rFonts w:ascii="Arial" w:hAnsi="Arial" w:cs="Arial"/>
          <w:lang w:val="en-US"/>
        </w:rPr>
        <w:t>Rothaermel</w:t>
      </w:r>
      <w:proofErr w:type="spellEnd"/>
      <w:r w:rsidRPr="0010003E">
        <w:rPr>
          <w:rFonts w:ascii="Arial" w:hAnsi="Arial" w:cs="Arial"/>
          <w:lang w:val="en-US"/>
        </w:rPr>
        <w:t>, 2021).</w:t>
      </w:r>
    </w:p>
    <w:p w14:paraId="6D772838" w14:textId="77777777" w:rsidR="0010003E" w:rsidRPr="0010003E" w:rsidRDefault="0010003E" w:rsidP="0010003E">
      <w:pPr>
        <w:jc w:val="both"/>
        <w:rPr>
          <w:rFonts w:ascii="Arial" w:hAnsi="Arial" w:cs="Arial"/>
          <w:lang w:val="en-US"/>
        </w:rPr>
      </w:pPr>
      <w:r w:rsidRPr="0010003E">
        <w:rPr>
          <w:rFonts w:ascii="Arial" w:hAnsi="Arial" w:cs="Arial"/>
          <w:lang w:val="en-US"/>
        </w:rPr>
        <w:t>At the corporate level, strategic decisions regarding portfolio scope, diversification, and geographic expansion are made. Related diversification is evaluated as moderately suitable, as expansion into adjacent categories is enabled through existing capabilities; however, caution is required due to mixed performance within current brand portfolios (</w:t>
      </w:r>
      <w:proofErr w:type="spellStart"/>
      <w:r w:rsidRPr="0010003E">
        <w:rPr>
          <w:rFonts w:ascii="Arial" w:hAnsi="Arial" w:cs="Arial"/>
          <w:lang w:val="en-US"/>
        </w:rPr>
        <w:t>Rothaermel</w:t>
      </w:r>
      <w:proofErr w:type="spellEnd"/>
      <w:r w:rsidRPr="0010003E">
        <w:rPr>
          <w:rFonts w:ascii="Arial" w:hAnsi="Arial" w:cs="Arial"/>
          <w:lang w:val="en-US"/>
        </w:rPr>
        <w:t xml:space="preserve">, 2021). In contrast, unrelated diversification is assessed as having low suitability, as alignment with core competencies is not achieved and value creation is unlikely to be </w:t>
      </w:r>
      <w:proofErr w:type="spellStart"/>
      <w:r w:rsidRPr="0010003E">
        <w:rPr>
          <w:rFonts w:ascii="Arial" w:hAnsi="Arial" w:cs="Arial"/>
          <w:lang w:val="en-US"/>
        </w:rPr>
        <w:t>realised</w:t>
      </w:r>
      <w:proofErr w:type="spellEnd"/>
      <w:r w:rsidRPr="0010003E">
        <w:rPr>
          <w:rFonts w:ascii="Arial" w:hAnsi="Arial" w:cs="Arial"/>
          <w:lang w:val="en-US"/>
        </w:rPr>
        <w:t xml:space="preserve"> (Grant, 2022).</w:t>
      </w:r>
    </w:p>
    <w:p w14:paraId="0F4EEF8C" w14:textId="5B380657" w:rsidR="0010003E" w:rsidRPr="0010003E" w:rsidRDefault="0010003E" w:rsidP="0010003E">
      <w:pPr>
        <w:jc w:val="both"/>
        <w:rPr>
          <w:rFonts w:ascii="Arial" w:hAnsi="Arial" w:cs="Arial"/>
          <w:lang w:val="en-US"/>
        </w:rPr>
      </w:pPr>
      <w:r w:rsidRPr="0010003E">
        <w:rPr>
          <w:rFonts w:ascii="Arial" w:hAnsi="Arial" w:cs="Arial"/>
          <w:lang w:val="en-US"/>
        </w:rPr>
        <w:t xml:space="preserve">International expansion is considered highly </w:t>
      </w:r>
      <w:r w:rsidR="00FD5398" w:rsidRPr="0010003E">
        <w:rPr>
          <w:rFonts w:ascii="Arial" w:hAnsi="Arial" w:cs="Arial"/>
          <w:lang w:val="en-US"/>
        </w:rPr>
        <w:t>suitable;</w:t>
      </w:r>
      <w:r w:rsidRPr="0010003E">
        <w:rPr>
          <w:rFonts w:ascii="Arial" w:hAnsi="Arial" w:cs="Arial"/>
          <w:lang w:val="en-US"/>
        </w:rPr>
        <w:t xml:space="preserve"> as significant revenue is generated from global markets. A dual-path strategy is recommended, whereby mature markets are </w:t>
      </w:r>
      <w:proofErr w:type="spellStart"/>
      <w:r w:rsidRPr="0010003E">
        <w:rPr>
          <w:rFonts w:ascii="Arial" w:hAnsi="Arial" w:cs="Arial"/>
          <w:lang w:val="en-US"/>
        </w:rPr>
        <w:t>stabilised</w:t>
      </w:r>
      <w:proofErr w:type="spellEnd"/>
      <w:r w:rsidRPr="0010003E">
        <w:rPr>
          <w:rFonts w:ascii="Arial" w:hAnsi="Arial" w:cs="Arial"/>
          <w:lang w:val="en-US"/>
        </w:rPr>
        <w:t xml:space="preserve"> and growth is restored, while market-specific repositioning is implemented in challenging regions. Such strategic alignment is </w:t>
      </w:r>
      <w:proofErr w:type="spellStart"/>
      <w:r w:rsidRPr="0010003E">
        <w:rPr>
          <w:rFonts w:ascii="Arial" w:hAnsi="Arial" w:cs="Arial"/>
          <w:lang w:val="en-US"/>
        </w:rPr>
        <w:t>emphasised</w:t>
      </w:r>
      <w:proofErr w:type="spellEnd"/>
      <w:r w:rsidRPr="0010003E">
        <w:rPr>
          <w:rFonts w:ascii="Arial" w:hAnsi="Arial" w:cs="Arial"/>
          <w:lang w:val="en-US"/>
        </w:rPr>
        <w:t xml:space="preserve"> as critical for long-term performance (Johnson et al., 2020).</w:t>
      </w:r>
    </w:p>
    <w:p w14:paraId="44D2A4D3" w14:textId="29878577" w:rsidR="0034453C" w:rsidRPr="0034453C" w:rsidRDefault="0034453C" w:rsidP="00CF0B37">
      <w:pPr>
        <w:pStyle w:val="Heading2"/>
      </w:pPr>
      <w:bookmarkStart w:id="36" w:name="_Toc228482341"/>
      <w:r>
        <w:t xml:space="preserve">5.2 </w:t>
      </w:r>
      <w:r w:rsidRPr="0034453C">
        <w:t>Renewed Differentiation and Dual</w:t>
      </w:r>
      <w:r w:rsidRPr="0034453C">
        <w:rPr>
          <w:rFonts w:ascii="Cambria Math" w:hAnsi="Cambria Math" w:cs="Cambria Math"/>
        </w:rPr>
        <w:t>‑</w:t>
      </w:r>
      <w:r w:rsidRPr="0034453C">
        <w:t>Path International Expansion</w:t>
      </w:r>
      <w:bookmarkEnd w:id="36"/>
    </w:p>
    <w:p w14:paraId="1A50C865" w14:textId="77777777" w:rsidR="0010003E" w:rsidRPr="0010003E" w:rsidRDefault="0010003E" w:rsidP="0010003E">
      <w:pPr>
        <w:jc w:val="both"/>
        <w:rPr>
          <w:rFonts w:ascii="Arial" w:hAnsi="Arial" w:cs="Arial"/>
        </w:rPr>
      </w:pPr>
      <w:r w:rsidRPr="0010003E">
        <w:rPr>
          <w:rFonts w:ascii="Arial" w:hAnsi="Arial" w:cs="Arial"/>
        </w:rPr>
        <w:t>At the business level, suitability is confirmed, as the root causes of brand dilution and limited innovation are addressed while existing strengths are leveraged (</w:t>
      </w:r>
      <w:proofErr w:type="spellStart"/>
      <w:r w:rsidRPr="0010003E">
        <w:rPr>
          <w:rFonts w:ascii="Arial" w:hAnsi="Arial" w:cs="Arial"/>
        </w:rPr>
        <w:t>Onyebuenyi</w:t>
      </w:r>
      <w:proofErr w:type="spellEnd"/>
      <w:r w:rsidRPr="0010003E">
        <w:rPr>
          <w:rFonts w:ascii="Arial" w:hAnsi="Arial" w:cs="Arial"/>
        </w:rPr>
        <w:t>, 2025). Acceptability is established, as stakeholder expectations for authenticity and premium positioning are fulfilled. Feasibility is demonstrated through established R&amp;D infrastructure and organisational alignment (</w:t>
      </w:r>
      <w:proofErr w:type="spellStart"/>
      <w:r w:rsidRPr="0010003E">
        <w:rPr>
          <w:rFonts w:ascii="Arial" w:hAnsi="Arial" w:cs="Arial"/>
        </w:rPr>
        <w:t>Rothaermel</w:t>
      </w:r>
      <w:proofErr w:type="spellEnd"/>
      <w:r w:rsidRPr="0010003E">
        <w:rPr>
          <w:rFonts w:ascii="Arial" w:hAnsi="Arial" w:cs="Arial"/>
        </w:rPr>
        <w:t>, 2021).</w:t>
      </w:r>
    </w:p>
    <w:p w14:paraId="4311C3EC" w14:textId="535274C2" w:rsidR="004D026C" w:rsidRDefault="0010003E" w:rsidP="0010003E">
      <w:pPr>
        <w:jc w:val="both"/>
        <w:rPr>
          <w:rFonts w:ascii="Arial" w:hAnsi="Arial" w:cs="Arial"/>
        </w:rPr>
      </w:pPr>
      <w:r w:rsidRPr="0010003E">
        <w:rPr>
          <w:rFonts w:ascii="Arial" w:hAnsi="Arial" w:cs="Arial"/>
        </w:rPr>
        <w:lastRenderedPageBreak/>
        <w:t>At the corporate level, dual-path international expansion is evaluated as suitable, as China requires long-term reset while mature markets require rebalancing (Nike, 2025). Acceptability is ensured through diversification benefits, and feasibility is supported by global infrastructure and marketing capabilities (</w:t>
      </w:r>
      <w:proofErr w:type="spellStart"/>
      <w:r w:rsidRPr="0010003E">
        <w:rPr>
          <w:rFonts w:ascii="Arial" w:hAnsi="Arial" w:cs="Arial"/>
        </w:rPr>
        <w:t>Rothaermel</w:t>
      </w:r>
      <w:proofErr w:type="spellEnd"/>
      <w:r w:rsidRPr="0010003E">
        <w:rPr>
          <w:rFonts w:ascii="Arial" w:hAnsi="Arial" w:cs="Arial"/>
        </w:rPr>
        <w:t>, 2021).</w:t>
      </w:r>
    </w:p>
    <w:p w14:paraId="69F53C42" w14:textId="7DC649BB" w:rsidR="0034453C" w:rsidRDefault="0034453C" w:rsidP="00CF0B37">
      <w:pPr>
        <w:pStyle w:val="Heading2"/>
      </w:pPr>
      <w:bookmarkStart w:id="37" w:name="_Toc228482342"/>
      <w:r>
        <w:t xml:space="preserve">5.3 </w:t>
      </w:r>
      <w:r w:rsidRPr="0034453C">
        <w:t>Critical Assessment of Change Management and Impact on Strategic Implementation</w:t>
      </w:r>
      <w:bookmarkEnd w:id="37"/>
    </w:p>
    <w:p w14:paraId="144F1EBF" w14:textId="77777777" w:rsidR="0010003E" w:rsidRPr="0010003E" w:rsidRDefault="0010003E" w:rsidP="0010003E">
      <w:pPr>
        <w:jc w:val="both"/>
        <w:rPr>
          <w:rFonts w:ascii="Arial" w:hAnsi="Arial" w:cs="Arial"/>
          <w:lang w:val="en-US"/>
        </w:rPr>
      </w:pPr>
      <w:r w:rsidRPr="0010003E">
        <w:rPr>
          <w:rFonts w:ascii="Arial" w:hAnsi="Arial" w:cs="Arial"/>
          <w:lang w:val="en-US"/>
        </w:rPr>
        <w:t xml:space="preserve">Nike’s change management under CEO Elliott Hill is evaluated using Lewin’s Three-Step Model. In the unfreezing stage, strategic misalignment was acknowledged, and leadership change was implemented to create awareness of declining performance. The replacement of John </w:t>
      </w:r>
      <w:proofErr w:type="spellStart"/>
      <w:r w:rsidRPr="0010003E">
        <w:rPr>
          <w:rFonts w:ascii="Arial" w:hAnsi="Arial" w:cs="Arial"/>
          <w:lang w:val="en-US"/>
        </w:rPr>
        <w:t>Donahoe</w:t>
      </w:r>
      <w:proofErr w:type="spellEnd"/>
      <w:r w:rsidRPr="0010003E">
        <w:rPr>
          <w:rFonts w:ascii="Arial" w:hAnsi="Arial" w:cs="Arial"/>
          <w:lang w:val="en-US"/>
        </w:rPr>
        <w:t xml:space="preserve"> </w:t>
      </w:r>
      <w:proofErr w:type="spellStart"/>
      <w:r w:rsidRPr="0010003E">
        <w:rPr>
          <w:rFonts w:ascii="Arial" w:hAnsi="Arial" w:cs="Arial"/>
          <w:lang w:val="en-US"/>
        </w:rPr>
        <w:t>signalled</w:t>
      </w:r>
      <w:proofErr w:type="spellEnd"/>
      <w:r w:rsidRPr="0010003E">
        <w:rPr>
          <w:rFonts w:ascii="Arial" w:hAnsi="Arial" w:cs="Arial"/>
          <w:lang w:val="en-US"/>
        </w:rPr>
        <w:t xml:space="preserve"> the need for a shift away from a DTC-heavy strategy (Lewin, 1947). During the change phase, </w:t>
      </w:r>
      <w:proofErr w:type="spellStart"/>
      <w:r w:rsidRPr="0010003E">
        <w:rPr>
          <w:rFonts w:ascii="Arial" w:hAnsi="Arial" w:cs="Arial"/>
          <w:lang w:val="en-US"/>
        </w:rPr>
        <w:t>organisational</w:t>
      </w:r>
      <w:proofErr w:type="spellEnd"/>
      <w:r w:rsidRPr="0010003E">
        <w:rPr>
          <w:rFonts w:ascii="Arial" w:hAnsi="Arial" w:cs="Arial"/>
          <w:lang w:val="en-US"/>
        </w:rPr>
        <w:t xml:space="preserve"> restructuring has been introduced, and wholesale partnerships have been reactivated to rebalance channels (</w:t>
      </w:r>
      <w:proofErr w:type="spellStart"/>
      <w:r w:rsidRPr="0010003E">
        <w:rPr>
          <w:rFonts w:ascii="Arial" w:hAnsi="Arial" w:cs="Arial"/>
          <w:lang w:val="en-US"/>
        </w:rPr>
        <w:t>Rothaermel</w:t>
      </w:r>
      <w:proofErr w:type="spellEnd"/>
      <w:r w:rsidRPr="0010003E">
        <w:rPr>
          <w:rFonts w:ascii="Arial" w:hAnsi="Arial" w:cs="Arial"/>
          <w:lang w:val="en-US"/>
        </w:rPr>
        <w:t>, 2021).</w:t>
      </w:r>
    </w:p>
    <w:p w14:paraId="3A5B321F" w14:textId="77777777" w:rsidR="0010003E" w:rsidRPr="0010003E" w:rsidRDefault="0010003E" w:rsidP="0010003E">
      <w:pPr>
        <w:jc w:val="both"/>
        <w:rPr>
          <w:rFonts w:ascii="Arial" w:hAnsi="Arial" w:cs="Arial"/>
          <w:lang w:val="en-US"/>
        </w:rPr>
      </w:pPr>
      <w:r w:rsidRPr="0010003E">
        <w:rPr>
          <w:rFonts w:ascii="Arial" w:hAnsi="Arial" w:cs="Arial"/>
          <w:lang w:val="en-US"/>
        </w:rPr>
        <w:t xml:space="preserve">In the refreezing stage, new </w:t>
      </w:r>
      <w:proofErr w:type="spellStart"/>
      <w:r w:rsidRPr="0010003E">
        <w:rPr>
          <w:rFonts w:ascii="Arial" w:hAnsi="Arial" w:cs="Arial"/>
          <w:lang w:val="en-US"/>
        </w:rPr>
        <w:t>organisational</w:t>
      </w:r>
      <w:proofErr w:type="spellEnd"/>
      <w:r w:rsidRPr="0010003E">
        <w:rPr>
          <w:rFonts w:ascii="Arial" w:hAnsi="Arial" w:cs="Arial"/>
          <w:lang w:val="en-US"/>
        </w:rPr>
        <w:t xml:space="preserve"> norms are expected to be established, including an innovation-driven culture and balanced channel strategy. Strengths such as decisive leadership and structural realignment have been demonstrated. However, long-term success is considered dependent on effective execution and cultural embedding, as </w:t>
      </w:r>
      <w:proofErr w:type="spellStart"/>
      <w:r w:rsidRPr="0010003E">
        <w:rPr>
          <w:rFonts w:ascii="Arial" w:hAnsi="Arial" w:cs="Arial"/>
          <w:lang w:val="en-US"/>
        </w:rPr>
        <w:t>emphasised</w:t>
      </w:r>
      <w:proofErr w:type="spellEnd"/>
      <w:r w:rsidRPr="0010003E">
        <w:rPr>
          <w:rFonts w:ascii="Arial" w:hAnsi="Arial" w:cs="Arial"/>
          <w:lang w:val="en-US"/>
        </w:rPr>
        <w:t xml:space="preserve"> in Kotter’s Change Model (Kotter, 1996).</w:t>
      </w:r>
    </w:p>
    <w:p w14:paraId="6EDFC56D" w14:textId="29AD7694" w:rsidR="002000A2" w:rsidRPr="00D56A49" w:rsidRDefault="00312EE1" w:rsidP="00D56A49">
      <w:pPr>
        <w:rPr>
          <w:rFonts w:ascii="Arial" w:hAnsi="Arial" w:cs="Arial"/>
          <w:b/>
        </w:rPr>
      </w:pPr>
      <w:r w:rsidRPr="00D56A49">
        <w:rPr>
          <w:rFonts w:ascii="Arial" w:hAnsi="Arial" w:cs="Arial"/>
          <w:b/>
        </w:rPr>
        <w:t>Weaknesses and Implementation Gaps:</w:t>
      </w:r>
    </w:p>
    <w:p w14:paraId="0F60AAD7" w14:textId="77777777" w:rsidR="0010003E" w:rsidRPr="0010003E" w:rsidRDefault="0010003E" w:rsidP="00CF0B37">
      <w:pPr>
        <w:jc w:val="both"/>
        <w:rPr>
          <w:rFonts w:ascii="Arial" w:hAnsi="Arial" w:cs="Arial"/>
          <w:lang w:val="en-US"/>
        </w:rPr>
      </w:pPr>
      <w:r w:rsidRPr="0010003E">
        <w:rPr>
          <w:rFonts w:ascii="Arial" w:hAnsi="Arial" w:cs="Arial"/>
          <w:lang w:val="en-US"/>
        </w:rPr>
        <w:t>Operational weaknesses and implementation gaps are identified in Nike’s strategic execution. A decline in direct-to-consumer performance has been observed, as digital traffic has decreased despite improvements in wholesale channels, indicating that channel rebalancing has not been effectively aligned with customer engagement (</w:t>
      </w:r>
      <w:proofErr w:type="spellStart"/>
      <w:r w:rsidRPr="0010003E">
        <w:rPr>
          <w:rFonts w:ascii="Arial" w:hAnsi="Arial" w:cs="Arial"/>
          <w:lang w:val="en-US"/>
        </w:rPr>
        <w:t>Onyebuenyi</w:t>
      </w:r>
      <w:proofErr w:type="spellEnd"/>
      <w:r w:rsidRPr="0010003E">
        <w:rPr>
          <w:rFonts w:ascii="Arial" w:hAnsi="Arial" w:cs="Arial"/>
          <w:lang w:val="en-US"/>
        </w:rPr>
        <w:t>, 2025). Persistent margin pressure has also been recorded, with gross margins remaining constrained due to ongoing cost challenges and limited short-term recovery (Zhou &amp; J, 2026). Furthermore, structural challenges within the China market are encountered, as domestic competitors are strengthened by rising consumer nationalism, reducing the effectiveness of leadership changes alone.</w:t>
      </w:r>
    </w:p>
    <w:p w14:paraId="0A86C2B7" w14:textId="77777777" w:rsidR="0010003E" w:rsidRPr="0010003E" w:rsidRDefault="0010003E" w:rsidP="00CF0B37">
      <w:pPr>
        <w:jc w:val="both"/>
        <w:rPr>
          <w:rFonts w:ascii="Arial" w:hAnsi="Arial" w:cs="Arial"/>
          <w:lang w:val="en-US"/>
        </w:rPr>
      </w:pPr>
      <w:r w:rsidRPr="0010003E">
        <w:rPr>
          <w:rFonts w:ascii="Arial" w:hAnsi="Arial" w:cs="Arial"/>
          <w:lang w:val="en-US"/>
        </w:rPr>
        <w:t xml:space="preserve">Nike is positioned in a critical transition phase, where structural changes have been implemented but measurable outcomes remain </w:t>
      </w:r>
      <w:proofErr w:type="spellStart"/>
      <w:r w:rsidRPr="0010003E">
        <w:rPr>
          <w:rFonts w:ascii="Arial" w:hAnsi="Arial" w:cs="Arial"/>
          <w:lang w:val="en-US"/>
        </w:rPr>
        <w:t>unrealised</w:t>
      </w:r>
      <w:proofErr w:type="spellEnd"/>
      <w:r w:rsidRPr="0010003E">
        <w:rPr>
          <w:rFonts w:ascii="Arial" w:hAnsi="Arial" w:cs="Arial"/>
          <w:lang w:val="en-US"/>
        </w:rPr>
        <w:t xml:space="preserve">. A risk of change fatigue is </w:t>
      </w:r>
      <w:proofErr w:type="spellStart"/>
      <w:r w:rsidRPr="0010003E">
        <w:rPr>
          <w:rFonts w:ascii="Arial" w:hAnsi="Arial" w:cs="Arial"/>
          <w:lang w:val="en-US"/>
        </w:rPr>
        <w:t>recognised</w:t>
      </w:r>
      <w:proofErr w:type="spellEnd"/>
      <w:r w:rsidRPr="0010003E">
        <w:rPr>
          <w:rFonts w:ascii="Arial" w:hAnsi="Arial" w:cs="Arial"/>
          <w:lang w:val="en-US"/>
        </w:rPr>
        <w:t>, while execution complexity has been increased. Although transformation phases have been initiated, the refreezing stage has not yet been achieved, placing long-term strategic outcomes at risk (Kotter, 1996; Lewin, 1947).</w:t>
      </w:r>
    </w:p>
    <w:p w14:paraId="39B55688" w14:textId="3760C9C8" w:rsidR="00312EE1" w:rsidRDefault="00902C66" w:rsidP="00CF0B37">
      <w:pPr>
        <w:pStyle w:val="Heading1"/>
      </w:pPr>
      <w:bookmarkStart w:id="38" w:name="_Toc228482343"/>
      <w:r w:rsidRPr="00902C66">
        <w:t>6. Strategic Evaluation and Recommendations</w:t>
      </w:r>
      <w:bookmarkEnd w:id="38"/>
    </w:p>
    <w:p w14:paraId="09C0169F" w14:textId="304DF9A3" w:rsidR="0010003E" w:rsidRPr="0010003E" w:rsidRDefault="0010003E" w:rsidP="00CF0B37">
      <w:pPr>
        <w:jc w:val="both"/>
        <w:rPr>
          <w:rFonts w:ascii="Arial" w:hAnsi="Arial" w:cs="Arial"/>
          <w:lang w:val="en-US"/>
        </w:rPr>
      </w:pPr>
      <w:r w:rsidRPr="0010003E">
        <w:rPr>
          <w:rFonts w:ascii="Arial" w:hAnsi="Arial" w:cs="Arial"/>
          <w:lang w:val="en-US"/>
        </w:rPr>
        <w:t xml:space="preserve">Strategic evaluation is defined as the systematic process through which an </w:t>
      </w:r>
      <w:proofErr w:type="spellStart"/>
      <w:r w:rsidRPr="0010003E">
        <w:rPr>
          <w:rFonts w:ascii="Arial" w:hAnsi="Arial" w:cs="Arial"/>
          <w:lang w:val="en-US"/>
        </w:rPr>
        <w:t>organisation’s</w:t>
      </w:r>
      <w:proofErr w:type="spellEnd"/>
      <w:r w:rsidRPr="0010003E">
        <w:rPr>
          <w:rFonts w:ascii="Arial" w:hAnsi="Arial" w:cs="Arial"/>
          <w:lang w:val="en-US"/>
        </w:rPr>
        <w:t xml:space="preserve"> strategy is assessed to determine its effectiveness, relevance, and alignment with internal capabilities and the external environment. Actual performance is compared against predetermined objectives, and any deviations are identified to support informed decision-making. Necessary adjustments are subsequently </w:t>
      </w:r>
      <w:r w:rsidRPr="0010003E">
        <w:rPr>
          <w:rFonts w:ascii="Arial" w:hAnsi="Arial" w:cs="Arial"/>
          <w:lang w:val="en-US"/>
        </w:rPr>
        <w:lastRenderedPageBreak/>
        <w:t>implemented to ensure that strategic goals are achieved and sustained over time (Johnson et al., 2020).</w:t>
      </w:r>
      <w:r w:rsidR="003D7F30">
        <w:rPr>
          <w:rFonts w:ascii="Arial" w:hAnsi="Arial" w:cs="Arial"/>
          <w:lang w:val="en-US"/>
        </w:rPr>
        <w:t xml:space="preserve"> </w:t>
      </w:r>
      <w:r w:rsidRPr="0010003E">
        <w:rPr>
          <w:rFonts w:ascii="Arial" w:hAnsi="Arial" w:cs="Arial"/>
          <w:lang w:val="en-US"/>
        </w:rPr>
        <w:t>The Boston Consulting Group Matrix is defined as a portfolio framework in which products are classified by market growth and relative market share (Kotler et al., 2019). In this report, it was applied to Nike’s UK portfolio, where an imbalance was identified. Recommendations were proposed to defend core footwear, improve DTC, invest selectively, and divest underperforming units (Kotler &amp; Keller, 2016).</w:t>
      </w:r>
    </w:p>
    <w:p w14:paraId="1EF13CD1" w14:textId="0D55F500" w:rsidR="00286BC8" w:rsidRDefault="003D7F30" w:rsidP="002000A2">
      <w:pPr>
        <w:rPr>
          <w:rFonts w:ascii="Arial" w:hAnsi="Arial" w:cs="Arial"/>
        </w:rPr>
      </w:pPr>
      <w:r>
        <w:rPr>
          <w:rFonts w:ascii="Arial" w:hAnsi="Arial" w:cs="Arial"/>
          <w:noProof/>
          <w:lang w:val="en-US"/>
        </w:rPr>
        <w:drawing>
          <wp:anchor distT="0" distB="0" distL="114300" distR="114300" simplePos="0" relativeHeight="251665408" behindDoc="0" locked="0" layoutInCell="1" allowOverlap="1" wp14:anchorId="542221C4" wp14:editId="7CD90B8E">
            <wp:simplePos x="0" y="0"/>
            <wp:positionH relativeFrom="margin">
              <wp:posOffset>449580</wp:posOffset>
            </wp:positionH>
            <wp:positionV relativeFrom="paragraph">
              <wp:posOffset>24130</wp:posOffset>
            </wp:positionV>
            <wp:extent cx="4960620" cy="3445510"/>
            <wp:effectExtent l="0" t="0" r="0"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ike BCG .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82493" cy="3460702"/>
                    </a:xfrm>
                    <a:prstGeom prst="rect">
                      <a:avLst/>
                    </a:prstGeom>
                  </pic:spPr>
                </pic:pic>
              </a:graphicData>
            </a:graphic>
            <wp14:sizeRelH relativeFrom="margin">
              <wp14:pctWidth>0</wp14:pctWidth>
            </wp14:sizeRelH>
            <wp14:sizeRelV relativeFrom="margin">
              <wp14:pctHeight>0</wp14:pctHeight>
            </wp14:sizeRelV>
          </wp:anchor>
        </w:drawing>
      </w:r>
    </w:p>
    <w:p w14:paraId="578718BC" w14:textId="40344EBF" w:rsidR="00286BC8" w:rsidRDefault="00286BC8" w:rsidP="002000A2">
      <w:pPr>
        <w:rPr>
          <w:rFonts w:ascii="Arial" w:hAnsi="Arial" w:cs="Arial"/>
        </w:rPr>
      </w:pPr>
    </w:p>
    <w:p w14:paraId="36F48196" w14:textId="62526288" w:rsidR="00286BC8" w:rsidRDefault="00286BC8" w:rsidP="002000A2">
      <w:pPr>
        <w:rPr>
          <w:rFonts w:ascii="Arial" w:hAnsi="Arial" w:cs="Arial"/>
        </w:rPr>
      </w:pPr>
    </w:p>
    <w:p w14:paraId="671BB9AD" w14:textId="76760CDE" w:rsidR="00286BC8" w:rsidRDefault="00286BC8" w:rsidP="002000A2">
      <w:pPr>
        <w:rPr>
          <w:rFonts w:ascii="Arial" w:hAnsi="Arial" w:cs="Arial"/>
        </w:rPr>
      </w:pPr>
    </w:p>
    <w:p w14:paraId="067BB4F7" w14:textId="5D70A2C1" w:rsidR="00286BC8" w:rsidRDefault="00286BC8" w:rsidP="002000A2">
      <w:pPr>
        <w:rPr>
          <w:rFonts w:ascii="Arial" w:hAnsi="Arial" w:cs="Arial"/>
        </w:rPr>
      </w:pPr>
    </w:p>
    <w:p w14:paraId="7508D13F" w14:textId="3DF5FB9D" w:rsidR="002000A2" w:rsidRDefault="002000A2" w:rsidP="002000A2">
      <w:pPr>
        <w:rPr>
          <w:rFonts w:ascii="Arial" w:hAnsi="Arial" w:cs="Arial"/>
        </w:rPr>
      </w:pPr>
    </w:p>
    <w:p w14:paraId="20C2786D" w14:textId="385BD9AA" w:rsidR="00286BC8" w:rsidRDefault="00286BC8" w:rsidP="002000A2">
      <w:pPr>
        <w:rPr>
          <w:rFonts w:ascii="Arial" w:hAnsi="Arial" w:cs="Arial"/>
        </w:rPr>
      </w:pPr>
    </w:p>
    <w:p w14:paraId="36BA24DA" w14:textId="0A8E9512" w:rsidR="00286BC8" w:rsidRDefault="00286BC8" w:rsidP="002000A2">
      <w:pPr>
        <w:rPr>
          <w:rFonts w:ascii="Arial" w:hAnsi="Arial" w:cs="Arial"/>
        </w:rPr>
      </w:pPr>
    </w:p>
    <w:p w14:paraId="1AF99B3F" w14:textId="6CF4FB34" w:rsidR="00286BC8" w:rsidRDefault="00286BC8" w:rsidP="002000A2">
      <w:pPr>
        <w:rPr>
          <w:rFonts w:ascii="Arial" w:hAnsi="Arial" w:cs="Arial"/>
        </w:rPr>
      </w:pPr>
    </w:p>
    <w:p w14:paraId="3427718B" w14:textId="54F48C63" w:rsidR="00286BC8" w:rsidRDefault="00286BC8" w:rsidP="002000A2">
      <w:pPr>
        <w:rPr>
          <w:rFonts w:ascii="Arial" w:hAnsi="Arial" w:cs="Arial"/>
        </w:rPr>
      </w:pPr>
    </w:p>
    <w:p w14:paraId="44BAA32E" w14:textId="0D603587" w:rsidR="00286BC8" w:rsidRDefault="00286BC8" w:rsidP="002000A2">
      <w:pPr>
        <w:rPr>
          <w:rFonts w:ascii="Arial" w:hAnsi="Arial" w:cs="Arial"/>
        </w:rPr>
      </w:pPr>
    </w:p>
    <w:p w14:paraId="676B4FEE" w14:textId="77777777" w:rsidR="003D7F30" w:rsidRDefault="003D7F30" w:rsidP="003D7F30">
      <w:pPr>
        <w:rPr>
          <w:rFonts w:ascii="Arial" w:hAnsi="Arial" w:cs="Arial"/>
        </w:rPr>
      </w:pPr>
    </w:p>
    <w:p w14:paraId="2AD96D3C" w14:textId="318F743F" w:rsidR="00286BC8" w:rsidRDefault="00286BC8" w:rsidP="003D7F30">
      <w:pPr>
        <w:jc w:val="center"/>
        <w:rPr>
          <w:rFonts w:ascii="Arial" w:hAnsi="Arial" w:cs="Arial"/>
          <w:i/>
          <w:sz w:val="16"/>
        </w:rPr>
      </w:pPr>
      <w:r w:rsidRPr="00286BC8">
        <w:rPr>
          <w:rFonts w:ascii="Arial" w:hAnsi="Arial" w:cs="Arial"/>
          <w:i/>
          <w:sz w:val="16"/>
        </w:rPr>
        <w:t>Fig: 06 Nike’s BCG Matrix Analysis in the UK</w:t>
      </w:r>
    </w:p>
    <w:p w14:paraId="66A86326" w14:textId="77777777" w:rsidR="007B615E" w:rsidRDefault="007B615E" w:rsidP="00D56A49">
      <w:pPr>
        <w:rPr>
          <w:rFonts w:ascii="Arial" w:hAnsi="Arial" w:cs="Arial"/>
          <w:b/>
        </w:rPr>
      </w:pPr>
    </w:p>
    <w:p w14:paraId="77F33CFD" w14:textId="08A96C32" w:rsidR="00286BC8" w:rsidRPr="00D56A49" w:rsidRDefault="00286BC8" w:rsidP="00D56A49">
      <w:pPr>
        <w:rPr>
          <w:rFonts w:ascii="Arial" w:hAnsi="Arial" w:cs="Arial"/>
          <w:b/>
        </w:rPr>
      </w:pPr>
      <w:r w:rsidRPr="00D56A49">
        <w:rPr>
          <w:rFonts w:ascii="Arial" w:hAnsi="Arial" w:cs="Arial"/>
          <w:b/>
        </w:rPr>
        <w:t>Cash Cow – Nike Performance Footwear</w:t>
      </w:r>
    </w:p>
    <w:p w14:paraId="5055CF08" w14:textId="4C1340D3" w:rsidR="00D93E6C" w:rsidRDefault="00D93E6C" w:rsidP="003D7F30">
      <w:pPr>
        <w:jc w:val="both"/>
        <w:rPr>
          <w:rFonts w:ascii="Arial" w:hAnsi="Arial" w:cs="Arial"/>
        </w:rPr>
      </w:pPr>
      <w:r w:rsidRPr="00D93E6C">
        <w:rPr>
          <w:rFonts w:ascii="Arial" w:hAnsi="Arial" w:cs="Arial"/>
        </w:rPr>
        <w:t>In the United Kingdom, Nike’s core performance footwear segment is characterised by high market share within a mature market where growth is considered moderate. Stable revenue streams and reliable profit margins are generated, making this category a key financial contributor to the po</w:t>
      </w:r>
      <w:r>
        <w:rPr>
          <w:rFonts w:ascii="Arial" w:hAnsi="Arial" w:cs="Arial"/>
        </w:rPr>
        <w:t>rtfolio (Kotler and Keller, 2015</w:t>
      </w:r>
      <w:r w:rsidRPr="00D93E6C">
        <w:rPr>
          <w:rFonts w:ascii="Arial" w:hAnsi="Arial" w:cs="Arial"/>
        </w:rPr>
        <w:t>). Through the “Win Now” strategy, full-price selling is prioritised and distribution partnerships are strengthened; however, profitability is threatened when margin compre</w:t>
      </w:r>
      <w:r>
        <w:rPr>
          <w:rFonts w:ascii="Arial" w:hAnsi="Arial" w:cs="Arial"/>
        </w:rPr>
        <w:t>ssion is experienced (Nike, 2025</w:t>
      </w:r>
      <w:r w:rsidRPr="00D93E6C">
        <w:rPr>
          <w:rFonts w:ascii="Arial" w:hAnsi="Arial" w:cs="Arial"/>
        </w:rPr>
        <w:t>).</w:t>
      </w:r>
    </w:p>
    <w:p w14:paraId="4DB896E6" w14:textId="48506C41" w:rsidR="00286BC8" w:rsidRPr="00D56A49" w:rsidRDefault="00286BC8" w:rsidP="00D56A49">
      <w:pPr>
        <w:rPr>
          <w:rFonts w:ascii="Arial" w:hAnsi="Arial" w:cs="Arial"/>
          <w:b/>
        </w:rPr>
      </w:pPr>
      <w:r w:rsidRPr="00D56A49">
        <w:rPr>
          <w:rFonts w:ascii="Arial" w:hAnsi="Arial" w:cs="Arial"/>
          <w:b/>
        </w:rPr>
        <w:t>Star – Jordan Brand</w:t>
      </w:r>
    </w:p>
    <w:p w14:paraId="23C91C17" w14:textId="77777777" w:rsidR="00D93E6C" w:rsidRDefault="00D93E6C" w:rsidP="003D7F30">
      <w:pPr>
        <w:jc w:val="both"/>
        <w:rPr>
          <w:rFonts w:ascii="Arial" w:hAnsi="Arial" w:cs="Arial"/>
        </w:rPr>
      </w:pPr>
      <w:r w:rsidRPr="00D93E6C">
        <w:rPr>
          <w:rFonts w:ascii="Arial" w:hAnsi="Arial" w:cs="Arial"/>
        </w:rPr>
        <w:t>In the UK market, the Jordan Brand is recognised as a high-growth, high-share segment driven by strong demand within sneaker and basketball-lifestyle culture. Premium positioning and limited-edition releases are utilised to sustain brand desirability and competitive leadership (</w:t>
      </w:r>
      <w:proofErr w:type="spellStart"/>
      <w:r w:rsidRPr="00D93E6C">
        <w:rPr>
          <w:rFonts w:ascii="Arial" w:hAnsi="Arial" w:cs="Arial"/>
        </w:rPr>
        <w:t>Euromonitor</w:t>
      </w:r>
      <w:proofErr w:type="spellEnd"/>
      <w:r w:rsidRPr="00D93E6C">
        <w:rPr>
          <w:rFonts w:ascii="Arial" w:hAnsi="Arial" w:cs="Arial"/>
        </w:rPr>
        <w:t xml:space="preserve"> International, 2025). Continued investment is directed toward athlete partnerships and collaborations, while supply </w:t>
      </w:r>
      <w:r w:rsidRPr="00D93E6C">
        <w:rPr>
          <w:rFonts w:ascii="Arial" w:hAnsi="Arial" w:cs="Arial"/>
        </w:rPr>
        <w:lastRenderedPageBreak/>
        <w:t>levels are carefully controlled to preserve scarcity and protect brand exclusivity, which is considered essential for sustaining long-term profitability (</w:t>
      </w:r>
      <w:proofErr w:type="spellStart"/>
      <w:r w:rsidRPr="00D93E6C">
        <w:rPr>
          <w:rFonts w:ascii="Arial" w:hAnsi="Arial" w:cs="Arial"/>
        </w:rPr>
        <w:t>Kapferer</w:t>
      </w:r>
      <w:proofErr w:type="spellEnd"/>
      <w:r w:rsidRPr="00D93E6C">
        <w:rPr>
          <w:rFonts w:ascii="Arial" w:hAnsi="Arial" w:cs="Arial"/>
        </w:rPr>
        <w:t>, 2012).</w:t>
      </w:r>
    </w:p>
    <w:p w14:paraId="1CC39974" w14:textId="2362E3C7" w:rsidR="00286BC8" w:rsidRPr="00D56A49" w:rsidRDefault="00286BC8" w:rsidP="00D56A49">
      <w:pPr>
        <w:rPr>
          <w:rFonts w:ascii="Arial" w:hAnsi="Arial" w:cs="Arial"/>
          <w:b/>
        </w:rPr>
      </w:pPr>
      <w:r w:rsidRPr="00D56A49">
        <w:rPr>
          <w:rFonts w:ascii="Arial" w:hAnsi="Arial" w:cs="Arial"/>
          <w:b/>
        </w:rPr>
        <w:t>Question Mark – Nike Direct (DTC Digital and Stores)</w:t>
      </w:r>
    </w:p>
    <w:p w14:paraId="119B56DB" w14:textId="3606CAB7" w:rsidR="00286BC8" w:rsidRPr="00D93E6C" w:rsidRDefault="00D93E6C" w:rsidP="003726FE">
      <w:pPr>
        <w:jc w:val="both"/>
        <w:rPr>
          <w:rFonts w:ascii="Arial" w:hAnsi="Arial" w:cs="Arial"/>
          <w:b/>
        </w:rPr>
      </w:pPr>
      <w:r w:rsidRPr="00D93E6C">
        <w:rPr>
          <w:rFonts w:ascii="Arial" w:hAnsi="Arial" w:cs="Arial"/>
        </w:rPr>
        <w:t xml:space="preserve">The direct-to-consumer (DTC) channel in the UK is recognised as a high-growth opportunity driven by digital commerce expansion; however, intensified competition from </w:t>
      </w:r>
      <w:proofErr w:type="spellStart"/>
      <w:r w:rsidRPr="00D93E6C">
        <w:rPr>
          <w:rFonts w:ascii="Arial" w:hAnsi="Arial" w:cs="Arial"/>
        </w:rPr>
        <w:t>omni</w:t>
      </w:r>
      <w:proofErr w:type="spellEnd"/>
      <w:r w:rsidR="00F912A0">
        <w:rPr>
          <w:rFonts w:ascii="Arial" w:hAnsi="Arial" w:cs="Arial"/>
        </w:rPr>
        <w:t>-</w:t>
      </w:r>
      <w:r w:rsidRPr="00D93E6C">
        <w:rPr>
          <w:rFonts w:ascii="Arial" w:hAnsi="Arial" w:cs="Arial"/>
        </w:rPr>
        <w:t>channel retailers has resulted in declini</w:t>
      </w:r>
      <w:r w:rsidR="003726FE">
        <w:rPr>
          <w:rFonts w:ascii="Arial" w:hAnsi="Arial" w:cs="Arial"/>
        </w:rPr>
        <w:t>ng traffic and conversion rates (Nike, 2024).</w:t>
      </w:r>
      <w:r w:rsidRPr="00D93E6C">
        <w:rPr>
          <w:rFonts w:ascii="Arial" w:hAnsi="Arial" w:cs="Arial"/>
        </w:rPr>
        <w:t xml:space="preserve"> Strategic rebalancing toward wholesale channels is being implemented, and performance improvements are expected to determine whether future growth pot</w:t>
      </w:r>
      <w:r>
        <w:rPr>
          <w:rFonts w:ascii="Arial" w:hAnsi="Arial" w:cs="Arial"/>
        </w:rPr>
        <w:t>ential is realised (</w:t>
      </w:r>
      <w:r w:rsidRPr="00D93E6C">
        <w:rPr>
          <w:rFonts w:ascii="Arial" w:hAnsi="Arial" w:cs="Arial"/>
        </w:rPr>
        <w:t>Porter, 2008).</w:t>
      </w:r>
    </w:p>
    <w:p w14:paraId="0F5FD64B" w14:textId="77777777" w:rsidR="00286BC8" w:rsidRPr="00D56A49" w:rsidRDefault="00286BC8" w:rsidP="00D56A49">
      <w:pPr>
        <w:rPr>
          <w:rFonts w:ascii="Arial" w:hAnsi="Arial" w:cs="Arial"/>
          <w:b/>
        </w:rPr>
      </w:pPr>
      <w:r w:rsidRPr="00D56A49">
        <w:rPr>
          <w:rFonts w:ascii="Arial" w:hAnsi="Arial" w:cs="Arial"/>
          <w:b/>
        </w:rPr>
        <w:t>Dog – Converse and Question Mark – Outdoor / Trail Running (ACG, Nike Trail)</w:t>
      </w:r>
    </w:p>
    <w:p w14:paraId="2B736C2A" w14:textId="77777777" w:rsidR="003D7F30" w:rsidRDefault="003D7F30" w:rsidP="00D93E6C">
      <w:pPr>
        <w:jc w:val="both"/>
        <w:rPr>
          <w:rFonts w:ascii="Arial" w:hAnsi="Arial" w:cs="Arial"/>
        </w:rPr>
      </w:pPr>
      <w:r w:rsidRPr="003D7F30">
        <w:rPr>
          <w:rFonts w:ascii="Arial" w:hAnsi="Arial" w:cs="Arial"/>
        </w:rPr>
        <w:t>Within the UK footwear portfolio, Converse is classified as a low-growth, low-share segment, where stagnant performance has been reported due to intense competition and market saturation. Despite repositioning efforts, continued revenue decline has been observed (FashionNetwork.com, 2026). In contrast, the outdoor and trail running segment is recognised as a high-growth market, where targeted investment is being directed (</w:t>
      </w:r>
      <w:proofErr w:type="spellStart"/>
      <w:r w:rsidRPr="003D7F30">
        <w:rPr>
          <w:rFonts w:ascii="Arial" w:hAnsi="Arial" w:cs="Arial"/>
        </w:rPr>
        <w:t>Euromonitor</w:t>
      </w:r>
      <w:proofErr w:type="spellEnd"/>
      <w:r w:rsidRPr="003D7F30">
        <w:rPr>
          <w:rFonts w:ascii="Arial" w:hAnsi="Arial" w:cs="Arial"/>
        </w:rPr>
        <w:t xml:space="preserve"> International, 2025).</w:t>
      </w:r>
    </w:p>
    <w:p w14:paraId="3F79E7BA" w14:textId="41946354" w:rsidR="003726FE" w:rsidRPr="00D56A49" w:rsidRDefault="00CF0B37" w:rsidP="00D56A49">
      <w:pPr>
        <w:rPr>
          <w:rFonts w:ascii="Arial" w:hAnsi="Arial" w:cs="Arial"/>
          <w:b/>
        </w:rPr>
      </w:pPr>
      <w:r w:rsidRPr="00D56A49">
        <w:rPr>
          <w:rFonts w:ascii="Arial" w:hAnsi="Arial" w:cs="Arial"/>
          <w:b/>
        </w:rPr>
        <w:t>6</w:t>
      </w:r>
      <w:r w:rsidR="00D56A49" w:rsidRPr="00D56A49">
        <w:rPr>
          <w:rFonts w:ascii="Arial" w:hAnsi="Arial" w:cs="Arial"/>
          <w:b/>
        </w:rPr>
        <w:t xml:space="preserve">.1 </w:t>
      </w:r>
      <w:r w:rsidR="003726FE" w:rsidRPr="00D56A49">
        <w:rPr>
          <w:rFonts w:ascii="Arial" w:hAnsi="Arial" w:cs="Arial"/>
          <w:b/>
        </w:rPr>
        <w:t>Recommendations Based on BCG Analysis</w:t>
      </w:r>
    </w:p>
    <w:p w14:paraId="7D3E74EB" w14:textId="611DE391" w:rsidR="003726FE" w:rsidRPr="00075B93" w:rsidRDefault="003726FE" w:rsidP="00D93E6C">
      <w:pPr>
        <w:jc w:val="both"/>
        <w:rPr>
          <w:rFonts w:ascii="Arial" w:hAnsi="Arial" w:cs="Arial"/>
          <w:b/>
        </w:rPr>
      </w:pPr>
      <w:r w:rsidRPr="00075B93">
        <w:rPr>
          <w:rFonts w:ascii="Arial" w:hAnsi="Arial" w:cs="Arial"/>
        </w:rPr>
        <w:t xml:space="preserve">Based on the BCG analysis, differentiated strategic actions </w:t>
      </w:r>
      <w:r w:rsidRPr="00075B93">
        <w:rPr>
          <w:rStyle w:val="Strong"/>
          <w:rFonts w:ascii="Arial" w:hAnsi="Arial" w:cs="Arial"/>
          <w:b w:val="0"/>
        </w:rPr>
        <w:t>are recommended</w:t>
      </w:r>
      <w:r w:rsidRPr="00075B93">
        <w:rPr>
          <w:rFonts w:ascii="Arial" w:hAnsi="Arial" w:cs="Arial"/>
        </w:rPr>
        <w:t xml:space="preserve"> for each portfolio category to optimise resource allocation and long-term profitability. Performance footwear, as a cash cow, </w:t>
      </w:r>
      <w:r w:rsidRPr="00075B93">
        <w:rPr>
          <w:rStyle w:val="Strong"/>
          <w:rFonts w:ascii="Arial" w:hAnsi="Arial" w:cs="Arial"/>
          <w:b w:val="0"/>
        </w:rPr>
        <w:t>should be defended</w:t>
      </w:r>
      <w:r w:rsidRPr="00075B93">
        <w:rPr>
          <w:rFonts w:ascii="Arial" w:hAnsi="Arial" w:cs="Arial"/>
        </w:rPr>
        <w:t xml:space="preserve"> through reduced discounting and strengthened wholesale relationships to support margin recovery (Nasdaq, 2026). Continued investment </w:t>
      </w:r>
      <w:r w:rsidRPr="00075B93">
        <w:rPr>
          <w:rStyle w:val="Strong"/>
          <w:rFonts w:ascii="Arial" w:hAnsi="Arial" w:cs="Arial"/>
          <w:b w:val="0"/>
        </w:rPr>
        <w:t>should be directed</w:t>
      </w:r>
      <w:r w:rsidRPr="00075B93">
        <w:rPr>
          <w:rFonts w:ascii="Arial" w:hAnsi="Arial" w:cs="Arial"/>
        </w:rPr>
        <w:t xml:space="preserve"> toward the Jordan Brand to sustain growth and cultural relevance in the UK market. Selective investment </w:t>
      </w:r>
      <w:r w:rsidRPr="00075B93">
        <w:rPr>
          <w:rStyle w:val="Strong"/>
          <w:rFonts w:ascii="Arial" w:hAnsi="Arial" w:cs="Arial"/>
          <w:b w:val="0"/>
        </w:rPr>
        <w:t>is</w:t>
      </w:r>
      <w:r w:rsidRPr="00075B93">
        <w:rPr>
          <w:rStyle w:val="Strong"/>
          <w:rFonts w:ascii="Arial" w:hAnsi="Arial" w:cs="Arial"/>
        </w:rPr>
        <w:t xml:space="preserve"> </w:t>
      </w:r>
      <w:r w:rsidRPr="00075B93">
        <w:rPr>
          <w:rStyle w:val="Strong"/>
          <w:rFonts w:ascii="Arial" w:hAnsi="Arial" w:cs="Arial"/>
          <w:b w:val="0"/>
        </w:rPr>
        <w:t>advised</w:t>
      </w:r>
      <w:r w:rsidRPr="00075B93">
        <w:rPr>
          <w:rFonts w:ascii="Arial" w:hAnsi="Arial" w:cs="Arial"/>
        </w:rPr>
        <w:t xml:space="preserve"> for Nike Direct to improve digital performance, while divestment or strict repositioning </w:t>
      </w:r>
      <w:r w:rsidRPr="00075B93">
        <w:rPr>
          <w:rStyle w:val="Strong"/>
          <w:rFonts w:ascii="Arial" w:hAnsi="Arial" w:cs="Arial"/>
          <w:b w:val="0"/>
        </w:rPr>
        <w:t>should be considered</w:t>
      </w:r>
      <w:r w:rsidRPr="00075B93">
        <w:rPr>
          <w:rFonts w:ascii="Arial" w:hAnsi="Arial" w:cs="Arial"/>
        </w:rPr>
        <w:t xml:space="preserve"> for Converse if financial improvement </w:t>
      </w:r>
      <w:r w:rsidRPr="00075B93">
        <w:rPr>
          <w:rStyle w:val="Strong"/>
          <w:rFonts w:ascii="Arial" w:hAnsi="Arial" w:cs="Arial"/>
          <w:b w:val="0"/>
        </w:rPr>
        <w:t>is not achieved</w:t>
      </w:r>
      <w:r w:rsidRPr="00075B93">
        <w:rPr>
          <w:rFonts w:ascii="Arial" w:hAnsi="Arial" w:cs="Arial"/>
          <w:b/>
        </w:rPr>
        <w:t>.</w:t>
      </w:r>
      <w:r w:rsidRPr="00075B93">
        <w:rPr>
          <w:rFonts w:ascii="Arial" w:hAnsi="Arial" w:cs="Arial"/>
        </w:rPr>
        <w:t xml:space="preserve"> In addition, targeted investment </w:t>
      </w:r>
      <w:r w:rsidRPr="00075B93">
        <w:rPr>
          <w:rStyle w:val="Strong"/>
          <w:rFonts w:ascii="Arial" w:hAnsi="Arial" w:cs="Arial"/>
          <w:b w:val="0"/>
        </w:rPr>
        <w:t>should be pursued</w:t>
      </w:r>
      <w:r w:rsidRPr="00075B93">
        <w:rPr>
          <w:rFonts w:ascii="Arial" w:hAnsi="Arial" w:cs="Arial"/>
        </w:rPr>
        <w:t xml:space="preserve"> in the outdoor and trail running segment to capture emerging growth opportunities.</w:t>
      </w:r>
    </w:p>
    <w:p w14:paraId="52B02B6F" w14:textId="5D2C16D3" w:rsidR="003726FE" w:rsidRPr="00D56A49" w:rsidRDefault="00D56A49" w:rsidP="00D56A49">
      <w:pPr>
        <w:rPr>
          <w:rFonts w:ascii="Arial" w:hAnsi="Arial" w:cs="Arial"/>
          <w:b/>
        </w:rPr>
      </w:pPr>
      <w:r w:rsidRPr="00D56A49">
        <w:rPr>
          <w:rFonts w:ascii="Arial" w:hAnsi="Arial" w:cs="Arial"/>
          <w:b/>
        </w:rPr>
        <w:t>6.2</w:t>
      </w:r>
      <w:r w:rsidR="003726FE" w:rsidRPr="00D56A49">
        <w:rPr>
          <w:rFonts w:ascii="Arial" w:hAnsi="Arial" w:cs="Arial"/>
          <w:b/>
        </w:rPr>
        <w:t xml:space="preserve"> Justification with Theoretical Concepts and Real</w:t>
      </w:r>
      <w:r w:rsidR="003726FE" w:rsidRPr="00D56A49">
        <w:rPr>
          <w:rFonts w:ascii="Cambria Math" w:hAnsi="Cambria Math" w:cs="Cambria Math"/>
          <w:b/>
        </w:rPr>
        <w:t>‑</w:t>
      </w:r>
      <w:r w:rsidR="003726FE" w:rsidRPr="00D56A49">
        <w:rPr>
          <w:rFonts w:ascii="Arial" w:hAnsi="Arial" w:cs="Arial"/>
          <w:b/>
        </w:rPr>
        <w:t>World Examples</w:t>
      </w:r>
    </w:p>
    <w:p w14:paraId="7B2B13FA" w14:textId="77777777" w:rsidR="003D7F30" w:rsidRPr="003D7F30" w:rsidRDefault="003D7F30" w:rsidP="003D7F30">
      <w:pPr>
        <w:jc w:val="both"/>
        <w:rPr>
          <w:rFonts w:ascii="Arial" w:hAnsi="Arial" w:cs="Arial"/>
          <w:lang w:val="en-US"/>
        </w:rPr>
      </w:pPr>
      <w:r w:rsidRPr="003D7F30">
        <w:rPr>
          <w:rFonts w:ascii="Arial" w:hAnsi="Arial" w:cs="Arial"/>
          <w:lang w:val="en-US"/>
        </w:rPr>
        <w:t xml:space="preserve">The BCG Matrix framework is applied to demonstrate that balanced portfolios require cash cows to fund stars and question marks, while underperforming dogs are recommended for divestment (Henderson, 1970). In Nike’s case, portfolio imbalance is observed, as margin pressure is experienced within cash cow segments while substantial investment is required by emerging categories. Differentiation strategies are supported for sustaining premium pricing, and market and product development strategies are identified as suitable growth paths for question marks (Porter, 1985; </w:t>
      </w:r>
      <w:proofErr w:type="spellStart"/>
      <w:r w:rsidRPr="003D7F30">
        <w:rPr>
          <w:rFonts w:ascii="Arial" w:hAnsi="Arial" w:cs="Arial"/>
          <w:lang w:val="en-US"/>
        </w:rPr>
        <w:t>Ansoff</w:t>
      </w:r>
      <w:proofErr w:type="spellEnd"/>
      <w:r w:rsidRPr="003D7F30">
        <w:rPr>
          <w:rFonts w:ascii="Arial" w:hAnsi="Arial" w:cs="Arial"/>
          <w:lang w:val="en-US"/>
        </w:rPr>
        <w:t>, 1957).</w:t>
      </w:r>
    </w:p>
    <w:p w14:paraId="3EAA4B71" w14:textId="77777777" w:rsidR="003D7F30" w:rsidRPr="003D7F30" w:rsidRDefault="003D7F30" w:rsidP="003D7F30">
      <w:pPr>
        <w:jc w:val="both"/>
        <w:rPr>
          <w:rFonts w:ascii="Arial" w:hAnsi="Arial" w:cs="Arial"/>
          <w:lang w:val="en-US"/>
        </w:rPr>
      </w:pPr>
      <w:r w:rsidRPr="003D7F30">
        <w:rPr>
          <w:rFonts w:ascii="Arial" w:hAnsi="Arial" w:cs="Arial"/>
          <w:lang w:val="en-US"/>
        </w:rPr>
        <w:t xml:space="preserve">Real-world examples are </w:t>
      </w:r>
      <w:proofErr w:type="spellStart"/>
      <w:r w:rsidRPr="003D7F30">
        <w:rPr>
          <w:rFonts w:ascii="Arial" w:hAnsi="Arial" w:cs="Arial"/>
          <w:lang w:val="en-US"/>
        </w:rPr>
        <w:t>utilised</w:t>
      </w:r>
      <w:proofErr w:type="spellEnd"/>
      <w:r w:rsidRPr="003D7F30">
        <w:rPr>
          <w:rFonts w:ascii="Arial" w:hAnsi="Arial" w:cs="Arial"/>
          <w:lang w:val="en-US"/>
        </w:rPr>
        <w:t xml:space="preserve"> to illustrate strategic options. A divestment precedent is observed in Adidas, where the CCM hockey brand was sold to refocus on core categories. A DTC turnaround is demonstrated by </w:t>
      </w:r>
      <w:proofErr w:type="spellStart"/>
      <w:r w:rsidRPr="003D7F30">
        <w:rPr>
          <w:rFonts w:ascii="Arial" w:hAnsi="Arial" w:cs="Arial"/>
          <w:lang w:val="en-US"/>
        </w:rPr>
        <w:t>Lululemon</w:t>
      </w:r>
      <w:proofErr w:type="spellEnd"/>
      <w:r w:rsidRPr="003D7F30">
        <w:rPr>
          <w:rFonts w:ascii="Arial" w:hAnsi="Arial" w:cs="Arial"/>
          <w:lang w:val="en-US"/>
        </w:rPr>
        <w:t xml:space="preserve">, while trail running </w:t>
      </w:r>
      <w:r w:rsidRPr="003D7F30">
        <w:rPr>
          <w:rFonts w:ascii="Arial" w:hAnsi="Arial" w:cs="Arial"/>
          <w:lang w:val="en-US"/>
        </w:rPr>
        <w:lastRenderedPageBreak/>
        <w:t xml:space="preserve">growth is evidenced by </w:t>
      </w:r>
      <w:proofErr w:type="spellStart"/>
      <w:r w:rsidRPr="003D7F30">
        <w:rPr>
          <w:rFonts w:ascii="Arial" w:hAnsi="Arial" w:cs="Arial"/>
          <w:lang w:val="en-US"/>
        </w:rPr>
        <w:t>Hoka</w:t>
      </w:r>
      <w:proofErr w:type="spellEnd"/>
      <w:r w:rsidRPr="003D7F30">
        <w:rPr>
          <w:rFonts w:ascii="Arial" w:hAnsi="Arial" w:cs="Arial"/>
          <w:lang w:val="en-US"/>
        </w:rPr>
        <w:t>. Nike’s strategy is considered partially aligned; however, execution gaps are identified, and improved portfolio balance is recommended (Kotler et al., 2019).</w:t>
      </w:r>
    </w:p>
    <w:p w14:paraId="380AF70C" w14:textId="530AEBFA" w:rsidR="006E314A" w:rsidRDefault="006E314A" w:rsidP="00D93E6C">
      <w:pPr>
        <w:jc w:val="both"/>
        <w:rPr>
          <w:rFonts w:ascii="Arial" w:hAnsi="Arial" w:cs="Arial"/>
        </w:rPr>
      </w:pPr>
    </w:p>
    <w:p w14:paraId="09C1BFE7" w14:textId="3659BCB0" w:rsidR="00800635" w:rsidRDefault="00800635" w:rsidP="00CF0B37">
      <w:pPr>
        <w:pStyle w:val="Heading1"/>
      </w:pPr>
      <w:bookmarkStart w:id="39" w:name="_Toc228482344"/>
      <w:r w:rsidRPr="00800635">
        <w:t>Section 02: A Gibbs Reflective Cycle Analysis of the Strategic Management Assessment Process</w:t>
      </w:r>
      <w:bookmarkEnd w:id="39"/>
    </w:p>
    <w:p w14:paraId="281EADB2" w14:textId="17156341" w:rsidR="00800635" w:rsidRPr="00800635" w:rsidRDefault="00800635" w:rsidP="00CF0B37">
      <w:pPr>
        <w:pStyle w:val="Heading2"/>
      </w:pPr>
      <w:bookmarkStart w:id="40" w:name="_Toc228482345"/>
      <w:r w:rsidRPr="00800635">
        <w:t>Step 01: Description</w:t>
      </w:r>
      <w:bookmarkEnd w:id="40"/>
    </w:p>
    <w:p w14:paraId="2BA8748B" w14:textId="7EE036E8" w:rsidR="00800635" w:rsidRDefault="00800635" w:rsidP="00D93E6C">
      <w:pPr>
        <w:jc w:val="both"/>
        <w:rPr>
          <w:rFonts w:ascii="Arial" w:hAnsi="Arial" w:cs="Arial"/>
        </w:rPr>
      </w:pPr>
      <w:r w:rsidRPr="00800635">
        <w:rPr>
          <w:rFonts w:ascii="Arial" w:hAnsi="Arial" w:cs="Arial"/>
        </w:rPr>
        <w:t xml:space="preserve">A comprehensive strategic analysis of a selected organisation was required, in which theoretical frameworks such as PESTEL, VRIO, the Balanced Scorecard, </w:t>
      </w:r>
      <w:proofErr w:type="spellStart"/>
      <w:r w:rsidRPr="00800635">
        <w:rPr>
          <w:rFonts w:ascii="Arial" w:hAnsi="Arial" w:cs="Arial"/>
        </w:rPr>
        <w:t>Ansoff’s</w:t>
      </w:r>
      <w:proofErr w:type="spellEnd"/>
      <w:r w:rsidRPr="00800635">
        <w:rPr>
          <w:rFonts w:ascii="Arial" w:hAnsi="Arial" w:cs="Arial"/>
        </w:rPr>
        <w:t xml:space="preserve"> Matrix, and the BCG Matrix were applied. Nike, Inc. was selected due to its global prominence, recent strategic challenges, and the availability of up-to-date financial data following its Q2 2026 earnings release. A United Kingdom focus was incorporated, requiring consideration of local market dynamics and consumer behaviour. Primary and secondary data were systematically collected and analysed. Each framework was applied sequentially, and earlier sections were continuously revised as new insights were identified during the analytical process.</w:t>
      </w:r>
    </w:p>
    <w:p w14:paraId="7AA7518C" w14:textId="063F2C94" w:rsidR="00800635" w:rsidRPr="00AD1802" w:rsidRDefault="00AD1802" w:rsidP="00CF0B37">
      <w:pPr>
        <w:pStyle w:val="Heading2"/>
      </w:pPr>
      <w:bookmarkStart w:id="41" w:name="_Toc228482346"/>
      <w:r w:rsidRPr="00AD1802">
        <w:t>Step: 02 Feelings</w:t>
      </w:r>
      <w:bookmarkEnd w:id="41"/>
    </w:p>
    <w:p w14:paraId="04D25700" w14:textId="7EE8268F" w:rsidR="00AD1802" w:rsidRDefault="00CA6021" w:rsidP="00D93E6C">
      <w:pPr>
        <w:jc w:val="both"/>
        <w:rPr>
          <w:rFonts w:ascii="Arial" w:hAnsi="Arial" w:cs="Arial"/>
          <w:b/>
        </w:rPr>
      </w:pPr>
      <w:r w:rsidRPr="00CA6021">
        <w:rPr>
          <w:rFonts w:ascii="Arial" w:hAnsi="Arial" w:cs="Arial"/>
        </w:rPr>
        <w:t>Initially, a sense of being overwhelmed was experienced due to the extensive scope of the assessment. The requirement to analyse a multinational corporation through multiple theoretical frameworks within strict word limits was perceived as challenging (</w:t>
      </w:r>
      <w:proofErr w:type="spellStart"/>
      <w:r w:rsidRPr="00CA6021">
        <w:rPr>
          <w:rFonts w:ascii="Arial" w:hAnsi="Arial" w:cs="Arial"/>
        </w:rPr>
        <w:t>Rothaermel</w:t>
      </w:r>
      <w:proofErr w:type="spellEnd"/>
      <w:r w:rsidRPr="00CA6021">
        <w:rPr>
          <w:rFonts w:ascii="Arial" w:hAnsi="Arial" w:cs="Arial"/>
        </w:rPr>
        <w:t>, 2021). Concerns regarding oversimplification were heightened by complex global operations and regional variations. During research, frustration was encountered when contradictory information was identified, requiring reconciliation of diverging performance indicators (Grant, 2022). Gradually, this frustration was transformed into curiosity as strategic nuance was recognised. Application of Hofstede’s dimensions generated engagement, although misinterpretation concerns were experienced (Hofstede, 2011). Completion of the BCG Matrix resulted in satisfaction, with cautious confidence maintained.</w:t>
      </w:r>
    </w:p>
    <w:p w14:paraId="7B0EA943" w14:textId="1E4CD69F" w:rsidR="00800635" w:rsidRDefault="00AD1802" w:rsidP="00CF0B37">
      <w:pPr>
        <w:pStyle w:val="Heading2"/>
      </w:pPr>
      <w:bookmarkStart w:id="42" w:name="_Toc228482347"/>
      <w:r w:rsidRPr="00AD1802">
        <w:t>Step: 03</w:t>
      </w:r>
      <w:r>
        <w:t xml:space="preserve"> Evaluation</w:t>
      </w:r>
      <w:bookmarkEnd w:id="42"/>
    </w:p>
    <w:p w14:paraId="71AD26B9" w14:textId="6B8905D3" w:rsidR="00CA6021" w:rsidRPr="00CA6021" w:rsidRDefault="00CA6021" w:rsidP="00CA6021">
      <w:pPr>
        <w:jc w:val="both"/>
        <w:rPr>
          <w:rFonts w:ascii="Arial" w:hAnsi="Arial" w:cs="Arial"/>
          <w:lang w:val="en-US"/>
        </w:rPr>
      </w:pPr>
      <w:r w:rsidRPr="00CA6021">
        <w:rPr>
          <w:rFonts w:ascii="Arial" w:hAnsi="Arial" w:cs="Arial"/>
          <w:lang w:val="en-US"/>
        </w:rPr>
        <w:t xml:space="preserve">The effective integration of theoretical frameworks was demonstrated in the analysis. PESTEL analysis was </w:t>
      </w:r>
      <w:proofErr w:type="spellStart"/>
      <w:r w:rsidRPr="00CA6021">
        <w:rPr>
          <w:rFonts w:ascii="Arial" w:hAnsi="Arial" w:cs="Arial"/>
          <w:lang w:val="en-US"/>
        </w:rPr>
        <w:t>utilised</w:t>
      </w:r>
      <w:proofErr w:type="spellEnd"/>
      <w:r w:rsidRPr="00CA6021">
        <w:rPr>
          <w:rFonts w:ascii="Arial" w:hAnsi="Arial" w:cs="Arial"/>
          <w:lang w:val="en-US"/>
        </w:rPr>
        <w:t xml:space="preserve"> to identify tariff-related headwinds, with a $1.5 billion </w:t>
      </w:r>
      <w:proofErr w:type="spellStart"/>
      <w:r w:rsidRPr="00CA6021">
        <w:rPr>
          <w:rFonts w:ascii="Arial" w:hAnsi="Arial" w:cs="Arial"/>
          <w:lang w:val="en-US"/>
        </w:rPr>
        <w:t>annualised</w:t>
      </w:r>
      <w:proofErr w:type="spellEnd"/>
      <w:r w:rsidRPr="00CA6021">
        <w:rPr>
          <w:rFonts w:ascii="Arial" w:hAnsi="Arial" w:cs="Arial"/>
          <w:lang w:val="en-US"/>
        </w:rPr>
        <w:t xml:space="preserve"> impact being highlighted, while VRIO analysis was applied to evaluate innovation capabilities, thereby linking external pressures with internal strengths (</w:t>
      </w:r>
      <w:proofErr w:type="spellStart"/>
      <w:r w:rsidRPr="00CA6021">
        <w:rPr>
          <w:rFonts w:ascii="Arial" w:hAnsi="Arial" w:cs="Arial"/>
          <w:lang w:val="en-US"/>
        </w:rPr>
        <w:t>Greeven</w:t>
      </w:r>
      <w:proofErr w:type="spellEnd"/>
      <w:r w:rsidRPr="00CA6021">
        <w:rPr>
          <w:rFonts w:ascii="Arial" w:hAnsi="Arial" w:cs="Arial"/>
          <w:lang w:val="en-US"/>
        </w:rPr>
        <w:t xml:space="preserve"> et al., 2024). The Balanced Scorecard was used to illustrate causal relationships, where investments in learning and growth were linked to improvements in processes, customer outco</w:t>
      </w:r>
      <w:r w:rsidR="00F912A0">
        <w:rPr>
          <w:rFonts w:ascii="Arial" w:hAnsi="Arial" w:cs="Arial"/>
          <w:lang w:val="en-US"/>
        </w:rPr>
        <w:t xml:space="preserve">mes, and financial performance </w:t>
      </w:r>
      <w:r w:rsidRPr="00CA6021">
        <w:rPr>
          <w:rFonts w:ascii="Arial" w:hAnsi="Arial" w:cs="Arial"/>
          <w:lang w:val="en-US"/>
        </w:rPr>
        <w:t>(Zhou et al., 2026). Hofstede’s cultural dimensions and the BCG Matrix were also incorporated.</w:t>
      </w:r>
    </w:p>
    <w:p w14:paraId="1AB38384" w14:textId="77777777" w:rsidR="00CA6021" w:rsidRPr="00CA6021" w:rsidRDefault="00CA6021" w:rsidP="00CA6021">
      <w:pPr>
        <w:jc w:val="both"/>
        <w:rPr>
          <w:rFonts w:ascii="Arial" w:hAnsi="Arial" w:cs="Arial"/>
          <w:lang w:val="en-US"/>
        </w:rPr>
      </w:pPr>
      <w:r w:rsidRPr="00CA6021">
        <w:rPr>
          <w:rFonts w:ascii="Arial" w:hAnsi="Arial" w:cs="Arial"/>
          <w:lang w:val="en-US"/>
        </w:rPr>
        <w:lastRenderedPageBreak/>
        <w:t>Challenges were presented by data currency and limited UK-specific data, while distinctions between confirmed and speculative information were required (</w:t>
      </w:r>
      <w:proofErr w:type="spellStart"/>
      <w:r w:rsidRPr="00CA6021">
        <w:rPr>
          <w:rFonts w:ascii="Arial" w:hAnsi="Arial" w:cs="Arial"/>
          <w:lang w:val="en-US"/>
        </w:rPr>
        <w:t>Barchart</w:t>
      </w:r>
      <w:proofErr w:type="spellEnd"/>
      <w:r w:rsidRPr="00CA6021">
        <w:rPr>
          <w:rFonts w:ascii="Arial" w:hAnsi="Arial" w:cs="Arial"/>
          <w:lang w:val="en-US"/>
        </w:rPr>
        <w:t xml:space="preserve">, 2026; Johnson, 2025). Word constraints restricted VRIO depth, and UK </w:t>
      </w:r>
      <w:proofErr w:type="spellStart"/>
      <w:r w:rsidRPr="00CA6021">
        <w:rPr>
          <w:rFonts w:ascii="Arial" w:hAnsi="Arial" w:cs="Arial"/>
          <w:lang w:val="en-US"/>
        </w:rPr>
        <w:t>contextualisation</w:t>
      </w:r>
      <w:proofErr w:type="spellEnd"/>
      <w:r w:rsidRPr="00CA6021">
        <w:rPr>
          <w:rFonts w:ascii="Arial" w:hAnsi="Arial" w:cs="Arial"/>
          <w:lang w:val="en-US"/>
        </w:rPr>
        <w:t xml:space="preserve"> was partially constrained (Barney, 1991).</w:t>
      </w:r>
    </w:p>
    <w:p w14:paraId="7E46556A" w14:textId="7061A2D7" w:rsidR="00AD1802" w:rsidRDefault="00AD1802" w:rsidP="00CF0B37">
      <w:pPr>
        <w:pStyle w:val="Heading2"/>
      </w:pPr>
      <w:bookmarkStart w:id="43" w:name="_Toc228482348"/>
      <w:r w:rsidRPr="003A357E">
        <w:t>Stage: 04 Analysis</w:t>
      </w:r>
      <w:bookmarkEnd w:id="43"/>
    </w:p>
    <w:p w14:paraId="1F22460E" w14:textId="161BB24D" w:rsidR="00CA6021" w:rsidRPr="00075B93" w:rsidRDefault="00CA6021" w:rsidP="003A357E">
      <w:pPr>
        <w:jc w:val="both"/>
        <w:rPr>
          <w:rFonts w:ascii="Arial" w:hAnsi="Arial" w:cs="Arial"/>
        </w:rPr>
      </w:pPr>
      <w:r w:rsidRPr="00075B93">
        <w:rPr>
          <w:rFonts w:ascii="Arial" w:hAnsi="Arial" w:cs="Arial"/>
        </w:rPr>
        <w:t xml:space="preserve">Several learning points regarding strategic analysis and personal development needs as an international business postgraduate student were highlighted through this experience. A theory–practice gap was </w:t>
      </w:r>
      <w:r w:rsidR="00CF0B37" w:rsidRPr="00075B93">
        <w:rPr>
          <w:rFonts w:ascii="Arial" w:hAnsi="Arial" w:cs="Arial"/>
        </w:rPr>
        <w:t>identified;</w:t>
      </w:r>
      <w:r w:rsidRPr="00075B93">
        <w:rPr>
          <w:rFonts w:ascii="Arial" w:hAnsi="Arial" w:cs="Arial"/>
        </w:rPr>
        <w:t xml:space="preserve"> as academic models were observed to provide structured thinking while failing to fully capture organisational complexity. Porter’s Generic Strategies was found to assume clear differentiation, whereas Nike’s challenges were partly attributed to differentiation creating distan</w:t>
      </w:r>
      <w:r w:rsidR="00F912A0">
        <w:rPr>
          <w:rFonts w:ascii="Arial" w:hAnsi="Arial" w:cs="Arial"/>
        </w:rPr>
        <w:t xml:space="preserve">ce from its core sport identity. </w:t>
      </w:r>
      <w:r w:rsidRPr="00075B93">
        <w:rPr>
          <w:rFonts w:ascii="Arial" w:hAnsi="Arial" w:cs="Arial"/>
        </w:rPr>
        <w:t>The BCG Matrix was seen to assume fixed category boundaries despite product mobility. Cultural intelligence was reinforced through Hofstede’s Cultural Dimensions. Critical evaluation, data literacy, and reflective practice were also strengthened (Gibbs, 1988).</w:t>
      </w:r>
    </w:p>
    <w:p w14:paraId="5706ED2F" w14:textId="232EFC95" w:rsidR="00AD1802" w:rsidRPr="003A357E" w:rsidRDefault="003A357E" w:rsidP="004A1F7D">
      <w:pPr>
        <w:pStyle w:val="Heading2"/>
      </w:pPr>
      <w:bookmarkStart w:id="44" w:name="_Toc228482349"/>
      <w:r w:rsidRPr="003A357E">
        <w:t>Stage:05 Conclusion</w:t>
      </w:r>
      <w:bookmarkEnd w:id="44"/>
    </w:p>
    <w:p w14:paraId="700CA6A6" w14:textId="77777777" w:rsidR="00CA6021" w:rsidRPr="00075B93" w:rsidRDefault="00CA6021" w:rsidP="00CA6021">
      <w:pPr>
        <w:tabs>
          <w:tab w:val="left" w:pos="1650"/>
        </w:tabs>
        <w:jc w:val="both"/>
        <w:rPr>
          <w:rFonts w:ascii="Arial" w:hAnsi="Arial" w:cs="Arial"/>
          <w:lang w:val="en-US"/>
        </w:rPr>
      </w:pPr>
      <w:r w:rsidRPr="00075B93">
        <w:rPr>
          <w:rFonts w:ascii="Arial" w:hAnsi="Arial" w:cs="Arial"/>
          <w:lang w:val="en-US"/>
        </w:rPr>
        <w:t xml:space="preserve">Strategic management has been understood as an integrated process in which tools such as PESTEL, VRIO, the Balanced Scorecard, and the BCG Matrix are collectively applied rather than treated as discrete frameworks. External pressures, including tariffs, are interpreted as strategically significant when evaluated alongside internal capabilities such as supply chain flexibility (Johnson et al., 2020). Portfolio analysis is strengthened when combined with performance measurement systems, enabling a holistic perspective (Kaplan &amp; Norton, 1996). Strategy formulation is understood to require trade-offs, as multiple objectives increase complexity, while sustainable advantage is achieved through clear choices (Porter, 1985). Geographic context is also </w:t>
      </w:r>
      <w:proofErr w:type="spellStart"/>
      <w:r w:rsidRPr="00075B93">
        <w:rPr>
          <w:rFonts w:ascii="Arial" w:hAnsi="Arial" w:cs="Arial"/>
          <w:lang w:val="en-US"/>
        </w:rPr>
        <w:t>recognised</w:t>
      </w:r>
      <w:proofErr w:type="spellEnd"/>
      <w:r w:rsidRPr="00075B93">
        <w:rPr>
          <w:rFonts w:ascii="Arial" w:hAnsi="Arial" w:cs="Arial"/>
          <w:lang w:val="en-US"/>
        </w:rPr>
        <w:t xml:space="preserve"> as essential for adaptation.</w:t>
      </w:r>
    </w:p>
    <w:p w14:paraId="31C6B86B" w14:textId="7C764039" w:rsidR="003A357E" w:rsidRPr="00075B93" w:rsidRDefault="00CA6021" w:rsidP="004A1F7D">
      <w:pPr>
        <w:tabs>
          <w:tab w:val="left" w:pos="1650"/>
        </w:tabs>
        <w:jc w:val="both"/>
        <w:rPr>
          <w:rFonts w:ascii="Arial" w:hAnsi="Arial" w:cs="Arial"/>
          <w:lang w:val="en-US"/>
        </w:rPr>
      </w:pPr>
      <w:r w:rsidRPr="00075B93">
        <w:rPr>
          <w:rFonts w:ascii="Arial" w:hAnsi="Arial" w:cs="Arial"/>
          <w:lang w:val="en-US"/>
        </w:rPr>
        <w:t xml:space="preserve">A preference for quantitative analysis has been identified, potentially limiting cultural insight, and the integration of qualitative perspectives is therefore </w:t>
      </w:r>
      <w:proofErr w:type="spellStart"/>
      <w:r w:rsidRPr="00075B93">
        <w:rPr>
          <w:rFonts w:ascii="Arial" w:hAnsi="Arial" w:cs="Arial"/>
          <w:lang w:val="en-US"/>
        </w:rPr>
        <w:t>emphasised</w:t>
      </w:r>
      <w:proofErr w:type="spellEnd"/>
      <w:r w:rsidRPr="00075B93">
        <w:rPr>
          <w:rFonts w:ascii="Arial" w:hAnsi="Arial" w:cs="Arial"/>
          <w:lang w:val="en-US"/>
        </w:rPr>
        <w:t xml:space="preserve"> (Hofstede, 2001). Assumptions are increasingly challenged, improving gap identification, while diverse information sources enhance evaluation quality. Reflective practice has been strengthened through structured models such as Gibbs’ cycle (Gibbs, 1988).</w:t>
      </w:r>
    </w:p>
    <w:p w14:paraId="00FACEB1" w14:textId="3C221156" w:rsidR="003A357E" w:rsidRPr="00075B93" w:rsidRDefault="00CA6021" w:rsidP="004A1F7D">
      <w:pPr>
        <w:pStyle w:val="Heading2"/>
        <w:rPr>
          <w:rFonts w:cs="Arial"/>
        </w:rPr>
      </w:pPr>
      <w:bookmarkStart w:id="45" w:name="_Toc228482350"/>
      <w:r w:rsidRPr="00075B93">
        <w:rPr>
          <w:rFonts w:cs="Arial"/>
        </w:rPr>
        <w:t>Stage:06 Action Plan</w:t>
      </w:r>
      <w:bookmarkEnd w:id="45"/>
    </w:p>
    <w:p w14:paraId="086031C6" w14:textId="2A364B4D" w:rsidR="007D3611" w:rsidRPr="00075B93" w:rsidRDefault="00CA6021" w:rsidP="003A357E">
      <w:pPr>
        <w:tabs>
          <w:tab w:val="left" w:pos="1650"/>
        </w:tabs>
        <w:jc w:val="both"/>
        <w:rPr>
          <w:rFonts w:ascii="Arial" w:hAnsi="Arial" w:cs="Arial"/>
        </w:rPr>
      </w:pPr>
      <w:r w:rsidRPr="00075B93">
        <w:rPr>
          <w:rFonts w:ascii="Arial" w:hAnsi="Arial" w:cs="Arial"/>
        </w:rPr>
        <w:t xml:space="preserve">A source diversity checklist will be established </w:t>
      </w:r>
      <w:r w:rsidR="00F912A0">
        <w:rPr>
          <w:rFonts w:ascii="Arial" w:hAnsi="Arial" w:cs="Arial"/>
        </w:rPr>
        <w:t>before</w:t>
      </w:r>
      <w:r w:rsidRPr="00075B93">
        <w:rPr>
          <w:rFonts w:ascii="Arial" w:hAnsi="Arial" w:cs="Arial"/>
        </w:rPr>
        <w:t xml:space="preserve"> drafting, ensuring at least three geographic perspectives and both financial and qualitative sources are included to minimise bias (Johnson et al., 2020). Word allocation will be mapped in advance through section-specific budgets to maintain balanced analytical depth. “Assumption challenge” sessions will be scheduled, during which conclusions will be tested against contradictory evidence to strengthen robustness (Porter, 2008). International market understanding will be enhanced through elective study and global business media </w:t>
      </w:r>
      <w:r w:rsidRPr="00075B93">
        <w:rPr>
          <w:rFonts w:ascii="Arial" w:hAnsi="Arial" w:cs="Arial"/>
        </w:rPr>
        <w:lastRenderedPageBreak/>
        <w:t>engagement (Financial Times, 2026). Primary research skills will be developed through independent interpretation of filings, and reflective practice will be embedded using structured models such as Gibbs’ cycle (Gibbs, 1988).</w:t>
      </w:r>
    </w:p>
    <w:p w14:paraId="23ADD039" w14:textId="77777777" w:rsidR="007D3611" w:rsidRPr="00075B93" w:rsidRDefault="007D3611" w:rsidP="004A1F7D">
      <w:pPr>
        <w:pStyle w:val="Heading3"/>
        <w:rPr>
          <w:rFonts w:cs="Arial"/>
        </w:rPr>
      </w:pPr>
      <w:bookmarkStart w:id="46" w:name="_Toc228482351"/>
      <w:r w:rsidRPr="00075B93">
        <w:rPr>
          <w:rFonts w:cs="Arial"/>
        </w:rPr>
        <w:t>Reflection on Gibbs Cycle Utility</w:t>
      </w:r>
      <w:bookmarkEnd w:id="46"/>
    </w:p>
    <w:p w14:paraId="2DEBD8C3" w14:textId="557D82AA" w:rsidR="007D3611" w:rsidRPr="00075B93" w:rsidRDefault="007D3611" w:rsidP="003A357E">
      <w:pPr>
        <w:tabs>
          <w:tab w:val="left" w:pos="1650"/>
        </w:tabs>
        <w:jc w:val="both"/>
        <w:rPr>
          <w:rFonts w:ascii="Arial" w:hAnsi="Arial" w:cs="Arial"/>
        </w:rPr>
      </w:pPr>
      <w:r w:rsidRPr="00075B93">
        <w:rPr>
          <w:rFonts w:ascii="Arial" w:hAnsi="Arial" w:cs="Arial"/>
        </w:rPr>
        <w:t xml:space="preserve">The Gibbs Reflective Cycle was found to be valuable for structuring reflection systematically, although its linear nature was occasionally perceived as restrictive. The “Analysis” stage was often merged with “Evaluation,” indicating that </w:t>
      </w:r>
      <w:r w:rsidRPr="00075B93">
        <w:rPr>
          <w:rStyle w:val="whitespace-normal"/>
          <w:rFonts w:ascii="Arial" w:hAnsi="Arial" w:cs="Arial"/>
        </w:rPr>
        <w:t>Kolb’s Experiential Learning Cycle</w:t>
      </w:r>
      <w:r w:rsidRPr="00075B93">
        <w:rPr>
          <w:rFonts w:ascii="Arial" w:hAnsi="Arial" w:cs="Arial"/>
        </w:rPr>
        <w:t xml:space="preserve"> may offer greater flexibility through abstract conceptualisation. However, accountability was ensured through the “Action Plan” stage, which is absent in Kolb’s model. Strategic management was reinforced as integrative thinking, requiring synthesis and judgment under uncertainty (Gibbs, 1988; Kolb, 1984).</w:t>
      </w:r>
    </w:p>
    <w:p w14:paraId="0BB0CC1F" w14:textId="0563B736" w:rsidR="007D3611" w:rsidRPr="00075B93" w:rsidRDefault="007D3611" w:rsidP="004A1F7D">
      <w:pPr>
        <w:pStyle w:val="Heading1"/>
        <w:rPr>
          <w:rFonts w:cs="Arial"/>
        </w:rPr>
      </w:pPr>
      <w:bookmarkStart w:id="47" w:name="_Toc228482352"/>
      <w:r w:rsidRPr="00075B93">
        <w:rPr>
          <w:rFonts w:cs="Arial"/>
        </w:rPr>
        <w:t>Conclusion</w:t>
      </w:r>
      <w:bookmarkEnd w:id="47"/>
    </w:p>
    <w:p w14:paraId="390755AA" w14:textId="0418D867" w:rsidR="007D3611" w:rsidRPr="00075B93" w:rsidRDefault="00916092" w:rsidP="003A357E">
      <w:pPr>
        <w:tabs>
          <w:tab w:val="left" w:pos="1650"/>
        </w:tabs>
        <w:jc w:val="both"/>
        <w:rPr>
          <w:rFonts w:ascii="Arial" w:hAnsi="Arial" w:cs="Arial"/>
        </w:rPr>
      </w:pPr>
      <w:r w:rsidRPr="00075B93">
        <w:rPr>
          <w:rFonts w:ascii="Arial" w:hAnsi="Arial" w:cs="Arial"/>
        </w:rPr>
        <w:t>Strong brand equity and innovation capabilities are possessed by Nike; however, margin compression, decline in the China market, and underperformance of direct-to-consumer channels are being experienced. Strategic renewal is considered essential, whereby differentiation is strengthened, the portfolio is rebalanced (cash cows defended, selective investments made, and Converse divested), and international expansion is culturally adapted (Porter, 1985). The restoration of authentic sport leadership and sustainable financial performance will be determined by the effective execution of change management and sustainability integration (Kotter, 1996).</w:t>
      </w:r>
    </w:p>
    <w:p w14:paraId="2702C42C" w14:textId="1FCB0E81" w:rsidR="007D3611" w:rsidRPr="00075B93" w:rsidRDefault="007D3611" w:rsidP="003A357E">
      <w:pPr>
        <w:tabs>
          <w:tab w:val="left" w:pos="1650"/>
        </w:tabs>
        <w:jc w:val="both"/>
        <w:rPr>
          <w:rFonts w:ascii="Arial" w:hAnsi="Arial" w:cs="Arial"/>
        </w:rPr>
      </w:pPr>
    </w:p>
    <w:p w14:paraId="4BF8266E" w14:textId="77777777" w:rsidR="007D3611" w:rsidRPr="00075B93" w:rsidRDefault="007D3611" w:rsidP="003A357E">
      <w:pPr>
        <w:tabs>
          <w:tab w:val="left" w:pos="1650"/>
        </w:tabs>
        <w:jc w:val="both"/>
        <w:rPr>
          <w:rFonts w:ascii="Arial" w:hAnsi="Arial" w:cs="Arial"/>
        </w:rPr>
      </w:pPr>
    </w:p>
    <w:p w14:paraId="3A878E26" w14:textId="77777777" w:rsidR="006920E1" w:rsidRPr="00075B93" w:rsidRDefault="006920E1" w:rsidP="006920E1">
      <w:pPr>
        <w:pStyle w:val="Heading1"/>
        <w:rPr>
          <w:rFonts w:cs="Arial"/>
        </w:rPr>
      </w:pPr>
      <w:bookmarkStart w:id="48" w:name="_Toc225513438"/>
      <w:bookmarkStart w:id="49" w:name="_Toc228482353"/>
      <w:r w:rsidRPr="00075B93">
        <w:rPr>
          <w:rFonts w:cs="Arial"/>
        </w:rPr>
        <w:t>References</w:t>
      </w:r>
      <w:bookmarkEnd w:id="48"/>
      <w:bookmarkEnd w:id="49"/>
    </w:p>
    <w:p w14:paraId="7D651E58"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Barchart</w:t>
      </w:r>
      <w:proofErr w:type="spellEnd"/>
      <w:r w:rsidRPr="00075B93">
        <w:rPr>
          <w:rFonts w:ascii="Arial" w:hAnsi="Arial" w:cs="Arial"/>
          <w:i/>
          <w:sz w:val="16"/>
          <w:szCs w:val="16"/>
        </w:rPr>
        <w:t xml:space="preserve"> (2026). Nike Financial Performance Data.</w:t>
      </w:r>
    </w:p>
    <w:p w14:paraId="2B4A0E4E"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Brown, S. &amp; </w:t>
      </w:r>
      <w:proofErr w:type="spellStart"/>
      <w:r w:rsidRPr="00075B93">
        <w:rPr>
          <w:rFonts w:ascii="Arial" w:hAnsi="Arial" w:cs="Arial"/>
          <w:i/>
          <w:sz w:val="16"/>
          <w:szCs w:val="16"/>
        </w:rPr>
        <w:t>Tabassum</w:t>
      </w:r>
      <w:proofErr w:type="spellEnd"/>
      <w:r w:rsidRPr="00075B93">
        <w:rPr>
          <w:rFonts w:ascii="Arial" w:hAnsi="Arial" w:cs="Arial"/>
          <w:i/>
          <w:sz w:val="16"/>
          <w:szCs w:val="16"/>
        </w:rPr>
        <w:t>, N. (2025). Nike China Market Analysis.</w:t>
      </w:r>
    </w:p>
    <w:p w14:paraId="53139562"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Brown, N.P. and </w:t>
      </w:r>
      <w:proofErr w:type="spellStart"/>
      <w:r w:rsidRPr="00075B93">
        <w:rPr>
          <w:rFonts w:ascii="Arial" w:hAnsi="Arial" w:cs="Arial"/>
          <w:i/>
          <w:sz w:val="16"/>
          <w:szCs w:val="16"/>
        </w:rPr>
        <w:t>Tabassum</w:t>
      </w:r>
      <w:proofErr w:type="spellEnd"/>
      <w:r w:rsidRPr="00075B93">
        <w:rPr>
          <w:rFonts w:ascii="Arial" w:hAnsi="Arial" w:cs="Arial"/>
          <w:i/>
          <w:sz w:val="16"/>
          <w:szCs w:val="16"/>
        </w:rPr>
        <w:t>, J. (2025) 'Nike's China conundrum deepens as turnaround stagnates', </w:t>
      </w:r>
      <w:r w:rsidRPr="00075B93">
        <w:rPr>
          <w:rFonts w:ascii="Arial" w:hAnsi="Arial" w:cs="Arial"/>
          <w:i/>
          <w:iCs/>
          <w:sz w:val="16"/>
          <w:szCs w:val="16"/>
        </w:rPr>
        <w:t>The Business of Fashion</w:t>
      </w:r>
      <w:r w:rsidRPr="00075B93">
        <w:rPr>
          <w:rFonts w:ascii="Arial" w:hAnsi="Arial" w:cs="Arial"/>
          <w:i/>
          <w:sz w:val="16"/>
          <w:szCs w:val="16"/>
        </w:rPr>
        <w:t>, 18 December. Available at: </w:t>
      </w:r>
      <w:hyperlink r:id="rId17" w:tgtFrame="_blank" w:history="1">
        <w:r w:rsidRPr="00075B93">
          <w:rPr>
            <w:rStyle w:val="Hyperlink"/>
            <w:rFonts w:ascii="Arial" w:hAnsi="Arial" w:cs="Arial"/>
            <w:i/>
            <w:sz w:val="16"/>
            <w:szCs w:val="16"/>
          </w:rPr>
          <w:t>www.businessoffashion.com</w:t>
        </w:r>
      </w:hyperlink>
      <w:r w:rsidRPr="00075B93">
        <w:rPr>
          <w:rFonts w:ascii="Arial" w:hAnsi="Arial" w:cs="Arial"/>
          <w:i/>
          <w:sz w:val="16"/>
          <w:szCs w:val="16"/>
        </w:rPr>
        <w:t> (Accessed: 26 March 2026).</w:t>
      </w:r>
    </w:p>
    <w:p w14:paraId="3156C2A5"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Barney, J. (1991) ‘Firm Resources and Sustained Competitive Advantage’, Journal of Management, 17(1), pp. 99–120.</w:t>
      </w:r>
    </w:p>
    <w:p w14:paraId="6875F8F3"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Bordone</w:t>
      </w:r>
      <w:proofErr w:type="spellEnd"/>
      <w:r w:rsidRPr="00075B93">
        <w:rPr>
          <w:rFonts w:ascii="Arial" w:hAnsi="Arial" w:cs="Arial"/>
          <w:i/>
          <w:sz w:val="16"/>
          <w:szCs w:val="16"/>
        </w:rPr>
        <w:t xml:space="preserve">, G.L., 2024. The Global State of Fashion Personalisation in 2024: Market Segmentation, Trends, and Geographical Insights. Research Gate. https://www. </w:t>
      </w:r>
      <w:proofErr w:type="spellStart"/>
      <w:r w:rsidRPr="00075B93">
        <w:rPr>
          <w:rFonts w:ascii="Arial" w:hAnsi="Arial" w:cs="Arial"/>
          <w:i/>
          <w:sz w:val="16"/>
          <w:szCs w:val="16"/>
        </w:rPr>
        <w:t>researchgate</w:t>
      </w:r>
      <w:proofErr w:type="spellEnd"/>
      <w:r w:rsidRPr="00075B93">
        <w:rPr>
          <w:rFonts w:ascii="Arial" w:hAnsi="Arial" w:cs="Arial"/>
          <w:i/>
          <w:sz w:val="16"/>
          <w:szCs w:val="16"/>
        </w:rPr>
        <w:t>. net/publication/387020739.</w:t>
      </w:r>
    </w:p>
    <w:p w14:paraId="10DC6749" w14:textId="77777777" w:rsidR="006920E1" w:rsidRPr="00075B93" w:rsidRDefault="006920E1" w:rsidP="006920E1">
      <w:pPr>
        <w:jc w:val="both"/>
        <w:rPr>
          <w:rFonts w:ascii="Arial" w:hAnsi="Arial" w:cs="Arial"/>
          <w:i/>
          <w:sz w:val="16"/>
          <w:szCs w:val="16"/>
          <w:lang w:val="it-IT"/>
        </w:rPr>
      </w:pPr>
      <w:r w:rsidRPr="00075B93">
        <w:rPr>
          <w:rFonts w:ascii="Arial" w:hAnsi="Arial" w:cs="Arial"/>
          <w:i/>
          <w:sz w:val="16"/>
          <w:szCs w:val="16"/>
          <w:lang w:val="it-IT"/>
        </w:rPr>
        <w:t>Corporate Social Responsibility: Perspectives on the CSR Construct's Development and Future. Business &amp; Society, 60(6), pp. 1258–1278.</w:t>
      </w:r>
    </w:p>
    <w:p w14:paraId="7273094C"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Carroll, A., Flynn, L., O’Connor, E.S., Forrest, K., Bower, J., </w:t>
      </w:r>
      <w:proofErr w:type="spellStart"/>
      <w:r w:rsidRPr="00075B93">
        <w:rPr>
          <w:rFonts w:ascii="Arial" w:hAnsi="Arial" w:cs="Arial"/>
          <w:i/>
          <w:sz w:val="16"/>
          <w:szCs w:val="16"/>
        </w:rPr>
        <w:t>Fynes</w:t>
      </w:r>
      <w:proofErr w:type="spellEnd"/>
      <w:r w:rsidRPr="00075B93">
        <w:rPr>
          <w:rFonts w:ascii="Arial" w:hAnsi="Arial" w:cs="Arial"/>
          <w:i/>
          <w:sz w:val="16"/>
          <w:szCs w:val="16"/>
        </w:rPr>
        <w:t xml:space="preserve">-Clinton, S., York, A. and </w:t>
      </w:r>
      <w:proofErr w:type="spellStart"/>
      <w:r w:rsidRPr="00075B93">
        <w:rPr>
          <w:rFonts w:ascii="Arial" w:hAnsi="Arial" w:cs="Arial"/>
          <w:i/>
          <w:sz w:val="16"/>
          <w:szCs w:val="16"/>
        </w:rPr>
        <w:t>Ziaei</w:t>
      </w:r>
      <w:proofErr w:type="spellEnd"/>
      <w:r w:rsidRPr="00075B93">
        <w:rPr>
          <w:rFonts w:ascii="Arial" w:hAnsi="Arial" w:cs="Arial"/>
          <w:i/>
          <w:sz w:val="16"/>
          <w:szCs w:val="16"/>
        </w:rPr>
        <w:t>, M., (2021). In their words: Listening to teachers’ perceptions about stress in the workplace and how to address it. Asia-Pacific Journal of Teacher Education, 49(4), pp.420-434.</w:t>
      </w:r>
    </w:p>
    <w:p w14:paraId="4238A823"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De </w:t>
      </w:r>
      <w:proofErr w:type="spellStart"/>
      <w:r w:rsidRPr="00075B93">
        <w:rPr>
          <w:rFonts w:ascii="Arial" w:hAnsi="Arial" w:cs="Arial"/>
          <w:i/>
          <w:sz w:val="16"/>
          <w:szCs w:val="16"/>
        </w:rPr>
        <w:t>Mooij</w:t>
      </w:r>
      <w:proofErr w:type="spellEnd"/>
      <w:r w:rsidRPr="00075B93">
        <w:rPr>
          <w:rFonts w:ascii="Arial" w:hAnsi="Arial" w:cs="Arial"/>
          <w:i/>
          <w:sz w:val="16"/>
          <w:szCs w:val="16"/>
        </w:rPr>
        <w:t xml:space="preserve">, M. (2019) Consumer </w:t>
      </w:r>
      <w:proofErr w:type="spellStart"/>
      <w:r w:rsidRPr="00075B93">
        <w:rPr>
          <w:rFonts w:ascii="Arial" w:hAnsi="Arial" w:cs="Arial"/>
          <w:i/>
          <w:sz w:val="16"/>
          <w:szCs w:val="16"/>
        </w:rPr>
        <w:t>Behavior</w:t>
      </w:r>
      <w:proofErr w:type="spellEnd"/>
      <w:r w:rsidRPr="00075B93">
        <w:rPr>
          <w:rFonts w:ascii="Arial" w:hAnsi="Arial" w:cs="Arial"/>
          <w:i/>
          <w:sz w:val="16"/>
          <w:szCs w:val="16"/>
        </w:rPr>
        <w:t xml:space="preserve"> and Culture: Consequences for Global Marketing and Advertising. 3rd </w:t>
      </w:r>
      <w:proofErr w:type="spellStart"/>
      <w:r w:rsidRPr="00075B93">
        <w:rPr>
          <w:rFonts w:ascii="Arial" w:hAnsi="Arial" w:cs="Arial"/>
          <w:i/>
          <w:sz w:val="16"/>
          <w:szCs w:val="16"/>
        </w:rPr>
        <w:t>edn</w:t>
      </w:r>
      <w:proofErr w:type="spellEnd"/>
      <w:r w:rsidRPr="00075B93">
        <w:rPr>
          <w:rFonts w:ascii="Arial" w:hAnsi="Arial" w:cs="Arial"/>
          <w:i/>
          <w:sz w:val="16"/>
          <w:szCs w:val="16"/>
        </w:rPr>
        <w:t>. Thousand Oaks: Sage.</w:t>
      </w:r>
    </w:p>
    <w:p w14:paraId="1297268D"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Deloitte (2023) Global Powers of Retailing 2023. Deloitte Insights.</w:t>
      </w:r>
    </w:p>
    <w:p w14:paraId="4BAEAEE9"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Euromonitor</w:t>
      </w:r>
      <w:proofErr w:type="spellEnd"/>
      <w:r w:rsidRPr="00075B93">
        <w:rPr>
          <w:rFonts w:ascii="Arial" w:hAnsi="Arial" w:cs="Arial"/>
          <w:i/>
          <w:sz w:val="16"/>
          <w:szCs w:val="16"/>
        </w:rPr>
        <w:t xml:space="preserve"> International (2025) Sportswear in the United Kingdom. London: </w:t>
      </w:r>
      <w:proofErr w:type="spellStart"/>
      <w:r w:rsidRPr="00075B93">
        <w:rPr>
          <w:rFonts w:ascii="Arial" w:hAnsi="Arial" w:cs="Arial"/>
          <w:i/>
          <w:sz w:val="16"/>
          <w:szCs w:val="16"/>
        </w:rPr>
        <w:t>Euromonitor</w:t>
      </w:r>
      <w:proofErr w:type="spellEnd"/>
      <w:r w:rsidRPr="00075B93">
        <w:rPr>
          <w:rFonts w:ascii="Arial" w:hAnsi="Arial" w:cs="Arial"/>
          <w:i/>
          <w:sz w:val="16"/>
          <w:szCs w:val="16"/>
        </w:rPr>
        <w:t>.</w:t>
      </w:r>
    </w:p>
    <w:p w14:paraId="0779099F"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lastRenderedPageBreak/>
        <w:t xml:space="preserve">FashionNetwork.com (2026) Converse sales performance and brand repositioning strategy update. Available at: </w:t>
      </w:r>
      <w:hyperlink r:id="rId18" w:history="1">
        <w:r w:rsidRPr="00075B93">
          <w:rPr>
            <w:rStyle w:val="Hyperlink"/>
            <w:rFonts w:ascii="Arial" w:hAnsi="Arial" w:cs="Arial"/>
            <w:i/>
            <w:sz w:val="16"/>
            <w:szCs w:val="16"/>
          </w:rPr>
          <w:t>https://uk.fashionnetwork.com/news/Nike-ceo-hill-sees-turnaround-picking-up-from-europe-to-asia</w:t>
        </w:r>
      </w:hyperlink>
      <w:r w:rsidRPr="00075B93">
        <w:rPr>
          <w:rFonts w:ascii="Arial" w:hAnsi="Arial" w:cs="Arial"/>
          <w:i/>
          <w:sz w:val="16"/>
          <w:szCs w:val="16"/>
        </w:rPr>
        <w:t xml:space="preserve"> (Accessed 14.04.2026)</w:t>
      </w:r>
    </w:p>
    <w:p w14:paraId="4972DE98" w14:textId="77777777" w:rsidR="006920E1" w:rsidRPr="00075B93" w:rsidRDefault="00A9476D" w:rsidP="006920E1">
      <w:pPr>
        <w:jc w:val="both"/>
        <w:rPr>
          <w:rFonts w:ascii="Arial" w:hAnsi="Arial" w:cs="Arial"/>
          <w:i/>
          <w:sz w:val="16"/>
          <w:szCs w:val="16"/>
        </w:rPr>
      </w:pPr>
      <w:hyperlink r:id="rId19" w:tgtFrame="_blank" w:history="1">
        <w:r w:rsidR="006920E1" w:rsidRPr="00075B93">
          <w:rPr>
            <w:rStyle w:val="Hyperlink"/>
            <w:rFonts w:ascii="Arial" w:hAnsi="Arial" w:cs="Arial"/>
            <w:i/>
            <w:sz w:val="16"/>
            <w:szCs w:val="16"/>
          </w:rPr>
          <w:t>FashionNetwork.com</w:t>
        </w:r>
      </w:hyperlink>
      <w:r w:rsidR="006920E1" w:rsidRPr="00075B93">
        <w:rPr>
          <w:rFonts w:ascii="Arial" w:hAnsi="Arial" w:cs="Arial"/>
          <w:i/>
          <w:sz w:val="16"/>
          <w:szCs w:val="16"/>
        </w:rPr>
        <w:t> (2026) </w:t>
      </w:r>
      <w:r w:rsidR="006920E1" w:rsidRPr="00075B93">
        <w:rPr>
          <w:rFonts w:ascii="Arial" w:hAnsi="Arial" w:cs="Arial"/>
          <w:i/>
          <w:iCs/>
          <w:sz w:val="16"/>
          <w:szCs w:val="16"/>
        </w:rPr>
        <w:t>Nike CEO Hill sees turnaround picking up from Europe to Asia</w:t>
      </w:r>
      <w:r w:rsidR="006920E1" w:rsidRPr="00075B93">
        <w:rPr>
          <w:rFonts w:ascii="Arial" w:hAnsi="Arial" w:cs="Arial"/>
          <w:i/>
          <w:sz w:val="16"/>
          <w:szCs w:val="16"/>
        </w:rPr>
        <w:t>. Available at: </w:t>
      </w:r>
      <w:hyperlink r:id="rId20" w:tgtFrame="_blank" w:history="1">
        <w:r w:rsidR="006920E1" w:rsidRPr="00075B93">
          <w:rPr>
            <w:rStyle w:val="Hyperlink"/>
            <w:rFonts w:ascii="Arial" w:hAnsi="Arial" w:cs="Arial"/>
            <w:i/>
            <w:sz w:val="16"/>
            <w:szCs w:val="16"/>
          </w:rPr>
          <w:t>uk.fashionnetwork.com</w:t>
        </w:r>
      </w:hyperlink>
      <w:r w:rsidR="006920E1" w:rsidRPr="00075B93">
        <w:rPr>
          <w:rFonts w:ascii="Arial" w:hAnsi="Arial" w:cs="Arial"/>
          <w:i/>
          <w:sz w:val="16"/>
          <w:szCs w:val="16"/>
        </w:rPr>
        <w:t> (Accessed: 14 March 2026).</w:t>
      </w:r>
    </w:p>
    <w:p w14:paraId="56D25225" w14:textId="77777777" w:rsidR="006920E1" w:rsidRPr="00075B93" w:rsidRDefault="006920E1" w:rsidP="006920E1">
      <w:pPr>
        <w:jc w:val="both"/>
        <w:rPr>
          <w:rFonts w:ascii="Arial" w:hAnsi="Arial" w:cs="Arial"/>
          <w:i/>
          <w:sz w:val="16"/>
          <w:szCs w:val="16"/>
          <w:lang w:val="it-IT"/>
        </w:rPr>
      </w:pPr>
      <w:r w:rsidRPr="00075B93">
        <w:rPr>
          <w:rFonts w:ascii="Arial" w:hAnsi="Arial" w:cs="Arial"/>
          <w:i/>
          <w:sz w:val="16"/>
          <w:szCs w:val="16"/>
          <w:lang w:val="it-IT"/>
        </w:rPr>
        <w:t>Fuertes, G., Alfaro, M., Vargas, M., Gutierrez, S., Ternero, R. and Sabattin, J., 2020. Conceptual framework for the strategic management: a literature review—descriptive. Journal of engineering, 2020(1), p.6253013.</w:t>
      </w:r>
    </w:p>
    <w:p w14:paraId="5DA648FB"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Financial Times, (2026). Global business news. Available at: https://www.ft.com/global-economic-growth (Accessed 14.04.2026).</w:t>
      </w:r>
    </w:p>
    <w:p w14:paraId="4F4AA278" w14:textId="77777777" w:rsidR="006920E1" w:rsidRPr="00075B93" w:rsidRDefault="006920E1" w:rsidP="006920E1">
      <w:pPr>
        <w:jc w:val="both"/>
        <w:rPr>
          <w:rFonts w:ascii="Arial" w:hAnsi="Arial" w:cs="Arial"/>
          <w:i/>
          <w:sz w:val="16"/>
          <w:szCs w:val="16"/>
          <w:lang w:val="it-IT"/>
        </w:rPr>
      </w:pPr>
      <w:r w:rsidRPr="00075B93">
        <w:rPr>
          <w:rFonts w:ascii="Arial" w:hAnsi="Arial" w:cs="Arial"/>
          <w:i/>
          <w:color w:val="222222"/>
          <w:sz w:val="16"/>
          <w:szCs w:val="16"/>
          <w:shd w:val="clear" w:color="auto" w:fill="FFFFFF"/>
        </w:rPr>
        <w:t>Grant, R.M., 2021. </w:t>
      </w:r>
      <w:r w:rsidRPr="00075B93">
        <w:rPr>
          <w:rFonts w:ascii="Arial" w:hAnsi="Arial" w:cs="Arial"/>
          <w:i/>
          <w:iCs/>
          <w:color w:val="222222"/>
          <w:sz w:val="16"/>
          <w:szCs w:val="16"/>
          <w:shd w:val="clear" w:color="auto" w:fill="FFFFFF"/>
        </w:rPr>
        <w:t>Contemporary strategy analysis</w:t>
      </w:r>
      <w:r w:rsidRPr="00075B93">
        <w:rPr>
          <w:rFonts w:ascii="Arial" w:hAnsi="Arial" w:cs="Arial"/>
          <w:i/>
          <w:color w:val="222222"/>
          <w:sz w:val="16"/>
          <w:szCs w:val="16"/>
          <w:shd w:val="clear" w:color="auto" w:fill="FFFFFF"/>
        </w:rPr>
        <w:t>. John Wiley &amp; Sons.</w:t>
      </w:r>
    </w:p>
    <w:p w14:paraId="7D47B4E6"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Gibbs, G. (1988) </w:t>
      </w:r>
      <w:r w:rsidRPr="00075B93">
        <w:rPr>
          <w:rFonts w:ascii="Arial" w:hAnsi="Arial" w:cs="Arial"/>
          <w:i/>
          <w:iCs/>
          <w:sz w:val="16"/>
          <w:szCs w:val="16"/>
        </w:rPr>
        <w:t>Learning by Doing: A Guide to Teaching and Learning Methods</w:t>
      </w:r>
      <w:r w:rsidRPr="00075B93">
        <w:rPr>
          <w:rFonts w:ascii="Arial" w:hAnsi="Arial" w:cs="Arial"/>
          <w:i/>
          <w:sz w:val="16"/>
          <w:szCs w:val="16"/>
        </w:rPr>
        <w:t>. Oxford: Further Education Unit, Oxford Polytechnic.</w:t>
      </w:r>
    </w:p>
    <w:p w14:paraId="42F3DD8E"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Greeven</w:t>
      </w:r>
      <w:proofErr w:type="spellEnd"/>
      <w:r w:rsidRPr="00075B93">
        <w:rPr>
          <w:rFonts w:ascii="Arial" w:hAnsi="Arial" w:cs="Arial"/>
          <w:i/>
          <w:sz w:val="16"/>
          <w:szCs w:val="16"/>
        </w:rPr>
        <w:t>, M.J., Wei, W. and Li, K. (2024) 'Nike dominates Chinese apparel market for now, but "</w:t>
      </w:r>
      <w:proofErr w:type="spellStart"/>
      <w:r w:rsidRPr="00075B93">
        <w:rPr>
          <w:rFonts w:ascii="Arial" w:hAnsi="Arial" w:cs="Arial"/>
          <w:i/>
          <w:sz w:val="16"/>
          <w:szCs w:val="16"/>
        </w:rPr>
        <w:t>Guochao</w:t>
      </w:r>
      <w:proofErr w:type="spellEnd"/>
      <w:r w:rsidRPr="00075B93">
        <w:rPr>
          <w:rFonts w:ascii="Arial" w:hAnsi="Arial" w:cs="Arial"/>
          <w:i/>
          <w:sz w:val="16"/>
          <w:szCs w:val="16"/>
        </w:rPr>
        <w:t>" is changing the game', </w:t>
      </w:r>
      <w:r w:rsidRPr="00075B93">
        <w:rPr>
          <w:rFonts w:ascii="Arial" w:hAnsi="Arial" w:cs="Arial"/>
          <w:i/>
          <w:iCs/>
          <w:sz w:val="16"/>
          <w:szCs w:val="16"/>
        </w:rPr>
        <w:t>IMD Business School</w:t>
      </w:r>
      <w:r w:rsidRPr="00075B93">
        <w:rPr>
          <w:rFonts w:ascii="Arial" w:hAnsi="Arial" w:cs="Arial"/>
          <w:i/>
          <w:sz w:val="16"/>
          <w:szCs w:val="16"/>
        </w:rPr>
        <w:t>, 6 February. Available at: </w:t>
      </w:r>
      <w:hyperlink r:id="rId21" w:tgtFrame="_blank" w:history="1">
        <w:r w:rsidRPr="00075B93">
          <w:rPr>
            <w:rStyle w:val="Hyperlink"/>
            <w:rFonts w:ascii="Arial" w:hAnsi="Arial" w:cs="Arial"/>
            <w:i/>
            <w:sz w:val="16"/>
            <w:szCs w:val="16"/>
          </w:rPr>
          <w:t>www.imd.org</w:t>
        </w:r>
      </w:hyperlink>
      <w:r w:rsidRPr="00075B93">
        <w:rPr>
          <w:rFonts w:ascii="Arial" w:hAnsi="Arial" w:cs="Arial"/>
          <w:i/>
          <w:sz w:val="16"/>
          <w:szCs w:val="16"/>
        </w:rPr>
        <w:t> (Accessed: 26 March 2026).</w:t>
      </w:r>
    </w:p>
    <w:p w14:paraId="2087701F"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Geissdoerfer</w:t>
      </w:r>
      <w:proofErr w:type="spellEnd"/>
      <w:r w:rsidRPr="00075B93">
        <w:rPr>
          <w:rFonts w:ascii="Arial" w:hAnsi="Arial" w:cs="Arial"/>
          <w:i/>
          <w:sz w:val="16"/>
          <w:szCs w:val="16"/>
        </w:rPr>
        <w:t xml:space="preserve">, M., </w:t>
      </w:r>
      <w:proofErr w:type="spellStart"/>
      <w:r w:rsidRPr="00075B93">
        <w:rPr>
          <w:rFonts w:ascii="Arial" w:hAnsi="Arial" w:cs="Arial"/>
          <w:i/>
          <w:sz w:val="16"/>
          <w:szCs w:val="16"/>
        </w:rPr>
        <w:t>Savaget</w:t>
      </w:r>
      <w:proofErr w:type="spellEnd"/>
      <w:r w:rsidRPr="00075B93">
        <w:rPr>
          <w:rFonts w:ascii="Arial" w:hAnsi="Arial" w:cs="Arial"/>
          <w:i/>
          <w:sz w:val="16"/>
          <w:szCs w:val="16"/>
        </w:rPr>
        <w:t xml:space="preserve">, P., </w:t>
      </w:r>
      <w:proofErr w:type="spellStart"/>
      <w:r w:rsidRPr="00075B93">
        <w:rPr>
          <w:rFonts w:ascii="Arial" w:hAnsi="Arial" w:cs="Arial"/>
          <w:i/>
          <w:sz w:val="16"/>
          <w:szCs w:val="16"/>
        </w:rPr>
        <w:t>Bocken</w:t>
      </w:r>
      <w:proofErr w:type="spellEnd"/>
      <w:r w:rsidRPr="00075B93">
        <w:rPr>
          <w:rFonts w:ascii="Arial" w:hAnsi="Arial" w:cs="Arial"/>
          <w:i/>
          <w:sz w:val="16"/>
          <w:szCs w:val="16"/>
        </w:rPr>
        <w:t xml:space="preserve">, N.M.P. and </w:t>
      </w:r>
      <w:proofErr w:type="spellStart"/>
      <w:r w:rsidRPr="00075B93">
        <w:rPr>
          <w:rFonts w:ascii="Arial" w:hAnsi="Arial" w:cs="Arial"/>
          <w:i/>
          <w:sz w:val="16"/>
          <w:szCs w:val="16"/>
        </w:rPr>
        <w:t>Hultink</w:t>
      </w:r>
      <w:proofErr w:type="spellEnd"/>
      <w:r w:rsidRPr="00075B93">
        <w:rPr>
          <w:rFonts w:ascii="Arial" w:hAnsi="Arial" w:cs="Arial"/>
          <w:i/>
          <w:sz w:val="16"/>
          <w:szCs w:val="16"/>
        </w:rPr>
        <w:t>, E.J. (2017) ‘The circular economy – A new sustainability paradigm?’, Journal of Cleaner Production, 143, pp. 757–768.</w:t>
      </w:r>
    </w:p>
    <w:p w14:paraId="06E51F72"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Greeven</w:t>
      </w:r>
      <w:proofErr w:type="spellEnd"/>
      <w:r w:rsidRPr="00075B93">
        <w:rPr>
          <w:rFonts w:ascii="Arial" w:hAnsi="Arial" w:cs="Arial"/>
          <w:i/>
          <w:sz w:val="16"/>
          <w:szCs w:val="16"/>
        </w:rPr>
        <w:t>, M.J., et al. (2024). China’s Emerging Competitive Landscape</w:t>
      </w:r>
    </w:p>
    <w:p w14:paraId="1EF40526"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Henderson, B.D. (1970) The product portfolio. Boston, MA: Boston Consulting Group.</w:t>
      </w:r>
    </w:p>
    <w:p w14:paraId="12764724"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Hitt</w:t>
      </w:r>
      <w:proofErr w:type="spellEnd"/>
      <w:r w:rsidRPr="00075B93">
        <w:rPr>
          <w:rFonts w:ascii="Arial" w:hAnsi="Arial" w:cs="Arial"/>
          <w:i/>
          <w:sz w:val="16"/>
          <w:szCs w:val="16"/>
        </w:rPr>
        <w:t xml:space="preserve">, M., Ireland, R. and </w:t>
      </w:r>
      <w:proofErr w:type="spellStart"/>
      <w:r w:rsidRPr="00075B93">
        <w:rPr>
          <w:rFonts w:ascii="Arial" w:hAnsi="Arial" w:cs="Arial"/>
          <w:i/>
          <w:sz w:val="16"/>
          <w:szCs w:val="16"/>
        </w:rPr>
        <w:t>Hoskisson</w:t>
      </w:r>
      <w:proofErr w:type="spellEnd"/>
      <w:r w:rsidRPr="00075B93">
        <w:rPr>
          <w:rFonts w:ascii="Arial" w:hAnsi="Arial" w:cs="Arial"/>
          <w:i/>
          <w:sz w:val="16"/>
          <w:szCs w:val="16"/>
        </w:rPr>
        <w:t>, R., 2020. Strategic management: Concepts and cases: Competitiveness and globalization, 13e. Cengage Learning, Boston.</w:t>
      </w:r>
    </w:p>
    <w:p w14:paraId="5E93FCBA"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Hofstede Insights, (2024) Country Comparison. </w:t>
      </w:r>
    </w:p>
    <w:p w14:paraId="6E5364CD"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Johnson, G., Scholes, K. and Whittington, R. (2020) Exploring Strategy: Text and Cases. 12th </w:t>
      </w:r>
      <w:proofErr w:type="spellStart"/>
      <w:r w:rsidRPr="00075B93">
        <w:rPr>
          <w:rFonts w:ascii="Arial" w:hAnsi="Arial" w:cs="Arial"/>
          <w:i/>
          <w:sz w:val="16"/>
          <w:szCs w:val="16"/>
        </w:rPr>
        <w:t>edn</w:t>
      </w:r>
      <w:proofErr w:type="spellEnd"/>
      <w:r w:rsidRPr="00075B93">
        <w:rPr>
          <w:rFonts w:ascii="Arial" w:hAnsi="Arial" w:cs="Arial"/>
          <w:i/>
          <w:sz w:val="16"/>
          <w:szCs w:val="16"/>
        </w:rPr>
        <w:t>. Harlow: Pearson.</w:t>
      </w:r>
    </w:p>
    <w:p w14:paraId="104F08A2"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Johnson, G., Whittington, R., </w:t>
      </w:r>
      <w:proofErr w:type="spellStart"/>
      <w:r w:rsidRPr="00075B93">
        <w:rPr>
          <w:rFonts w:ascii="Arial" w:hAnsi="Arial" w:cs="Arial"/>
          <w:i/>
          <w:sz w:val="16"/>
          <w:szCs w:val="16"/>
        </w:rPr>
        <w:t>Regnér</w:t>
      </w:r>
      <w:proofErr w:type="spellEnd"/>
      <w:r w:rsidRPr="00075B93">
        <w:rPr>
          <w:rFonts w:ascii="Arial" w:hAnsi="Arial" w:cs="Arial"/>
          <w:i/>
          <w:sz w:val="16"/>
          <w:szCs w:val="16"/>
        </w:rPr>
        <w:t xml:space="preserve">, P., </w:t>
      </w:r>
      <w:proofErr w:type="spellStart"/>
      <w:r w:rsidRPr="00075B93">
        <w:rPr>
          <w:rFonts w:ascii="Arial" w:hAnsi="Arial" w:cs="Arial"/>
          <w:i/>
          <w:sz w:val="16"/>
          <w:szCs w:val="16"/>
        </w:rPr>
        <w:t>Angwin</w:t>
      </w:r>
      <w:proofErr w:type="spellEnd"/>
      <w:r w:rsidRPr="00075B93">
        <w:rPr>
          <w:rFonts w:ascii="Arial" w:hAnsi="Arial" w:cs="Arial"/>
          <w:i/>
          <w:sz w:val="16"/>
          <w:szCs w:val="16"/>
        </w:rPr>
        <w:t>, D. and Scholes, K. (2020) </w:t>
      </w:r>
      <w:r w:rsidRPr="00075B93">
        <w:rPr>
          <w:rFonts w:ascii="Arial" w:hAnsi="Arial" w:cs="Arial"/>
          <w:i/>
          <w:iCs/>
          <w:sz w:val="16"/>
          <w:szCs w:val="16"/>
        </w:rPr>
        <w:t>Exploring Strategy: Text and Cases</w:t>
      </w:r>
      <w:r w:rsidRPr="00075B93">
        <w:rPr>
          <w:rFonts w:ascii="Arial" w:hAnsi="Arial" w:cs="Arial"/>
          <w:i/>
          <w:sz w:val="16"/>
          <w:szCs w:val="16"/>
        </w:rPr>
        <w:t xml:space="preserve">. 13th </w:t>
      </w:r>
      <w:proofErr w:type="spellStart"/>
      <w:r w:rsidRPr="00075B93">
        <w:rPr>
          <w:rFonts w:ascii="Arial" w:hAnsi="Arial" w:cs="Arial"/>
          <w:i/>
          <w:sz w:val="16"/>
          <w:szCs w:val="16"/>
        </w:rPr>
        <w:t>edn</w:t>
      </w:r>
      <w:proofErr w:type="spellEnd"/>
      <w:r w:rsidRPr="00075B93">
        <w:rPr>
          <w:rFonts w:ascii="Arial" w:hAnsi="Arial" w:cs="Arial"/>
          <w:i/>
          <w:sz w:val="16"/>
          <w:szCs w:val="16"/>
        </w:rPr>
        <w:t>. Harlow: Pearson.</w:t>
      </w:r>
    </w:p>
    <w:p w14:paraId="430AE194"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Kaplan, R.S. and Norton, D.P. (1992) 'The balanced scorecard: measures that drive performance', </w:t>
      </w:r>
      <w:r w:rsidRPr="00075B93">
        <w:rPr>
          <w:rFonts w:ascii="Arial" w:hAnsi="Arial" w:cs="Arial"/>
          <w:i/>
          <w:iCs/>
          <w:sz w:val="16"/>
          <w:szCs w:val="16"/>
        </w:rPr>
        <w:t>Harvard Business Review</w:t>
      </w:r>
      <w:r w:rsidRPr="00075B93">
        <w:rPr>
          <w:rFonts w:ascii="Arial" w:hAnsi="Arial" w:cs="Arial"/>
          <w:i/>
          <w:sz w:val="16"/>
          <w:szCs w:val="16"/>
        </w:rPr>
        <w:t>, 70(1), pp. 71-79.</w:t>
      </w:r>
    </w:p>
    <w:p w14:paraId="137CC37C"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Kotler, P. and Keller, K.L., (2015). Framework for Marketing Management, A. </w:t>
      </w:r>
      <w:proofErr w:type="spellStart"/>
      <w:r w:rsidRPr="00075B93">
        <w:rPr>
          <w:rFonts w:ascii="Arial" w:hAnsi="Arial" w:cs="Arial"/>
          <w:i/>
          <w:sz w:val="16"/>
          <w:szCs w:val="16"/>
        </w:rPr>
        <w:t>BoD</w:t>
      </w:r>
      <w:proofErr w:type="spellEnd"/>
      <w:r w:rsidRPr="00075B93">
        <w:rPr>
          <w:rFonts w:ascii="Arial" w:hAnsi="Arial" w:cs="Arial"/>
          <w:i/>
          <w:sz w:val="16"/>
          <w:szCs w:val="16"/>
        </w:rPr>
        <w:t>–Books on Demand.</w:t>
      </w:r>
    </w:p>
    <w:p w14:paraId="346421EC"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Knitting Industry (2026) </w:t>
      </w:r>
      <w:r w:rsidRPr="00075B93">
        <w:rPr>
          <w:rFonts w:ascii="Arial" w:hAnsi="Arial" w:cs="Arial"/>
          <w:i/>
          <w:iCs/>
          <w:sz w:val="16"/>
          <w:szCs w:val="16"/>
        </w:rPr>
        <w:t>Nike backs Loop recycling</w:t>
      </w:r>
      <w:r w:rsidRPr="00075B93">
        <w:rPr>
          <w:rFonts w:ascii="Arial" w:hAnsi="Arial" w:cs="Arial"/>
          <w:i/>
          <w:sz w:val="16"/>
          <w:szCs w:val="16"/>
        </w:rPr>
        <w:t>. Available at: </w:t>
      </w:r>
      <w:hyperlink r:id="rId22" w:tgtFrame="_blank" w:history="1">
        <w:r w:rsidRPr="00075B93">
          <w:rPr>
            <w:rStyle w:val="Hyperlink"/>
            <w:rFonts w:ascii="Arial" w:hAnsi="Arial" w:cs="Arial"/>
            <w:i/>
            <w:sz w:val="16"/>
            <w:szCs w:val="16"/>
          </w:rPr>
          <w:t>www.knittingindustry.com</w:t>
        </w:r>
      </w:hyperlink>
      <w:r w:rsidRPr="00075B93">
        <w:rPr>
          <w:rFonts w:ascii="Arial" w:hAnsi="Arial" w:cs="Arial"/>
          <w:i/>
          <w:sz w:val="16"/>
          <w:szCs w:val="16"/>
        </w:rPr>
        <w:t> (Accessed: 14 March 2026).</w:t>
      </w:r>
    </w:p>
    <w:p w14:paraId="00762538"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Ko</w:t>
      </w:r>
      <w:proofErr w:type="spellEnd"/>
      <w:r w:rsidRPr="00075B93">
        <w:rPr>
          <w:rFonts w:ascii="Arial" w:hAnsi="Arial" w:cs="Arial"/>
          <w:i/>
          <w:sz w:val="16"/>
          <w:szCs w:val="16"/>
        </w:rPr>
        <w:t>, E., Taylor, C.R., Sung, H., Lee, J., Wagner, U., Navarro, D.M.C. and Wang, F., 2012. Global marketing segmentation usefulness in the sportswear industry. Journal of Business Research, 65(11), pp.1565-1575.</w:t>
      </w:r>
    </w:p>
    <w:p w14:paraId="4F7E7796"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Keller, K.L., 2013. Keller: Strategic Brand Management eBook GE 4e. Pearson Higher Ed.</w:t>
      </w:r>
    </w:p>
    <w:p w14:paraId="41BE8FB5"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Kaplan, R.S. &amp; Norton, D.P. (1992). The Balanced Scorecard—Measures That Drive Performance. Harvard Business Review, 70(1), 71–79.</w:t>
      </w:r>
    </w:p>
    <w:p w14:paraId="469BEC5E"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Kapferer</w:t>
      </w:r>
      <w:proofErr w:type="spellEnd"/>
      <w:r w:rsidRPr="00075B93">
        <w:rPr>
          <w:rFonts w:ascii="Arial" w:hAnsi="Arial" w:cs="Arial"/>
          <w:i/>
          <w:sz w:val="16"/>
          <w:szCs w:val="16"/>
        </w:rPr>
        <w:t>, J.N. (2012) The New Strategic Brand Management.</w:t>
      </w:r>
    </w:p>
    <w:p w14:paraId="66C7B547"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Lestan</w:t>
      </w:r>
      <w:proofErr w:type="spellEnd"/>
      <w:r w:rsidRPr="00075B93">
        <w:rPr>
          <w:rFonts w:ascii="Arial" w:hAnsi="Arial" w:cs="Arial"/>
          <w:i/>
          <w:sz w:val="16"/>
          <w:szCs w:val="16"/>
        </w:rPr>
        <w:t xml:space="preserve">, F. and </w:t>
      </w:r>
      <w:proofErr w:type="spellStart"/>
      <w:r w:rsidRPr="00075B93">
        <w:rPr>
          <w:rFonts w:ascii="Arial" w:hAnsi="Arial" w:cs="Arial"/>
          <w:i/>
          <w:sz w:val="16"/>
          <w:szCs w:val="16"/>
        </w:rPr>
        <w:t>Kabiraj</w:t>
      </w:r>
      <w:proofErr w:type="spellEnd"/>
      <w:r w:rsidRPr="00075B93">
        <w:rPr>
          <w:rFonts w:ascii="Arial" w:hAnsi="Arial" w:cs="Arial"/>
          <w:i/>
          <w:sz w:val="16"/>
          <w:szCs w:val="16"/>
        </w:rPr>
        <w:t xml:space="preserve">, S., 2021. Emerging trends in the sporting goods industry in North America and Europe. </w:t>
      </w:r>
      <w:proofErr w:type="spellStart"/>
      <w:r w:rsidRPr="00075B93">
        <w:rPr>
          <w:rFonts w:ascii="Arial" w:hAnsi="Arial" w:cs="Arial"/>
          <w:i/>
          <w:sz w:val="16"/>
          <w:szCs w:val="16"/>
        </w:rPr>
        <w:t>Acta</w:t>
      </w:r>
      <w:proofErr w:type="spellEnd"/>
      <w:r w:rsidRPr="00075B93">
        <w:rPr>
          <w:rFonts w:ascii="Arial" w:hAnsi="Arial" w:cs="Arial"/>
          <w:i/>
          <w:sz w:val="16"/>
          <w:szCs w:val="16"/>
        </w:rPr>
        <w:t xml:space="preserve"> </w:t>
      </w:r>
      <w:proofErr w:type="spellStart"/>
      <w:r w:rsidRPr="00075B93">
        <w:rPr>
          <w:rFonts w:ascii="Arial" w:hAnsi="Arial" w:cs="Arial"/>
          <w:i/>
          <w:sz w:val="16"/>
          <w:szCs w:val="16"/>
        </w:rPr>
        <w:t>Prosperitatis</w:t>
      </w:r>
      <w:proofErr w:type="spellEnd"/>
      <w:r w:rsidRPr="00075B93">
        <w:rPr>
          <w:rFonts w:ascii="Arial" w:hAnsi="Arial" w:cs="Arial"/>
          <w:i/>
          <w:sz w:val="16"/>
          <w:szCs w:val="16"/>
        </w:rPr>
        <w:t>, (12), pp.38-224.</w:t>
      </w:r>
    </w:p>
    <w:p w14:paraId="16824A8C"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Lewin, K. (1947). Frontiers in Group Dynamics. Human Relations, 1(2), 143–153.</w:t>
      </w:r>
    </w:p>
    <w:p w14:paraId="1F72A9F7"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Marketing-Interactive (2026) </w:t>
      </w:r>
      <w:r w:rsidRPr="00075B93">
        <w:rPr>
          <w:rFonts w:ascii="Arial" w:hAnsi="Arial" w:cs="Arial"/>
          <w:i/>
          <w:iCs/>
          <w:sz w:val="16"/>
          <w:szCs w:val="16"/>
        </w:rPr>
        <w:t>Nike and Ant Group join hands to encourage sustainability</w:t>
      </w:r>
      <w:r w:rsidRPr="00075B93">
        <w:rPr>
          <w:rFonts w:ascii="Arial" w:hAnsi="Arial" w:cs="Arial"/>
          <w:i/>
          <w:sz w:val="16"/>
          <w:szCs w:val="16"/>
        </w:rPr>
        <w:t>. Available at: </w:t>
      </w:r>
      <w:hyperlink r:id="rId23" w:tgtFrame="_blank" w:history="1">
        <w:r w:rsidRPr="00075B93">
          <w:rPr>
            <w:rStyle w:val="Hyperlink"/>
            <w:rFonts w:ascii="Arial" w:hAnsi="Arial" w:cs="Arial"/>
            <w:i/>
            <w:sz w:val="16"/>
            <w:szCs w:val="16"/>
          </w:rPr>
          <w:t>www.marketing-interactive.com</w:t>
        </w:r>
      </w:hyperlink>
      <w:r w:rsidRPr="00075B93">
        <w:rPr>
          <w:rFonts w:ascii="Arial" w:hAnsi="Arial" w:cs="Arial"/>
          <w:i/>
          <w:sz w:val="16"/>
          <w:szCs w:val="16"/>
        </w:rPr>
        <w:t> (Accessed: 14 March 2026).</w:t>
      </w:r>
    </w:p>
    <w:p w14:paraId="0CEF18B0"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McKinsey &amp; Company (2023) The State of Fashion 2023. McKinsey Global Institute. Available at: https://www.mckinsey.com/industries/retail/our-insights/state-of-fashion-archive (Accessed 12.04.2026).</w:t>
      </w:r>
    </w:p>
    <w:p w14:paraId="4B92D501"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Nasdaq (2026) </w:t>
      </w:r>
      <w:r w:rsidRPr="00075B93">
        <w:rPr>
          <w:rFonts w:ascii="Arial" w:hAnsi="Arial" w:cs="Arial"/>
          <w:i/>
          <w:iCs/>
          <w:sz w:val="16"/>
          <w:szCs w:val="16"/>
        </w:rPr>
        <w:t>Nike's Most Important Question in 2026 Isn't Revenue. It's Margin.</w:t>
      </w:r>
      <w:r w:rsidRPr="00075B93">
        <w:rPr>
          <w:rFonts w:ascii="Arial" w:hAnsi="Arial" w:cs="Arial"/>
          <w:i/>
          <w:sz w:val="16"/>
          <w:szCs w:val="16"/>
        </w:rPr>
        <w:t> Available at: </w:t>
      </w:r>
      <w:hyperlink r:id="rId24" w:tgtFrame="_blank" w:history="1">
        <w:r w:rsidRPr="00075B93">
          <w:rPr>
            <w:rStyle w:val="Hyperlink"/>
            <w:rFonts w:ascii="Arial" w:hAnsi="Arial" w:cs="Arial"/>
            <w:i/>
            <w:sz w:val="16"/>
            <w:szCs w:val="16"/>
          </w:rPr>
          <w:t>www.nasdaq.com</w:t>
        </w:r>
      </w:hyperlink>
      <w:r w:rsidRPr="00075B93">
        <w:rPr>
          <w:rFonts w:ascii="Arial" w:hAnsi="Arial" w:cs="Arial"/>
          <w:i/>
          <w:sz w:val="16"/>
          <w:szCs w:val="16"/>
        </w:rPr>
        <w:t> (Accessed: 14 March 2026).</w:t>
      </w:r>
    </w:p>
    <w:p w14:paraId="5B0262A0"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Nike, Inc. (2023) *Nike Fiscal Year 2023 Annual Report (Form 10-</w:t>
      </w:r>
      <w:proofErr w:type="gramStart"/>
      <w:r w:rsidRPr="00075B93">
        <w:rPr>
          <w:rFonts w:ascii="Arial" w:hAnsi="Arial" w:cs="Arial"/>
          <w:i/>
          <w:sz w:val="16"/>
          <w:szCs w:val="16"/>
        </w:rPr>
        <w:t>K)*</w:t>
      </w:r>
      <w:proofErr w:type="gramEnd"/>
      <w:r w:rsidRPr="00075B93">
        <w:rPr>
          <w:rFonts w:ascii="Arial" w:hAnsi="Arial" w:cs="Arial"/>
          <w:i/>
          <w:sz w:val="16"/>
          <w:szCs w:val="16"/>
        </w:rPr>
        <w:t>. Beaverton, OR: Nike, Inc.</w:t>
      </w:r>
    </w:p>
    <w:p w14:paraId="058E771C"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Nigel Slack, Alistair Brandon-Jones, (2022</w:t>
      </w:r>
      <w:proofErr w:type="gramStart"/>
      <w:r w:rsidRPr="00075B93">
        <w:rPr>
          <w:rFonts w:ascii="Arial" w:hAnsi="Arial" w:cs="Arial"/>
          <w:i/>
          <w:sz w:val="16"/>
          <w:szCs w:val="16"/>
        </w:rPr>
        <w:t>).Operations</w:t>
      </w:r>
      <w:proofErr w:type="gramEnd"/>
      <w:r w:rsidRPr="00075B93">
        <w:rPr>
          <w:rFonts w:ascii="Arial" w:hAnsi="Arial" w:cs="Arial"/>
          <w:i/>
          <w:sz w:val="16"/>
          <w:szCs w:val="16"/>
        </w:rPr>
        <w:t xml:space="preserve"> </w:t>
      </w:r>
      <w:proofErr w:type="spellStart"/>
      <w:r w:rsidRPr="00075B93">
        <w:rPr>
          <w:rFonts w:ascii="Arial" w:hAnsi="Arial" w:cs="Arial"/>
          <w:i/>
          <w:sz w:val="16"/>
          <w:szCs w:val="16"/>
        </w:rPr>
        <w:t>Management.Pearson</w:t>
      </w:r>
      <w:proofErr w:type="spellEnd"/>
      <w:r w:rsidRPr="00075B93">
        <w:rPr>
          <w:rFonts w:ascii="Arial" w:hAnsi="Arial" w:cs="Arial"/>
          <w:i/>
          <w:sz w:val="16"/>
          <w:szCs w:val="16"/>
        </w:rPr>
        <w:t xml:space="preserve"> Higher Ed. P-743.</w:t>
      </w:r>
    </w:p>
    <w:p w14:paraId="457C1EA0"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lastRenderedPageBreak/>
        <w:t xml:space="preserve">Nike, (2025). Nike announces leadership updates to accelerate sustainability and enterprise strategy. Available at: </w:t>
      </w:r>
      <w:proofErr w:type="spellStart"/>
      <w:r w:rsidRPr="00075B93">
        <w:rPr>
          <w:rFonts w:ascii="Arial" w:hAnsi="Arial" w:cs="Arial"/>
          <w:i/>
          <w:sz w:val="16"/>
          <w:szCs w:val="16"/>
        </w:rPr>
        <w:t>Delmas</w:t>
      </w:r>
      <w:proofErr w:type="spellEnd"/>
      <w:r w:rsidRPr="00075B93">
        <w:rPr>
          <w:rFonts w:ascii="Arial" w:hAnsi="Arial" w:cs="Arial"/>
          <w:i/>
          <w:sz w:val="16"/>
          <w:szCs w:val="16"/>
        </w:rPr>
        <w:t xml:space="preserve">, M.A. and </w:t>
      </w:r>
      <w:proofErr w:type="spellStart"/>
      <w:r w:rsidRPr="00075B93">
        <w:rPr>
          <w:rFonts w:ascii="Arial" w:hAnsi="Arial" w:cs="Arial"/>
          <w:i/>
          <w:sz w:val="16"/>
          <w:szCs w:val="16"/>
        </w:rPr>
        <w:t>Burbano</w:t>
      </w:r>
      <w:proofErr w:type="spellEnd"/>
      <w:r w:rsidRPr="00075B93">
        <w:rPr>
          <w:rFonts w:ascii="Arial" w:hAnsi="Arial" w:cs="Arial"/>
          <w:i/>
          <w:sz w:val="16"/>
          <w:szCs w:val="16"/>
        </w:rPr>
        <w:t>, V.C. (2011) ‘The drivers of greenwashing’, California Management Review, 54(1), pp. 64–87.</w:t>
      </w:r>
    </w:p>
    <w:p w14:paraId="45AFB578"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Office for National Statistics (2024) Inflation and Cost of Living in the UK. ONS. Available at: </w:t>
      </w:r>
      <w:hyperlink r:id="rId25" w:history="1">
        <w:r w:rsidRPr="00075B93">
          <w:rPr>
            <w:rStyle w:val="Hyperlink"/>
            <w:rFonts w:ascii="Arial" w:hAnsi="Arial" w:cs="Arial"/>
            <w:i/>
            <w:sz w:val="16"/>
            <w:szCs w:val="16"/>
          </w:rPr>
          <w:t>https://www.ons.gov.uk/economy/inflationandpriceindices/bulletins/consumerpriceinflation/</w:t>
        </w:r>
      </w:hyperlink>
      <w:r w:rsidRPr="00075B93">
        <w:rPr>
          <w:rFonts w:ascii="Arial" w:hAnsi="Arial" w:cs="Arial"/>
          <w:i/>
          <w:sz w:val="16"/>
          <w:szCs w:val="16"/>
        </w:rPr>
        <w:t xml:space="preserve"> (Accessed 12.04.2026)</w:t>
      </w:r>
    </w:p>
    <w:p w14:paraId="00D1922B"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Onyebuenyi</w:t>
      </w:r>
      <w:proofErr w:type="spellEnd"/>
      <w:r w:rsidRPr="00075B93">
        <w:rPr>
          <w:rFonts w:ascii="Arial" w:hAnsi="Arial" w:cs="Arial"/>
          <w:i/>
          <w:sz w:val="16"/>
          <w:szCs w:val="16"/>
        </w:rPr>
        <w:t xml:space="preserve">, </w:t>
      </w:r>
      <w:proofErr w:type="spellStart"/>
      <w:r w:rsidRPr="00075B93">
        <w:rPr>
          <w:rFonts w:ascii="Arial" w:hAnsi="Arial" w:cs="Arial"/>
          <w:i/>
          <w:sz w:val="16"/>
          <w:szCs w:val="16"/>
        </w:rPr>
        <w:t>Ikenna</w:t>
      </w:r>
      <w:proofErr w:type="spellEnd"/>
      <w:r w:rsidRPr="00075B93">
        <w:rPr>
          <w:rFonts w:ascii="Arial" w:hAnsi="Arial" w:cs="Arial"/>
          <w:i/>
          <w:sz w:val="16"/>
          <w:szCs w:val="16"/>
        </w:rPr>
        <w:t xml:space="preserve">. (2025). STRATEGIC ANALYSIS OF NIKE: ENHANCING VALUE THROUGH FINANCIAL/STRATEGIC INVESTMENTS AND SUSTAINABILITY. 10.5281/zenodo.14977158. </w:t>
      </w:r>
    </w:p>
    <w:p w14:paraId="02E1195F"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Porter, M.E., 2008. The five competitive forces that shape strategy. Harvard business review, 86(1), p.78.</w:t>
      </w:r>
    </w:p>
    <w:p w14:paraId="10970943" w14:textId="77777777" w:rsidR="006920E1" w:rsidRPr="00075B93" w:rsidRDefault="00A9476D" w:rsidP="006920E1">
      <w:pPr>
        <w:jc w:val="both"/>
        <w:rPr>
          <w:rFonts w:ascii="Arial" w:hAnsi="Arial" w:cs="Arial"/>
          <w:i/>
          <w:sz w:val="16"/>
          <w:szCs w:val="16"/>
        </w:rPr>
      </w:pPr>
      <w:hyperlink r:id="rId26" w:history="1">
        <w:r w:rsidR="006920E1" w:rsidRPr="00075B93">
          <w:rPr>
            <w:rStyle w:val="Hyperlink"/>
            <w:rFonts w:ascii="Arial" w:hAnsi="Arial" w:cs="Arial"/>
            <w:i/>
            <w:sz w:val="16"/>
            <w:szCs w:val="16"/>
          </w:rPr>
          <w:t>https://about.nike.com/en/newsroom/releases/nike-inc-december-3-2025-senior-leadership-announcement</w:t>
        </w:r>
      </w:hyperlink>
      <w:r w:rsidR="006920E1" w:rsidRPr="00075B93">
        <w:rPr>
          <w:rFonts w:ascii="Arial" w:hAnsi="Arial" w:cs="Arial"/>
          <w:i/>
          <w:sz w:val="16"/>
          <w:szCs w:val="16"/>
        </w:rPr>
        <w:t xml:space="preserve"> (Accessed 12.04.2026)</w:t>
      </w:r>
    </w:p>
    <w:p w14:paraId="0D4B13B7"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Porter, M.E. and Kramer, M.R, (2011). Creating shared value.</w:t>
      </w:r>
    </w:p>
    <w:p w14:paraId="143FF96F"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Rothaermel</w:t>
      </w:r>
      <w:proofErr w:type="spellEnd"/>
      <w:r w:rsidRPr="00075B93">
        <w:rPr>
          <w:rFonts w:ascii="Arial" w:hAnsi="Arial" w:cs="Arial"/>
          <w:i/>
          <w:sz w:val="16"/>
          <w:szCs w:val="16"/>
        </w:rPr>
        <w:t>, F.T. (2021). Strategic Management. McGraw-Hill.</w:t>
      </w:r>
    </w:p>
    <w:p w14:paraId="7550DE04"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Research and Markets (2026) </w:t>
      </w:r>
      <w:r w:rsidRPr="00075B93">
        <w:rPr>
          <w:rFonts w:ascii="Arial" w:hAnsi="Arial" w:cs="Arial"/>
          <w:i/>
          <w:iCs/>
          <w:sz w:val="16"/>
          <w:szCs w:val="16"/>
        </w:rPr>
        <w:t>Nike Inc. Fundamental Company Report Including Financial, SWOT, Competitors and Industry Analysis</w:t>
      </w:r>
      <w:r w:rsidRPr="00075B93">
        <w:rPr>
          <w:rFonts w:ascii="Arial" w:hAnsi="Arial" w:cs="Arial"/>
          <w:i/>
          <w:sz w:val="16"/>
          <w:szCs w:val="16"/>
        </w:rPr>
        <w:t>. Available at: </w:t>
      </w:r>
      <w:hyperlink r:id="rId27" w:tgtFrame="_blank" w:history="1">
        <w:r w:rsidRPr="00075B93">
          <w:rPr>
            <w:rStyle w:val="Hyperlink"/>
            <w:rFonts w:ascii="Arial" w:hAnsi="Arial" w:cs="Arial"/>
            <w:i/>
            <w:sz w:val="16"/>
            <w:szCs w:val="16"/>
          </w:rPr>
          <w:t>www.researchandmarkets.com</w:t>
        </w:r>
      </w:hyperlink>
      <w:r w:rsidRPr="00075B93">
        <w:rPr>
          <w:rFonts w:ascii="Arial" w:hAnsi="Arial" w:cs="Arial"/>
          <w:i/>
          <w:sz w:val="16"/>
          <w:szCs w:val="16"/>
        </w:rPr>
        <w:t> (Accessed: 14 March 2026).</w:t>
      </w:r>
    </w:p>
    <w:p w14:paraId="3A623AF9"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Statista (2024) Leading Sportswear Brands in the United Kingdom by Market Share. Statista.</w:t>
      </w:r>
    </w:p>
    <w:p w14:paraId="657D39E5"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 xml:space="preserve">Sheehy, B. and </w:t>
      </w:r>
      <w:proofErr w:type="spellStart"/>
      <w:r w:rsidRPr="00075B93">
        <w:rPr>
          <w:rFonts w:ascii="Arial" w:hAnsi="Arial" w:cs="Arial"/>
          <w:i/>
          <w:sz w:val="16"/>
          <w:szCs w:val="16"/>
        </w:rPr>
        <w:t>Farneti</w:t>
      </w:r>
      <w:proofErr w:type="spellEnd"/>
      <w:r w:rsidRPr="00075B93">
        <w:rPr>
          <w:rFonts w:ascii="Arial" w:hAnsi="Arial" w:cs="Arial"/>
          <w:i/>
          <w:sz w:val="16"/>
          <w:szCs w:val="16"/>
        </w:rPr>
        <w:t xml:space="preserve">, F., 2021. Corporate social responsibility, sustainability, sustainable development and corporate sustainability: what is the difference, and does it </w:t>
      </w:r>
      <w:proofErr w:type="gramStart"/>
      <w:r w:rsidRPr="00075B93">
        <w:rPr>
          <w:rFonts w:ascii="Arial" w:hAnsi="Arial" w:cs="Arial"/>
          <w:i/>
          <w:sz w:val="16"/>
          <w:szCs w:val="16"/>
        </w:rPr>
        <w:t>matter?.</w:t>
      </w:r>
      <w:proofErr w:type="gramEnd"/>
      <w:r w:rsidRPr="00075B93">
        <w:rPr>
          <w:rFonts w:ascii="Arial" w:hAnsi="Arial" w:cs="Arial"/>
          <w:i/>
          <w:sz w:val="16"/>
          <w:szCs w:val="16"/>
        </w:rPr>
        <w:t xml:space="preserve"> Sustainability, 13(11), p.5965.</w:t>
      </w:r>
    </w:p>
    <w:p w14:paraId="1023056C" w14:textId="77777777" w:rsidR="006920E1" w:rsidRPr="00075B93" w:rsidRDefault="006920E1" w:rsidP="006920E1">
      <w:pPr>
        <w:jc w:val="both"/>
        <w:rPr>
          <w:rFonts w:ascii="Arial" w:hAnsi="Arial" w:cs="Arial"/>
          <w:i/>
          <w:sz w:val="16"/>
          <w:szCs w:val="16"/>
          <w:lang w:val="it-IT"/>
        </w:rPr>
      </w:pPr>
      <w:r w:rsidRPr="00075B93">
        <w:rPr>
          <w:rFonts w:ascii="Arial" w:hAnsi="Arial" w:cs="Arial"/>
          <w:i/>
          <w:sz w:val="16"/>
          <w:szCs w:val="16"/>
          <w:lang w:val="it-IT"/>
        </w:rPr>
        <w:t>Thompson, A. A., Strickland III, A. J., Peteraf, M., &amp; Gamble, J. (2020). Crafting &amp; Executing Strategy: The Quest for Competitive Advantage: Concepts and Cases (22nd ed., pp. 156-164). McGraw-Hill Education.</w:t>
      </w:r>
    </w:p>
    <w:p w14:paraId="2A93C40C" w14:textId="77777777" w:rsidR="006920E1" w:rsidRPr="00075B93" w:rsidRDefault="006920E1" w:rsidP="006920E1">
      <w:pPr>
        <w:jc w:val="both"/>
        <w:rPr>
          <w:rFonts w:ascii="Arial" w:hAnsi="Arial" w:cs="Arial"/>
          <w:i/>
          <w:sz w:val="16"/>
          <w:szCs w:val="16"/>
        </w:rPr>
      </w:pPr>
    </w:p>
    <w:p w14:paraId="01D4C29A"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sz w:val="16"/>
          <w:szCs w:val="16"/>
        </w:rPr>
        <w:t>Tavanti</w:t>
      </w:r>
      <w:proofErr w:type="spellEnd"/>
      <w:r w:rsidRPr="00075B93">
        <w:rPr>
          <w:rFonts w:ascii="Arial" w:hAnsi="Arial" w:cs="Arial"/>
          <w:i/>
          <w:sz w:val="16"/>
          <w:szCs w:val="16"/>
        </w:rPr>
        <w:t>, M., 2025. Corporate Social Responsibility (CSR). In Sustainability in Business Management, Volume 1: A Machine-Generated Summary Covering Foundations and Strategies (pp. 3-32). Cham: Springer Nature Switzerland.</w:t>
      </w:r>
    </w:p>
    <w:p w14:paraId="5A3A30F0" w14:textId="77777777" w:rsidR="006920E1" w:rsidRPr="00075B93" w:rsidRDefault="006920E1" w:rsidP="006920E1">
      <w:pPr>
        <w:jc w:val="both"/>
        <w:rPr>
          <w:rFonts w:ascii="Arial" w:hAnsi="Arial" w:cs="Arial"/>
          <w:i/>
          <w:sz w:val="16"/>
          <w:szCs w:val="16"/>
        </w:rPr>
      </w:pPr>
      <w:proofErr w:type="spellStart"/>
      <w:r w:rsidRPr="00075B93">
        <w:rPr>
          <w:rFonts w:ascii="Arial" w:hAnsi="Arial" w:cs="Arial"/>
          <w:i/>
          <w:color w:val="222222"/>
          <w:sz w:val="16"/>
          <w:szCs w:val="16"/>
          <w:shd w:val="clear" w:color="auto" w:fill="FFFFFF"/>
        </w:rPr>
        <w:t>Teece</w:t>
      </w:r>
      <w:proofErr w:type="spellEnd"/>
      <w:r w:rsidRPr="00075B93">
        <w:rPr>
          <w:rFonts w:ascii="Arial" w:hAnsi="Arial" w:cs="Arial"/>
          <w:i/>
          <w:color w:val="222222"/>
          <w:sz w:val="16"/>
          <w:szCs w:val="16"/>
          <w:shd w:val="clear" w:color="auto" w:fill="FFFFFF"/>
        </w:rPr>
        <w:t>, D.J., (2018). Business models and dynamic capabilities. </w:t>
      </w:r>
      <w:r w:rsidRPr="00075B93">
        <w:rPr>
          <w:rFonts w:ascii="Arial" w:hAnsi="Arial" w:cs="Arial"/>
          <w:i/>
          <w:iCs/>
          <w:color w:val="222222"/>
          <w:sz w:val="16"/>
          <w:szCs w:val="16"/>
          <w:shd w:val="clear" w:color="auto" w:fill="FFFFFF"/>
        </w:rPr>
        <w:t>Long range planning</w:t>
      </w:r>
      <w:r w:rsidRPr="00075B93">
        <w:rPr>
          <w:rFonts w:ascii="Arial" w:hAnsi="Arial" w:cs="Arial"/>
          <w:i/>
          <w:color w:val="222222"/>
          <w:sz w:val="16"/>
          <w:szCs w:val="16"/>
          <w:shd w:val="clear" w:color="auto" w:fill="FFFFFF"/>
        </w:rPr>
        <w:t>, </w:t>
      </w:r>
      <w:r w:rsidRPr="00075B93">
        <w:rPr>
          <w:rFonts w:ascii="Arial" w:hAnsi="Arial" w:cs="Arial"/>
          <w:i/>
          <w:iCs/>
          <w:color w:val="222222"/>
          <w:sz w:val="16"/>
          <w:szCs w:val="16"/>
          <w:shd w:val="clear" w:color="auto" w:fill="FFFFFF"/>
        </w:rPr>
        <w:t>51</w:t>
      </w:r>
      <w:r w:rsidRPr="00075B93">
        <w:rPr>
          <w:rFonts w:ascii="Arial" w:hAnsi="Arial" w:cs="Arial"/>
          <w:i/>
          <w:color w:val="222222"/>
          <w:sz w:val="16"/>
          <w:szCs w:val="16"/>
          <w:shd w:val="clear" w:color="auto" w:fill="FFFFFF"/>
        </w:rPr>
        <w:t>(1), pp.40-49.</w:t>
      </w:r>
    </w:p>
    <w:p w14:paraId="05743A5D"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UK Government, (2024) Guide to the UK General Data Protection Regulation (UK GDPR). GOV.UK. Available at: https://www.gov.uk/guidance/meet-the-requirements-of-data-privacy-regulations (Accessed 12.04.2026)</w:t>
      </w:r>
    </w:p>
    <w:p w14:paraId="56EFBDBA"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United Nations Environment Programme, (2023). Sustainability and Circularity in the Fashion Industry. UNEP. Available at:www.unep.org/resources/publication/sustainability-and-circularity-textile-value-chain-global-roadmap (Accessed 12.04.2026)</w:t>
      </w:r>
    </w:p>
    <w:p w14:paraId="464E6E66"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World Trade Organization, (2024) World Trade Statistical Review 2024. WTO. Available at: https://www.wto.org/english/res_e/statis_e/wts_e.htm (Accessed 12.04.2026)</w:t>
      </w:r>
    </w:p>
    <w:p w14:paraId="49EE1320" w14:textId="77777777" w:rsidR="006920E1" w:rsidRPr="00075B93" w:rsidRDefault="006920E1" w:rsidP="006920E1">
      <w:pPr>
        <w:jc w:val="both"/>
        <w:rPr>
          <w:rFonts w:ascii="Arial" w:hAnsi="Arial" w:cs="Arial"/>
          <w:i/>
          <w:sz w:val="16"/>
          <w:szCs w:val="16"/>
        </w:rPr>
      </w:pPr>
      <w:r w:rsidRPr="00075B93">
        <w:rPr>
          <w:rFonts w:ascii="Arial" w:hAnsi="Arial" w:cs="Arial"/>
          <w:i/>
          <w:sz w:val="16"/>
          <w:szCs w:val="16"/>
        </w:rPr>
        <w:t>Zhou, J., Chen, Y. and Wang, L. (2026) 'Nike China: Leader of DTC strategic transformation', </w:t>
      </w:r>
      <w:r w:rsidRPr="00075B93">
        <w:rPr>
          <w:rFonts w:ascii="Arial" w:hAnsi="Arial" w:cs="Arial"/>
          <w:i/>
          <w:iCs/>
          <w:sz w:val="16"/>
          <w:szCs w:val="16"/>
        </w:rPr>
        <w:t>Sage Business Cases</w:t>
      </w:r>
      <w:r w:rsidRPr="00075B93">
        <w:rPr>
          <w:rFonts w:ascii="Arial" w:hAnsi="Arial" w:cs="Arial"/>
          <w:i/>
          <w:sz w:val="16"/>
          <w:szCs w:val="16"/>
        </w:rPr>
        <w:t xml:space="preserve">. </w:t>
      </w:r>
      <w:proofErr w:type="spellStart"/>
      <w:r w:rsidRPr="00075B93">
        <w:rPr>
          <w:rFonts w:ascii="Arial" w:hAnsi="Arial" w:cs="Arial"/>
          <w:i/>
          <w:sz w:val="16"/>
          <w:szCs w:val="16"/>
        </w:rPr>
        <w:t>doi</w:t>
      </w:r>
      <w:proofErr w:type="spellEnd"/>
      <w:r w:rsidRPr="00075B93">
        <w:rPr>
          <w:rFonts w:ascii="Arial" w:hAnsi="Arial" w:cs="Arial"/>
          <w:i/>
          <w:sz w:val="16"/>
          <w:szCs w:val="16"/>
        </w:rPr>
        <w:t>: 10.4135/9798348849474.</w:t>
      </w:r>
    </w:p>
    <w:p w14:paraId="232474FB" w14:textId="77777777" w:rsidR="003A357E" w:rsidRPr="00075B93" w:rsidRDefault="003A357E" w:rsidP="006920E1">
      <w:pPr>
        <w:tabs>
          <w:tab w:val="left" w:pos="1650"/>
        </w:tabs>
        <w:jc w:val="both"/>
        <w:rPr>
          <w:rFonts w:ascii="Arial" w:hAnsi="Arial" w:cs="Arial"/>
          <w:sz w:val="16"/>
          <w:szCs w:val="16"/>
        </w:rPr>
      </w:pPr>
    </w:p>
    <w:p w14:paraId="26FD3D53" w14:textId="77777777" w:rsidR="00AD1802" w:rsidRPr="006920E1" w:rsidRDefault="00AD1802" w:rsidP="006920E1">
      <w:pPr>
        <w:jc w:val="both"/>
        <w:rPr>
          <w:rFonts w:ascii="Arial" w:hAnsi="Arial" w:cs="Arial"/>
          <w:sz w:val="16"/>
          <w:szCs w:val="16"/>
        </w:rPr>
      </w:pPr>
    </w:p>
    <w:p w14:paraId="588FAC58" w14:textId="012AABBE" w:rsidR="00AD1802" w:rsidRPr="006920E1" w:rsidRDefault="00AD1802" w:rsidP="006920E1">
      <w:pPr>
        <w:jc w:val="both"/>
        <w:rPr>
          <w:rFonts w:ascii="Arial" w:hAnsi="Arial" w:cs="Arial"/>
          <w:b/>
          <w:sz w:val="16"/>
          <w:szCs w:val="16"/>
        </w:rPr>
      </w:pPr>
    </w:p>
    <w:sectPr w:rsidR="00AD1802" w:rsidRPr="006920E1" w:rsidSect="00CD51DD">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FA0B32" w14:textId="77777777" w:rsidR="00A9476D" w:rsidRDefault="00A9476D" w:rsidP="00F61593">
      <w:pPr>
        <w:spacing w:after="0" w:line="240" w:lineRule="auto"/>
      </w:pPr>
      <w:r>
        <w:separator/>
      </w:r>
    </w:p>
  </w:endnote>
  <w:endnote w:type="continuationSeparator" w:id="0">
    <w:p w14:paraId="4CFBE0B0" w14:textId="77777777" w:rsidR="00A9476D" w:rsidRDefault="00A9476D" w:rsidP="00F61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8010419"/>
      <w:docPartObj>
        <w:docPartGallery w:val="Page Numbers (Bottom of Page)"/>
        <w:docPartUnique/>
      </w:docPartObj>
    </w:sdtPr>
    <w:sdtEndPr>
      <w:rPr>
        <w:color w:val="7F7F7F" w:themeColor="background1" w:themeShade="7F"/>
        <w:spacing w:val="60"/>
      </w:rPr>
    </w:sdtEndPr>
    <w:sdtContent>
      <w:p w14:paraId="587CF675" w14:textId="6537A79C" w:rsidR="00757FC5" w:rsidRDefault="00757FC5">
        <w:pPr>
          <w:pStyle w:val="Footer"/>
          <w:pBdr>
            <w:top w:val="single" w:sz="4" w:space="1" w:color="D9D9D9" w:themeColor="background1" w:themeShade="D9"/>
          </w:pBdr>
          <w:jc w:val="right"/>
        </w:pPr>
        <w:r>
          <w:fldChar w:fldCharType="begin"/>
        </w:r>
        <w:r>
          <w:instrText xml:space="preserve"> PAGE   \* MERGEFORMAT </w:instrText>
        </w:r>
        <w:r>
          <w:fldChar w:fldCharType="separate"/>
        </w:r>
        <w:r w:rsidR="00EC512A">
          <w:rPr>
            <w:noProof/>
          </w:rPr>
          <w:t>2</w:t>
        </w:r>
        <w:r>
          <w:rPr>
            <w:noProof/>
          </w:rPr>
          <w:fldChar w:fldCharType="end"/>
        </w:r>
        <w:r>
          <w:t xml:space="preserve"> | </w:t>
        </w:r>
        <w:r>
          <w:rPr>
            <w:color w:val="7F7F7F" w:themeColor="background1" w:themeShade="7F"/>
            <w:spacing w:val="60"/>
          </w:rPr>
          <w:t>Page</w:t>
        </w:r>
      </w:p>
    </w:sdtContent>
  </w:sdt>
  <w:p w14:paraId="71B98DBE" w14:textId="77777777" w:rsidR="00757FC5" w:rsidRDefault="00757F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A8EAE6" w14:textId="77777777" w:rsidR="00A9476D" w:rsidRDefault="00A9476D" w:rsidP="00F61593">
      <w:pPr>
        <w:spacing w:after="0" w:line="240" w:lineRule="auto"/>
      </w:pPr>
      <w:r>
        <w:separator/>
      </w:r>
    </w:p>
  </w:footnote>
  <w:footnote w:type="continuationSeparator" w:id="0">
    <w:p w14:paraId="7B2D0170" w14:textId="77777777" w:rsidR="00A9476D" w:rsidRDefault="00A9476D" w:rsidP="00F615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rect id="_x0000_i1027" style="width:0;height:.75pt" o:hralign="center" o:bullet="t" o:hrstd="t" o:hr="t" fillcolor="#a0a0a0" stroked="f"/>
    </w:pict>
  </w:numPicBullet>
  <w:abstractNum w:abstractNumId="0" w15:restartNumberingAfterBreak="0">
    <w:nsid w:val="00086F29"/>
    <w:multiLevelType w:val="multilevel"/>
    <w:tmpl w:val="B25E4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637ECE"/>
    <w:multiLevelType w:val="multilevel"/>
    <w:tmpl w:val="DCD0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844D9"/>
    <w:multiLevelType w:val="multilevel"/>
    <w:tmpl w:val="EC680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D3CEB"/>
    <w:multiLevelType w:val="multilevel"/>
    <w:tmpl w:val="8E26C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B3620C"/>
    <w:multiLevelType w:val="multilevel"/>
    <w:tmpl w:val="703AE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A8102A"/>
    <w:multiLevelType w:val="multilevel"/>
    <w:tmpl w:val="76783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32385B"/>
    <w:multiLevelType w:val="multilevel"/>
    <w:tmpl w:val="66C4D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AD5414"/>
    <w:multiLevelType w:val="multilevel"/>
    <w:tmpl w:val="8DCA0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10B88"/>
    <w:multiLevelType w:val="multilevel"/>
    <w:tmpl w:val="46DAA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81469F"/>
    <w:multiLevelType w:val="multilevel"/>
    <w:tmpl w:val="066EE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442712"/>
    <w:multiLevelType w:val="multilevel"/>
    <w:tmpl w:val="1CD8E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3B68FB"/>
    <w:multiLevelType w:val="multilevel"/>
    <w:tmpl w:val="77987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397B30"/>
    <w:multiLevelType w:val="multilevel"/>
    <w:tmpl w:val="72188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A83152"/>
    <w:multiLevelType w:val="multilevel"/>
    <w:tmpl w:val="C972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AC4AC2"/>
    <w:multiLevelType w:val="multilevel"/>
    <w:tmpl w:val="65F00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085A58"/>
    <w:multiLevelType w:val="multilevel"/>
    <w:tmpl w:val="6E029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CC15D3"/>
    <w:multiLevelType w:val="multilevel"/>
    <w:tmpl w:val="CC42B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D41E81"/>
    <w:multiLevelType w:val="multilevel"/>
    <w:tmpl w:val="EAE01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E94082"/>
    <w:multiLevelType w:val="multilevel"/>
    <w:tmpl w:val="090C8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810310"/>
    <w:multiLevelType w:val="multilevel"/>
    <w:tmpl w:val="6C707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17A4B8A"/>
    <w:multiLevelType w:val="hybridMultilevel"/>
    <w:tmpl w:val="6828429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1" w15:restartNumberingAfterBreak="0">
    <w:nsid w:val="337413FF"/>
    <w:multiLevelType w:val="multilevel"/>
    <w:tmpl w:val="BCEC5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EC2AB0"/>
    <w:multiLevelType w:val="multilevel"/>
    <w:tmpl w:val="A0B0F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04721F"/>
    <w:multiLevelType w:val="multilevel"/>
    <w:tmpl w:val="A3080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132EE1"/>
    <w:multiLevelType w:val="multilevel"/>
    <w:tmpl w:val="5C603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185CEB"/>
    <w:multiLevelType w:val="multilevel"/>
    <w:tmpl w:val="C284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E73EF8"/>
    <w:multiLevelType w:val="multilevel"/>
    <w:tmpl w:val="E49A7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791B9E"/>
    <w:multiLevelType w:val="multilevel"/>
    <w:tmpl w:val="7A7C6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D667EB"/>
    <w:multiLevelType w:val="multilevel"/>
    <w:tmpl w:val="F3BCF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F502F8"/>
    <w:multiLevelType w:val="multilevel"/>
    <w:tmpl w:val="1CF07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56A189B"/>
    <w:multiLevelType w:val="multilevel"/>
    <w:tmpl w:val="73D05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730DDD"/>
    <w:multiLevelType w:val="multilevel"/>
    <w:tmpl w:val="0380A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50171E"/>
    <w:multiLevelType w:val="multilevel"/>
    <w:tmpl w:val="F9E6B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A99608E"/>
    <w:multiLevelType w:val="multilevel"/>
    <w:tmpl w:val="AA0E46EC"/>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FC0DA4"/>
    <w:multiLevelType w:val="multilevel"/>
    <w:tmpl w:val="F7EA8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1640D13"/>
    <w:multiLevelType w:val="multilevel"/>
    <w:tmpl w:val="74846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057CE6"/>
    <w:multiLevelType w:val="multilevel"/>
    <w:tmpl w:val="92D6A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3E17E0E"/>
    <w:multiLevelType w:val="multilevel"/>
    <w:tmpl w:val="5A909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054621"/>
    <w:multiLevelType w:val="multilevel"/>
    <w:tmpl w:val="64C67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7363DE4"/>
    <w:multiLevelType w:val="multilevel"/>
    <w:tmpl w:val="12A6C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562DA6"/>
    <w:multiLevelType w:val="multilevel"/>
    <w:tmpl w:val="D1649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A62CFA"/>
    <w:multiLevelType w:val="multilevel"/>
    <w:tmpl w:val="40B84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EEF147D"/>
    <w:multiLevelType w:val="multilevel"/>
    <w:tmpl w:val="52001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B47787"/>
    <w:multiLevelType w:val="multilevel"/>
    <w:tmpl w:val="8430B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FC2CE6"/>
    <w:multiLevelType w:val="hybridMultilevel"/>
    <w:tmpl w:val="3AA0602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5" w15:restartNumberingAfterBreak="0">
    <w:nsid w:val="7CF46A32"/>
    <w:multiLevelType w:val="multilevel"/>
    <w:tmpl w:val="8520C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4B593E"/>
    <w:multiLevelType w:val="hybridMultilevel"/>
    <w:tmpl w:val="F22AE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29"/>
  </w:num>
  <w:num w:numId="3">
    <w:abstractNumId w:val="26"/>
  </w:num>
  <w:num w:numId="4">
    <w:abstractNumId w:val="39"/>
  </w:num>
  <w:num w:numId="5">
    <w:abstractNumId w:val="33"/>
  </w:num>
  <w:num w:numId="6">
    <w:abstractNumId w:val="13"/>
  </w:num>
  <w:num w:numId="7">
    <w:abstractNumId w:val="24"/>
  </w:num>
  <w:num w:numId="8">
    <w:abstractNumId w:val="14"/>
  </w:num>
  <w:num w:numId="9">
    <w:abstractNumId w:val="1"/>
  </w:num>
  <w:num w:numId="10">
    <w:abstractNumId w:val="42"/>
  </w:num>
  <w:num w:numId="11">
    <w:abstractNumId w:val="31"/>
  </w:num>
  <w:num w:numId="12">
    <w:abstractNumId w:val="45"/>
  </w:num>
  <w:num w:numId="13">
    <w:abstractNumId w:val="22"/>
  </w:num>
  <w:num w:numId="14">
    <w:abstractNumId w:val="20"/>
  </w:num>
  <w:num w:numId="15">
    <w:abstractNumId w:val="37"/>
  </w:num>
  <w:num w:numId="16">
    <w:abstractNumId w:val="18"/>
  </w:num>
  <w:num w:numId="17">
    <w:abstractNumId w:val="41"/>
  </w:num>
  <w:num w:numId="18">
    <w:abstractNumId w:val="3"/>
  </w:num>
  <w:num w:numId="19">
    <w:abstractNumId w:val="10"/>
  </w:num>
  <w:num w:numId="20">
    <w:abstractNumId w:val="35"/>
  </w:num>
  <w:num w:numId="21">
    <w:abstractNumId w:val="30"/>
  </w:num>
  <w:num w:numId="22">
    <w:abstractNumId w:val="38"/>
  </w:num>
  <w:num w:numId="23">
    <w:abstractNumId w:val="19"/>
  </w:num>
  <w:num w:numId="24">
    <w:abstractNumId w:val="0"/>
  </w:num>
  <w:num w:numId="25">
    <w:abstractNumId w:val="6"/>
  </w:num>
  <w:num w:numId="26">
    <w:abstractNumId w:val="21"/>
  </w:num>
  <w:num w:numId="27">
    <w:abstractNumId w:val="9"/>
  </w:num>
  <w:num w:numId="28">
    <w:abstractNumId w:val="15"/>
  </w:num>
  <w:num w:numId="29">
    <w:abstractNumId w:val="27"/>
  </w:num>
  <w:num w:numId="30">
    <w:abstractNumId w:val="25"/>
  </w:num>
  <w:num w:numId="31">
    <w:abstractNumId w:val="23"/>
  </w:num>
  <w:num w:numId="32">
    <w:abstractNumId w:val="17"/>
  </w:num>
  <w:num w:numId="33">
    <w:abstractNumId w:val="5"/>
  </w:num>
  <w:num w:numId="34">
    <w:abstractNumId w:val="2"/>
  </w:num>
  <w:num w:numId="35">
    <w:abstractNumId w:val="8"/>
  </w:num>
  <w:num w:numId="36">
    <w:abstractNumId w:val="12"/>
  </w:num>
  <w:num w:numId="37">
    <w:abstractNumId w:val="36"/>
  </w:num>
  <w:num w:numId="38">
    <w:abstractNumId w:val="34"/>
  </w:num>
  <w:num w:numId="39">
    <w:abstractNumId w:val="4"/>
  </w:num>
  <w:num w:numId="40">
    <w:abstractNumId w:val="40"/>
  </w:num>
  <w:num w:numId="41">
    <w:abstractNumId w:val="16"/>
  </w:num>
  <w:num w:numId="42">
    <w:abstractNumId w:val="44"/>
  </w:num>
  <w:num w:numId="43">
    <w:abstractNumId w:val="28"/>
  </w:num>
  <w:num w:numId="44">
    <w:abstractNumId w:val="7"/>
  </w:num>
  <w:num w:numId="45">
    <w:abstractNumId w:val="43"/>
  </w:num>
  <w:num w:numId="46">
    <w:abstractNumId w:val="32"/>
  </w:num>
  <w:num w:numId="47">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1ECF"/>
    <w:rsid w:val="00004716"/>
    <w:rsid w:val="00016732"/>
    <w:rsid w:val="00031A18"/>
    <w:rsid w:val="00075B93"/>
    <w:rsid w:val="00077B3F"/>
    <w:rsid w:val="00083E5F"/>
    <w:rsid w:val="00090423"/>
    <w:rsid w:val="0009642D"/>
    <w:rsid w:val="000A4762"/>
    <w:rsid w:val="000A6F8A"/>
    <w:rsid w:val="000E244E"/>
    <w:rsid w:val="000F0FF8"/>
    <w:rsid w:val="000F61E7"/>
    <w:rsid w:val="0010003E"/>
    <w:rsid w:val="00104B43"/>
    <w:rsid w:val="0012362B"/>
    <w:rsid w:val="001330B0"/>
    <w:rsid w:val="00143ADD"/>
    <w:rsid w:val="001473CC"/>
    <w:rsid w:val="00150B11"/>
    <w:rsid w:val="00152AF1"/>
    <w:rsid w:val="001918CE"/>
    <w:rsid w:val="00191A21"/>
    <w:rsid w:val="001F3E79"/>
    <w:rsid w:val="002000A2"/>
    <w:rsid w:val="00263EDA"/>
    <w:rsid w:val="00275AFC"/>
    <w:rsid w:val="00282DCA"/>
    <w:rsid w:val="00286BC8"/>
    <w:rsid w:val="002A10BF"/>
    <w:rsid w:val="002B3029"/>
    <w:rsid w:val="002B4B9F"/>
    <w:rsid w:val="002E543A"/>
    <w:rsid w:val="002F4857"/>
    <w:rsid w:val="0031078A"/>
    <w:rsid w:val="00312EE1"/>
    <w:rsid w:val="0034453C"/>
    <w:rsid w:val="00371BA6"/>
    <w:rsid w:val="003726FE"/>
    <w:rsid w:val="003A357E"/>
    <w:rsid w:val="003C75C7"/>
    <w:rsid w:val="003D7F30"/>
    <w:rsid w:val="00414798"/>
    <w:rsid w:val="00427D4F"/>
    <w:rsid w:val="004342C6"/>
    <w:rsid w:val="00485ED6"/>
    <w:rsid w:val="0049047A"/>
    <w:rsid w:val="00497654"/>
    <w:rsid w:val="004A1F7D"/>
    <w:rsid w:val="004B7501"/>
    <w:rsid w:val="004C2376"/>
    <w:rsid w:val="004C3A79"/>
    <w:rsid w:val="004D026C"/>
    <w:rsid w:val="004D4CC3"/>
    <w:rsid w:val="004F4F62"/>
    <w:rsid w:val="005055D6"/>
    <w:rsid w:val="00534837"/>
    <w:rsid w:val="00541DDF"/>
    <w:rsid w:val="0057652E"/>
    <w:rsid w:val="00584791"/>
    <w:rsid w:val="00590A91"/>
    <w:rsid w:val="005A29E7"/>
    <w:rsid w:val="005A69E4"/>
    <w:rsid w:val="005B3FE0"/>
    <w:rsid w:val="005C10E0"/>
    <w:rsid w:val="005C41C2"/>
    <w:rsid w:val="005F77CB"/>
    <w:rsid w:val="0061379A"/>
    <w:rsid w:val="00647EB4"/>
    <w:rsid w:val="00656D37"/>
    <w:rsid w:val="006715A2"/>
    <w:rsid w:val="0068520D"/>
    <w:rsid w:val="006920E1"/>
    <w:rsid w:val="006B6535"/>
    <w:rsid w:val="006D6D28"/>
    <w:rsid w:val="006E17D1"/>
    <w:rsid w:val="006E314A"/>
    <w:rsid w:val="006F7C47"/>
    <w:rsid w:val="00704F9D"/>
    <w:rsid w:val="00727BB4"/>
    <w:rsid w:val="00757FC5"/>
    <w:rsid w:val="007A7F3E"/>
    <w:rsid w:val="007B615E"/>
    <w:rsid w:val="007C66D5"/>
    <w:rsid w:val="007D3611"/>
    <w:rsid w:val="007E00A8"/>
    <w:rsid w:val="007F2C92"/>
    <w:rsid w:val="00800635"/>
    <w:rsid w:val="00801BDF"/>
    <w:rsid w:val="008033DF"/>
    <w:rsid w:val="00846D20"/>
    <w:rsid w:val="008A6A7B"/>
    <w:rsid w:val="008B3803"/>
    <w:rsid w:val="008B6328"/>
    <w:rsid w:val="00902C66"/>
    <w:rsid w:val="00916092"/>
    <w:rsid w:val="00923AC6"/>
    <w:rsid w:val="00927583"/>
    <w:rsid w:val="00927DF6"/>
    <w:rsid w:val="009457A2"/>
    <w:rsid w:val="00962265"/>
    <w:rsid w:val="00972C6F"/>
    <w:rsid w:val="00A4120A"/>
    <w:rsid w:val="00A706CC"/>
    <w:rsid w:val="00A9476D"/>
    <w:rsid w:val="00A952FC"/>
    <w:rsid w:val="00AB27F9"/>
    <w:rsid w:val="00AC42B0"/>
    <w:rsid w:val="00AD08DA"/>
    <w:rsid w:val="00AD11A0"/>
    <w:rsid w:val="00AD1802"/>
    <w:rsid w:val="00AD75D5"/>
    <w:rsid w:val="00B94285"/>
    <w:rsid w:val="00BC669F"/>
    <w:rsid w:val="00BF50CA"/>
    <w:rsid w:val="00BF5980"/>
    <w:rsid w:val="00C17C57"/>
    <w:rsid w:val="00C242AD"/>
    <w:rsid w:val="00C3054F"/>
    <w:rsid w:val="00C36A05"/>
    <w:rsid w:val="00C56CAF"/>
    <w:rsid w:val="00C62F67"/>
    <w:rsid w:val="00C839F4"/>
    <w:rsid w:val="00CA6021"/>
    <w:rsid w:val="00CB21C6"/>
    <w:rsid w:val="00CB28DA"/>
    <w:rsid w:val="00CB3784"/>
    <w:rsid w:val="00CD51DD"/>
    <w:rsid w:val="00CE6C33"/>
    <w:rsid w:val="00CF0B37"/>
    <w:rsid w:val="00D07120"/>
    <w:rsid w:val="00D14863"/>
    <w:rsid w:val="00D161FF"/>
    <w:rsid w:val="00D3119A"/>
    <w:rsid w:val="00D54DA1"/>
    <w:rsid w:val="00D56A49"/>
    <w:rsid w:val="00D61F00"/>
    <w:rsid w:val="00D83773"/>
    <w:rsid w:val="00D868C1"/>
    <w:rsid w:val="00D93E6C"/>
    <w:rsid w:val="00D95891"/>
    <w:rsid w:val="00DA0A5D"/>
    <w:rsid w:val="00DB4DA1"/>
    <w:rsid w:val="00DC01C3"/>
    <w:rsid w:val="00DE59BA"/>
    <w:rsid w:val="00E41ECF"/>
    <w:rsid w:val="00E43861"/>
    <w:rsid w:val="00E5215D"/>
    <w:rsid w:val="00E71FBC"/>
    <w:rsid w:val="00E744DA"/>
    <w:rsid w:val="00E84778"/>
    <w:rsid w:val="00EB3AEE"/>
    <w:rsid w:val="00EC0E4D"/>
    <w:rsid w:val="00EC512A"/>
    <w:rsid w:val="00EE7E17"/>
    <w:rsid w:val="00F03ADB"/>
    <w:rsid w:val="00F053C3"/>
    <w:rsid w:val="00F06DCF"/>
    <w:rsid w:val="00F07E0A"/>
    <w:rsid w:val="00F30403"/>
    <w:rsid w:val="00F46C4C"/>
    <w:rsid w:val="00F57492"/>
    <w:rsid w:val="00F574A1"/>
    <w:rsid w:val="00F61593"/>
    <w:rsid w:val="00F806DC"/>
    <w:rsid w:val="00F912A0"/>
    <w:rsid w:val="00FB1C52"/>
    <w:rsid w:val="00FD5398"/>
    <w:rsid w:val="00FF4D9E"/>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1C6A3"/>
  <w15:chartTrackingRefBased/>
  <w15:docId w15:val="{8976548B-2698-4D87-AB7B-E95E432B3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MY"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D51DD"/>
    <w:pPr>
      <w:keepNext/>
      <w:keepLines/>
      <w:spacing w:before="360" w:after="80"/>
      <w:outlineLvl w:val="0"/>
    </w:pPr>
    <w:rPr>
      <w:rFonts w:ascii="Arial" w:eastAsiaTheme="majorEastAsia" w:hAnsi="Arial" w:cstheme="majorBidi"/>
      <w:b/>
      <w:sz w:val="32"/>
      <w:szCs w:val="40"/>
    </w:rPr>
  </w:style>
  <w:style w:type="paragraph" w:styleId="Heading2">
    <w:name w:val="heading 2"/>
    <w:basedOn w:val="Normal"/>
    <w:next w:val="Normal"/>
    <w:link w:val="Heading2Char"/>
    <w:uiPriority w:val="9"/>
    <w:unhideWhenUsed/>
    <w:qFormat/>
    <w:rsid w:val="00CD51DD"/>
    <w:pPr>
      <w:keepNext/>
      <w:keepLines/>
      <w:spacing w:before="160" w:after="80"/>
      <w:outlineLvl w:val="1"/>
    </w:pPr>
    <w:rPr>
      <w:rFonts w:ascii="Arial" w:eastAsiaTheme="majorEastAsia" w:hAnsi="Arial" w:cstheme="majorBidi"/>
      <w:b/>
      <w:sz w:val="28"/>
      <w:szCs w:val="32"/>
    </w:rPr>
  </w:style>
  <w:style w:type="paragraph" w:styleId="Heading3">
    <w:name w:val="heading 3"/>
    <w:basedOn w:val="Normal"/>
    <w:next w:val="Normal"/>
    <w:link w:val="Heading3Char"/>
    <w:uiPriority w:val="9"/>
    <w:unhideWhenUsed/>
    <w:qFormat/>
    <w:rsid w:val="00CD51DD"/>
    <w:pPr>
      <w:keepNext/>
      <w:keepLines/>
      <w:spacing w:before="160" w:after="80"/>
      <w:outlineLvl w:val="2"/>
    </w:pPr>
    <w:rPr>
      <w:rFonts w:ascii="Arial" w:eastAsiaTheme="majorEastAsia" w:hAnsi="Arial" w:cstheme="majorBidi"/>
      <w:b/>
      <w:szCs w:val="28"/>
    </w:rPr>
  </w:style>
  <w:style w:type="paragraph" w:styleId="Heading4">
    <w:name w:val="heading 4"/>
    <w:basedOn w:val="Normal"/>
    <w:next w:val="Normal"/>
    <w:link w:val="Heading4Char"/>
    <w:uiPriority w:val="9"/>
    <w:semiHidden/>
    <w:unhideWhenUsed/>
    <w:qFormat/>
    <w:rsid w:val="00E41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1DD"/>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CD51DD"/>
    <w:rPr>
      <w:rFonts w:ascii="Arial" w:eastAsiaTheme="majorEastAsia" w:hAnsi="Arial" w:cstheme="majorBidi"/>
      <w:b/>
      <w:sz w:val="28"/>
      <w:szCs w:val="32"/>
    </w:rPr>
  </w:style>
  <w:style w:type="character" w:customStyle="1" w:styleId="Heading3Char">
    <w:name w:val="Heading 3 Char"/>
    <w:basedOn w:val="DefaultParagraphFont"/>
    <w:link w:val="Heading3"/>
    <w:uiPriority w:val="9"/>
    <w:rsid w:val="00CD51DD"/>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E41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ECF"/>
    <w:rPr>
      <w:rFonts w:eastAsiaTheme="majorEastAsia" w:cstheme="majorBidi"/>
      <w:color w:val="272727" w:themeColor="text1" w:themeTint="D8"/>
    </w:rPr>
  </w:style>
  <w:style w:type="paragraph" w:styleId="Title">
    <w:name w:val="Title"/>
    <w:basedOn w:val="Normal"/>
    <w:next w:val="Normal"/>
    <w:link w:val="TitleChar"/>
    <w:uiPriority w:val="10"/>
    <w:qFormat/>
    <w:rsid w:val="00E41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ECF"/>
    <w:pPr>
      <w:spacing w:before="160"/>
      <w:jc w:val="center"/>
    </w:pPr>
    <w:rPr>
      <w:i/>
      <w:iCs/>
      <w:color w:val="404040" w:themeColor="text1" w:themeTint="BF"/>
    </w:rPr>
  </w:style>
  <w:style w:type="character" w:customStyle="1" w:styleId="QuoteChar">
    <w:name w:val="Quote Char"/>
    <w:basedOn w:val="DefaultParagraphFont"/>
    <w:link w:val="Quote"/>
    <w:uiPriority w:val="29"/>
    <w:rsid w:val="00E41ECF"/>
    <w:rPr>
      <w:i/>
      <w:iCs/>
      <w:color w:val="404040" w:themeColor="text1" w:themeTint="BF"/>
    </w:rPr>
  </w:style>
  <w:style w:type="paragraph" w:styleId="ListParagraph">
    <w:name w:val="List Paragraph"/>
    <w:basedOn w:val="Normal"/>
    <w:uiPriority w:val="34"/>
    <w:qFormat/>
    <w:rsid w:val="00E41ECF"/>
    <w:pPr>
      <w:ind w:left="720"/>
      <w:contextualSpacing/>
    </w:pPr>
  </w:style>
  <w:style w:type="character" w:styleId="IntenseEmphasis">
    <w:name w:val="Intense Emphasis"/>
    <w:basedOn w:val="DefaultParagraphFont"/>
    <w:uiPriority w:val="21"/>
    <w:qFormat/>
    <w:rsid w:val="00E41ECF"/>
    <w:rPr>
      <w:i/>
      <w:iCs/>
      <w:color w:val="0F4761" w:themeColor="accent1" w:themeShade="BF"/>
    </w:rPr>
  </w:style>
  <w:style w:type="paragraph" w:styleId="IntenseQuote">
    <w:name w:val="Intense Quote"/>
    <w:basedOn w:val="Normal"/>
    <w:next w:val="Normal"/>
    <w:link w:val="IntenseQuoteChar"/>
    <w:uiPriority w:val="30"/>
    <w:qFormat/>
    <w:rsid w:val="00E41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ECF"/>
    <w:rPr>
      <w:i/>
      <w:iCs/>
      <w:color w:val="0F4761" w:themeColor="accent1" w:themeShade="BF"/>
    </w:rPr>
  </w:style>
  <w:style w:type="character" w:styleId="IntenseReference">
    <w:name w:val="Intense Reference"/>
    <w:basedOn w:val="DefaultParagraphFont"/>
    <w:uiPriority w:val="32"/>
    <w:qFormat/>
    <w:rsid w:val="00E41ECF"/>
    <w:rPr>
      <w:b/>
      <w:bCs/>
      <w:smallCaps/>
      <w:color w:val="0F4761" w:themeColor="accent1" w:themeShade="BF"/>
      <w:spacing w:val="5"/>
    </w:rPr>
  </w:style>
  <w:style w:type="character" w:styleId="Hyperlink">
    <w:name w:val="Hyperlink"/>
    <w:basedOn w:val="DefaultParagraphFont"/>
    <w:uiPriority w:val="99"/>
    <w:unhideWhenUsed/>
    <w:rsid w:val="00090423"/>
    <w:rPr>
      <w:color w:val="467886" w:themeColor="hyperlink"/>
      <w:u w:val="single"/>
    </w:rPr>
  </w:style>
  <w:style w:type="character" w:customStyle="1" w:styleId="UnresolvedMention">
    <w:name w:val="Unresolved Mention"/>
    <w:basedOn w:val="DefaultParagraphFont"/>
    <w:uiPriority w:val="99"/>
    <w:semiHidden/>
    <w:unhideWhenUsed/>
    <w:rsid w:val="00090423"/>
    <w:rPr>
      <w:color w:val="605E5C"/>
      <w:shd w:val="clear" w:color="auto" w:fill="E1DFDD"/>
    </w:rPr>
  </w:style>
  <w:style w:type="paragraph" w:styleId="TOCHeading">
    <w:name w:val="TOC Heading"/>
    <w:basedOn w:val="Heading1"/>
    <w:next w:val="Normal"/>
    <w:uiPriority w:val="39"/>
    <w:unhideWhenUsed/>
    <w:qFormat/>
    <w:rsid w:val="00846D20"/>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846D20"/>
    <w:pPr>
      <w:spacing w:after="100"/>
    </w:pPr>
  </w:style>
  <w:style w:type="paragraph" w:styleId="TOC2">
    <w:name w:val="toc 2"/>
    <w:basedOn w:val="Normal"/>
    <w:next w:val="Normal"/>
    <w:autoRedefine/>
    <w:uiPriority w:val="39"/>
    <w:unhideWhenUsed/>
    <w:rsid w:val="00846D20"/>
    <w:pPr>
      <w:spacing w:after="100"/>
      <w:ind w:left="240"/>
    </w:pPr>
  </w:style>
  <w:style w:type="character" w:styleId="FollowedHyperlink">
    <w:name w:val="FollowedHyperlink"/>
    <w:basedOn w:val="DefaultParagraphFont"/>
    <w:uiPriority w:val="99"/>
    <w:semiHidden/>
    <w:unhideWhenUsed/>
    <w:rsid w:val="005A69E4"/>
    <w:rPr>
      <w:color w:val="96607D" w:themeColor="followedHyperlink"/>
      <w:u w:val="single"/>
    </w:rPr>
  </w:style>
  <w:style w:type="table" w:styleId="TableGrid">
    <w:name w:val="Table Grid"/>
    <w:basedOn w:val="TableNormal"/>
    <w:uiPriority w:val="39"/>
    <w:rsid w:val="00AD08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s-markdown-paragraph">
    <w:name w:val="ds-markdown-paragraph"/>
    <w:basedOn w:val="Normal"/>
    <w:rsid w:val="00414798"/>
    <w:pPr>
      <w:spacing w:before="100" w:beforeAutospacing="1" w:after="100" w:afterAutospacing="1" w:line="240" w:lineRule="auto"/>
    </w:pPr>
    <w:rPr>
      <w:rFonts w:ascii="Times New Roman" w:eastAsia="Times New Roman" w:hAnsi="Times New Roman" w:cs="Times New Roman"/>
      <w:kern w:val="0"/>
      <w:lang w:eastAsia="en-MY"/>
      <w14:ligatures w14:val="none"/>
    </w:rPr>
  </w:style>
  <w:style w:type="character" w:styleId="Strong">
    <w:name w:val="Strong"/>
    <w:basedOn w:val="DefaultParagraphFont"/>
    <w:uiPriority w:val="22"/>
    <w:qFormat/>
    <w:rsid w:val="005C10E0"/>
    <w:rPr>
      <w:b/>
      <w:bCs/>
    </w:rPr>
  </w:style>
  <w:style w:type="paragraph" w:styleId="Header">
    <w:name w:val="header"/>
    <w:basedOn w:val="Normal"/>
    <w:link w:val="HeaderChar"/>
    <w:uiPriority w:val="99"/>
    <w:unhideWhenUsed/>
    <w:rsid w:val="00F615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1593"/>
  </w:style>
  <w:style w:type="paragraph" w:styleId="Footer">
    <w:name w:val="footer"/>
    <w:basedOn w:val="Normal"/>
    <w:link w:val="FooterChar"/>
    <w:uiPriority w:val="99"/>
    <w:unhideWhenUsed/>
    <w:rsid w:val="00F615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1593"/>
  </w:style>
  <w:style w:type="character" w:customStyle="1" w:styleId="whitespace-normal">
    <w:name w:val="whitespace-normal"/>
    <w:basedOn w:val="DefaultParagraphFont"/>
    <w:rsid w:val="007D3611"/>
  </w:style>
  <w:style w:type="paragraph" w:styleId="TOC3">
    <w:name w:val="toc 3"/>
    <w:basedOn w:val="Normal"/>
    <w:next w:val="Normal"/>
    <w:autoRedefine/>
    <w:uiPriority w:val="39"/>
    <w:unhideWhenUsed/>
    <w:rsid w:val="00590A9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990763">
      <w:bodyDiv w:val="1"/>
      <w:marLeft w:val="0"/>
      <w:marRight w:val="0"/>
      <w:marTop w:val="0"/>
      <w:marBottom w:val="0"/>
      <w:divBdr>
        <w:top w:val="none" w:sz="0" w:space="0" w:color="auto"/>
        <w:left w:val="none" w:sz="0" w:space="0" w:color="auto"/>
        <w:bottom w:val="none" w:sz="0" w:space="0" w:color="auto"/>
        <w:right w:val="none" w:sz="0" w:space="0" w:color="auto"/>
      </w:divBdr>
    </w:div>
    <w:div w:id="616301107">
      <w:bodyDiv w:val="1"/>
      <w:marLeft w:val="0"/>
      <w:marRight w:val="0"/>
      <w:marTop w:val="0"/>
      <w:marBottom w:val="0"/>
      <w:divBdr>
        <w:top w:val="none" w:sz="0" w:space="0" w:color="auto"/>
        <w:left w:val="none" w:sz="0" w:space="0" w:color="auto"/>
        <w:bottom w:val="none" w:sz="0" w:space="0" w:color="auto"/>
        <w:right w:val="none" w:sz="0" w:space="0" w:color="auto"/>
      </w:divBdr>
    </w:div>
    <w:div w:id="716781838">
      <w:bodyDiv w:val="1"/>
      <w:marLeft w:val="0"/>
      <w:marRight w:val="0"/>
      <w:marTop w:val="0"/>
      <w:marBottom w:val="0"/>
      <w:divBdr>
        <w:top w:val="none" w:sz="0" w:space="0" w:color="auto"/>
        <w:left w:val="none" w:sz="0" w:space="0" w:color="auto"/>
        <w:bottom w:val="none" w:sz="0" w:space="0" w:color="auto"/>
        <w:right w:val="none" w:sz="0" w:space="0" w:color="auto"/>
      </w:divBdr>
    </w:div>
    <w:div w:id="795752665">
      <w:bodyDiv w:val="1"/>
      <w:marLeft w:val="0"/>
      <w:marRight w:val="0"/>
      <w:marTop w:val="0"/>
      <w:marBottom w:val="0"/>
      <w:divBdr>
        <w:top w:val="none" w:sz="0" w:space="0" w:color="auto"/>
        <w:left w:val="none" w:sz="0" w:space="0" w:color="auto"/>
        <w:bottom w:val="none" w:sz="0" w:space="0" w:color="auto"/>
        <w:right w:val="none" w:sz="0" w:space="0" w:color="auto"/>
      </w:divBdr>
    </w:div>
    <w:div w:id="986010006">
      <w:bodyDiv w:val="1"/>
      <w:marLeft w:val="0"/>
      <w:marRight w:val="0"/>
      <w:marTop w:val="0"/>
      <w:marBottom w:val="0"/>
      <w:divBdr>
        <w:top w:val="none" w:sz="0" w:space="0" w:color="auto"/>
        <w:left w:val="none" w:sz="0" w:space="0" w:color="auto"/>
        <w:bottom w:val="none" w:sz="0" w:space="0" w:color="auto"/>
        <w:right w:val="none" w:sz="0" w:space="0" w:color="auto"/>
      </w:divBdr>
    </w:div>
    <w:div w:id="1002389954">
      <w:bodyDiv w:val="1"/>
      <w:marLeft w:val="0"/>
      <w:marRight w:val="0"/>
      <w:marTop w:val="0"/>
      <w:marBottom w:val="0"/>
      <w:divBdr>
        <w:top w:val="none" w:sz="0" w:space="0" w:color="auto"/>
        <w:left w:val="none" w:sz="0" w:space="0" w:color="auto"/>
        <w:bottom w:val="none" w:sz="0" w:space="0" w:color="auto"/>
        <w:right w:val="none" w:sz="0" w:space="0" w:color="auto"/>
      </w:divBdr>
    </w:div>
    <w:div w:id="1302660184">
      <w:bodyDiv w:val="1"/>
      <w:marLeft w:val="0"/>
      <w:marRight w:val="0"/>
      <w:marTop w:val="0"/>
      <w:marBottom w:val="0"/>
      <w:divBdr>
        <w:top w:val="none" w:sz="0" w:space="0" w:color="auto"/>
        <w:left w:val="none" w:sz="0" w:space="0" w:color="auto"/>
        <w:bottom w:val="none" w:sz="0" w:space="0" w:color="auto"/>
        <w:right w:val="none" w:sz="0" w:space="0" w:color="auto"/>
      </w:divBdr>
      <w:divsChild>
        <w:div w:id="771630071">
          <w:marLeft w:val="0"/>
          <w:marRight w:val="0"/>
          <w:marTop w:val="0"/>
          <w:marBottom w:val="0"/>
          <w:divBdr>
            <w:top w:val="none" w:sz="0" w:space="0" w:color="auto"/>
            <w:left w:val="none" w:sz="0" w:space="0" w:color="auto"/>
            <w:bottom w:val="none" w:sz="0" w:space="0" w:color="auto"/>
            <w:right w:val="none" w:sz="0" w:space="0" w:color="auto"/>
          </w:divBdr>
          <w:divsChild>
            <w:div w:id="364407993">
              <w:marLeft w:val="0"/>
              <w:marRight w:val="0"/>
              <w:marTop w:val="0"/>
              <w:marBottom w:val="0"/>
              <w:divBdr>
                <w:top w:val="none" w:sz="0" w:space="0" w:color="auto"/>
                <w:left w:val="none" w:sz="0" w:space="0" w:color="auto"/>
                <w:bottom w:val="none" w:sz="0" w:space="0" w:color="auto"/>
                <w:right w:val="none" w:sz="0" w:space="0" w:color="auto"/>
              </w:divBdr>
              <w:divsChild>
                <w:div w:id="469590534">
                  <w:marLeft w:val="0"/>
                  <w:marRight w:val="0"/>
                  <w:marTop w:val="0"/>
                  <w:marBottom w:val="0"/>
                  <w:divBdr>
                    <w:top w:val="none" w:sz="0" w:space="0" w:color="auto"/>
                    <w:left w:val="none" w:sz="0" w:space="0" w:color="auto"/>
                    <w:bottom w:val="none" w:sz="0" w:space="0" w:color="auto"/>
                    <w:right w:val="none" w:sz="0" w:space="0" w:color="auto"/>
                  </w:divBdr>
                  <w:divsChild>
                    <w:div w:id="702091686">
                      <w:marLeft w:val="0"/>
                      <w:marRight w:val="0"/>
                      <w:marTop w:val="0"/>
                      <w:marBottom w:val="0"/>
                      <w:divBdr>
                        <w:top w:val="none" w:sz="0" w:space="0" w:color="auto"/>
                        <w:left w:val="none" w:sz="0" w:space="0" w:color="auto"/>
                        <w:bottom w:val="none" w:sz="0" w:space="0" w:color="auto"/>
                        <w:right w:val="none" w:sz="0" w:space="0" w:color="auto"/>
                      </w:divBdr>
                      <w:divsChild>
                        <w:div w:id="359748088">
                          <w:marLeft w:val="0"/>
                          <w:marRight w:val="0"/>
                          <w:marTop w:val="0"/>
                          <w:marBottom w:val="0"/>
                          <w:divBdr>
                            <w:top w:val="none" w:sz="0" w:space="0" w:color="auto"/>
                            <w:left w:val="none" w:sz="0" w:space="0" w:color="auto"/>
                            <w:bottom w:val="none" w:sz="0" w:space="0" w:color="auto"/>
                            <w:right w:val="none" w:sz="0" w:space="0" w:color="auto"/>
                          </w:divBdr>
                          <w:divsChild>
                            <w:div w:id="909077725">
                              <w:marLeft w:val="0"/>
                              <w:marRight w:val="0"/>
                              <w:marTop w:val="0"/>
                              <w:marBottom w:val="0"/>
                              <w:divBdr>
                                <w:top w:val="none" w:sz="0" w:space="0" w:color="auto"/>
                                <w:left w:val="none" w:sz="0" w:space="0" w:color="auto"/>
                                <w:bottom w:val="none" w:sz="0" w:space="0" w:color="auto"/>
                                <w:right w:val="none" w:sz="0" w:space="0" w:color="auto"/>
                              </w:divBdr>
                              <w:divsChild>
                                <w:div w:id="162858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8022471">
      <w:bodyDiv w:val="1"/>
      <w:marLeft w:val="0"/>
      <w:marRight w:val="0"/>
      <w:marTop w:val="0"/>
      <w:marBottom w:val="0"/>
      <w:divBdr>
        <w:top w:val="none" w:sz="0" w:space="0" w:color="auto"/>
        <w:left w:val="none" w:sz="0" w:space="0" w:color="auto"/>
        <w:bottom w:val="none" w:sz="0" w:space="0" w:color="auto"/>
        <w:right w:val="none" w:sz="0" w:space="0" w:color="auto"/>
      </w:divBdr>
    </w:div>
    <w:div w:id="1804734003">
      <w:bodyDiv w:val="1"/>
      <w:marLeft w:val="0"/>
      <w:marRight w:val="0"/>
      <w:marTop w:val="0"/>
      <w:marBottom w:val="0"/>
      <w:divBdr>
        <w:top w:val="none" w:sz="0" w:space="0" w:color="auto"/>
        <w:left w:val="none" w:sz="0" w:space="0" w:color="auto"/>
        <w:bottom w:val="none" w:sz="0" w:space="0" w:color="auto"/>
        <w:right w:val="none" w:sz="0" w:space="0" w:color="auto"/>
      </w:divBdr>
      <w:divsChild>
        <w:div w:id="693306758">
          <w:marLeft w:val="0"/>
          <w:marRight w:val="0"/>
          <w:marTop w:val="0"/>
          <w:marBottom w:val="0"/>
          <w:divBdr>
            <w:top w:val="none" w:sz="0" w:space="0" w:color="auto"/>
            <w:left w:val="none" w:sz="0" w:space="0" w:color="auto"/>
            <w:bottom w:val="none" w:sz="0" w:space="0" w:color="auto"/>
            <w:right w:val="none" w:sz="0" w:space="0" w:color="auto"/>
          </w:divBdr>
          <w:divsChild>
            <w:div w:id="327634213">
              <w:marLeft w:val="0"/>
              <w:marRight w:val="0"/>
              <w:marTop w:val="0"/>
              <w:marBottom w:val="0"/>
              <w:divBdr>
                <w:top w:val="none" w:sz="0" w:space="0" w:color="auto"/>
                <w:left w:val="none" w:sz="0" w:space="0" w:color="auto"/>
                <w:bottom w:val="none" w:sz="0" w:space="0" w:color="auto"/>
                <w:right w:val="none" w:sz="0" w:space="0" w:color="auto"/>
              </w:divBdr>
              <w:divsChild>
                <w:div w:id="710110106">
                  <w:marLeft w:val="0"/>
                  <w:marRight w:val="0"/>
                  <w:marTop w:val="0"/>
                  <w:marBottom w:val="0"/>
                  <w:divBdr>
                    <w:top w:val="none" w:sz="0" w:space="0" w:color="auto"/>
                    <w:left w:val="none" w:sz="0" w:space="0" w:color="auto"/>
                    <w:bottom w:val="none" w:sz="0" w:space="0" w:color="auto"/>
                    <w:right w:val="none" w:sz="0" w:space="0" w:color="auto"/>
                  </w:divBdr>
                  <w:divsChild>
                    <w:div w:id="1411848135">
                      <w:marLeft w:val="0"/>
                      <w:marRight w:val="0"/>
                      <w:marTop w:val="0"/>
                      <w:marBottom w:val="0"/>
                      <w:divBdr>
                        <w:top w:val="none" w:sz="0" w:space="0" w:color="auto"/>
                        <w:left w:val="none" w:sz="0" w:space="0" w:color="auto"/>
                        <w:bottom w:val="none" w:sz="0" w:space="0" w:color="auto"/>
                        <w:right w:val="none" w:sz="0" w:space="0" w:color="auto"/>
                      </w:divBdr>
                      <w:divsChild>
                        <w:div w:id="2087416282">
                          <w:marLeft w:val="0"/>
                          <w:marRight w:val="0"/>
                          <w:marTop w:val="0"/>
                          <w:marBottom w:val="0"/>
                          <w:divBdr>
                            <w:top w:val="none" w:sz="0" w:space="0" w:color="auto"/>
                            <w:left w:val="none" w:sz="0" w:space="0" w:color="auto"/>
                            <w:bottom w:val="none" w:sz="0" w:space="0" w:color="auto"/>
                            <w:right w:val="none" w:sz="0" w:space="0" w:color="auto"/>
                          </w:divBdr>
                          <w:divsChild>
                            <w:div w:id="656034588">
                              <w:marLeft w:val="0"/>
                              <w:marRight w:val="0"/>
                              <w:marTop w:val="0"/>
                              <w:marBottom w:val="0"/>
                              <w:divBdr>
                                <w:top w:val="none" w:sz="0" w:space="0" w:color="auto"/>
                                <w:left w:val="none" w:sz="0" w:space="0" w:color="auto"/>
                                <w:bottom w:val="none" w:sz="0" w:space="0" w:color="auto"/>
                                <w:right w:val="none" w:sz="0" w:space="0" w:color="auto"/>
                              </w:divBdr>
                              <w:divsChild>
                                <w:div w:id="206013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1236105">
      <w:bodyDiv w:val="1"/>
      <w:marLeft w:val="0"/>
      <w:marRight w:val="0"/>
      <w:marTop w:val="0"/>
      <w:marBottom w:val="0"/>
      <w:divBdr>
        <w:top w:val="none" w:sz="0" w:space="0" w:color="auto"/>
        <w:left w:val="none" w:sz="0" w:space="0" w:color="auto"/>
        <w:bottom w:val="none" w:sz="0" w:space="0" w:color="auto"/>
        <w:right w:val="none" w:sz="0" w:space="0" w:color="auto"/>
      </w:divBdr>
      <w:divsChild>
        <w:div w:id="1594850236">
          <w:marLeft w:val="0"/>
          <w:marRight w:val="0"/>
          <w:marTop w:val="0"/>
          <w:marBottom w:val="0"/>
          <w:divBdr>
            <w:top w:val="none" w:sz="0" w:space="0" w:color="auto"/>
            <w:left w:val="none" w:sz="0" w:space="0" w:color="auto"/>
            <w:bottom w:val="none" w:sz="0" w:space="0" w:color="auto"/>
            <w:right w:val="none" w:sz="0" w:space="0" w:color="auto"/>
          </w:divBdr>
          <w:divsChild>
            <w:div w:id="2115786113">
              <w:marLeft w:val="0"/>
              <w:marRight w:val="0"/>
              <w:marTop w:val="0"/>
              <w:marBottom w:val="0"/>
              <w:divBdr>
                <w:top w:val="none" w:sz="0" w:space="0" w:color="auto"/>
                <w:left w:val="none" w:sz="0" w:space="0" w:color="auto"/>
                <w:bottom w:val="none" w:sz="0" w:space="0" w:color="auto"/>
                <w:right w:val="none" w:sz="0" w:space="0" w:color="auto"/>
              </w:divBdr>
              <w:divsChild>
                <w:div w:id="464397364">
                  <w:marLeft w:val="0"/>
                  <w:marRight w:val="0"/>
                  <w:marTop w:val="0"/>
                  <w:marBottom w:val="0"/>
                  <w:divBdr>
                    <w:top w:val="none" w:sz="0" w:space="0" w:color="auto"/>
                    <w:left w:val="none" w:sz="0" w:space="0" w:color="auto"/>
                    <w:bottom w:val="none" w:sz="0" w:space="0" w:color="auto"/>
                    <w:right w:val="none" w:sz="0" w:space="0" w:color="auto"/>
                  </w:divBdr>
                  <w:divsChild>
                    <w:div w:id="55412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31911">
          <w:marLeft w:val="0"/>
          <w:marRight w:val="0"/>
          <w:marTop w:val="0"/>
          <w:marBottom w:val="0"/>
          <w:divBdr>
            <w:top w:val="none" w:sz="0" w:space="0" w:color="auto"/>
            <w:left w:val="none" w:sz="0" w:space="0" w:color="auto"/>
            <w:bottom w:val="none" w:sz="0" w:space="0" w:color="auto"/>
            <w:right w:val="none" w:sz="0" w:space="0" w:color="auto"/>
          </w:divBdr>
        </w:div>
      </w:divsChild>
    </w:div>
    <w:div w:id="1929925875">
      <w:bodyDiv w:val="1"/>
      <w:marLeft w:val="0"/>
      <w:marRight w:val="0"/>
      <w:marTop w:val="0"/>
      <w:marBottom w:val="0"/>
      <w:divBdr>
        <w:top w:val="none" w:sz="0" w:space="0" w:color="auto"/>
        <w:left w:val="none" w:sz="0" w:space="0" w:color="auto"/>
        <w:bottom w:val="none" w:sz="0" w:space="0" w:color="auto"/>
        <w:right w:val="none" w:sz="0" w:space="0" w:color="auto"/>
      </w:divBdr>
    </w:div>
    <w:div w:id="212156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uk.fashionnetwork.com/news/Nike-ceo-hill-sees-turnaround-picking-up-from-europe-to-asia" TargetMode="External"/><Relationship Id="rId26" Type="http://schemas.openxmlformats.org/officeDocument/2006/relationships/hyperlink" Target="https://about.nike.com/en/newsroom/releases/nike-inc-december-3-2025-senior-leadership-announcement" TargetMode="External"/><Relationship Id="rId3" Type="http://schemas.openxmlformats.org/officeDocument/2006/relationships/styles" Target="styles.xml"/><Relationship Id="rId21" Type="http://schemas.openxmlformats.org/officeDocument/2006/relationships/hyperlink" Target="https://www.imd.org/"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businessoffashion.com/" TargetMode="External"/><Relationship Id="rId25" Type="http://schemas.openxmlformats.org/officeDocument/2006/relationships/hyperlink" Target="https://www.ons.gov.uk/economy/inflationandpriceindices/bulletins/consumerpriceinflation/"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uk.fashionnetwork.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nasdaq.com/"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marketing-interactive.com/" TargetMode="External"/><Relationship Id="rId28" Type="http://schemas.openxmlformats.org/officeDocument/2006/relationships/footer" Target="footer1.xml"/><Relationship Id="rId10" Type="http://schemas.openxmlformats.org/officeDocument/2006/relationships/hyperlink" Target="https://www.researchrabbit.ai/" TargetMode="External"/><Relationship Id="rId19" Type="http://schemas.openxmlformats.org/officeDocument/2006/relationships/hyperlink" Target="https://fashionnetwork.com/"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image" Target="media/image5.png"/><Relationship Id="rId22" Type="http://schemas.openxmlformats.org/officeDocument/2006/relationships/hyperlink" Target="https://www.knittingindustry.com/" TargetMode="External"/><Relationship Id="rId27" Type="http://schemas.openxmlformats.org/officeDocument/2006/relationships/hyperlink" Target="https://www.researchandmarkets.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473C79-916C-4FEA-8349-B6E9505F8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1098</TotalTime>
  <Pages>1</Pages>
  <Words>8706</Words>
  <Characters>49625</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Fariha Rahman</dc:creator>
  <cp:keywords/>
  <dc:description/>
  <cp:lastModifiedBy>Fabiha Rahman (2506578)</cp:lastModifiedBy>
  <cp:revision>71</cp:revision>
  <dcterms:created xsi:type="dcterms:W3CDTF">2026-03-14T16:36:00Z</dcterms:created>
  <dcterms:modified xsi:type="dcterms:W3CDTF">2026-04-30T21:58:00Z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a7adf345-c66b-48ae-9717-470a2a5010e9</vt:lpwstr>
  </property>
</Properties>
</file>