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A48BED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714DE39D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35F5696A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1770F581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500DAE4D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5840EE7C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6BE3D28A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0BE9F8E6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1C5844D2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3091EE72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54B7EE72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487BF5AE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29D9F4E6" w14:textId="77777777" w:rsidR="001E4524" w:rsidRPr="00F73744" w:rsidRDefault="001E4524" w:rsidP="00F73744">
      <w:pPr>
        <w:spacing w:before="0" w:after="0"/>
        <w:jc w:val="center"/>
        <w:rPr>
          <w:b/>
          <w:bCs/>
          <w:sz w:val="28"/>
          <w:szCs w:val="28"/>
          <w:lang w:val="en-IN"/>
        </w:rPr>
      </w:pPr>
    </w:p>
    <w:p w14:paraId="620739E0" w14:textId="6B39F787" w:rsidR="001E4524" w:rsidRPr="00F73744" w:rsidRDefault="001E4524" w:rsidP="00F73744">
      <w:pPr>
        <w:spacing w:before="0" w:after="0"/>
        <w:jc w:val="center"/>
        <w:rPr>
          <w:sz w:val="32"/>
          <w:szCs w:val="32"/>
          <w:lang w:val="en-IN"/>
        </w:rPr>
      </w:pPr>
      <w:r w:rsidRPr="00F73744">
        <w:rPr>
          <w:b/>
          <w:bCs/>
          <w:sz w:val="32"/>
          <w:szCs w:val="32"/>
          <w:lang w:val="en-IN"/>
        </w:rPr>
        <w:t>Module Name:</w:t>
      </w:r>
      <w:r w:rsidRPr="00F73744">
        <w:rPr>
          <w:sz w:val="32"/>
          <w:szCs w:val="32"/>
          <w:lang w:val="en-IN"/>
        </w:rPr>
        <w:t xml:space="preserve"> </w:t>
      </w:r>
      <w:r w:rsidRPr="00F73744">
        <w:rPr>
          <w:b/>
          <w:bCs/>
          <w:sz w:val="32"/>
          <w:szCs w:val="32"/>
          <w:lang w:val="en-IN"/>
        </w:rPr>
        <w:t>Empowering the Older Person</w:t>
      </w:r>
    </w:p>
    <w:p w14:paraId="4A442D53" w14:textId="77777777" w:rsidR="001E4524" w:rsidRPr="00F73744" w:rsidRDefault="001E4524" w:rsidP="00F73744">
      <w:pPr>
        <w:spacing w:before="0" w:after="0"/>
        <w:jc w:val="center"/>
        <w:rPr>
          <w:sz w:val="32"/>
          <w:szCs w:val="32"/>
          <w:lang w:val="en-IN"/>
        </w:rPr>
      </w:pPr>
      <w:r w:rsidRPr="00F73744">
        <w:rPr>
          <w:b/>
          <w:bCs/>
          <w:sz w:val="32"/>
          <w:szCs w:val="32"/>
          <w:lang w:val="en-IN"/>
        </w:rPr>
        <w:t>Module code: BMHP6027</w:t>
      </w:r>
    </w:p>
    <w:p w14:paraId="348BB905" w14:textId="77777777" w:rsidR="001E4524" w:rsidRPr="00F73744" w:rsidRDefault="001E4524" w:rsidP="00F73744">
      <w:pPr>
        <w:spacing w:before="0" w:after="240"/>
        <w:jc w:val="left"/>
        <w:rPr>
          <w:sz w:val="32"/>
          <w:szCs w:val="32"/>
          <w:lang w:val="en-IN"/>
        </w:rPr>
      </w:pPr>
    </w:p>
    <w:p w14:paraId="53E40139" w14:textId="31D91848" w:rsidR="001E4524" w:rsidRPr="00F73744" w:rsidRDefault="001E4524" w:rsidP="00F73744">
      <w:pPr>
        <w:spacing w:before="0" w:after="0"/>
        <w:jc w:val="center"/>
        <w:rPr>
          <w:sz w:val="32"/>
          <w:szCs w:val="32"/>
          <w:lang w:val="en-IN"/>
        </w:rPr>
      </w:pPr>
      <w:r w:rsidRPr="00F73744">
        <w:rPr>
          <w:b/>
          <w:bCs/>
          <w:sz w:val="32"/>
          <w:szCs w:val="32"/>
        </w:rPr>
        <w:t>COMPONENT 2: DEBATE / DISCUSSION</w:t>
      </w:r>
    </w:p>
    <w:p w14:paraId="00000001" w14:textId="7D90AA10" w:rsidR="00DD07DC" w:rsidRPr="00F73744" w:rsidRDefault="001E4524" w:rsidP="00F73744">
      <w:pPr>
        <w:jc w:val="center"/>
        <w:rPr>
          <w:b/>
          <w:bCs/>
          <w:i/>
          <w:iCs/>
          <w:sz w:val="32"/>
          <w:szCs w:val="32"/>
        </w:rPr>
      </w:pPr>
      <w:r w:rsidRPr="00F73744">
        <w:rPr>
          <w:b/>
          <w:bCs/>
          <w:i/>
          <w:iCs/>
          <w:sz w:val="32"/>
          <w:szCs w:val="32"/>
        </w:rPr>
        <w:t>Title: Assistive Technology: Does It Enhance or Undermine Autonomy in Elder Care?</w:t>
      </w:r>
    </w:p>
    <w:p w14:paraId="2E8902F9" w14:textId="77777777" w:rsidR="001E4524" w:rsidRPr="00F73744" w:rsidRDefault="001E4524" w:rsidP="00F73744">
      <w:pPr>
        <w:jc w:val="center"/>
        <w:rPr>
          <w:b/>
          <w:bCs/>
          <w:i/>
          <w:iCs/>
          <w:sz w:val="32"/>
          <w:szCs w:val="32"/>
        </w:rPr>
      </w:pPr>
    </w:p>
    <w:p w14:paraId="1B49B86A" w14:textId="77777777" w:rsidR="001E4524" w:rsidRPr="00F73744" w:rsidRDefault="001E4524" w:rsidP="00F73744">
      <w:pPr>
        <w:jc w:val="center"/>
        <w:rPr>
          <w:b/>
          <w:bCs/>
          <w:i/>
          <w:iCs/>
          <w:sz w:val="32"/>
          <w:szCs w:val="32"/>
        </w:rPr>
      </w:pPr>
    </w:p>
    <w:p w14:paraId="789DAE7E" w14:textId="513BE3D3" w:rsidR="001E4524" w:rsidRPr="00F73744" w:rsidRDefault="001E4524" w:rsidP="00B83391">
      <w:pPr>
        <w:jc w:val="center"/>
        <w:rPr>
          <w:b/>
          <w:bCs/>
          <w:sz w:val="32"/>
          <w:szCs w:val="32"/>
        </w:rPr>
      </w:pPr>
      <w:r w:rsidRPr="00F73744">
        <w:rPr>
          <w:b/>
          <w:bCs/>
          <w:sz w:val="32"/>
          <w:szCs w:val="32"/>
        </w:rPr>
        <w:t xml:space="preserve">Student name: </w:t>
      </w:r>
      <w:r w:rsidR="00B83391">
        <w:rPr>
          <w:b/>
          <w:bCs/>
          <w:sz w:val="32"/>
          <w:szCs w:val="32"/>
        </w:rPr>
        <w:t xml:space="preserve">Adela Mihaela Tanase </w:t>
      </w:r>
    </w:p>
    <w:p w14:paraId="746EA9DC" w14:textId="3ADA7220" w:rsidR="001E4524" w:rsidRPr="00F73744" w:rsidRDefault="001E4524" w:rsidP="00F73744">
      <w:pPr>
        <w:jc w:val="center"/>
        <w:rPr>
          <w:b/>
          <w:bCs/>
          <w:sz w:val="32"/>
          <w:szCs w:val="32"/>
        </w:rPr>
      </w:pPr>
      <w:r w:rsidRPr="00F73744">
        <w:rPr>
          <w:b/>
          <w:bCs/>
          <w:sz w:val="32"/>
          <w:szCs w:val="32"/>
        </w:rPr>
        <w:t>Student ID:</w:t>
      </w:r>
      <w:r w:rsidR="00B83391">
        <w:rPr>
          <w:b/>
          <w:bCs/>
          <w:sz w:val="32"/>
          <w:szCs w:val="32"/>
        </w:rPr>
        <w:t>2238272</w:t>
      </w:r>
    </w:p>
    <w:p w14:paraId="009D1DE2" w14:textId="2FD2EE56" w:rsidR="001E4524" w:rsidRPr="00431DD2" w:rsidRDefault="001E4524" w:rsidP="00431DD2">
      <w:pPr>
        <w:jc w:val="center"/>
        <w:rPr>
          <w:b/>
          <w:bCs/>
          <w:sz w:val="32"/>
          <w:szCs w:val="32"/>
        </w:rPr>
      </w:pPr>
      <w:bookmarkStart w:id="0" w:name="_wnw2ytwlhuu8" w:colFirst="0" w:colLast="0"/>
      <w:bookmarkEnd w:id="0"/>
    </w:p>
    <w:p w14:paraId="298E13D0" w14:textId="2BC602E1" w:rsidR="00431DD2" w:rsidRDefault="00431DD2" w:rsidP="00431DD2">
      <w:pPr>
        <w:pStyle w:val="TOCHeading"/>
        <w:spacing w:line="360" w:lineRule="auto"/>
        <w:jc w:val="center"/>
      </w:pPr>
    </w:p>
    <w:p w14:paraId="00000029" w14:textId="5274FC85" w:rsidR="00DD07DC" w:rsidRPr="00F73744" w:rsidRDefault="00431DD2" w:rsidP="00F73744">
      <w:pPr>
        <w:rPr>
          <w:b/>
          <w:bCs/>
          <w:i/>
          <w:iCs/>
        </w:rPr>
      </w:pPr>
      <w:r w:rsidRPr="00F73744">
        <w:rPr>
          <w:b/>
          <w:bCs/>
          <w:i/>
          <w:iCs/>
        </w:rPr>
        <w:t xml:space="preserve"> </w:t>
      </w:r>
    </w:p>
    <w:p w14:paraId="0000002A" w14:textId="77777777" w:rsidR="00DD07DC" w:rsidRPr="00F73744" w:rsidRDefault="00431DD2" w:rsidP="00F73744">
      <w:pPr>
        <w:rPr>
          <w:highlight w:val="white"/>
        </w:rPr>
      </w:pPr>
      <w:bookmarkStart w:id="1" w:name="_rboiv5mei7n" w:colFirst="0" w:colLast="0"/>
      <w:bookmarkEnd w:id="1"/>
      <w:r w:rsidRPr="00F73744">
        <w:rPr>
          <w:highlight w:val="white"/>
        </w:rPr>
        <w:t xml:space="preserve">Søraa, R.A., Nyvoll, P., Tøndel, G., Fosch-Villaronga, E. and Serrano, J.A. (2021) ‘The social dimension of domesticating technology: Interactions between older adults, caregivers, and robots in the home’, </w:t>
      </w:r>
      <w:r w:rsidRPr="00F73744">
        <w:rPr>
          <w:i/>
          <w:iCs/>
          <w:highlight w:val="white"/>
        </w:rPr>
        <w:t>Technological Forecasting and Social Change</w:t>
      </w:r>
      <w:r w:rsidRPr="00F73744">
        <w:rPr>
          <w:highlight w:val="white"/>
        </w:rPr>
        <w:t xml:space="preserve">, </w:t>
      </w:r>
      <w:r w:rsidRPr="00F73744">
        <w:rPr>
          <w:i/>
          <w:iCs/>
          <w:highlight w:val="white"/>
        </w:rPr>
        <w:t>167</w:t>
      </w:r>
      <w:r w:rsidRPr="00F73744">
        <w:rPr>
          <w:highlight w:val="white"/>
        </w:rPr>
        <w:t xml:space="preserve">, p.120678. </w:t>
      </w:r>
    </w:p>
    <w:p w14:paraId="0000002B" w14:textId="77777777" w:rsidR="00DD07DC" w:rsidRPr="00F73744" w:rsidRDefault="00431DD2" w:rsidP="00F73744">
      <w:pPr>
        <w:rPr>
          <w:highlight w:val="white"/>
        </w:rPr>
      </w:pPr>
      <w:bookmarkStart w:id="2" w:name="_s7vp5ch5vxbq" w:colFirst="0" w:colLast="0"/>
      <w:bookmarkEnd w:id="2"/>
      <w:r w:rsidRPr="00F73744">
        <w:rPr>
          <w:highlight w:val="white"/>
        </w:rPr>
        <w:t xml:space="preserve">Jentoft, E.E. (2023) ‘Technology and older adults in British loneliness policy and political discourse’, </w:t>
      </w:r>
      <w:r w:rsidRPr="00F73744">
        <w:rPr>
          <w:i/>
          <w:iCs/>
          <w:highlight w:val="white"/>
        </w:rPr>
        <w:t>Frontiers in Digital Health</w:t>
      </w:r>
      <w:r w:rsidRPr="00F73744">
        <w:rPr>
          <w:highlight w:val="white"/>
        </w:rPr>
        <w:t xml:space="preserve">, </w:t>
      </w:r>
      <w:r w:rsidRPr="00F73744">
        <w:rPr>
          <w:i/>
          <w:iCs/>
          <w:highlight w:val="white"/>
        </w:rPr>
        <w:t>5</w:t>
      </w:r>
      <w:r w:rsidRPr="00F73744">
        <w:rPr>
          <w:highlight w:val="white"/>
        </w:rPr>
        <w:t xml:space="preserve">, p.1168413. </w:t>
      </w:r>
    </w:p>
    <w:p w14:paraId="0000002C" w14:textId="77777777" w:rsidR="00DD07DC" w:rsidRPr="00F73744" w:rsidRDefault="00431DD2" w:rsidP="00F73744">
      <w:bookmarkStart w:id="3" w:name="_4rh5ujxdzh0n" w:colFirst="0" w:colLast="0"/>
      <w:bookmarkEnd w:id="3"/>
      <w:r w:rsidRPr="00F73744">
        <w:rPr>
          <w:highlight w:val="white"/>
        </w:rPr>
        <w:t xml:space="preserve">Sylvester, A., Temesgen, E., Etori, N. and Gini, M. (2023) ‘Autonomy and dignity for elderly using socially assistive technologies’, In </w:t>
      </w:r>
      <w:r w:rsidRPr="00F73744">
        <w:rPr>
          <w:i/>
          <w:iCs/>
        </w:rPr>
        <w:t>Workshop Assistive Robotics for Citizens at IROS</w:t>
      </w:r>
      <w:r w:rsidRPr="00F73744">
        <w:rPr>
          <w:highlight w:val="white"/>
        </w:rPr>
        <w:t xml:space="preserve">. </w:t>
      </w:r>
    </w:p>
    <w:p w14:paraId="0000002D" w14:textId="77777777" w:rsidR="00DD07DC" w:rsidRPr="00F73744" w:rsidRDefault="00431DD2" w:rsidP="00F73744">
      <w:bookmarkStart w:id="4" w:name="_alnfblvmr8h7" w:colFirst="0" w:colLast="0"/>
      <w:bookmarkEnd w:id="4"/>
      <w:r w:rsidRPr="00F73744">
        <w:rPr>
          <w:highlight w:val="white"/>
        </w:rPr>
        <w:t xml:space="preserve">Froomkin, A.M., Arencibia, P.J. and Colangelo-Trenner, P.Z. (2022) ‘Safety as Privacy’, </w:t>
      </w:r>
      <w:r w:rsidRPr="00F73744">
        <w:rPr>
          <w:i/>
          <w:iCs/>
        </w:rPr>
        <w:t>ARIz. L. REv.</w:t>
      </w:r>
      <w:r w:rsidRPr="00F73744">
        <w:rPr>
          <w:highlight w:val="white"/>
        </w:rPr>
        <w:t xml:space="preserve">, </w:t>
      </w:r>
      <w:r w:rsidRPr="00F73744">
        <w:rPr>
          <w:i/>
          <w:iCs/>
        </w:rPr>
        <w:t>64</w:t>
      </w:r>
      <w:r w:rsidRPr="00F73744">
        <w:rPr>
          <w:highlight w:val="white"/>
        </w:rPr>
        <w:t xml:space="preserve">, p.921. </w:t>
      </w:r>
    </w:p>
    <w:p w14:paraId="0000002E" w14:textId="77777777" w:rsidR="00DD07DC" w:rsidRPr="00F73744" w:rsidRDefault="00431DD2" w:rsidP="00F73744">
      <w:bookmarkStart w:id="5" w:name="_f41b1rchjzwj" w:colFirst="0" w:colLast="0"/>
      <w:bookmarkEnd w:id="5"/>
      <w:r w:rsidRPr="00F73744">
        <w:rPr>
          <w:highlight w:val="white"/>
        </w:rPr>
        <w:t xml:space="preserve">Chen, H.Y. and Tsai, W.D. (2021, September) ‘Reflections on the Doctor-Patient Relationship in Medical Humanities from the Perspective of Care Ethics’, In </w:t>
      </w:r>
      <w:r w:rsidRPr="00F73744">
        <w:rPr>
          <w:i/>
          <w:iCs/>
        </w:rPr>
        <w:t>6th International Conference on Contemporary Education, Social Sciences and Humanities.(Philosophy of Being Human as the Core of Interdisciplinary Research)(ICCESSH 2021)</w:t>
      </w:r>
      <w:r w:rsidRPr="00F73744">
        <w:rPr>
          <w:highlight w:val="white"/>
        </w:rPr>
        <w:t xml:space="preserve"> (pp. 299-307). Atlantis Press. </w:t>
      </w:r>
    </w:p>
    <w:p w14:paraId="0000002F" w14:textId="77777777" w:rsidR="00DD07DC" w:rsidRPr="00F73744" w:rsidRDefault="00431DD2" w:rsidP="00F73744">
      <w:bookmarkStart w:id="6" w:name="_pu4hkdtgl9a2" w:colFirst="0" w:colLast="0"/>
      <w:bookmarkEnd w:id="6"/>
      <w:r w:rsidRPr="00F73744">
        <w:rPr>
          <w:highlight w:val="white"/>
        </w:rPr>
        <w:t xml:space="preserve">Nikupeteri, A., Laitinen, M., Gupta, A. and Mikkonen, E. (2023) ‘Using the capability approach in social work with children experiencing post-separation parental stalking’, </w:t>
      </w:r>
      <w:r w:rsidRPr="00F73744">
        <w:rPr>
          <w:i/>
          <w:iCs/>
        </w:rPr>
        <w:t>The British Journal of Social Work</w:t>
      </w:r>
      <w:r w:rsidRPr="00F73744">
        <w:rPr>
          <w:highlight w:val="white"/>
        </w:rPr>
        <w:t xml:space="preserve">, </w:t>
      </w:r>
      <w:r w:rsidRPr="00F73744">
        <w:rPr>
          <w:i/>
          <w:iCs/>
        </w:rPr>
        <w:t>53</w:t>
      </w:r>
      <w:r w:rsidRPr="00F73744">
        <w:rPr>
          <w:highlight w:val="white"/>
        </w:rPr>
        <w:t>(2), pp.900-920. =</w:t>
      </w:r>
    </w:p>
    <w:p w14:paraId="00000030" w14:textId="77777777" w:rsidR="00DD07DC" w:rsidRPr="00F73744" w:rsidRDefault="00431DD2" w:rsidP="00F73744">
      <w:bookmarkStart w:id="7" w:name="_cet0oyvbqc6h" w:colFirst="0" w:colLast="0"/>
      <w:bookmarkEnd w:id="7"/>
      <w:r w:rsidRPr="00F73744">
        <w:rPr>
          <w:highlight w:val="white"/>
        </w:rPr>
        <w:t xml:space="preserve">Pazer, S. (2025) ‘Risks, professional responsibility and structural imperatives in the age of technologically mediated care’, International Journal of Social Science and Education Research, 7(1), pp.​​​​791-796. </w:t>
      </w:r>
    </w:p>
    <w:p w14:paraId="00000031" w14:textId="77777777" w:rsidR="00DD07DC" w:rsidRPr="00F73744" w:rsidRDefault="00431DD2" w:rsidP="00F73744">
      <w:bookmarkStart w:id="8" w:name="_r1ejdcfd3uep" w:colFirst="0" w:colLast="0"/>
      <w:bookmarkEnd w:id="8"/>
      <w:r w:rsidRPr="00F73744">
        <w:rPr>
          <w:highlight w:val="white"/>
        </w:rPr>
        <w:t xml:space="preserve">Williamson, S.M. and Prybutok, V. (2024) ‘Balancing privacy and progress: a review of privacy challenges, systemic oversight, and patient perceptions in AI-driven healthcare’, </w:t>
      </w:r>
      <w:r w:rsidRPr="00F73744">
        <w:rPr>
          <w:i/>
          <w:iCs/>
        </w:rPr>
        <w:t>Applied Sciences</w:t>
      </w:r>
      <w:r w:rsidRPr="00F73744">
        <w:rPr>
          <w:highlight w:val="white"/>
        </w:rPr>
        <w:t xml:space="preserve">, </w:t>
      </w:r>
      <w:r w:rsidRPr="00F73744">
        <w:rPr>
          <w:i/>
          <w:iCs/>
        </w:rPr>
        <w:t>14</w:t>
      </w:r>
      <w:r w:rsidRPr="00F73744">
        <w:rPr>
          <w:highlight w:val="white"/>
        </w:rPr>
        <w:t xml:space="preserve">(2), p.675. </w:t>
      </w:r>
    </w:p>
    <w:p w14:paraId="00000032" w14:textId="77777777" w:rsidR="00DD07DC" w:rsidRPr="00F73744" w:rsidRDefault="00431DD2" w:rsidP="00F73744">
      <w:bookmarkStart w:id="9" w:name="_t0ey4y2i28gl" w:colFirst="0" w:colLast="0"/>
      <w:bookmarkEnd w:id="9"/>
      <w:r w:rsidRPr="00F73744">
        <w:rPr>
          <w:highlight w:val="white"/>
        </w:rPr>
        <w:t xml:space="preserve">Van Loon, J., Luijkx, K., Janssen, M., de Rooij, I. and Janssen, B. (2021) ‘Facilitators and barriers to autonomy: A systematic literature review for older adults with physical impairments, living in residential care facilities’, </w:t>
      </w:r>
      <w:r w:rsidRPr="00F73744">
        <w:rPr>
          <w:i/>
          <w:iCs/>
        </w:rPr>
        <w:t>Ageing &amp; Society</w:t>
      </w:r>
      <w:r w:rsidRPr="00F73744">
        <w:rPr>
          <w:highlight w:val="white"/>
        </w:rPr>
        <w:t xml:space="preserve">, </w:t>
      </w:r>
      <w:r w:rsidRPr="00F73744">
        <w:rPr>
          <w:i/>
          <w:iCs/>
        </w:rPr>
        <w:t>41</w:t>
      </w:r>
      <w:r w:rsidRPr="00F73744">
        <w:rPr>
          <w:highlight w:val="white"/>
        </w:rPr>
        <w:t xml:space="preserve">(5), pp.1021-1050. </w:t>
      </w:r>
    </w:p>
    <w:p w14:paraId="00000033" w14:textId="77777777" w:rsidR="00DD07DC" w:rsidRPr="00F73744" w:rsidRDefault="00431DD2" w:rsidP="00F73744">
      <w:bookmarkStart w:id="10" w:name="_whwhyq1d6575" w:colFirst="0" w:colLast="0"/>
      <w:bookmarkEnd w:id="10"/>
      <w:r w:rsidRPr="00F73744">
        <w:rPr>
          <w:highlight w:val="white"/>
        </w:rPr>
        <w:lastRenderedPageBreak/>
        <w:t xml:space="preserve">Le, T.D., Lin, S.C., Huang, M.C., Fan, S.Y. and Kao, C.Y. (2024) ‘Factors impacting the demonstration of relational autonomy in medical decision-making: A meta-synthesis’, </w:t>
      </w:r>
      <w:r w:rsidRPr="00F73744">
        <w:rPr>
          <w:i/>
          <w:iCs/>
        </w:rPr>
        <w:t>Nursing ethics</w:t>
      </w:r>
      <w:r w:rsidRPr="00F73744">
        <w:rPr>
          <w:highlight w:val="white"/>
        </w:rPr>
        <w:t xml:space="preserve">, </w:t>
      </w:r>
      <w:r w:rsidRPr="00F73744">
        <w:rPr>
          <w:i/>
          <w:iCs/>
        </w:rPr>
        <w:t>31</w:t>
      </w:r>
      <w:r w:rsidRPr="00F73744">
        <w:rPr>
          <w:highlight w:val="white"/>
        </w:rPr>
        <w:t xml:space="preserve">(5), pp.714-738. </w:t>
      </w:r>
    </w:p>
    <w:p w14:paraId="00000034" w14:textId="77777777" w:rsidR="00DD07DC" w:rsidRPr="00F73744" w:rsidRDefault="00DD07DC" w:rsidP="00F73744"/>
    <w:sectPr w:rsidR="00DD07DC" w:rsidRPr="00F73744" w:rsidSect="001E4524">
      <w:headerReference w:type="default" r:id="rId7"/>
      <w:footerReference w:type="even" r:id="rId8"/>
      <w:footerReference w:type="default" r:id="rId9"/>
      <w:pgSz w:w="11909" w:h="16834"/>
      <w:pgMar w:top="1440" w:right="1440" w:bottom="1440" w:left="1440" w:header="720" w:footer="720" w:gutter="0"/>
      <w:pgNumType w:start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49323E" w14:textId="77777777" w:rsidR="00841F50" w:rsidRDefault="00841F50" w:rsidP="001E4524">
      <w:pPr>
        <w:spacing w:before="0" w:after="0" w:line="240" w:lineRule="auto"/>
      </w:pPr>
      <w:r>
        <w:separator/>
      </w:r>
    </w:p>
  </w:endnote>
  <w:endnote w:type="continuationSeparator" w:id="0">
    <w:p w14:paraId="1F5F6B52" w14:textId="77777777" w:rsidR="00841F50" w:rsidRDefault="00841F50" w:rsidP="001E452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  <w:embedRegular r:id="rId1" w:fontKey="{D063C261-54C6-4B11-B5BE-3758457F1E4A}"/>
    <w:embedBold r:id="rId2" w:fontKey="{9D1B1716-C4E6-4F7C-8C1D-AE3AEA47A6D6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E33AED49-0B1F-F54E-87EA-C2682FAFB334}"/>
    <w:embedBold r:id="rId4" w:fontKey="{E3C88D90-B497-E24F-9222-95FD51B51114}"/>
    <w:embedItalic r:id="rId5" w:fontKey="{2B42136D-F64E-FC44-9973-547F30D5B66A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75501591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393CEA" w14:textId="55FBB4A6" w:rsidR="001E4524" w:rsidRDefault="001E4524" w:rsidP="0058549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109BF937" w14:textId="77777777" w:rsidR="001E4524" w:rsidRDefault="001E4524" w:rsidP="001E452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57347192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BFB9DD6" w14:textId="359948D5" w:rsidR="001E4524" w:rsidRDefault="001E4524" w:rsidP="0058549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85DAA90" w14:textId="77777777" w:rsidR="001E4524" w:rsidRDefault="001E4524" w:rsidP="001E452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122259" w14:textId="77777777" w:rsidR="00841F50" w:rsidRDefault="00841F50" w:rsidP="001E4524">
      <w:pPr>
        <w:spacing w:before="0" w:after="0" w:line="240" w:lineRule="auto"/>
      </w:pPr>
      <w:r>
        <w:separator/>
      </w:r>
    </w:p>
  </w:footnote>
  <w:footnote w:type="continuationSeparator" w:id="0">
    <w:p w14:paraId="2E76E1D0" w14:textId="77777777" w:rsidR="00841F50" w:rsidRDefault="00841F50" w:rsidP="001E4524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1D5ADD" w14:textId="34BCF126" w:rsidR="001E4524" w:rsidRDefault="001E4524">
    <w:pPr>
      <w:pStyle w:val="Header"/>
    </w:pPr>
    <w:r>
      <w:rPr>
        <w:rFonts w:ascii="Arial" w:hAnsi="Arial" w:cs="Arial"/>
        <w:noProof/>
        <w:color w:val="000000"/>
        <w:sz w:val="22"/>
        <w:szCs w:val="22"/>
        <w:bdr w:val="none" w:sz="0" w:space="0" w:color="auto" w:frame="1"/>
      </w:rPr>
      <w:drawing>
        <wp:inline distT="0" distB="0" distL="0" distR="0" wp14:anchorId="1AF4C279" wp14:editId="3314819B">
          <wp:extent cx="1491615" cy="467995"/>
          <wp:effectExtent l="0" t="0" r="0" b="1905"/>
          <wp:docPr id="1192201744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91615" cy="46799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movePersonalInformation/>
  <w:removeDateAndTime/>
  <w:embedTrueTypeFonts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07DC"/>
    <w:rsid w:val="000F285B"/>
    <w:rsid w:val="001E4524"/>
    <w:rsid w:val="00366949"/>
    <w:rsid w:val="00431DD2"/>
    <w:rsid w:val="004644FD"/>
    <w:rsid w:val="005E5A4B"/>
    <w:rsid w:val="006F1362"/>
    <w:rsid w:val="00743E0F"/>
    <w:rsid w:val="00841F50"/>
    <w:rsid w:val="008508EB"/>
    <w:rsid w:val="00865D42"/>
    <w:rsid w:val="00960592"/>
    <w:rsid w:val="009F3FCB"/>
    <w:rsid w:val="00A4608B"/>
    <w:rsid w:val="00B83391"/>
    <w:rsid w:val="00B855E4"/>
    <w:rsid w:val="00DD07DC"/>
    <w:rsid w:val="00F73744"/>
    <w:rsid w:val="00FC41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49819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>
      <w:pPr>
        <w:spacing w:before="200" w:after="20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b/>
      <w:bCs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0"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0" w:after="320"/>
    </w:pPr>
    <w:rPr>
      <w:rFonts w:ascii="Arial" w:eastAsia="Arial" w:hAnsi="Arial" w:cs="Arial"/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1E4524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4524"/>
  </w:style>
  <w:style w:type="paragraph" w:styleId="Footer">
    <w:name w:val="footer"/>
    <w:basedOn w:val="Normal"/>
    <w:link w:val="FooterChar"/>
    <w:uiPriority w:val="99"/>
    <w:unhideWhenUsed/>
    <w:rsid w:val="001E4524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4524"/>
  </w:style>
  <w:style w:type="paragraph" w:styleId="NormalWeb">
    <w:name w:val="Normal (Web)"/>
    <w:basedOn w:val="Normal"/>
    <w:uiPriority w:val="99"/>
    <w:semiHidden/>
    <w:unhideWhenUsed/>
    <w:rsid w:val="001E4524"/>
    <w:pPr>
      <w:spacing w:before="100" w:beforeAutospacing="1" w:after="100" w:afterAutospacing="1" w:line="240" w:lineRule="auto"/>
      <w:jc w:val="left"/>
    </w:pPr>
    <w:rPr>
      <w:lang w:val="en-IN"/>
    </w:rPr>
  </w:style>
  <w:style w:type="character" w:styleId="PageNumber">
    <w:name w:val="page number"/>
    <w:basedOn w:val="DefaultParagraphFont"/>
    <w:uiPriority w:val="99"/>
    <w:semiHidden/>
    <w:unhideWhenUsed/>
    <w:rsid w:val="001E4524"/>
  </w:style>
  <w:style w:type="paragraph" w:styleId="TOCHeading">
    <w:name w:val="TOC Heading"/>
    <w:basedOn w:val="Heading1"/>
    <w:next w:val="Normal"/>
    <w:uiPriority w:val="39"/>
    <w:unhideWhenUsed/>
    <w:qFormat/>
    <w:rsid w:val="001E4524"/>
    <w:pPr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E4524"/>
    <w:pPr>
      <w:spacing w:before="240" w:after="120"/>
      <w:jc w:val="left"/>
    </w:pPr>
    <w:rPr>
      <w:rFonts w:asciiTheme="minorHAnsi" w:hAnsiTheme="minorHAnsi"/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1E4524"/>
    <w:rPr>
      <w:color w:val="0000FF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1E4524"/>
    <w:pPr>
      <w:spacing w:before="120" w:after="0"/>
      <w:ind w:left="240"/>
      <w:jc w:val="left"/>
    </w:pPr>
    <w:rPr>
      <w:rFonts w:asciiTheme="minorHAnsi" w:hAnsiTheme="minorHAnsi"/>
      <w:i/>
      <w:i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E4524"/>
    <w:pPr>
      <w:spacing w:before="0" w:after="0"/>
      <w:ind w:left="480"/>
      <w:jc w:val="left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E4524"/>
    <w:pPr>
      <w:spacing w:before="0" w:after="0"/>
      <w:ind w:left="720"/>
      <w:jc w:val="left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E4524"/>
    <w:pPr>
      <w:spacing w:before="0" w:after="0"/>
      <w:ind w:left="960"/>
      <w:jc w:val="left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E4524"/>
    <w:pPr>
      <w:spacing w:before="0" w:after="0"/>
      <w:ind w:left="1200"/>
      <w:jc w:val="left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E4524"/>
    <w:pPr>
      <w:spacing w:before="0" w:after="0"/>
      <w:ind w:left="1440"/>
      <w:jc w:val="left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E4524"/>
    <w:pPr>
      <w:spacing w:before="0" w:after="0"/>
      <w:ind w:left="1680"/>
      <w:jc w:val="left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E4524"/>
    <w:pPr>
      <w:spacing w:before="0" w:after="0"/>
      <w:ind w:left="1920"/>
      <w:jc w:val="left"/>
    </w:pPr>
    <w:rPr>
      <w:rFonts w:asciiTheme="minorHAnsi" w:hAnsi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footer" Target="footer2.xml" 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 /><Relationship Id="rId2" Type="http://schemas.openxmlformats.org/officeDocument/2006/relationships/font" Target="fonts/font2.odttf" /><Relationship Id="rId1" Type="http://schemas.openxmlformats.org/officeDocument/2006/relationships/font" Target="fonts/font1.odttf" /><Relationship Id="rId5" Type="http://schemas.openxmlformats.org/officeDocument/2006/relationships/font" Target="fonts/font5.odttf" /><Relationship Id="rId4" Type="http://schemas.openxmlformats.org/officeDocument/2006/relationships/font" Target="fonts/font4.odttf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7B18100-EFF4-AF40-8770-E1826D81C72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367</Words>
  <Characters>2093</Characters>
  <Application>Microsoft Office Word</Application>
  <DocSecurity>0</DocSecurity>
  <Lines>17</Lines>
  <Paragraphs>4</Paragraphs>
  <ScaleCrop>false</ScaleCrop>
  <Company/>
  <LinksUpToDate>false</LinksUpToDate>
  <CharactersWithSpaces>2456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/>
  <cp:revision>1</cp:revision>
  <dcterms:created xsi:type="dcterms:W3CDTF">2025-11-15T17:09:00Z</dcterms:created>
  <dcterms:modified xsi:type="dcterms:W3CDTF">2025-11-15T17:09:00Z</dcterms:modified>
</cp:coreProperties>
</file>