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817945" w14:textId="24ACE3C1" w:rsidR="006D5EA2" w:rsidRPr="007343B9" w:rsidRDefault="006D5EA2">
      <w:pPr>
        <w:rPr>
          <w:b/>
          <w:color w:val="000000" w:themeColor="text1"/>
          <w:sz w:val="32"/>
          <w:szCs w:val="32"/>
        </w:rPr>
      </w:pPr>
    </w:p>
    <w:p w14:paraId="67160B3B" w14:textId="77777777" w:rsidR="006D5EA2" w:rsidRPr="007343B9" w:rsidRDefault="006D5EA2">
      <w:pPr>
        <w:spacing w:after="0" w:line="360" w:lineRule="auto"/>
        <w:jc w:val="center"/>
        <w:rPr>
          <w:b/>
          <w:color w:val="000000" w:themeColor="text1"/>
          <w:sz w:val="32"/>
          <w:szCs w:val="32"/>
        </w:rPr>
      </w:pPr>
    </w:p>
    <w:p w14:paraId="53B9B4FE" w14:textId="77777777" w:rsidR="006D5EA2" w:rsidRPr="007343B9" w:rsidRDefault="006D5EA2">
      <w:pPr>
        <w:spacing w:after="0" w:line="360" w:lineRule="auto"/>
        <w:jc w:val="center"/>
        <w:rPr>
          <w:b/>
          <w:color w:val="000000" w:themeColor="text1"/>
          <w:sz w:val="32"/>
          <w:szCs w:val="32"/>
        </w:rPr>
      </w:pPr>
    </w:p>
    <w:p w14:paraId="166156F5" w14:textId="77777777" w:rsidR="006D5EA2" w:rsidRPr="007343B9" w:rsidRDefault="006D5EA2">
      <w:pPr>
        <w:spacing w:after="0" w:line="360" w:lineRule="auto"/>
        <w:jc w:val="center"/>
        <w:rPr>
          <w:b/>
          <w:color w:val="000000" w:themeColor="text1"/>
          <w:sz w:val="32"/>
          <w:szCs w:val="32"/>
        </w:rPr>
      </w:pPr>
    </w:p>
    <w:p w14:paraId="2F51B0F3" w14:textId="77777777" w:rsidR="006D5EA2" w:rsidRPr="007343B9" w:rsidRDefault="006D5EA2">
      <w:pPr>
        <w:spacing w:after="0" w:line="360" w:lineRule="auto"/>
        <w:jc w:val="center"/>
        <w:rPr>
          <w:b/>
          <w:color w:val="000000" w:themeColor="text1"/>
          <w:sz w:val="32"/>
          <w:szCs w:val="32"/>
        </w:rPr>
      </w:pPr>
    </w:p>
    <w:p w14:paraId="6BFE19BD" w14:textId="77777777" w:rsidR="006D5EA2" w:rsidRPr="007343B9" w:rsidRDefault="006D5EA2">
      <w:pPr>
        <w:spacing w:after="0" w:line="360" w:lineRule="auto"/>
        <w:jc w:val="center"/>
        <w:rPr>
          <w:b/>
          <w:color w:val="000000" w:themeColor="text1"/>
          <w:sz w:val="32"/>
          <w:szCs w:val="32"/>
        </w:rPr>
      </w:pPr>
    </w:p>
    <w:p w14:paraId="0E2E6219" w14:textId="77777777" w:rsidR="006D5EA2" w:rsidRPr="007343B9" w:rsidRDefault="006D5EA2">
      <w:pPr>
        <w:spacing w:after="0" w:line="360" w:lineRule="auto"/>
        <w:jc w:val="center"/>
        <w:rPr>
          <w:b/>
          <w:color w:val="000000" w:themeColor="text1"/>
          <w:sz w:val="32"/>
          <w:szCs w:val="32"/>
        </w:rPr>
      </w:pPr>
    </w:p>
    <w:p w14:paraId="24760511" w14:textId="77777777" w:rsidR="006D5EA2" w:rsidRPr="007343B9" w:rsidRDefault="006D5EA2">
      <w:pPr>
        <w:spacing w:after="0" w:line="360" w:lineRule="auto"/>
        <w:jc w:val="center"/>
        <w:rPr>
          <w:b/>
          <w:color w:val="000000" w:themeColor="text1"/>
          <w:sz w:val="32"/>
          <w:szCs w:val="32"/>
        </w:rPr>
      </w:pPr>
    </w:p>
    <w:p w14:paraId="5EAD288D" w14:textId="77777777" w:rsidR="006D5EA2" w:rsidRDefault="00000000">
      <w:pPr>
        <w:spacing w:after="0" w:line="360" w:lineRule="auto"/>
        <w:jc w:val="center"/>
        <w:rPr>
          <w:b/>
          <w:color w:val="000000" w:themeColor="text1"/>
          <w:sz w:val="32"/>
          <w:szCs w:val="32"/>
        </w:rPr>
      </w:pPr>
      <w:r w:rsidRPr="007343B9">
        <w:rPr>
          <w:b/>
          <w:color w:val="000000" w:themeColor="text1"/>
          <w:sz w:val="32"/>
          <w:szCs w:val="32"/>
        </w:rPr>
        <w:t>ASSESSMENT COMPONENT 2- REFLECTING WRITING</w:t>
      </w:r>
    </w:p>
    <w:p w14:paraId="5D7E7606" w14:textId="77777777" w:rsidR="00A81DA6" w:rsidRPr="007343B9" w:rsidRDefault="00A81DA6">
      <w:pPr>
        <w:spacing w:after="0" w:line="360" w:lineRule="auto"/>
        <w:jc w:val="center"/>
        <w:rPr>
          <w:b/>
          <w:color w:val="000000" w:themeColor="text1"/>
          <w:sz w:val="32"/>
          <w:szCs w:val="32"/>
        </w:rPr>
      </w:pPr>
    </w:p>
    <w:p w14:paraId="74C29942" w14:textId="77777777" w:rsidR="00A81DA6" w:rsidRDefault="00A81DA6" w:rsidP="00A81DA6">
      <w:pPr>
        <w:spacing w:after="0" w:line="360" w:lineRule="auto"/>
        <w:jc w:val="center"/>
        <w:rPr>
          <w:b/>
          <w:color w:val="000000" w:themeColor="text1"/>
        </w:rPr>
      </w:pPr>
      <w:r w:rsidRPr="007343B9">
        <w:rPr>
          <w:b/>
          <w:color w:val="000000" w:themeColor="text1"/>
        </w:rPr>
        <w:t xml:space="preserve">Module Name: </w:t>
      </w:r>
      <w:r>
        <w:rPr>
          <w:b/>
          <w:color w:val="000000" w:themeColor="text1"/>
        </w:rPr>
        <w:t>Community Engagement</w:t>
      </w:r>
    </w:p>
    <w:p w14:paraId="06187EBC" w14:textId="77777777" w:rsidR="00A81DA6" w:rsidRDefault="00A81DA6">
      <w:pPr>
        <w:spacing w:after="0" w:line="360" w:lineRule="auto"/>
        <w:jc w:val="center"/>
        <w:rPr>
          <w:b/>
          <w:color w:val="000000" w:themeColor="text1"/>
        </w:rPr>
      </w:pPr>
    </w:p>
    <w:p w14:paraId="33F99F16" w14:textId="60610C0F" w:rsidR="006D5EA2" w:rsidRPr="007343B9" w:rsidRDefault="00000000">
      <w:pPr>
        <w:spacing w:after="0" w:line="360" w:lineRule="auto"/>
        <w:jc w:val="center"/>
        <w:rPr>
          <w:b/>
          <w:color w:val="000000" w:themeColor="text1"/>
        </w:rPr>
      </w:pPr>
      <w:r w:rsidRPr="007343B9">
        <w:rPr>
          <w:b/>
          <w:color w:val="000000" w:themeColor="text1"/>
        </w:rPr>
        <w:t>Student Name:</w:t>
      </w:r>
      <w:r w:rsidR="000D373C">
        <w:rPr>
          <w:b/>
          <w:color w:val="000000" w:themeColor="text1"/>
        </w:rPr>
        <w:t xml:space="preserve"> Deni Apostolov</w:t>
      </w:r>
    </w:p>
    <w:p w14:paraId="53D6CFAB" w14:textId="77777777" w:rsidR="00A81DA6" w:rsidRDefault="00A81DA6">
      <w:pPr>
        <w:spacing w:after="0" w:line="360" w:lineRule="auto"/>
        <w:jc w:val="center"/>
        <w:rPr>
          <w:b/>
          <w:color w:val="000000" w:themeColor="text1"/>
        </w:rPr>
      </w:pPr>
    </w:p>
    <w:p w14:paraId="0A58DE1F" w14:textId="687E6432" w:rsidR="006D5EA2" w:rsidRDefault="00000000">
      <w:pPr>
        <w:spacing w:after="0" w:line="360" w:lineRule="auto"/>
        <w:jc w:val="center"/>
        <w:rPr>
          <w:b/>
          <w:color w:val="000000" w:themeColor="text1"/>
        </w:rPr>
      </w:pPr>
      <w:r w:rsidRPr="007343B9">
        <w:rPr>
          <w:b/>
          <w:color w:val="000000" w:themeColor="text1"/>
        </w:rPr>
        <w:t>Student ID:</w:t>
      </w:r>
      <w:r w:rsidR="000D373C">
        <w:rPr>
          <w:b/>
          <w:color w:val="000000" w:themeColor="text1"/>
        </w:rPr>
        <w:t xml:space="preserve"> 2244458</w:t>
      </w:r>
    </w:p>
    <w:p w14:paraId="0B0A3A9E" w14:textId="77777777" w:rsidR="00A81DA6" w:rsidRPr="007343B9" w:rsidRDefault="00A81DA6">
      <w:pPr>
        <w:spacing w:after="0" w:line="360" w:lineRule="auto"/>
        <w:jc w:val="center"/>
        <w:rPr>
          <w:b/>
          <w:color w:val="000000" w:themeColor="text1"/>
        </w:rPr>
      </w:pPr>
    </w:p>
    <w:p w14:paraId="30D36BF4" w14:textId="2F2E3C4B" w:rsidR="000D373C" w:rsidRDefault="000D373C">
      <w:pPr>
        <w:spacing w:after="0" w:line="360" w:lineRule="auto"/>
        <w:jc w:val="center"/>
        <w:rPr>
          <w:b/>
          <w:color w:val="000000" w:themeColor="text1"/>
        </w:rPr>
      </w:pPr>
      <w:r>
        <w:rPr>
          <w:b/>
          <w:color w:val="000000" w:themeColor="text1"/>
        </w:rPr>
        <w:t xml:space="preserve">Lecturer: Zahra </w:t>
      </w:r>
      <w:proofErr w:type="spellStart"/>
      <w:r>
        <w:rPr>
          <w:b/>
          <w:color w:val="000000" w:themeColor="text1"/>
        </w:rPr>
        <w:t>Mohammadnazari</w:t>
      </w:r>
      <w:proofErr w:type="spellEnd"/>
    </w:p>
    <w:p w14:paraId="6888A4D2" w14:textId="531AC18A" w:rsidR="000D373C" w:rsidRPr="007343B9" w:rsidRDefault="000D373C">
      <w:pPr>
        <w:spacing w:after="0" w:line="360" w:lineRule="auto"/>
        <w:jc w:val="center"/>
        <w:rPr>
          <w:b/>
          <w:color w:val="000000" w:themeColor="text1"/>
        </w:rPr>
      </w:pPr>
    </w:p>
    <w:p w14:paraId="601E76BF" w14:textId="77777777" w:rsidR="006D5EA2" w:rsidRPr="007343B9" w:rsidRDefault="00000000">
      <w:pPr>
        <w:rPr>
          <w:b/>
          <w:color w:val="000000" w:themeColor="text1"/>
          <w:sz w:val="32"/>
          <w:szCs w:val="32"/>
        </w:rPr>
      </w:pPr>
      <w:r w:rsidRPr="007343B9">
        <w:rPr>
          <w:color w:val="000000" w:themeColor="text1"/>
        </w:rPr>
        <w:br w:type="page"/>
      </w:r>
    </w:p>
    <w:p w14:paraId="0BBE62C5" w14:textId="77777777" w:rsidR="006D5EA2" w:rsidRPr="007343B9" w:rsidRDefault="00000000">
      <w:pPr>
        <w:keepNext/>
        <w:keepLines/>
        <w:pBdr>
          <w:top w:val="nil"/>
          <w:left w:val="nil"/>
          <w:bottom w:val="nil"/>
          <w:right w:val="nil"/>
          <w:between w:val="nil"/>
        </w:pBdr>
        <w:spacing w:before="240" w:after="0"/>
        <w:jc w:val="center"/>
        <w:rPr>
          <w:b/>
          <w:color w:val="000000" w:themeColor="text1"/>
          <w:sz w:val="28"/>
          <w:szCs w:val="28"/>
        </w:rPr>
      </w:pPr>
      <w:r w:rsidRPr="007343B9">
        <w:rPr>
          <w:b/>
          <w:color w:val="000000" w:themeColor="text1"/>
          <w:sz w:val="28"/>
          <w:szCs w:val="28"/>
        </w:rPr>
        <w:lastRenderedPageBreak/>
        <w:t>Table of Contents</w:t>
      </w:r>
    </w:p>
    <w:sdt>
      <w:sdtPr>
        <w:rPr>
          <w:color w:val="000000" w:themeColor="text1"/>
        </w:rPr>
        <w:id w:val="-578517154"/>
        <w:docPartObj>
          <w:docPartGallery w:val="Table of Contents"/>
          <w:docPartUnique/>
        </w:docPartObj>
      </w:sdtPr>
      <w:sdtContent>
        <w:p w14:paraId="21DFC9D4" w14:textId="77777777" w:rsidR="006D5EA2" w:rsidRPr="007343B9" w:rsidRDefault="00000000">
          <w:pPr>
            <w:pBdr>
              <w:top w:val="nil"/>
              <w:left w:val="nil"/>
              <w:bottom w:val="nil"/>
              <w:right w:val="nil"/>
              <w:between w:val="nil"/>
            </w:pBdr>
            <w:tabs>
              <w:tab w:val="right" w:leader="dot" w:pos="9350"/>
            </w:tabs>
            <w:spacing w:after="100" w:line="360" w:lineRule="auto"/>
            <w:rPr>
              <w:rFonts w:ascii="Calibri" w:eastAsia="Calibri" w:hAnsi="Calibri" w:cs="Calibri"/>
              <w:color w:val="000000" w:themeColor="text1"/>
              <w:sz w:val="22"/>
              <w:szCs w:val="22"/>
            </w:rPr>
          </w:pPr>
          <w:r w:rsidRPr="007343B9">
            <w:rPr>
              <w:color w:val="000000" w:themeColor="text1"/>
            </w:rPr>
            <w:fldChar w:fldCharType="begin"/>
          </w:r>
          <w:r w:rsidRPr="007343B9">
            <w:rPr>
              <w:color w:val="000000" w:themeColor="text1"/>
            </w:rPr>
            <w:instrText xml:space="preserve"> TOC \h \u \z \t "Heading 1,1,Heading 2,2,Heading 3,3,"</w:instrText>
          </w:r>
          <w:r w:rsidRPr="007343B9">
            <w:rPr>
              <w:color w:val="000000" w:themeColor="text1"/>
            </w:rPr>
            <w:fldChar w:fldCharType="separate"/>
          </w:r>
          <w:hyperlink w:anchor="_heading=h.30j0zll">
            <w:r w:rsidRPr="007343B9">
              <w:rPr>
                <w:color w:val="000000" w:themeColor="text1"/>
              </w:rPr>
              <w:t>Introduction</w:t>
            </w:r>
            <w:r w:rsidRPr="007343B9">
              <w:rPr>
                <w:color w:val="000000" w:themeColor="text1"/>
              </w:rPr>
              <w:tab/>
              <w:t>4</w:t>
            </w:r>
          </w:hyperlink>
        </w:p>
        <w:p w14:paraId="214E8E94" w14:textId="77777777" w:rsidR="006D5EA2" w:rsidRPr="007343B9" w:rsidRDefault="00000000">
          <w:pPr>
            <w:pBdr>
              <w:top w:val="nil"/>
              <w:left w:val="nil"/>
              <w:bottom w:val="nil"/>
              <w:right w:val="nil"/>
              <w:between w:val="nil"/>
            </w:pBdr>
            <w:tabs>
              <w:tab w:val="right" w:leader="dot" w:pos="9350"/>
            </w:tabs>
            <w:spacing w:after="100" w:line="360" w:lineRule="auto"/>
            <w:rPr>
              <w:rFonts w:ascii="Calibri" w:eastAsia="Calibri" w:hAnsi="Calibri" w:cs="Calibri"/>
              <w:color w:val="000000" w:themeColor="text1"/>
              <w:sz w:val="22"/>
              <w:szCs w:val="22"/>
            </w:rPr>
          </w:pPr>
          <w:hyperlink w:anchor="_heading=h.1fob9te">
            <w:r w:rsidR="000B477F" w:rsidRPr="007343B9">
              <w:rPr>
                <w:color w:val="000000" w:themeColor="text1"/>
              </w:rPr>
              <w:t>Critical reflection</w:t>
            </w:r>
            <w:r w:rsidR="000B477F" w:rsidRPr="007343B9">
              <w:rPr>
                <w:color w:val="000000" w:themeColor="text1"/>
              </w:rPr>
              <w:tab/>
              <w:t>4</w:t>
            </w:r>
          </w:hyperlink>
        </w:p>
        <w:p w14:paraId="5DC07EF5" w14:textId="77777777" w:rsidR="006D5EA2" w:rsidRPr="007343B9" w:rsidRDefault="00000000">
          <w:pPr>
            <w:pBdr>
              <w:top w:val="nil"/>
              <w:left w:val="nil"/>
              <w:bottom w:val="nil"/>
              <w:right w:val="nil"/>
              <w:between w:val="nil"/>
            </w:pBdr>
            <w:tabs>
              <w:tab w:val="right" w:leader="dot" w:pos="9350"/>
            </w:tabs>
            <w:spacing w:after="100" w:line="360" w:lineRule="auto"/>
            <w:rPr>
              <w:rFonts w:ascii="Calibri" w:eastAsia="Calibri" w:hAnsi="Calibri" w:cs="Calibri"/>
              <w:color w:val="000000" w:themeColor="text1"/>
              <w:sz w:val="22"/>
              <w:szCs w:val="22"/>
            </w:rPr>
          </w:pPr>
          <w:hyperlink w:anchor="_heading=h.2et92p0">
            <w:r w:rsidR="000B477F" w:rsidRPr="007343B9">
              <w:rPr>
                <w:color w:val="000000" w:themeColor="text1"/>
              </w:rPr>
              <w:t>Conclusion</w:t>
            </w:r>
            <w:r w:rsidR="000B477F" w:rsidRPr="007343B9">
              <w:rPr>
                <w:color w:val="000000" w:themeColor="text1"/>
              </w:rPr>
              <w:tab/>
              <w:t>9</w:t>
            </w:r>
          </w:hyperlink>
        </w:p>
        <w:p w14:paraId="3CD369E0" w14:textId="77777777" w:rsidR="006D5EA2" w:rsidRPr="007343B9" w:rsidRDefault="00000000">
          <w:pPr>
            <w:pBdr>
              <w:top w:val="nil"/>
              <w:left w:val="nil"/>
              <w:bottom w:val="nil"/>
              <w:right w:val="nil"/>
              <w:between w:val="nil"/>
            </w:pBdr>
            <w:tabs>
              <w:tab w:val="right" w:leader="dot" w:pos="9350"/>
            </w:tabs>
            <w:spacing w:after="100" w:line="360" w:lineRule="auto"/>
            <w:rPr>
              <w:rFonts w:ascii="Calibri" w:eastAsia="Calibri" w:hAnsi="Calibri" w:cs="Calibri"/>
              <w:color w:val="000000" w:themeColor="text1"/>
              <w:sz w:val="22"/>
              <w:szCs w:val="22"/>
            </w:rPr>
          </w:pPr>
          <w:hyperlink w:anchor="_heading=h.tyjcwt">
            <w:r w:rsidR="000B477F" w:rsidRPr="007343B9">
              <w:rPr>
                <w:color w:val="000000" w:themeColor="text1"/>
              </w:rPr>
              <w:t>Reference List</w:t>
            </w:r>
            <w:r w:rsidR="000B477F" w:rsidRPr="007343B9">
              <w:rPr>
                <w:color w:val="000000" w:themeColor="text1"/>
              </w:rPr>
              <w:tab/>
              <w:t>10</w:t>
            </w:r>
          </w:hyperlink>
        </w:p>
        <w:p w14:paraId="15918D4B" w14:textId="77777777" w:rsidR="006D5EA2" w:rsidRPr="007343B9" w:rsidRDefault="00000000">
          <w:pPr>
            <w:rPr>
              <w:color w:val="000000" w:themeColor="text1"/>
            </w:rPr>
          </w:pPr>
          <w:r w:rsidRPr="007343B9">
            <w:rPr>
              <w:color w:val="000000" w:themeColor="text1"/>
            </w:rPr>
            <w:fldChar w:fldCharType="end"/>
          </w:r>
        </w:p>
      </w:sdtContent>
    </w:sdt>
    <w:p w14:paraId="0BE644B3" w14:textId="77777777" w:rsidR="006D5EA2" w:rsidRPr="007343B9" w:rsidRDefault="006D5EA2">
      <w:pPr>
        <w:spacing w:after="0" w:line="360" w:lineRule="auto"/>
        <w:rPr>
          <w:b/>
          <w:color w:val="000000" w:themeColor="text1"/>
          <w:sz w:val="32"/>
          <w:szCs w:val="32"/>
        </w:rPr>
      </w:pPr>
    </w:p>
    <w:p w14:paraId="1BE64153" w14:textId="77777777" w:rsidR="006D5EA2" w:rsidRPr="007343B9" w:rsidRDefault="00000000">
      <w:pPr>
        <w:spacing w:after="0" w:line="360" w:lineRule="auto"/>
        <w:rPr>
          <w:b/>
          <w:color w:val="000000" w:themeColor="text1"/>
          <w:sz w:val="28"/>
          <w:szCs w:val="28"/>
        </w:rPr>
      </w:pPr>
      <w:r w:rsidRPr="007343B9">
        <w:rPr>
          <w:color w:val="000000" w:themeColor="text1"/>
        </w:rPr>
        <w:br w:type="page"/>
      </w:r>
    </w:p>
    <w:p w14:paraId="6B64CCC4" w14:textId="77777777" w:rsidR="006D5EA2" w:rsidRPr="007343B9" w:rsidRDefault="00000000">
      <w:pPr>
        <w:pStyle w:val="Heading1"/>
        <w:rPr>
          <w:color w:val="000000" w:themeColor="text1"/>
        </w:rPr>
      </w:pPr>
      <w:bookmarkStart w:id="0" w:name="_heading=h.30j0zll" w:colFirst="0" w:colLast="0"/>
      <w:bookmarkEnd w:id="0"/>
      <w:r w:rsidRPr="007343B9">
        <w:rPr>
          <w:color w:val="000000" w:themeColor="text1"/>
        </w:rPr>
        <w:lastRenderedPageBreak/>
        <w:t>Introduction</w:t>
      </w:r>
    </w:p>
    <w:p w14:paraId="15105D36" w14:textId="77777777" w:rsidR="006D5EA2" w:rsidRPr="007343B9" w:rsidRDefault="00000000">
      <w:pPr>
        <w:spacing w:after="0" w:line="360" w:lineRule="auto"/>
        <w:jc w:val="both"/>
        <w:rPr>
          <w:color w:val="000000" w:themeColor="text1"/>
        </w:rPr>
      </w:pPr>
      <w:r w:rsidRPr="007343B9">
        <w:rPr>
          <w:color w:val="000000" w:themeColor="text1"/>
        </w:rPr>
        <w:t xml:space="preserve">In this study, I will be critically reflecting upon different aspects of community engagement programs that involve numerous kinds of principles, models, approaches, and standards. In terms of reflecting on comparing the strategies which was used in the </w:t>
      </w:r>
      <w:r w:rsidRPr="007343B9">
        <w:rPr>
          <w:b/>
          <w:i/>
          <w:color w:val="000000" w:themeColor="text1"/>
        </w:rPr>
        <w:t>Eden Project,</w:t>
      </w:r>
      <w:r w:rsidRPr="007343B9">
        <w:rPr>
          <w:color w:val="000000" w:themeColor="text1"/>
        </w:rPr>
        <w:t xml:space="preserve"> and the future project named </w:t>
      </w:r>
      <w:r w:rsidRPr="007343B9">
        <w:rPr>
          <w:b/>
          <w:i/>
          <w:color w:val="000000" w:themeColor="text1"/>
        </w:rPr>
        <w:t xml:space="preserve">“Everybody on the same page”, </w:t>
      </w:r>
      <w:r w:rsidRPr="007343B9">
        <w:rPr>
          <w:color w:val="000000" w:themeColor="text1"/>
        </w:rPr>
        <w:t xml:space="preserve">I will be utilising the </w:t>
      </w:r>
      <w:r w:rsidRPr="007343B9">
        <w:rPr>
          <w:b/>
          <w:i/>
          <w:color w:val="000000" w:themeColor="text1"/>
        </w:rPr>
        <w:t xml:space="preserve">Gibbs reflective model. </w:t>
      </w:r>
      <w:r w:rsidRPr="007343B9">
        <w:rPr>
          <w:color w:val="000000" w:themeColor="text1"/>
        </w:rPr>
        <w:t xml:space="preserve">In addition to this, it is crucial for me to evaluate the standards, models, and best practices of community engagement in terms of taking part in a future project which I will be discussing in this study in a credible way. </w:t>
      </w:r>
    </w:p>
    <w:p w14:paraId="2FD4AA93" w14:textId="77777777" w:rsidR="006D5EA2" w:rsidRPr="007343B9" w:rsidRDefault="00000000">
      <w:pPr>
        <w:pStyle w:val="Heading1"/>
        <w:rPr>
          <w:color w:val="000000" w:themeColor="text1"/>
        </w:rPr>
      </w:pPr>
      <w:bookmarkStart w:id="1" w:name="_heading=h.1fob9te" w:colFirst="0" w:colLast="0"/>
      <w:bookmarkEnd w:id="1"/>
      <w:r w:rsidRPr="007343B9">
        <w:rPr>
          <w:color w:val="000000" w:themeColor="text1"/>
        </w:rPr>
        <w:t>Critical reflection</w:t>
      </w:r>
    </w:p>
    <w:p w14:paraId="0CA08799" w14:textId="77777777" w:rsidR="006D5EA2" w:rsidRPr="007343B9" w:rsidRDefault="00000000">
      <w:pPr>
        <w:spacing w:after="0" w:line="360" w:lineRule="auto"/>
        <w:jc w:val="both"/>
        <w:rPr>
          <w:color w:val="000000" w:themeColor="text1"/>
        </w:rPr>
      </w:pPr>
      <w:bookmarkStart w:id="2" w:name="_heading=h.3znysh7" w:colFirst="0" w:colLast="0"/>
      <w:bookmarkEnd w:id="2"/>
      <w:r w:rsidRPr="007343B9">
        <w:rPr>
          <w:color w:val="000000" w:themeColor="text1"/>
        </w:rPr>
        <w:t>For reflecting on how could I effectively coordinate community engagement projects such as the Eden project or others in the future such as “Everybody on the same page”, utilisation of a suitable reflective model is very important in the area. The stages of Gibbs's reflective model in light of my critical reflection are mentioned as follows-</w:t>
      </w:r>
    </w:p>
    <w:p w14:paraId="057EA2EC" w14:textId="77777777" w:rsidR="006D5EA2" w:rsidRPr="007343B9" w:rsidRDefault="00000000">
      <w:pPr>
        <w:rPr>
          <w:color w:val="000000" w:themeColor="text1"/>
        </w:rPr>
      </w:pPr>
      <w:r w:rsidRPr="007343B9">
        <w:rPr>
          <w:b/>
          <w:color w:val="000000" w:themeColor="text1"/>
        </w:rPr>
        <w:t>Description</w:t>
      </w:r>
    </w:p>
    <w:p w14:paraId="663CDCE6" w14:textId="77777777" w:rsidR="006D5EA2" w:rsidRPr="007343B9" w:rsidRDefault="00000000">
      <w:pPr>
        <w:spacing w:after="0" w:line="360" w:lineRule="auto"/>
        <w:jc w:val="both"/>
        <w:rPr>
          <w:color w:val="000000" w:themeColor="text1"/>
        </w:rPr>
      </w:pPr>
      <w:r w:rsidRPr="007343B9">
        <w:rPr>
          <w:color w:val="000000" w:themeColor="text1"/>
        </w:rPr>
        <w:t xml:space="preserve">There is a range of differences I have explored which was employed in my assignment 1 which was based on the </w:t>
      </w:r>
      <w:r w:rsidRPr="007343B9">
        <w:rPr>
          <w:b/>
          <w:i/>
          <w:color w:val="000000" w:themeColor="text1"/>
        </w:rPr>
        <w:t xml:space="preserve">Eden Project, </w:t>
      </w:r>
      <w:r w:rsidRPr="007343B9">
        <w:rPr>
          <w:color w:val="000000" w:themeColor="text1"/>
        </w:rPr>
        <w:t xml:space="preserve">and the future projects. In the Eden Project, a diverse range of strategies such as meeting community people, promoting inclusion, and diversity, maintaining transparency, and other suitable models and best practices were utilised for greater community engagement. After careful consideration of the community engagement tactics used by the Eden Project as well as anticipation of my involvement in future projects, I recognize that quality standards, working together, engaging with society and meeting different principles are important. According to Bernstein </w:t>
      </w:r>
      <w:r w:rsidRPr="007343B9">
        <w:rPr>
          <w:i/>
          <w:color w:val="000000" w:themeColor="text1"/>
        </w:rPr>
        <w:t>et al.,</w:t>
      </w:r>
      <w:r w:rsidRPr="007343B9">
        <w:rPr>
          <w:color w:val="000000" w:themeColor="text1"/>
        </w:rPr>
        <w:t xml:space="preserve"> (2020), the aspect of inclusion of different ethnicities, genders and income groups can create a sense of empathy among the different segments of the population and even foster feelings of empathy and fraternity. Since the project aims towards promoting diversity and inclusion, I will be focusing on equal participation, open-to-all feedback methods and ensuring equal respect for diverse viewpoints on decision-making. The Eden Project has shown a remarkable aptitude for using the arts as a powerful tool for encouraging engagement, cultivating connections, and sparking community enthusiasm. The emphasis on maintaining strict standards in all their pursuits promoted credibility and enduring enthusiasm (Fuentes </w:t>
      </w:r>
      <w:r w:rsidRPr="007343B9">
        <w:rPr>
          <w:i/>
          <w:color w:val="000000" w:themeColor="text1"/>
        </w:rPr>
        <w:t>et al.,</w:t>
      </w:r>
      <w:r w:rsidRPr="007343B9">
        <w:rPr>
          <w:color w:val="000000" w:themeColor="text1"/>
        </w:rPr>
        <w:t xml:space="preserve"> 2021). On the other hand, for my future project, I will be considering equal opportunities for project participation </w:t>
      </w:r>
      <w:r w:rsidRPr="007343B9">
        <w:rPr>
          <w:color w:val="000000" w:themeColor="text1"/>
        </w:rPr>
        <w:lastRenderedPageBreak/>
        <w:t xml:space="preserve">from the community members in the light of inclusion, hence, it will be beneficial for the dynamic engagement of people from all backgrounds and perspectives. </w:t>
      </w:r>
    </w:p>
    <w:p w14:paraId="47F340FD" w14:textId="77777777" w:rsidR="006D5EA2" w:rsidRPr="007343B9" w:rsidRDefault="00000000">
      <w:pPr>
        <w:spacing w:after="0" w:line="360" w:lineRule="auto"/>
        <w:jc w:val="both"/>
        <w:rPr>
          <w:color w:val="000000" w:themeColor="text1"/>
        </w:rPr>
      </w:pPr>
      <w:r w:rsidRPr="007343B9">
        <w:rPr>
          <w:color w:val="000000" w:themeColor="text1"/>
        </w:rPr>
        <w:t xml:space="preserve">I have learnt that, through adopting this strategy, the project’s course was effectively shaped by a diverse range of perspectives, leading to enhanced community representation and increased relevance. The use of diverse methodologies, including community mapping strategies and innovative artistic initiatives, facilitated the execution of comprehensive strategies (Cunningham and Nite, 2020). These are aimed at involving several aspects of the community which I will include in my future project. I think that, with a sense of eager anticipation for my upcoming community engagement initiatives, my primary aim is to include these well-established approaches while simultaneously pushing the limits of creativity, inclusion and transparency. The objective of </w:t>
      </w:r>
      <w:r w:rsidR="00CC63F1" w:rsidRPr="007343B9">
        <w:rPr>
          <w:color w:val="000000" w:themeColor="text1"/>
        </w:rPr>
        <w:t xml:space="preserve">every </w:t>
      </w:r>
      <w:r w:rsidRPr="007343B9">
        <w:rPr>
          <w:color w:val="000000" w:themeColor="text1"/>
        </w:rPr>
        <w:t xml:space="preserve">project </w:t>
      </w:r>
      <w:r w:rsidR="00CC63F1" w:rsidRPr="007343B9">
        <w:rPr>
          <w:color w:val="000000" w:themeColor="text1"/>
        </w:rPr>
        <w:t xml:space="preserve">should be </w:t>
      </w:r>
      <w:r w:rsidRPr="007343B9">
        <w:rPr>
          <w:color w:val="000000" w:themeColor="text1"/>
        </w:rPr>
        <w:t xml:space="preserve">to increase community engagement through the application of creative arts, preserve constant and elevated standards of excellence, and foster the feeling of understanding and respect for the different sections of society and their beliefs. (Cooke </w:t>
      </w:r>
      <w:r w:rsidRPr="007343B9">
        <w:rPr>
          <w:i/>
          <w:color w:val="000000" w:themeColor="text1"/>
        </w:rPr>
        <w:t>et al.,</w:t>
      </w:r>
      <w:r w:rsidRPr="007343B9">
        <w:rPr>
          <w:color w:val="000000" w:themeColor="text1"/>
        </w:rPr>
        <w:t xml:space="preserve"> 2019). In this manner, I need to mention that, principles, approaches, and standards that are required for community engagement can be witnessed by the noteworthy tactics used by the Eden Project in encouraging community engagement. From my viewpoint, there are some areas which could have been better in the Eden project or future projects in terms of increasing the level of community engagement.  </w:t>
      </w:r>
    </w:p>
    <w:p w14:paraId="5A111728" w14:textId="77777777" w:rsidR="006D5EA2" w:rsidRPr="007343B9" w:rsidRDefault="00000000">
      <w:pPr>
        <w:rPr>
          <w:color w:val="000000" w:themeColor="text1"/>
        </w:rPr>
      </w:pPr>
      <w:r w:rsidRPr="007343B9">
        <w:rPr>
          <w:b/>
          <w:color w:val="000000" w:themeColor="text1"/>
        </w:rPr>
        <w:t>Feelings</w:t>
      </w:r>
    </w:p>
    <w:p w14:paraId="5CB22CED" w14:textId="77777777" w:rsidR="006D5EA2" w:rsidRPr="007343B9" w:rsidRDefault="00000000">
      <w:pPr>
        <w:spacing w:after="0" w:line="360" w:lineRule="auto"/>
        <w:jc w:val="both"/>
        <w:rPr>
          <w:color w:val="000000" w:themeColor="text1"/>
        </w:rPr>
      </w:pPr>
      <w:r w:rsidRPr="007343B9">
        <w:rPr>
          <w:color w:val="000000" w:themeColor="text1"/>
        </w:rPr>
        <w:t>During the period of the community engagement program in the light of the Eden Project, I was very excited since I was able to different principles of community engagement. In this situation, I have learnt a range of principles related to community engagement which include long-term commitment, and community collaboration. In addition to them, there are other principles including, flexible change, respecting and promoting diversity, and ensuring inclusiveness and equality. The community engagement principles which can prove to be beneficial are meeting with new people and making community partnerships</w:t>
      </w:r>
      <w:r w:rsidRPr="007343B9">
        <w:rPr>
          <w:i/>
          <w:color w:val="000000" w:themeColor="text1"/>
        </w:rPr>
        <w:t xml:space="preserve"> </w:t>
      </w:r>
      <w:r w:rsidRPr="007343B9">
        <w:rPr>
          <w:color w:val="000000" w:themeColor="text1"/>
        </w:rPr>
        <w:t xml:space="preserve">(Pfajfar </w:t>
      </w:r>
      <w:r w:rsidRPr="007343B9">
        <w:rPr>
          <w:i/>
          <w:color w:val="000000" w:themeColor="text1"/>
        </w:rPr>
        <w:t>et al.,</w:t>
      </w:r>
      <w:r w:rsidRPr="007343B9">
        <w:rPr>
          <w:color w:val="000000" w:themeColor="text1"/>
        </w:rPr>
        <w:t xml:space="preserve"> 2022)</w:t>
      </w:r>
      <w:r w:rsidRPr="007343B9">
        <w:rPr>
          <w:b/>
          <w:i/>
          <w:color w:val="000000" w:themeColor="text1"/>
        </w:rPr>
        <w:t>.</w:t>
      </w:r>
      <w:r w:rsidRPr="007343B9">
        <w:rPr>
          <w:color w:val="000000" w:themeColor="text1"/>
        </w:rPr>
        <w:t xml:space="preserve"> I will definitely be considering these principles when I will be initiating the project for the promotion of inclusivity, diversity and the aspect of community engagement. This can create an atmosphere where the community members feel secure enough to bring their innovative ideas as well as grievances to the surface. The implementation of effective communication has always proven to be beneficial in terms of the creation of a civil and secure society. In terms of best practices, I think that the top-</w:t>
      </w:r>
      <w:r w:rsidRPr="007343B9">
        <w:rPr>
          <w:color w:val="000000" w:themeColor="text1"/>
        </w:rPr>
        <w:lastRenderedPageBreak/>
        <w:t>down and ground-up</w:t>
      </w:r>
      <w:r w:rsidRPr="007343B9">
        <w:rPr>
          <w:b/>
          <w:i/>
          <w:color w:val="000000" w:themeColor="text1"/>
        </w:rPr>
        <w:t xml:space="preserve"> </w:t>
      </w:r>
      <w:r w:rsidRPr="007343B9">
        <w:rPr>
          <w:color w:val="000000" w:themeColor="text1"/>
        </w:rPr>
        <w:t xml:space="preserve">engagement model of partnering with both consumers and the community is important for my future project. I have learnt that the effectiveness and inclusivity of community engagement are dependent on strict adherence to rigorous standards that ensure high-quality outcomes. The values of transparent and inclusive communication, promoting genuine collaboration, and recognising and appreciating diverse perspectives (Gandolfi </w:t>
      </w:r>
      <w:r w:rsidRPr="007343B9">
        <w:rPr>
          <w:i/>
          <w:color w:val="000000" w:themeColor="text1"/>
        </w:rPr>
        <w:t>et al.,</w:t>
      </w:r>
      <w:r w:rsidRPr="007343B9">
        <w:rPr>
          <w:color w:val="000000" w:themeColor="text1"/>
        </w:rPr>
        <w:t xml:space="preserve"> 2021). I believe that the foundation of every ethical framework is in the commitment to core principles of community engagement, which includes fairness, honesty, and accountability which I will be involved in while introducing the project.</w:t>
      </w:r>
    </w:p>
    <w:p w14:paraId="3A72604E" w14:textId="77777777" w:rsidR="006D5EA2" w:rsidRPr="007343B9" w:rsidRDefault="00000000">
      <w:pPr>
        <w:spacing w:after="0" w:line="360" w:lineRule="auto"/>
        <w:jc w:val="both"/>
        <w:rPr>
          <w:color w:val="000000" w:themeColor="text1"/>
        </w:rPr>
      </w:pPr>
      <w:r w:rsidRPr="007343B9">
        <w:rPr>
          <w:color w:val="000000" w:themeColor="text1"/>
        </w:rPr>
        <w:t xml:space="preserve">During the Eden Project, I have observed that implementation of these principles facilitates the process of active participation, boosting confidence, inclusion, and long-lasting beneficial change within societies so I will also be meeting these principles for the project in future. The application of various strategies for engagement, including community mapping, surveys, town hall meetings, and digital platforms, will also be used in my future project and can contribute to the promotion of the increased involvement of the different segments of the community (Miguel Vicente </w:t>
      </w:r>
      <w:r w:rsidRPr="007343B9">
        <w:rPr>
          <w:i/>
          <w:color w:val="000000" w:themeColor="text1"/>
        </w:rPr>
        <w:t>et al.</w:t>
      </w:r>
      <w:r w:rsidRPr="007343B9">
        <w:rPr>
          <w:color w:val="000000" w:themeColor="text1"/>
        </w:rPr>
        <w:t xml:space="preserve"> 2020). On the other hand, I believe that the use of creative arts, storytelling, as well as cultural events will be effective methods for developing relationships and aiding successful communication throughout the project. From my viewpoint, the creation of open and coherent ways to communicate facilitates the establishment of trust and ensures that stakeholders are sufficiently informed and actively involved in decision-making processes.   </w:t>
      </w:r>
    </w:p>
    <w:p w14:paraId="50E572DE" w14:textId="77777777" w:rsidR="006D5EA2" w:rsidRPr="007343B9" w:rsidRDefault="00000000">
      <w:pPr>
        <w:rPr>
          <w:color w:val="000000" w:themeColor="text1"/>
        </w:rPr>
      </w:pPr>
      <w:r w:rsidRPr="007343B9">
        <w:rPr>
          <w:b/>
          <w:color w:val="000000" w:themeColor="text1"/>
        </w:rPr>
        <w:t>Evaluation</w:t>
      </w:r>
    </w:p>
    <w:p w14:paraId="0D748305" w14:textId="77777777" w:rsidR="006D5EA2" w:rsidRPr="007343B9" w:rsidRDefault="00000000">
      <w:pPr>
        <w:spacing w:after="0" w:line="360" w:lineRule="auto"/>
        <w:jc w:val="both"/>
        <w:rPr>
          <w:color w:val="000000" w:themeColor="text1"/>
        </w:rPr>
      </w:pPr>
      <w:r w:rsidRPr="007343B9">
        <w:rPr>
          <w:color w:val="000000" w:themeColor="text1"/>
        </w:rPr>
        <w:t xml:space="preserve">Through active participation in group discussions, I have seen the significant influence of inclusive discourse during the Eden project. This method not only recognises the viewpoints of the community but also encourages initiatives towards solutions that are firmly grounded in authentic needs.  The different groups of the community that have multiple sets of beliefs of their own through different strategies such as focus groups, interviews, online </w:t>
      </w:r>
      <w:r w:rsidR="00CC63F1" w:rsidRPr="007343B9">
        <w:rPr>
          <w:color w:val="000000" w:themeColor="text1"/>
        </w:rPr>
        <w:t xml:space="preserve">public interaction, and others </w:t>
      </w:r>
      <w:r w:rsidRPr="007343B9">
        <w:rPr>
          <w:color w:val="000000" w:themeColor="text1"/>
        </w:rPr>
        <w:t xml:space="preserve">can be beneficial to accelerate the rate of cohesion and adhesion among the members of the community, along with the development of the core of their points of view. It also includes the increasing efforts of the communities to attain different sustainability standards laid down by the local governing bodies (Skowronek </w:t>
      </w:r>
      <w:r w:rsidRPr="007343B9">
        <w:rPr>
          <w:i/>
          <w:color w:val="000000" w:themeColor="text1"/>
        </w:rPr>
        <w:t>et al</w:t>
      </w:r>
      <w:r w:rsidRPr="007343B9">
        <w:rPr>
          <w:color w:val="000000" w:themeColor="text1"/>
        </w:rPr>
        <w:t xml:space="preserve">., 2022). The new project is in accordance with my own ideas of promoting diversity and developing inclusion throughout communities. As I undertake the necessary preparations for my participation in this course, my first goal is to advocate active </w:t>
      </w:r>
      <w:r w:rsidRPr="007343B9">
        <w:rPr>
          <w:color w:val="000000" w:themeColor="text1"/>
        </w:rPr>
        <w:lastRenderedPageBreak/>
        <w:t>engagement and provide equal chances for all members of the community. Being actively involved is more than simple interaction; it involves facilitating individuals to make significant contributions while valuing their unique perspectives and experiences.</w:t>
      </w:r>
    </w:p>
    <w:p w14:paraId="49D31E86" w14:textId="77777777" w:rsidR="006D5EA2" w:rsidRPr="007343B9" w:rsidRDefault="00000000">
      <w:pPr>
        <w:spacing w:after="0" w:line="360" w:lineRule="auto"/>
        <w:jc w:val="both"/>
        <w:rPr>
          <w:color w:val="000000" w:themeColor="text1"/>
        </w:rPr>
      </w:pPr>
      <w:r w:rsidRPr="007343B9">
        <w:rPr>
          <w:color w:val="000000" w:themeColor="text1"/>
        </w:rPr>
        <w:t>My previous experiences have taught me that placing a high value on effective communication fosters trust and transparency, which is crucial in facilitating the formation of more robust relationships and enduring engagement. Moreover, the coordination of stakeholders’ involvement in this future project will not only improve the outcomes of the project but also build enduring social partnerships, which is crucial for amplifying the impact of the projects in the light of community engagement and including the principles of diversity and inclusivity, especially for the LGBTQIA+ community (Zolduoarrati and Licorish, 2021). For my future project, my commitment will extend to ensuring equal opportunities for all, irrespective of their socioeconomic backgrounds. With a steadfast dedication to the approaches, standards, and moral principles of community engagement, my aim will be to emphasize transparency, responsibility, and fairness throughout the whole of the project. I will support the embracement of many ideas and the intentional development of an inclusive environment that nurtures a feeling of value and belonging for every individual within the community.</w:t>
      </w:r>
    </w:p>
    <w:p w14:paraId="4346CE00" w14:textId="77777777" w:rsidR="006D5EA2" w:rsidRPr="007343B9" w:rsidRDefault="00000000">
      <w:pPr>
        <w:rPr>
          <w:color w:val="000000" w:themeColor="text1"/>
        </w:rPr>
      </w:pPr>
      <w:r w:rsidRPr="007343B9">
        <w:rPr>
          <w:b/>
          <w:color w:val="000000" w:themeColor="text1"/>
        </w:rPr>
        <w:t>Analysis</w:t>
      </w:r>
    </w:p>
    <w:p w14:paraId="0E59AF3E" w14:textId="77777777" w:rsidR="006D5EA2" w:rsidRPr="007343B9" w:rsidRDefault="00000000">
      <w:pPr>
        <w:spacing w:after="0" w:line="360" w:lineRule="auto"/>
        <w:jc w:val="both"/>
        <w:rPr>
          <w:color w:val="000000" w:themeColor="text1"/>
        </w:rPr>
      </w:pPr>
      <w:r w:rsidRPr="007343B9">
        <w:rPr>
          <w:color w:val="000000" w:themeColor="text1"/>
        </w:rPr>
        <w:t xml:space="preserve">I have also discovered that the best approaches for community engagement entail actively participating in the practice of attentive listening, assigning significance to comments from the community, and establishing clearly stated objectives. Effective engagement is distinguished by the strict adherence to specified schedules, the execution of commitments, and a comprehensive assessment of its impact and effective leadership (Scanlan and Johnson, 2020). From my viewpoint, with an emphasis on continuous development, these criteria prioritize the formation of long-lasting relationships, the identification of cultural nuances, and the adaptation of tactics to engage with diverse populations. In order to enhance the effectiveness of future projects, I will greatly focus on diversity promotion and ensuring inclusiveness among the social dimensions irrespective of ethnicity, religion and socio-economic background. </w:t>
      </w:r>
    </w:p>
    <w:p w14:paraId="21A49DD0" w14:textId="77777777" w:rsidR="006D5EA2" w:rsidRPr="007343B9" w:rsidRDefault="00000000">
      <w:pPr>
        <w:spacing w:after="0" w:line="360" w:lineRule="auto"/>
        <w:jc w:val="both"/>
        <w:rPr>
          <w:color w:val="000000" w:themeColor="text1"/>
        </w:rPr>
      </w:pPr>
      <w:r w:rsidRPr="007343B9">
        <w:rPr>
          <w:color w:val="000000" w:themeColor="text1"/>
        </w:rPr>
        <w:t xml:space="preserve">In addition, I believe that the utilisation of suitable models such as </w:t>
      </w:r>
      <w:r w:rsidRPr="007343B9">
        <w:rPr>
          <w:b/>
          <w:i/>
          <w:color w:val="000000" w:themeColor="text1"/>
        </w:rPr>
        <w:t>top-down engagement</w:t>
      </w:r>
      <w:r w:rsidRPr="007343B9">
        <w:rPr>
          <w:color w:val="000000" w:themeColor="text1"/>
        </w:rPr>
        <w:t xml:space="preserve">, and </w:t>
      </w:r>
      <w:r w:rsidRPr="007343B9">
        <w:rPr>
          <w:b/>
          <w:i/>
          <w:color w:val="000000" w:themeColor="text1"/>
        </w:rPr>
        <w:t>ground-up engagement</w:t>
      </w:r>
      <w:r w:rsidRPr="007343B9">
        <w:rPr>
          <w:color w:val="000000" w:themeColor="text1"/>
        </w:rPr>
        <w:t xml:space="preserve"> is also beneficial for attracting and collaborating with a massive involvement of the members of the community who can contribute to the growth of the society. This approach will allow the incorporation of a wider range of opinions in the decision-making </w:t>
      </w:r>
      <w:r w:rsidRPr="007343B9">
        <w:rPr>
          <w:color w:val="000000" w:themeColor="text1"/>
        </w:rPr>
        <w:lastRenderedPageBreak/>
        <w:t xml:space="preserve">procedures, hence optimising outcomes of community engagement in the project (Holmes </w:t>
      </w:r>
      <w:r w:rsidRPr="007343B9">
        <w:rPr>
          <w:i/>
          <w:color w:val="000000" w:themeColor="text1"/>
        </w:rPr>
        <w:t>et al.,</w:t>
      </w:r>
      <w:r w:rsidRPr="007343B9">
        <w:rPr>
          <w:color w:val="000000" w:themeColor="text1"/>
        </w:rPr>
        <w:t xml:space="preserve"> 2019). On this note, I believe that the incorporation of cutting-edge technology-driven engagement tools can help significantly increase the degree of community participation. The effectiveness of this project can potentially be improved by increased prioritisation of early stakeholder engagement and the cultivation of stronger relationships within the community, especially in the field of healthcare (Ocloo </w:t>
      </w:r>
      <w:r w:rsidRPr="007343B9">
        <w:rPr>
          <w:i/>
          <w:color w:val="000000" w:themeColor="text1"/>
        </w:rPr>
        <w:t>et al.</w:t>
      </w:r>
      <w:r w:rsidRPr="007343B9">
        <w:rPr>
          <w:color w:val="000000" w:themeColor="text1"/>
        </w:rPr>
        <w:t xml:space="preserve"> 2021). With the aim of preparing for the next projects in community engagement, my goal is to use these important findings to prioritize the attainment of broader inclusion, smooth integration of technology, as well as proactive collaboration in future community participation initiatives.</w:t>
      </w:r>
    </w:p>
    <w:p w14:paraId="4347088F" w14:textId="77777777" w:rsidR="006D5EA2" w:rsidRPr="007343B9" w:rsidRDefault="00000000">
      <w:pPr>
        <w:rPr>
          <w:color w:val="000000" w:themeColor="text1"/>
        </w:rPr>
      </w:pPr>
      <w:r w:rsidRPr="007343B9">
        <w:rPr>
          <w:b/>
          <w:color w:val="000000" w:themeColor="text1"/>
        </w:rPr>
        <w:t>Conclusion</w:t>
      </w:r>
    </w:p>
    <w:p w14:paraId="1720212E" w14:textId="77777777" w:rsidR="006D5EA2" w:rsidRPr="007343B9" w:rsidRDefault="00000000">
      <w:pPr>
        <w:spacing w:after="0" w:line="360" w:lineRule="auto"/>
        <w:jc w:val="both"/>
        <w:rPr>
          <w:color w:val="000000" w:themeColor="text1"/>
        </w:rPr>
      </w:pPr>
      <w:r w:rsidRPr="007343B9">
        <w:rPr>
          <w:color w:val="000000" w:themeColor="text1"/>
        </w:rPr>
        <w:t xml:space="preserve">From the overall reflection, it can be concluded that I will try to focus on some specific principles and standards in my future project “Everybody on the same page” such as </w:t>
      </w:r>
      <w:r w:rsidRPr="007343B9">
        <w:rPr>
          <w:b/>
          <w:i/>
          <w:color w:val="000000" w:themeColor="text1"/>
        </w:rPr>
        <w:t xml:space="preserve">top-down, </w:t>
      </w:r>
      <w:r w:rsidRPr="007343B9">
        <w:rPr>
          <w:color w:val="000000" w:themeColor="text1"/>
        </w:rPr>
        <w:t xml:space="preserve">and </w:t>
      </w:r>
      <w:r w:rsidRPr="007343B9">
        <w:rPr>
          <w:b/>
          <w:i/>
          <w:color w:val="000000" w:themeColor="text1"/>
        </w:rPr>
        <w:t xml:space="preserve">ground-up engagement, inclusion standards, communication methods, support standards, </w:t>
      </w:r>
      <w:r w:rsidRPr="007343B9">
        <w:rPr>
          <w:color w:val="000000" w:themeColor="text1"/>
        </w:rPr>
        <w:t xml:space="preserve">and even different environmental sustainability aspects such as </w:t>
      </w:r>
      <w:r w:rsidRPr="007343B9">
        <w:rPr>
          <w:b/>
          <w:i/>
          <w:color w:val="000000" w:themeColor="text1"/>
        </w:rPr>
        <w:t xml:space="preserve">zero-carbon emission. </w:t>
      </w:r>
      <w:r w:rsidRPr="007343B9">
        <w:rPr>
          <w:color w:val="000000" w:themeColor="text1"/>
        </w:rPr>
        <w:t xml:space="preserve">On the other hand, I will also encourage the utilisation of different tools and platforms for better community engagement such as </w:t>
      </w:r>
      <w:r w:rsidRPr="007343B9">
        <w:rPr>
          <w:b/>
          <w:i/>
          <w:color w:val="000000" w:themeColor="text1"/>
        </w:rPr>
        <w:t xml:space="preserve">creative art, public meetings, focus groups, </w:t>
      </w:r>
      <w:r w:rsidRPr="007343B9">
        <w:rPr>
          <w:color w:val="000000" w:themeColor="text1"/>
        </w:rPr>
        <w:t xml:space="preserve">and </w:t>
      </w:r>
      <w:r w:rsidRPr="007343B9">
        <w:rPr>
          <w:b/>
          <w:i/>
          <w:color w:val="000000" w:themeColor="text1"/>
        </w:rPr>
        <w:t xml:space="preserve">community mapping. </w:t>
      </w:r>
      <w:r w:rsidRPr="007343B9">
        <w:rPr>
          <w:color w:val="000000" w:themeColor="text1"/>
        </w:rPr>
        <w:t xml:space="preserve">Unlike the </w:t>
      </w:r>
      <w:r w:rsidRPr="007343B9">
        <w:rPr>
          <w:b/>
          <w:i/>
          <w:color w:val="000000" w:themeColor="text1"/>
        </w:rPr>
        <w:t>Eden Project</w:t>
      </w:r>
      <w:r w:rsidRPr="007343B9">
        <w:rPr>
          <w:color w:val="000000" w:themeColor="text1"/>
        </w:rPr>
        <w:t xml:space="preserve">, I will motivate the project participants to offer suitable training and development programs to the community people to establish a sense of equality, diversity, and inclusion among them. I believe that it will be beneficial for the “Everybody on the same page” project to focus on offering support and providing backup to individuals from </w:t>
      </w:r>
      <w:r w:rsidRPr="007343B9">
        <w:rPr>
          <w:b/>
          <w:i/>
          <w:color w:val="000000" w:themeColor="text1"/>
        </w:rPr>
        <w:t>underrepresented demographics</w:t>
      </w:r>
      <w:r w:rsidRPr="007343B9">
        <w:rPr>
          <w:color w:val="000000" w:themeColor="text1"/>
        </w:rPr>
        <w:t xml:space="preserve"> in terms of spreading awareness about inclusivity across every dimension of society. Moreover, building trust, showing empathy and respecting other’s perspectives, is also will be advantageous in terms of increasing the effectiveness of this community engagement program. Listening to their daily life challenges, and concerns and giving them proper solutions that can improve their standard of living lives will also be considered in terms of executing the community engagement project</w:t>
      </w:r>
      <w:r w:rsidRPr="007343B9">
        <w:rPr>
          <w:b/>
          <w:i/>
          <w:color w:val="000000" w:themeColor="text1"/>
        </w:rPr>
        <w:t xml:space="preserve">. </w:t>
      </w:r>
    </w:p>
    <w:p w14:paraId="46A5A346" w14:textId="77777777" w:rsidR="006D5EA2" w:rsidRPr="007343B9" w:rsidRDefault="00000000">
      <w:pPr>
        <w:rPr>
          <w:b/>
          <w:color w:val="000000" w:themeColor="text1"/>
        </w:rPr>
      </w:pPr>
      <w:r w:rsidRPr="007343B9">
        <w:rPr>
          <w:b/>
          <w:color w:val="000000" w:themeColor="text1"/>
        </w:rPr>
        <w:t>Action Plan</w:t>
      </w:r>
    </w:p>
    <w:p w14:paraId="5B758BCB" w14:textId="77777777" w:rsidR="006D5EA2" w:rsidRPr="007343B9" w:rsidRDefault="00000000">
      <w:pPr>
        <w:spacing w:after="0" w:line="360" w:lineRule="auto"/>
        <w:jc w:val="both"/>
        <w:rPr>
          <w:color w:val="000000" w:themeColor="text1"/>
        </w:rPr>
      </w:pPr>
      <w:r w:rsidRPr="007343B9">
        <w:rPr>
          <w:color w:val="000000" w:themeColor="text1"/>
        </w:rPr>
        <w:t>To get a better result in the field of encouraging community people to join the campaign of this project which is aimed at promoting inclusion and diversity, the following action plans can be beneficial in the area of need-</w:t>
      </w:r>
    </w:p>
    <w:tbl>
      <w:tblPr>
        <w:tblStyle w:val="a"/>
        <w:tblW w:w="93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14"/>
        <w:gridCol w:w="6812"/>
        <w:gridCol w:w="923"/>
      </w:tblGrid>
      <w:tr w:rsidR="00BB3D7A" w14:paraId="1FEF74DB" w14:textId="77777777">
        <w:tc>
          <w:tcPr>
            <w:tcW w:w="1614" w:type="dxa"/>
          </w:tcPr>
          <w:p w14:paraId="4780E302" w14:textId="77777777" w:rsidR="006D5EA2" w:rsidRPr="007343B9" w:rsidRDefault="00000000">
            <w:pPr>
              <w:spacing w:line="360" w:lineRule="auto"/>
              <w:jc w:val="center"/>
              <w:rPr>
                <w:b/>
                <w:color w:val="000000" w:themeColor="text1"/>
              </w:rPr>
            </w:pPr>
            <w:r w:rsidRPr="007343B9">
              <w:rPr>
                <w:b/>
                <w:color w:val="000000" w:themeColor="text1"/>
              </w:rPr>
              <w:lastRenderedPageBreak/>
              <w:t>Course of action</w:t>
            </w:r>
          </w:p>
        </w:tc>
        <w:tc>
          <w:tcPr>
            <w:tcW w:w="6813" w:type="dxa"/>
          </w:tcPr>
          <w:p w14:paraId="36918BA9" w14:textId="77777777" w:rsidR="006D5EA2" w:rsidRPr="007343B9" w:rsidRDefault="00000000">
            <w:pPr>
              <w:spacing w:line="360" w:lineRule="auto"/>
              <w:jc w:val="center"/>
              <w:rPr>
                <w:b/>
                <w:color w:val="000000" w:themeColor="text1"/>
              </w:rPr>
            </w:pPr>
            <w:r w:rsidRPr="007343B9">
              <w:rPr>
                <w:b/>
                <w:color w:val="000000" w:themeColor="text1"/>
              </w:rPr>
              <w:t>Strategies</w:t>
            </w:r>
          </w:p>
        </w:tc>
        <w:tc>
          <w:tcPr>
            <w:tcW w:w="923" w:type="dxa"/>
          </w:tcPr>
          <w:p w14:paraId="08A79443" w14:textId="77777777" w:rsidR="006D5EA2" w:rsidRPr="007343B9" w:rsidRDefault="00000000">
            <w:pPr>
              <w:spacing w:line="360" w:lineRule="auto"/>
              <w:jc w:val="center"/>
              <w:rPr>
                <w:b/>
                <w:color w:val="000000" w:themeColor="text1"/>
              </w:rPr>
            </w:pPr>
            <w:r w:rsidRPr="007343B9">
              <w:rPr>
                <w:b/>
                <w:color w:val="000000" w:themeColor="text1"/>
              </w:rPr>
              <w:t>Timeline</w:t>
            </w:r>
          </w:p>
        </w:tc>
      </w:tr>
      <w:tr w:rsidR="00BB3D7A" w14:paraId="5006D67D" w14:textId="77777777">
        <w:tc>
          <w:tcPr>
            <w:tcW w:w="1614" w:type="dxa"/>
          </w:tcPr>
          <w:p w14:paraId="4062B6F9" w14:textId="77777777" w:rsidR="006D5EA2" w:rsidRPr="007343B9" w:rsidRDefault="00000000">
            <w:pPr>
              <w:spacing w:line="360" w:lineRule="auto"/>
              <w:jc w:val="both"/>
              <w:rPr>
                <w:color w:val="000000" w:themeColor="text1"/>
              </w:rPr>
            </w:pPr>
            <w:r w:rsidRPr="007343B9">
              <w:rPr>
                <w:color w:val="000000" w:themeColor="text1"/>
              </w:rPr>
              <w:t>Training and development</w:t>
            </w:r>
          </w:p>
        </w:tc>
        <w:tc>
          <w:tcPr>
            <w:tcW w:w="6813" w:type="dxa"/>
          </w:tcPr>
          <w:p w14:paraId="261237E3" w14:textId="77777777" w:rsidR="006D5EA2" w:rsidRPr="007343B9" w:rsidRDefault="00000000">
            <w:pPr>
              <w:spacing w:line="360" w:lineRule="auto"/>
              <w:jc w:val="both"/>
              <w:rPr>
                <w:color w:val="000000" w:themeColor="text1"/>
              </w:rPr>
            </w:pPr>
            <w:r w:rsidRPr="007343B9">
              <w:rPr>
                <w:color w:val="000000" w:themeColor="text1"/>
              </w:rPr>
              <w:t xml:space="preserve">There is a necessity for the project participants to organise seminars or workshops in order to educate people about equal opportunities, and basic human rights, and promote diversity and inclusion.  </w:t>
            </w:r>
          </w:p>
        </w:tc>
        <w:tc>
          <w:tcPr>
            <w:tcW w:w="923" w:type="dxa"/>
          </w:tcPr>
          <w:p w14:paraId="23F6D99B" w14:textId="77777777" w:rsidR="006D5EA2" w:rsidRPr="007343B9" w:rsidRDefault="00000000">
            <w:pPr>
              <w:spacing w:line="360" w:lineRule="auto"/>
              <w:jc w:val="both"/>
              <w:rPr>
                <w:color w:val="000000" w:themeColor="text1"/>
              </w:rPr>
            </w:pPr>
            <w:r w:rsidRPr="007343B9">
              <w:rPr>
                <w:color w:val="000000" w:themeColor="text1"/>
              </w:rPr>
              <w:t>6 months</w:t>
            </w:r>
          </w:p>
        </w:tc>
      </w:tr>
      <w:tr w:rsidR="00BB3D7A" w14:paraId="131575D8" w14:textId="77777777">
        <w:tc>
          <w:tcPr>
            <w:tcW w:w="1614" w:type="dxa"/>
          </w:tcPr>
          <w:p w14:paraId="315F68AE" w14:textId="77777777" w:rsidR="006D5EA2" w:rsidRPr="007343B9" w:rsidRDefault="00000000">
            <w:pPr>
              <w:spacing w:line="360" w:lineRule="auto"/>
              <w:jc w:val="both"/>
              <w:rPr>
                <w:color w:val="000000" w:themeColor="text1"/>
              </w:rPr>
            </w:pPr>
            <w:r w:rsidRPr="007343B9">
              <w:rPr>
                <w:color w:val="000000" w:themeColor="text1"/>
              </w:rPr>
              <w:t>Maintain a strong social network</w:t>
            </w:r>
          </w:p>
        </w:tc>
        <w:tc>
          <w:tcPr>
            <w:tcW w:w="6813" w:type="dxa"/>
          </w:tcPr>
          <w:p w14:paraId="343FAAF0" w14:textId="77777777" w:rsidR="006D5EA2" w:rsidRPr="007343B9" w:rsidRDefault="00000000">
            <w:pPr>
              <w:spacing w:line="360" w:lineRule="auto"/>
              <w:jc w:val="both"/>
              <w:rPr>
                <w:color w:val="000000" w:themeColor="text1"/>
              </w:rPr>
            </w:pPr>
            <w:r w:rsidRPr="007343B9">
              <w:rPr>
                <w:color w:val="000000" w:themeColor="text1"/>
              </w:rPr>
              <w:t xml:space="preserve">In the field of reaching out to more community members, maintaining a strong connection through effective communication, active listening and showing respect and empathy to all is very crucial along with the integration of sustainable practices (Skowronek </w:t>
            </w:r>
            <w:r w:rsidRPr="007343B9">
              <w:rPr>
                <w:i/>
                <w:color w:val="000000" w:themeColor="text1"/>
              </w:rPr>
              <w:t>et al.,</w:t>
            </w:r>
            <w:r w:rsidRPr="007343B9">
              <w:rPr>
                <w:color w:val="000000" w:themeColor="text1"/>
              </w:rPr>
              <w:t xml:space="preserve"> 2022). </w:t>
            </w:r>
          </w:p>
        </w:tc>
        <w:tc>
          <w:tcPr>
            <w:tcW w:w="923" w:type="dxa"/>
          </w:tcPr>
          <w:p w14:paraId="098D76DB" w14:textId="77777777" w:rsidR="006D5EA2" w:rsidRPr="007343B9" w:rsidRDefault="00000000">
            <w:pPr>
              <w:spacing w:line="360" w:lineRule="auto"/>
              <w:jc w:val="both"/>
              <w:rPr>
                <w:color w:val="000000" w:themeColor="text1"/>
              </w:rPr>
            </w:pPr>
            <w:r w:rsidRPr="007343B9">
              <w:rPr>
                <w:color w:val="000000" w:themeColor="text1"/>
              </w:rPr>
              <w:t>8 months</w:t>
            </w:r>
          </w:p>
        </w:tc>
      </w:tr>
      <w:tr w:rsidR="00BB3D7A" w14:paraId="0CF5F1AB" w14:textId="77777777">
        <w:tc>
          <w:tcPr>
            <w:tcW w:w="1614" w:type="dxa"/>
          </w:tcPr>
          <w:p w14:paraId="3956A17B" w14:textId="77777777" w:rsidR="006D5EA2" w:rsidRPr="007343B9" w:rsidRDefault="00000000">
            <w:pPr>
              <w:spacing w:line="360" w:lineRule="auto"/>
              <w:jc w:val="both"/>
              <w:rPr>
                <w:color w:val="000000" w:themeColor="text1"/>
              </w:rPr>
            </w:pPr>
            <w:r w:rsidRPr="007343B9">
              <w:rPr>
                <w:color w:val="000000" w:themeColor="text1"/>
              </w:rPr>
              <w:t>Respecting stakeholder engagement</w:t>
            </w:r>
          </w:p>
        </w:tc>
        <w:tc>
          <w:tcPr>
            <w:tcW w:w="6813" w:type="dxa"/>
          </w:tcPr>
          <w:p w14:paraId="4B7DC67F" w14:textId="77777777" w:rsidR="006D5EA2" w:rsidRPr="007343B9" w:rsidRDefault="00000000">
            <w:pPr>
              <w:spacing w:line="360" w:lineRule="auto"/>
              <w:jc w:val="both"/>
              <w:rPr>
                <w:color w:val="000000" w:themeColor="text1"/>
              </w:rPr>
            </w:pPr>
            <w:r w:rsidRPr="007343B9">
              <w:rPr>
                <w:color w:val="000000" w:themeColor="text1"/>
              </w:rPr>
              <w:t xml:space="preserve">The engagement of stakeholders can be improved by maintaining a sense of belonging, trust and transparency while respecting their feedback and opinions about the project (Pfajfar </w:t>
            </w:r>
            <w:r w:rsidRPr="007343B9">
              <w:rPr>
                <w:i/>
                <w:color w:val="000000" w:themeColor="text1"/>
              </w:rPr>
              <w:t>et al.,</w:t>
            </w:r>
            <w:r w:rsidRPr="007343B9">
              <w:rPr>
                <w:color w:val="000000" w:themeColor="text1"/>
              </w:rPr>
              <w:t xml:space="preserve"> 2022).</w:t>
            </w:r>
          </w:p>
        </w:tc>
        <w:tc>
          <w:tcPr>
            <w:tcW w:w="923" w:type="dxa"/>
          </w:tcPr>
          <w:p w14:paraId="3334D5AC" w14:textId="77777777" w:rsidR="006D5EA2" w:rsidRPr="007343B9" w:rsidRDefault="00000000">
            <w:pPr>
              <w:spacing w:line="360" w:lineRule="auto"/>
              <w:jc w:val="both"/>
              <w:rPr>
                <w:color w:val="000000" w:themeColor="text1"/>
              </w:rPr>
            </w:pPr>
            <w:r w:rsidRPr="007343B9">
              <w:rPr>
                <w:color w:val="000000" w:themeColor="text1"/>
              </w:rPr>
              <w:t>12 months</w:t>
            </w:r>
          </w:p>
        </w:tc>
      </w:tr>
      <w:tr w:rsidR="00BB3D7A" w14:paraId="6243F456" w14:textId="77777777">
        <w:tc>
          <w:tcPr>
            <w:tcW w:w="1614" w:type="dxa"/>
          </w:tcPr>
          <w:p w14:paraId="5244D9DA" w14:textId="77777777" w:rsidR="006D5EA2" w:rsidRPr="007343B9" w:rsidRDefault="00000000">
            <w:pPr>
              <w:spacing w:line="360" w:lineRule="auto"/>
              <w:rPr>
                <w:color w:val="000000" w:themeColor="text1"/>
              </w:rPr>
            </w:pPr>
            <w:r w:rsidRPr="007343B9">
              <w:rPr>
                <w:color w:val="000000" w:themeColor="text1"/>
              </w:rPr>
              <w:t>Proper advertisement</w:t>
            </w:r>
          </w:p>
        </w:tc>
        <w:tc>
          <w:tcPr>
            <w:tcW w:w="6813" w:type="dxa"/>
          </w:tcPr>
          <w:p w14:paraId="36666AE5" w14:textId="77777777" w:rsidR="006D5EA2" w:rsidRPr="007343B9" w:rsidRDefault="00000000">
            <w:pPr>
              <w:spacing w:line="360" w:lineRule="auto"/>
              <w:jc w:val="both"/>
              <w:rPr>
                <w:color w:val="000000" w:themeColor="text1"/>
              </w:rPr>
            </w:pPr>
            <w:r w:rsidRPr="007343B9">
              <w:rPr>
                <w:color w:val="000000" w:themeColor="text1"/>
              </w:rPr>
              <w:t xml:space="preserve">Utilisation of both online and offline methods such as creative arts, community mapping, interviews, and application of web-based community engagement. </w:t>
            </w:r>
          </w:p>
        </w:tc>
        <w:tc>
          <w:tcPr>
            <w:tcW w:w="923" w:type="dxa"/>
          </w:tcPr>
          <w:p w14:paraId="121F9FD9" w14:textId="77777777" w:rsidR="006D5EA2" w:rsidRPr="007343B9" w:rsidRDefault="006D5EA2">
            <w:pPr>
              <w:spacing w:line="360" w:lineRule="auto"/>
              <w:jc w:val="both"/>
              <w:rPr>
                <w:color w:val="000000" w:themeColor="text1"/>
              </w:rPr>
            </w:pPr>
          </w:p>
        </w:tc>
      </w:tr>
    </w:tbl>
    <w:p w14:paraId="64018366" w14:textId="77777777" w:rsidR="006D5EA2" w:rsidRPr="007343B9" w:rsidRDefault="00000000">
      <w:pPr>
        <w:spacing w:after="0" w:line="360" w:lineRule="auto"/>
        <w:jc w:val="center"/>
        <w:rPr>
          <w:b/>
          <w:color w:val="000000" w:themeColor="text1"/>
        </w:rPr>
      </w:pPr>
      <w:r w:rsidRPr="007343B9">
        <w:rPr>
          <w:b/>
          <w:color w:val="000000" w:themeColor="text1"/>
        </w:rPr>
        <w:t>Table 1: Action Plan</w:t>
      </w:r>
    </w:p>
    <w:p w14:paraId="291AB912" w14:textId="77777777" w:rsidR="006D5EA2" w:rsidRPr="007343B9" w:rsidRDefault="00000000">
      <w:pPr>
        <w:pStyle w:val="Heading1"/>
        <w:rPr>
          <w:color w:val="000000" w:themeColor="text1"/>
        </w:rPr>
      </w:pPr>
      <w:bookmarkStart w:id="3" w:name="_heading=h.2et92p0" w:colFirst="0" w:colLast="0"/>
      <w:bookmarkEnd w:id="3"/>
      <w:r w:rsidRPr="007343B9">
        <w:rPr>
          <w:color w:val="000000" w:themeColor="text1"/>
        </w:rPr>
        <w:t>Conclusion</w:t>
      </w:r>
    </w:p>
    <w:p w14:paraId="013AB94A" w14:textId="77777777" w:rsidR="006D5EA2" w:rsidRPr="007343B9" w:rsidRDefault="00000000">
      <w:pPr>
        <w:spacing w:after="0" w:line="360" w:lineRule="auto"/>
        <w:jc w:val="both"/>
        <w:rPr>
          <w:color w:val="000000" w:themeColor="text1"/>
        </w:rPr>
      </w:pPr>
      <w:r w:rsidRPr="007343B9">
        <w:rPr>
          <w:color w:val="000000" w:themeColor="text1"/>
        </w:rPr>
        <w:t>From the overall study, I have learnt that the implementation of a strategic approach that places priority on the incorporation of diverse perspectives promotes a perception of fairness and guarantees adequate participation within the community which I have learnt from the Eden Project. However, I will focus on obtaining feedback and opinions from the community people during the "</w:t>
      </w:r>
      <w:r w:rsidRPr="007343B9">
        <w:rPr>
          <w:b/>
          <w:i/>
          <w:color w:val="000000" w:themeColor="text1"/>
        </w:rPr>
        <w:t>Everybody on the same page</w:t>
      </w:r>
      <w:r w:rsidRPr="007343B9">
        <w:rPr>
          <w:color w:val="000000" w:themeColor="text1"/>
        </w:rPr>
        <w:t>” project instead of only considering effective communication with them. The act of establishing partnerships with local groups and stakeholders contributes to the improvement of initiatives and the expansion of outreach community engagement projects. In terms of taking part in future projects namely “Everybody on the same page”, I will be focusing on the use of adaptable techniques that include feedback from the community, evolving demands, and cultural sensitivity that will promote enduring and substantial engagement from the community. Moreover, I believe that the incorporation of these ideal approaches and tactics forms a robust foundation for successful community engagement, which can help ensure collaboration, empathy, and positive communal progress.</w:t>
      </w:r>
    </w:p>
    <w:p w14:paraId="44E305E1" w14:textId="77777777" w:rsidR="006D5EA2" w:rsidRPr="007343B9" w:rsidRDefault="00000000">
      <w:pPr>
        <w:rPr>
          <w:color w:val="000000" w:themeColor="text1"/>
        </w:rPr>
      </w:pPr>
      <w:r w:rsidRPr="007343B9">
        <w:rPr>
          <w:color w:val="000000" w:themeColor="text1"/>
        </w:rPr>
        <w:br w:type="page"/>
      </w:r>
    </w:p>
    <w:p w14:paraId="546552D8" w14:textId="77777777" w:rsidR="006D5EA2" w:rsidRPr="007343B9" w:rsidRDefault="00000000">
      <w:pPr>
        <w:pStyle w:val="Heading1"/>
        <w:rPr>
          <w:color w:val="000000" w:themeColor="text1"/>
        </w:rPr>
      </w:pPr>
      <w:bookmarkStart w:id="4" w:name="_heading=h.tyjcwt" w:colFirst="0" w:colLast="0"/>
      <w:bookmarkEnd w:id="4"/>
      <w:r w:rsidRPr="007343B9">
        <w:rPr>
          <w:color w:val="000000" w:themeColor="text1"/>
        </w:rPr>
        <w:lastRenderedPageBreak/>
        <w:t>Reference List</w:t>
      </w:r>
    </w:p>
    <w:p w14:paraId="4E28000F" w14:textId="77777777" w:rsidR="007343B9" w:rsidRPr="007343B9" w:rsidRDefault="00000000">
      <w:pPr>
        <w:spacing w:after="0" w:line="360" w:lineRule="auto"/>
        <w:jc w:val="both"/>
        <w:rPr>
          <w:color w:val="000000" w:themeColor="text1"/>
        </w:rPr>
      </w:pPr>
      <w:bookmarkStart w:id="5" w:name="_heading=h.3dy6vkm" w:colFirst="0" w:colLast="0"/>
      <w:bookmarkEnd w:id="5"/>
      <w:r w:rsidRPr="007343B9">
        <w:rPr>
          <w:color w:val="000000" w:themeColor="text1"/>
        </w:rPr>
        <w:t>Bernstein, R.S., Bulger, M., Salipante, P. and Weisinger, J.Y., 2020. From diversity to inclusion to equity: A theory of generative interactions. </w:t>
      </w:r>
      <w:r w:rsidRPr="007343B9">
        <w:rPr>
          <w:i/>
          <w:color w:val="000000" w:themeColor="text1"/>
        </w:rPr>
        <w:t>Journal of Business Ethics</w:t>
      </w:r>
      <w:r w:rsidRPr="007343B9">
        <w:rPr>
          <w:color w:val="000000" w:themeColor="text1"/>
        </w:rPr>
        <w:t>, </w:t>
      </w:r>
      <w:r w:rsidRPr="007343B9">
        <w:rPr>
          <w:i/>
          <w:color w:val="000000" w:themeColor="text1"/>
        </w:rPr>
        <w:t>167</w:t>
      </w:r>
      <w:r w:rsidRPr="007343B9">
        <w:rPr>
          <w:color w:val="000000" w:themeColor="text1"/>
        </w:rPr>
        <w:t>, pp.395-410.</w:t>
      </w:r>
    </w:p>
    <w:p w14:paraId="6F972640" w14:textId="77777777" w:rsidR="007343B9" w:rsidRPr="007343B9" w:rsidRDefault="00000000">
      <w:pPr>
        <w:spacing w:after="0" w:line="360" w:lineRule="auto"/>
        <w:jc w:val="both"/>
        <w:rPr>
          <w:color w:val="000000" w:themeColor="text1"/>
        </w:rPr>
      </w:pPr>
      <w:r w:rsidRPr="007343B9">
        <w:rPr>
          <w:color w:val="000000" w:themeColor="text1"/>
        </w:rPr>
        <w:t>Cooke, D.T., Olive, J., Godoy, L., Preventza, O., Mathisen, D.J. and Prager, R.L., 2019. The importance of a diverse specialty: introducing the STS workforce on diversity and inclusion. </w:t>
      </w:r>
      <w:r w:rsidRPr="007343B9">
        <w:rPr>
          <w:i/>
          <w:color w:val="000000" w:themeColor="text1"/>
        </w:rPr>
        <w:t>The Annals of Thoracic Surgery</w:t>
      </w:r>
      <w:r w:rsidRPr="007343B9">
        <w:rPr>
          <w:color w:val="000000" w:themeColor="text1"/>
        </w:rPr>
        <w:t>, </w:t>
      </w:r>
      <w:r w:rsidRPr="007343B9">
        <w:rPr>
          <w:i/>
          <w:color w:val="000000" w:themeColor="text1"/>
        </w:rPr>
        <w:t>108</w:t>
      </w:r>
      <w:r w:rsidRPr="007343B9">
        <w:rPr>
          <w:color w:val="000000" w:themeColor="text1"/>
        </w:rPr>
        <w:t>(4), pp.1000-1005.</w:t>
      </w:r>
    </w:p>
    <w:p w14:paraId="14A3472F" w14:textId="77777777" w:rsidR="007343B9" w:rsidRPr="007343B9" w:rsidRDefault="00000000">
      <w:pPr>
        <w:spacing w:after="0" w:line="360" w:lineRule="auto"/>
        <w:jc w:val="both"/>
        <w:rPr>
          <w:color w:val="000000" w:themeColor="text1"/>
        </w:rPr>
      </w:pPr>
      <w:r w:rsidRPr="007343B9">
        <w:rPr>
          <w:color w:val="000000" w:themeColor="text1"/>
        </w:rPr>
        <w:t>Cunningham, G.B. and Nite, C., 2020. LGBT diversity and inclusion, community characteristics, and success. </w:t>
      </w:r>
      <w:r w:rsidRPr="007343B9">
        <w:rPr>
          <w:i/>
          <w:color w:val="000000" w:themeColor="text1"/>
        </w:rPr>
        <w:t>Journal of Sport Management</w:t>
      </w:r>
      <w:r w:rsidRPr="007343B9">
        <w:rPr>
          <w:color w:val="000000" w:themeColor="text1"/>
        </w:rPr>
        <w:t>, </w:t>
      </w:r>
      <w:r w:rsidRPr="007343B9">
        <w:rPr>
          <w:i/>
          <w:color w:val="000000" w:themeColor="text1"/>
        </w:rPr>
        <w:t>34</w:t>
      </w:r>
      <w:r w:rsidRPr="007343B9">
        <w:rPr>
          <w:color w:val="000000" w:themeColor="text1"/>
        </w:rPr>
        <w:t>(6), pp.533-541.</w:t>
      </w:r>
    </w:p>
    <w:p w14:paraId="56EE9922" w14:textId="77777777" w:rsidR="007343B9" w:rsidRPr="007343B9" w:rsidRDefault="00000000">
      <w:pPr>
        <w:spacing w:after="0" w:line="360" w:lineRule="auto"/>
        <w:jc w:val="both"/>
        <w:rPr>
          <w:color w:val="000000" w:themeColor="text1"/>
        </w:rPr>
      </w:pPr>
      <w:r w:rsidRPr="007343B9">
        <w:rPr>
          <w:color w:val="000000" w:themeColor="text1"/>
        </w:rPr>
        <w:t>Fuentes, M.A., Zelaya, D.G. and Madsen, J.W., 2021. Rethinking the course syllabus: Considerations for promoting equity, diversity, and inclusion. </w:t>
      </w:r>
      <w:r w:rsidRPr="007343B9">
        <w:rPr>
          <w:i/>
          <w:color w:val="000000" w:themeColor="text1"/>
        </w:rPr>
        <w:t>Teaching of Psychology</w:t>
      </w:r>
      <w:r w:rsidRPr="007343B9">
        <w:rPr>
          <w:color w:val="000000" w:themeColor="text1"/>
        </w:rPr>
        <w:t>, </w:t>
      </w:r>
      <w:r w:rsidRPr="007343B9">
        <w:rPr>
          <w:i/>
          <w:color w:val="000000" w:themeColor="text1"/>
        </w:rPr>
        <w:t>48</w:t>
      </w:r>
      <w:r w:rsidRPr="007343B9">
        <w:rPr>
          <w:color w:val="000000" w:themeColor="text1"/>
        </w:rPr>
        <w:t>(1), pp.69-79.</w:t>
      </w:r>
    </w:p>
    <w:p w14:paraId="1A759CFF" w14:textId="77777777" w:rsidR="007343B9" w:rsidRPr="007343B9" w:rsidRDefault="00000000">
      <w:pPr>
        <w:spacing w:after="0" w:line="360" w:lineRule="auto"/>
        <w:jc w:val="both"/>
        <w:rPr>
          <w:color w:val="000000" w:themeColor="text1"/>
        </w:rPr>
      </w:pPr>
      <w:r w:rsidRPr="007343B9">
        <w:rPr>
          <w:color w:val="000000" w:themeColor="text1"/>
        </w:rPr>
        <w:t>Gandolfi, E., Ferdig, R.E. and Kratcoski, A., 2021. A new educational normal an intersectionality-led exploration of education, learning technologies, and diversity during COVID-19. </w:t>
      </w:r>
      <w:r w:rsidRPr="007343B9">
        <w:rPr>
          <w:i/>
          <w:color w:val="000000" w:themeColor="text1"/>
        </w:rPr>
        <w:t>Technology in Society</w:t>
      </w:r>
      <w:r w:rsidRPr="007343B9">
        <w:rPr>
          <w:color w:val="000000" w:themeColor="text1"/>
        </w:rPr>
        <w:t>, </w:t>
      </w:r>
      <w:r w:rsidRPr="007343B9">
        <w:rPr>
          <w:i/>
          <w:color w:val="000000" w:themeColor="text1"/>
        </w:rPr>
        <w:t>66</w:t>
      </w:r>
      <w:r w:rsidRPr="007343B9">
        <w:rPr>
          <w:color w:val="000000" w:themeColor="text1"/>
        </w:rPr>
        <w:t>, p.101637.</w:t>
      </w:r>
    </w:p>
    <w:p w14:paraId="2D14AED7" w14:textId="77777777" w:rsidR="007343B9" w:rsidRPr="007343B9" w:rsidRDefault="00000000">
      <w:pPr>
        <w:spacing w:after="0" w:line="360" w:lineRule="auto"/>
        <w:jc w:val="both"/>
        <w:rPr>
          <w:color w:val="000000" w:themeColor="text1"/>
        </w:rPr>
      </w:pPr>
      <w:r w:rsidRPr="007343B9">
        <w:rPr>
          <w:color w:val="000000" w:themeColor="text1"/>
        </w:rPr>
        <w:t>Holmes, L., Cresswell, K., Williams, S., Parsons, S., Keane, A., Wilson, C., Islam, S., Joseph, O., Miah, J., Robinson, E. and Starling, B., 2019. Innovating public engagement and patient involvement through strategic collaboration and practice. </w:t>
      </w:r>
      <w:r w:rsidRPr="007343B9">
        <w:rPr>
          <w:i/>
          <w:color w:val="000000" w:themeColor="text1"/>
        </w:rPr>
        <w:t>Research involvement and engagement</w:t>
      </w:r>
      <w:r w:rsidRPr="007343B9">
        <w:rPr>
          <w:color w:val="000000" w:themeColor="text1"/>
        </w:rPr>
        <w:t>, </w:t>
      </w:r>
      <w:r w:rsidRPr="007343B9">
        <w:rPr>
          <w:i/>
          <w:color w:val="000000" w:themeColor="text1"/>
        </w:rPr>
        <w:t>5</w:t>
      </w:r>
      <w:r w:rsidRPr="007343B9">
        <w:rPr>
          <w:color w:val="000000" w:themeColor="text1"/>
        </w:rPr>
        <w:t>, pp.1-12.</w:t>
      </w:r>
    </w:p>
    <w:p w14:paraId="0D843D88" w14:textId="77777777" w:rsidR="007343B9" w:rsidRPr="007343B9" w:rsidRDefault="00000000">
      <w:pPr>
        <w:spacing w:after="0" w:line="360" w:lineRule="auto"/>
        <w:jc w:val="both"/>
        <w:rPr>
          <w:color w:val="000000" w:themeColor="text1"/>
        </w:rPr>
      </w:pPr>
      <w:r w:rsidRPr="007343B9">
        <w:rPr>
          <w:color w:val="000000" w:themeColor="text1"/>
        </w:rPr>
        <w:t>Miguel Vicente, C., Cury, S.P., Arias Astray, A. and Fernández Fernández, J.M., 2020. Social Work: Diversity and Inclusion in Higher Education Policies Review and Reflection. </w:t>
      </w:r>
      <w:r w:rsidRPr="007343B9">
        <w:rPr>
          <w:i/>
          <w:color w:val="000000" w:themeColor="text1"/>
        </w:rPr>
        <w:t>Qualitative and Quantitative Models in Socio-Economic Systems and Social Work</w:t>
      </w:r>
      <w:r w:rsidRPr="007343B9">
        <w:rPr>
          <w:color w:val="000000" w:themeColor="text1"/>
        </w:rPr>
        <w:t>, pp.51-62.</w:t>
      </w:r>
    </w:p>
    <w:p w14:paraId="25395290" w14:textId="77777777" w:rsidR="007343B9" w:rsidRPr="007343B9" w:rsidRDefault="00000000">
      <w:pPr>
        <w:spacing w:after="0" w:line="360" w:lineRule="auto"/>
        <w:jc w:val="both"/>
        <w:rPr>
          <w:color w:val="000000" w:themeColor="text1"/>
        </w:rPr>
      </w:pPr>
      <w:r w:rsidRPr="007343B9">
        <w:rPr>
          <w:color w:val="000000" w:themeColor="text1"/>
        </w:rPr>
        <w:t>Ocloo, J., Garfield, S., Franklin, B.D. and Dawson, S., 2021. Exploring the theory, barriers and enablers for patient and public involvement across health, social care and patient safety: a systematic review of reviews. </w:t>
      </w:r>
      <w:r w:rsidRPr="007343B9">
        <w:rPr>
          <w:i/>
          <w:color w:val="000000" w:themeColor="text1"/>
        </w:rPr>
        <w:t>Health research policy and systems</w:t>
      </w:r>
      <w:r w:rsidRPr="007343B9">
        <w:rPr>
          <w:color w:val="000000" w:themeColor="text1"/>
        </w:rPr>
        <w:t>, </w:t>
      </w:r>
      <w:r w:rsidRPr="007343B9">
        <w:rPr>
          <w:i/>
          <w:color w:val="000000" w:themeColor="text1"/>
        </w:rPr>
        <w:t>19</w:t>
      </w:r>
      <w:r w:rsidRPr="007343B9">
        <w:rPr>
          <w:color w:val="000000" w:themeColor="text1"/>
        </w:rPr>
        <w:t>, pp.1-21.</w:t>
      </w:r>
    </w:p>
    <w:p w14:paraId="23213515" w14:textId="77777777" w:rsidR="007343B9" w:rsidRPr="007343B9" w:rsidRDefault="00000000">
      <w:pPr>
        <w:spacing w:after="0" w:line="360" w:lineRule="auto"/>
        <w:jc w:val="both"/>
        <w:rPr>
          <w:color w:val="000000" w:themeColor="text1"/>
        </w:rPr>
      </w:pPr>
      <w:r w:rsidRPr="007343B9">
        <w:rPr>
          <w:color w:val="000000" w:themeColor="text1"/>
        </w:rPr>
        <w:t>Pfajfar, G., Shoham, A., Małecka, A. and Zalaznik, M., 2022. Value of corporate social responsibility for multiple stakeholders and social impact–Relationship marketing perspective. </w:t>
      </w:r>
      <w:r w:rsidRPr="007343B9">
        <w:rPr>
          <w:i/>
          <w:color w:val="000000" w:themeColor="text1"/>
        </w:rPr>
        <w:t>Journal of business research</w:t>
      </w:r>
      <w:r w:rsidRPr="007343B9">
        <w:rPr>
          <w:color w:val="000000" w:themeColor="text1"/>
        </w:rPr>
        <w:t>, </w:t>
      </w:r>
      <w:r w:rsidRPr="007343B9">
        <w:rPr>
          <w:i/>
          <w:color w:val="000000" w:themeColor="text1"/>
        </w:rPr>
        <w:t>143</w:t>
      </w:r>
      <w:r w:rsidRPr="007343B9">
        <w:rPr>
          <w:color w:val="000000" w:themeColor="text1"/>
        </w:rPr>
        <w:t>, pp.46-61.</w:t>
      </w:r>
    </w:p>
    <w:p w14:paraId="4BFE2724" w14:textId="77777777" w:rsidR="007343B9" w:rsidRPr="007343B9" w:rsidRDefault="00000000">
      <w:pPr>
        <w:spacing w:after="0" w:line="360" w:lineRule="auto"/>
        <w:jc w:val="both"/>
        <w:rPr>
          <w:color w:val="000000" w:themeColor="text1"/>
        </w:rPr>
      </w:pPr>
      <w:r w:rsidRPr="007343B9">
        <w:rPr>
          <w:color w:val="000000" w:themeColor="text1"/>
        </w:rPr>
        <w:t>Scanlan, M. and Johnson, L., 2020. Inclusive leadership on the social frontiers: Family and community engagement. In </w:t>
      </w:r>
      <w:r w:rsidRPr="007343B9">
        <w:rPr>
          <w:i/>
          <w:color w:val="000000" w:themeColor="text1"/>
        </w:rPr>
        <w:t>Leadership for increasingly diverse schools</w:t>
      </w:r>
      <w:r w:rsidRPr="007343B9">
        <w:rPr>
          <w:color w:val="000000" w:themeColor="text1"/>
        </w:rPr>
        <w:t> (pp. 227-258). Routledge.</w:t>
      </w:r>
    </w:p>
    <w:p w14:paraId="703078FA" w14:textId="77777777" w:rsidR="007343B9" w:rsidRPr="007343B9" w:rsidRDefault="00000000">
      <w:pPr>
        <w:spacing w:after="0" w:line="360" w:lineRule="auto"/>
        <w:jc w:val="both"/>
        <w:rPr>
          <w:color w:val="000000" w:themeColor="text1"/>
        </w:rPr>
      </w:pPr>
      <w:r w:rsidRPr="007343B9">
        <w:rPr>
          <w:color w:val="000000" w:themeColor="text1"/>
        </w:rPr>
        <w:lastRenderedPageBreak/>
        <w:t>Skowronek, M., Gilberti, R.M., Petro, M., Sancomb, C., Maddern, S. and Jankovic, J., 2022. Inclusive STEAM education in diverse disciplines of sustainable energy and AI. </w:t>
      </w:r>
      <w:r w:rsidRPr="007343B9">
        <w:rPr>
          <w:i/>
          <w:color w:val="000000" w:themeColor="text1"/>
        </w:rPr>
        <w:t>Energy and AI</w:t>
      </w:r>
      <w:r w:rsidRPr="007343B9">
        <w:rPr>
          <w:color w:val="000000" w:themeColor="text1"/>
        </w:rPr>
        <w:t>, </w:t>
      </w:r>
      <w:r w:rsidRPr="007343B9">
        <w:rPr>
          <w:i/>
          <w:color w:val="000000" w:themeColor="text1"/>
        </w:rPr>
        <w:t>7</w:t>
      </w:r>
      <w:r w:rsidRPr="007343B9">
        <w:rPr>
          <w:color w:val="000000" w:themeColor="text1"/>
        </w:rPr>
        <w:t>, p.100124.</w:t>
      </w:r>
    </w:p>
    <w:p w14:paraId="0E9DF40D" w14:textId="77777777" w:rsidR="007343B9" w:rsidRPr="007343B9" w:rsidRDefault="00000000">
      <w:pPr>
        <w:spacing w:after="0" w:line="360" w:lineRule="auto"/>
        <w:jc w:val="both"/>
        <w:rPr>
          <w:color w:val="000000" w:themeColor="text1"/>
        </w:rPr>
      </w:pPr>
      <w:r w:rsidRPr="007343B9">
        <w:rPr>
          <w:color w:val="000000" w:themeColor="text1"/>
        </w:rPr>
        <w:t>Zolduoarrati, E. and Licorish, S.A., 2021. On the value of encouraging gender tolerance and inclusiveness in software engineering communities. </w:t>
      </w:r>
      <w:r w:rsidRPr="007343B9">
        <w:rPr>
          <w:i/>
          <w:color w:val="000000" w:themeColor="text1"/>
        </w:rPr>
        <w:t>Information and Software Technology</w:t>
      </w:r>
      <w:r w:rsidRPr="007343B9">
        <w:rPr>
          <w:color w:val="000000" w:themeColor="text1"/>
        </w:rPr>
        <w:t>, </w:t>
      </w:r>
      <w:r w:rsidRPr="007343B9">
        <w:rPr>
          <w:i/>
          <w:color w:val="000000" w:themeColor="text1"/>
        </w:rPr>
        <w:t>139</w:t>
      </w:r>
      <w:r w:rsidRPr="007343B9">
        <w:rPr>
          <w:color w:val="000000" w:themeColor="text1"/>
        </w:rPr>
        <w:t>, p.106667.</w:t>
      </w:r>
    </w:p>
    <w:p w14:paraId="5CA8597B" w14:textId="77777777" w:rsidR="006D5EA2" w:rsidRPr="007343B9" w:rsidRDefault="006D5EA2">
      <w:pPr>
        <w:spacing w:after="0" w:line="360" w:lineRule="auto"/>
        <w:jc w:val="both"/>
        <w:rPr>
          <w:color w:val="000000" w:themeColor="text1"/>
        </w:rPr>
      </w:pPr>
    </w:p>
    <w:sectPr w:rsidR="006D5EA2" w:rsidRPr="007343B9" w:rsidSect="00CC63F1">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842A7" w14:textId="77777777" w:rsidR="00FD0A64" w:rsidRDefault="00FD0A64">
      <w:pPr>
        <w:spacing w:after="0" w:line="240" w:lineRule="auto"/>
      </w:pPr>
      <w:r>
        <w:separator/>
      </w:r>
    </w:p>
  </w:endnote>
  <w:endnote w:type="continuationSeparator" w:id="0">
    <w:p w14:paraId="19533FCA" w14:textId="77777777" w:rsidR="00FD0A64" w:rsidRDefault="00FD0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Mangal">
    <w:panose1 w:val="00000400000000000000"/>
    <w:charset w:val="00"/>
    <w:family w:val="roman"/>
    <w:pitch w:val="variable"/>
    <w:sig w:usb0="00008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C7C205" w14:textId="77777777" w:rsidR="006D5EA2"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C63F1">
      <w:rPr>
        <w:noProof/>
        <w:color w:val="000000"/>
      </w:rPr>
      <w:t>7</w:t>
    </w:r>
    <w:r>
      <w:rPr>
        <w:color w:val="000000"/>
      </w:rPr>
      <w:fldChar w:fldCharType="end"/>
    </w:r>
  </w:p>
  <w:p w14:paraId="1B6B0BDE" w14:textId="77777777" w:rsidR="006D5EA2" w:rsidRDefault="006D5EA2">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2C1EC" w14:textId="77777777" w:rsidR="00FD0A64" w:rsidRDefault="00FD0A64">
      <w:pPr>
        <w:spacing w:after="0" w:line="240" w:lineRule="auto"/>
      </w:pPr>
      <w:r>
        <w:separator/>
      </w:r>
    </w:p>
  </w:footnote>
  <w:footnote w:type="continuationSeparator" w:id="0">
    <w:p w14:paraId="0EC6AF0A" w14:textId="77777777" w:rsidR="00FD0A64" w:rsidRDefault="00FD0A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3A5F"/>
    <w:multiLevelType w:val="multilevel"/>
    <w:tmpl w:val="FA843980"/>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num w:numId="1" w16cid:durableId="709644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5EA2"/>
    <w:rsid w:val="0006354D"/>
    <w:rsid w:val="000B477F"/>
    <w:rsid w:val="000D373C"/>
    <w:rsid w:val="006D5EA2"/>
    <w:rsid w:val="007343B9"/>
    <w:rsid w:val="00A81DA6"/>
    <w:rsid w:val="00BB3D7A"/>
    <w:rsid w:val="00CC63F1"/>
    <w:rsid w:val="00DF4F7A"/>
    <w:rsid w:val="00F051A3"/>
    <w:rsid w:val="00FD0A64"/>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354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BD1"/>
    <w:pPr>
      <w:spacing w:after="0" w:line="360" w:lineRule="auto"/>
      <w:jc w:val="both"/>
      <w:outlineLvl w:val="0"/>
    </w:pPr>
    <w:rPr>
      <w:b/>
      <w:bCs/>
      <w:sz w:val="28"/>
    </w:rPr>
  </w:style>
  <w:style w:type="paragraph" w:styleId="Heading2">
    <w:name w:val="heading 2"/>
    <w:basedOn w:val="Normal"/>
    <w:next w:val="Normal"/>
    <w:link w:val="Heading2Char"/>
    <w:uiPriority w:val="9"/>
    <w:unhideWhenUsed/>
    <w:qFormat/>
    <w:rsid w:val="00373BD1"/>
    <w:pPr>
      <w:spacing w:after="0" w:line="360" w:lineRule="auto"/>
      <w:jc w:val="both"/>
      <w:outlineLvl w:val="1"/>
    </w:pPr>
    <w:rPr>
      <w:b/>
      <w:bCs/>
      <w:i/>
      <w:iCs/>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ListParagraph">
    <w:name w:val="List Paragraph"/>
    <w:basedOn w:val="Normal"/>
    <w:uiPriority w:val="34"/>
    <w:qFormat/>
    <w:rsid w:val="00AE61B5"/>
    <w:pPr>
      <w:ind w:left="720"/>
      <w:contextualSpacing/>
    </w:pPr>
  </w:style>
  <w:style w:type="paragraph" w:styleId="Header">
    <w:name w:val="header"/>
    <w:basedOn w:val="Normal"/>
    <w:link w:val="HeaderChar"/>
    <w:uiPriority w:val="99"/>
    <w:unhideWhenUsed/>
    <w:rsid w:val="007B0E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0ED8"/>
    <w:rPr>
      <w:lang w:val="en-GB"/>
    </w:rPr>
  </w:style>
  <w:style w:type="paragraph" w:styleId="Footer">
    <w:name w:val="footer"/>
    <w:basedOn w:val="Normal"/>
    <w:link w:val="FooterChar"/>
    <w:uiPriority w:val="99"/>
    <w:unhideWhenUsed/>
    <w:rsid w:val="007B0E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0ED8"/>
    <w:rPr>
      <w:lang w:val="en-GB"/>
    </w:rPr>
  </w:style>
  <w:style w:type="table" w:styleId="TableGrid">
    <w:name w:val="Table Grid"/>
    <w:basedOn w:val="TableNormal"/>
    <w:uiPriority w:val="39"/>
    <w:rsid w:val="00606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73BD1"/>
    <w:rPr>
      <w:b/>
      <w:bCs/>
      <w:sz w:val="28"/>
      <w:szCs w:val="24"/>
      <w:lang w:val="en-GB"/>
    </w:rPr>
  </w:style>
  <w:style w:type="character" w:customStyle="1" w:styleId="Heading2Char">
    <w:name w:val="Heading 2 Char"/>
    <w:basedOn w:val="DefaultParagraphFont"/>
    <w:link w:val="Heading2"/>
    <w:uiPriority w:val="9"/>
    <w:rsid w:val="00373BD1"/>
    <w:rPr>
      <w:b/>
      <w:bCs/>
      <w:i/>
      <w:iCs/>
      <w:lang w:val="en-GB"/>
    </w:rPr>
  </w:style>
  <w:style w:type="paragraph" w:styleId="TOCHeading">
    <w:name w:val="TOC Heading"/>
    <w:basedOn w:val="Heading1"/>
    <w:next w:val="Normal"/>
    <w:uiPriority w:val="39"/>
    <w:unhideWhenUsed/>
    <w:qFormat/>
    <w:rsid w:val="00373BD1"/>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373BD1"/>
    <w:pPr>
      <w:spacing w:after="100"/>
    </w:pPr>
  </w:style>
  <w:style w:type="paragraph" w:styleId="TOC2">
    <w:name w:val="toc 2"/>
    <w:basedOn w:val="Normal"/>
    <w:next w:val="Normal"/>
    <w:autoRedefine/>
    <w:uiPriority w:val="39"/>
    <w:unhideWhenUsed/>
    <w:rsid w:val="00373BD1"/>
    <w:pPr>
      <w:spacing w:after="100"/>
      <w:ind w:left="240"/>
    </w:pPr>
  </w:style>
  <w:style w:type="character" w:styleId="Hyperlink">
    <w:name w:val="Hyperlink"/>
    <w:basedOn w:val="DefaultParagraphFont"/>
    <w:uiPriority w:val="99"/>
    <w:unhideWhenUsed/>
    <w:rsid w:val="00373BD1"/>
    <w:rPr>
      <w:color w:val="0563C1" w:themeColor="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name w:val="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90254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tvTYv3SkQAG/iixASDa+RO2uXLw==">CgMxLjAyCWlkLmdqZGd4czIJaC4zMGowemxsMgloLjFmb2I5dGUyCWguM3pueXNoNzIJaC4yZXQ5MnAwMghoLnR5amN3dDIJaC4zZHk2dmttOABqJwoUc3VnZ2VzdC5zM3AyMGgxeG51d3oSD0lzaGl0YSBCaG93bWlja2onChRzdWdnZXN0Lmo3bmdubnR6eWdqMRIPSXNoaXRhIEJob3dtaWNraicKFHN1Z2dlc3QueTI3MDI4d3Y3d2FlEg9Jc2hpdGEgQmhvd21pY2tqJgoTc3VnZ2VzdC4xOGx0dzduMmdybxIPSXNoaXRhIEJob3dtaWNraicKFHN1Z2dlc3QueDl6dWRoeHExNXhvEg9Jc2hpdGEgQmhvd21pY2tyITFCSEcyRVJReWZUQnlUVGpUZERzT1JLeEI5bjN2ZlNQd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2780</Words>
  <Characters>15851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2023-11-20T19:20:00Z</dcterms:created>
  <dcterms:modified xsi:type="dcterms:W3CDTF">2023-11-22T22:14:00Z</dcterms:modified>
</cp:coreProperties>
</file>