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Fonts w:ascii="Georgia" w:cs="Georgia" w:eastAsia="Georgia" w:hAnsi="Georgia"/>
          <w:b w:val="0"/>
          <w:i w:val="0"/>
          <w:smallCaps w:val="0"/>
          <w:strike w:val="0"/>
          <w:color w:val="000000"/>
          <w:sz w:val="21"/>
          <w:szCs w:val="21"/>
          <w:u w:val="none"/>
          <w:shd w:fill="auto" w:val="clear"/>
          <w:vertAlign w:val="baseline"/>
        </w:rPr>
        <w:drawing>
          <wp:inline distB="0" distT="0" distL="114300" distR="114300">
            <wp:extent cx="1908175" cy="635635"/>
            <wp:effectExtent b="0" l="0" r="0" t="0"/>
            <wp:docPr id="102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left"/>
        <w:rPr>
          <w:rFonts w:ascii="Georgia" w:cs="Georgia" w:eastAsia="Georgia" w:hAnsi="Georgi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Postgraduate/Distance Learning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80" w:right="-334" w:firstLine="0"/>
        <w:jc w:val="center"/>
        <w:rPr>
          <w:i w:val="0"/>
          <w:smallCaps w:val="0"/>
          <w:strike w:val="0"/>
          <w:color w:val="000000"/>
          <w:sz w:val="28"/>
          <w:szCs w:val="28"/>
          <w:u w:val="none"/>
          <w:shd w:fill="auto" w:val="clear"/>
          <w:vertAlign w:val="baseline"/>
        </w:rPr>
      </w:pPr>
      <w:r w:rsidDel="00000000" w:rsidR="00000000" w:rsidRPr="00000000">
        <w:rPr>
          <w:b w:val="1"/>
          <w:i w:val="0"/>
          <w:smallCaps w:val="0"/>
          <w:strike w:val="0"/>
          <w:color w:val="000000"/>
          <w:sz w:val="28"/>
          <w:szCs w:val="28"/>
          <w:u w:val="none"/>
          <w:shd w:fill="auto" w:val="clear"/>
          <w:vertAlign w:val="baseline"/>
          <w:rtl w:val="0"/>
        </w:rPr>
        <w:t xml:space="preserve">Assignment cover sheet &amp; feedback form</w:t>
      </w:r>
      <w:r w:rsidDel="00000000" w:rsidR="00000000" w:rsidRPr="00000000">
        <w:rPr>
          <w:rtl w:val="0"/>
        </w:rPr>
      </w:r>
    </w:p>
    <w:p w:rsidR="00000000" w:rsidDel="00000000" w:rsidP="00000000" w:rsidRDefault="00000000" w:rsidRPr="00000000" w14:paraId="00000006">
      <w:pPr>
        <w:pStyle w:val="Heading3"/>
        <w:ind w:firstLine="720"/>
        <w:jc w:val="center"/>
        <w:rPr>
          <w:vertAlign w:val="baseline"/>
        </w:rPr>
      </w:pPr>
      <w:r w:rsidDel="00000000" w:rsidR="00000000" w:rsidRPr="00000000">
        <w:rPr>
          <w:rtl w:val="0"/>
        </w:rPr>
      </w:r>
    </w:p>
    <w:p w:rsidR="00000000" w:rsidDel="00000000" w:rsidP="00000000" w:rsidRDefault="00000000" w:rsidRPr="00000000" w14:paraId="00000007">
      <w:pPr>
        <w:pStyle w:val="Heading3"/>
        <w:ind w:firstLine="720"/>
        <w:jc w:val="center"/>
        <w:rPr>
          <w:rFonts w:ascii="Trebuchet MS" w:cs="Trebuchet MS" w:eastAsia="Trebuchet MS" w:hAnsi="Trebuchet MS"/>
          <w:vertAlign w:val="baseline"/>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 completion by the student</w:t>
            </w:r>
            <w:r w:rsidDel="00000000" w:rsidR="00000000" w:rsidRPr="00000000">
              <w:rPr>
                <w:i w:val="0"/>
                <w:smallCaps w:val="0"/>
                <w:strike w:val="0"/>
                <w:color w:val="000000"/>
                <w:sz w:val="22"/>
                <w:szCs w:val="22"/>
                <w:u w:val="none"/>
                <w:shd w:fill="auto" w:val="clear"/>
                <w:vertAlign w:val="baseline"/>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Student Name:</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sz w:val="22"/>
                <w:szCs w:val="22"/>
                <w:rtl w:val="0"/>
              </w:rPr>
              <w:t xml:space="preserve">Costantino Toth</w:t>
            </w: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Module code: HPCA7015</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pPr>
            <w:r w:rsidDel="00000000" w:rsidR="00000000" w:rsidRPr="00000000">
              <w:rPr>
                <w:i w:val="0"/>
                <w:smallCaps w:val="0"/>
                <w:strike w:val="0"/>
                <w:color w:val="000000"/>
                <w:sz w:val="22"/>
                <w:szCs w:val="22"/>
                <w:u w:val="none"/>
                <w:shd w:fill="auto" w:val="clear"/>
                <w:vertAlign w:val="baseline"/>
                <w:rtl w:val="0"/>
              </w:rPr>
              <w:t xml:space="preserve">Module title: </w:t>
            </w:r>
            <w:r w:rsidDel="00000000" w:rsidR="00000000" w:rsidRPr="00000000">
              <w:rPr>
                <w:rtl w:val="0"/>
              </w:rPr>
              <w:t xml:space="preserve">Foundations in Cultural Astrology and Astronomy</w:t>
            </w: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vAlign w:val="top"/>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Student ID number:</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sz w:val="22"/>
                <w:szCs w:val="22"/>
              </w:rPr>
            </w:pPr>
            <w:r w:rsidDel="00000000" w:rsidR="00000000" w:rsidRPr="00000000">
              <w:rPr>
                <w:sz w:val="22"/>
                <w:szCs w:val="22"/>
                <w:rtl w:val="0"/>
              </w:rPr>
              <w:t xml:space="preserve">2430606</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Educational support needs:</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Yes/No</w:t>
            </w:r>
          </w:p>
        </w:tc>
      </w:tr>
      <w:tr>
        <w:trPr>
          <w:cantSplit w:val="0"/>
          <w:trHeight w:val="1139" w:hRule="atLeast"/>
          <w:tblHeader w:val="0"/>
        </w:trPr>
        <w:tc>
          <w:tcPr>
            <w:gridSpan w:val="5"/>
            <w:vAlign w:val="top"/>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Module tutor: Nicholas Campion, Dawn Collins, </w:t>
            </w:r>
            <w:r w:rsidDel="00000000" w:rsidR="00000000" w:rsidRPr="00000000">
              <w:rPr>
                <w:sz w:val="22"/>
                <w:szCs w:val="22"/>
                <w:rtl w:val="0"/>
              </w:rPr>
              <w:t xml:space="preserve">Wendy Stacey</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Assignment due date: November 6</w:t>
            </w:r>
            <w:r w:rsidDel="00000000" w:rsidR="00000000" w:rsidRPr="00000000">
              <w:rPr>
                <w:sz w:val="22"/>
                <w:szCs w:val="22"/>
                <w:rtl w:val="0"/>
              </w:rPr>
              <w:t xml:space="preserve">, </w:t>
            </w:r>
            <w:r w:rsidDel="00000000" w:rsidR="00000000" w:rsidRPr="00000000">
              <w:rPr>
                <w:i w:val="0"/>
                <w:smallCaps w:val="0"/>
                <w:strike w:val="0"/>
                <w:color w:val="000000"/>
                <w:sz w:val="22"/>
                <w:szCs w:val="22"/>
                <w:u w:val="none"/>
                <w:shd w:fill="auto" w:val="clear"/>
                <w:vertAlign w:val="baseline"/>
                <w:rtl w:val="0"/>
              </w:rPr>
              <w:t xml:space="preserve">2025</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7">
            <w:pPr>
              <w:rPr>
                <w:sz w:val="22"/>
                <w:szCs w:val="22"/>
                <w:vertAlign w:val="baseline"/>
              </w:rPr>
            </w:pPr>
            <w:r w:rsidDel="00000000" w:rsidR="00000000" w:rsidRPr="00000000">
              <w:rPr>
                <w:sz w:val="22"/>
                <w:szCs w:val="22"/>
                <w:vertAlign w:val="baseline"/>
                <w:rtl w:val="0"/>
              </w:rPr>
              <w:t xml:space="preserve">If your module has multiple submissions please indicate which piece of work this is.</w:t>
            </w:r>
          </w:p>
          <w:p w:rsidR="00000000" w:rsidDel="00000000" w:rsidP="00000000" w:rsidRDefault="00000000" w:rsidRPr="00000000" w14:paraId="00000028">
            <w:pPr>
              <w:rPr>
                <w:sz w:val="22"/>
                <w:szCs w:val="22"/>
                <w:vertAlign w:val="baseline"/>
              </w:rPr>
            </w:pPr>
            <w:r w:rsidDel="00000000" w:rsidR="00000000" w:rsidRPr="00000000">
              <w:rPr>
                <w:rtl w:val="0"/>
              </w:rPr>
            </w:r>
          </w:p>
          <w:p w:rsidR="00000000" w:rsidDel="00000000" w:rsidP="00000000" w:rsidRDefault="00000000" w:rsidRPr="00000000" w14:paraId="00000029">
            <w:pPr>
              <w:rPr>
                <w:sz w:val="22"/>
                <w:szCs w:val="22"/>
                <w:vertAlign w:val="baseline"/>
              </w:rPr>
            </w:pPr>
            <w:r w:rsidDel="00000000" w:rsidR="00000000" w:rsidRPr="00000000">
              <w:rPr>
                <w:sz w:val="22"/>
                <w:szCs w:val="22"/>
                <w:vertAlign w:val="baseline"/>
                <w:rtl w:val="0"/>
              </w:rPr>
              <w:t xml:space="preserve">1</w:t>
            </w:r>
            <w:r w:rsidDel="00000000" w:rsidR="00000000" w:rsidRPr="00000000">
              <w:rPr>
                <w:sz w:val="22"/>
                <w:szCs w:val="22"/>
                <w:vertAlign w:val="superscript"/>
                <w:rtl w:val="0"/>
              </w:rPr>
              <w:t xml:space="preserve">st </w:t>
            </w:r>
            <w:bookmarkStart w:colFirst="0" w:colLast="0" w:name="bookmark=id.ax1553x2wu2s" w:id="0"/>
            <w:bookmarkEnd w:id="0"/>
            <w:r w:rsidDel="00000000" w:rsidR="00000000" w:rsidRPr="00000000">
              <w:rPr>
                <w:sz w:val="22"/>
                <w:szCs w:val="22"/>
                <w:vertAlign w:val="baseline"/>
                <w:rtl w:val="0"/>
              </w:rPr>
              <w:t xml:space="preserve">☐    2</w:t>
            </w:r>
            <w:r w:rsidDel="00000000" w:rsidR="00000000" w:rsidRPr="00000000">
              <w:rPr>
                <w:sz w:val="22"/>
                <w:szCs w:val="22"/>
                <w:vertAlign w:val="superscript"/>
                <w:rtl w:val="0"/>
              </w:rPr>
              <w:t xml:space="preserve">nd</w:t>
            </w:r>
            <w:r w:rsidDel="00000000" w:rsidR="00000000" w:rsidRPr="00000000">
              <w:rPr>
                <w:sz w:val="22"/>
                <w:szCs w:val="22"/>
                <w:vertAlign w:val="baseline"/>
                <w:rtl w:val="0"/>
              </w:rPr>
              <w:t xml:space="preserve">  </w:t>
            </w:r>
            <w:bookmarkStart w:colFirst="0" w:colLast="0" w:name="bookmark=id.uplrimnmgg5d" w:id="1"/>
            <w:bookmarkEnd w:id="1"/>
            <w:r w:rsidDel="00000000" w:rsidR="00000000" w:rsidRPr="00000000">
              <w:rPr>
                <w:sz w:val="22"/>
                <w:szCs w:val="22"/>
                <w:vertAlign w:val="baseline"/>
                <w:rtl w:val="0"/>
              </w:rPr>
              <w:t xml:space="preserve">☐     3</w:t>
            </w:r>
            <w:r w:rsidDel="00000000" w:rsidR="00000000" w:rsidRPr="00000000">
              <w:rPr>
                <w:sz w:val="22"/>
                <w:szCs w:val="22"/>
                <w:vertAlign w:val="superscript"/>
                <w:rtl w:val="0"/>
              </w:rPr>
              <w:t xml:space="preserve">rd</w:t>
            </w:r>
            <w:r w:rsidDel="00000000" w:rsidR="00000000" w:rsidRPr="00000000">
              <w:rPr>
                <w:sz w:val="22"/>
                <w:szCs w:val="22"/>
                <w:vertAlign w:val="baseline"/>
                <w:rtl w:val="0"/>
              </w:rPr>
              <w:t xml:space="preserve">  </w:t>
            </w:r>
            <w:bookmarkStart w:colFirst="0" w:colLast="0" w:name="bookmark=id.2b05yefjk6gs" w:id="2"/>
            <w:bookmarkEnd w:id="2"/>
            <w:r w:rsidDel="00000000" w:rsidR="00000000" w:rsidRPr="00000000">
              <w:rPr>
                <w:sz w:val="22"/>
                <w:szCs w:val="22"/>
                <w:vertAlign w:val="baseline"/>
                <w:rtl w:val="0"/>
              </w:rPr>
              <w:t xml:space="preserve">☐      4</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3ju1b7gaujc4" w:id="3"/>
            <w:bookmarkEnd w:id="3"/>
            <w:r w:rsidDel="00000000" w:rsidR="00000000" w:rsidRPr="00000000">
              <w:rPr>
                <w:sz w:val="22"/>
                <w:szCs w:val="22"/>
                <w:vertAlign w:val="baseline"/>
                <w:rtl w:val="0"/>
              </w:rPr>
              <w:t xml:space="preserve">☐      5</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c94d3xof6o8g" w:id="4"/>
            <w:bookmarkEnd w:id="4"/>
            <w:r w:rsidDel="00000000" w:rsidR="00000000" w:rsidRPr="00000000">
              <w:rPr>
                <w:sz w:val="22"/>
                <w:szCs w:val="22"/>
                <w:vertAlign w:val="baseline"/>
                <w:rtl w:val="0"/>
              </w:rPr>
              <w:t xml:space="preserve">☐      6</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w:t>
            </w:r>
            <w:bookmarkStart w:colFirst="0" w:colLast="0" w:name="bookmark=id.y0acuvfrufot" w:id="5"/>
            <w:bookmarkEnd w:id="5"/>
            <w:r w:rsidDel="00000000" w:rsidR="00000000" w:rsidRPr="00000000">
              <w:rPr>
                <w:sz w:val="22"/>
                <w:szCs w:val="22"/>
                <w:vertAlign w:val="baseline"/>
                <w:rtl w:val="0"/>
              </w:rPr>
              <w:t xml:space="preserv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I confirm that this is my original work and that I have adhered to the University policy on plagiarism.</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Signed …………Costantino Toth…………………………………………………</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44"/>
                <w:szCs w:val="44"/>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Email submission: if you are submitting this form via email, please tick this box </w:t>
            </w:r>
            <w:sdt>
              <w:sdtPr>
                <w:id w:val="-347784538"/>
                <w:tag w:val="goog_rdk_0"/>
              </w:sdtPr>
              <w:sdtContent>
                <w:r w:rsidDel="00000000" w:rsidR="00000000" w:rsidRPr="00000000">
                  <w:rPr>
                    <w:rFonts w:ascii="Gungsuh" w:cs="Gungsuh" w:eastAsia="Gungsuh" w:hAnsi="Gungsuh"/>
                    <w:b w:val="1"/>
                    <w:sz w:val="44"/>
                    <w:szCs w:val="44"/>
                    <w:rtl w:val="0"/>
                  </w:rPr>
                  <w:t xml:space="preserve">√</w:t>
                </w:r>
              </w:sdtContent>
            </w:sdt>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6">
            <w:pPr>
              <w:rPr>
                <w:vertAlign w:val="baseline"/>
              </w:rPr>
            </w:pPr>
            <w:r w:rsidDel="00000000" w:rsidR="00000000" w:rsidRPr="00000000">
              <w:rPr>
                <w:rtl w:val="0"/>
              </w:rPr>
            </w:r>
          </w:p>
          <w:p w:rsidR="00000000" w:rsidDel="00000000" w:rsidP="00000000" w:rsidRDefault="00000000" w:rsidRPr="00000000" w14:paraId="00000037">
            <w:pPr>
              <w:rPr>
                <w:vertAlign w:val="baseline"/>
              </w:rPr>
            </w:pPr>
            <w:r w:rsidDel="00000000" w:rsidR="00000000" w:rsidRPr="00000000">
              <w:rPr>
                <w:b w:val="1"/>
                <w:vertAlign w:val="baseline"/>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8">
                  <w:pPr>
                    <w:rPr>
                      <w:sz w:val="20"/>
                      <w:szCs w:val="20"/>
                      <w:vertAlign w:val="baseline"/>
                    </w:rPr>
                  </w:pPr>
                  <w:r w:rsidDel="00000000" w:rsidR="00000000" w:rsidRPr="00000000">
                    <w:rPr>
                      <w:rtl w:val="0"/>
                    </w:rPr>
                  </w:r>
                </w:p>
                <w:p w:rsidR="00000000" w:rsidDel="00000000" w:rsidP="00000000" w:rsidRDefault="00000000" w:rsidRPr="00000000" w14:paraId="00000039">
                  <w:pPr>
                    <w:rPr>
                      <w:sz w:val="20"/>
                      <w:szCs w:val="20"/>
                      <w:vertAlign w:val="baseline"/>
                    </w:rPr>
                  </w:pPr>
                  <w:r w:rsidDel="00000000" w:rsidR="00000000" w:rsidRPr="00000000">
                    <w:rPr>
                      <w:sz w:val="20"/>
                      <w:szCs w:val="20"/>
                      <w:vertAlign w:val="baseline"/>
                      <w:rtl w:val="0"/>
                    </w:rPr>
                    <w:t xml:space="preserve">1</w:t>
                  </w:r>
                  <w:r w:rsidDel="00000000" w:rsidR="00000000" w:rsidRPr="00000000">
                    <w:rPr>
                      <w:sz w:val="20"/>
                      <w:szCs w:val="20"/>
                      <w:vertAlign w:val="superscript"/>
                      <w:rtl w:val="0"/>
                    </w:rPr>
                    <w:t xml:space="preserve">st</w:t>
                  </w:r>
                  <w:r w:rsidDel="00000000" w:rsidR="00000000" w:rsidRPr="00000000">
                    <w:rPr>
                      <w:sz w:val="20"/>
                      <w:szCs w:val="20"/>
                      <w:vertAlign w:val="baseline"/>
                      <w:rtl w:val="0"/>
                    </w:rPr>
                    <w:t xml:space="preserve"> Marker’s Provisional mark</w:t>
                  </w:r>
                </w:p>
              </w:tc>
              <w:tc>
                <w:tcPr>
                  <w:vAlign w:val="top"/>
                </w:tcPr>
                <w:p w:rsidR="00000000" w:rsidDel="00000000" w:rsidP="00000000" w:rsidRDefault="00000000" w:rsidRPr="00000000" w14:paraId="0000003A">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B">
                  <w:pPr>
                    <w:rPr>
                      <w:sz w:val="20"/>
                      <w:szCs w:val="20"/>
                      <w:vertAlign w:val="baseline"/>
                    </w:rPr>
                  </w:pPr>
                  <w:r w:rsidDel="00000000" w:rsidR="00000000" w:rsidRPr="00000000">
                    <w:rPr>
                      <w:rtl w:val="0"/>
                    </w:rPr>
                  </w:r>
                </w:p>
                <w:p w:rsidR="00000000" w:rsidDel="00000000" w:rsidP="00000000" w:rsidRDefault="00000000" w:rsidRPr="00000000" w14:paraId="0000003C">
                  <w:pPr>
                    <w:rPr>
                      <w:sz w:val="20"/>
                      <w:szCs w:val="20"/>
                      <w:vertAlign w:val="baseline"/>
                    </w:rPr>
                  </w:pPr>
                  <w:r w:rsidDel="00000000" w:rsidR="00000000" w:rsidRPr="00000000">
                    <w:rPr>
                      <w:sz w:val="20"/>
                      <w:szCs w:val="20"/>
                      <w:vertAlign w:val="baseline"/>
                      <w:rtl w:val="0"/>
                    </w:rPr>
                    <w:t xml:space="preserve">2</w:t>
                  </w:r>
                  <w:r w:rsidDel="00000000" w:rsidR="00000000" w:rsidRPr="00000000">
                    <w:rPr>
                      <w:sz w:val="20"/>
                      <w:szCs w:val="20"/>
                      <w:vertAlign w:val="superscript"/>
                      <w:rtl w:val="0"/>
                    </w:rPr>
                    <w:t xml:space="preserve">nd</w:t>
                  </w:r>
                  <w:r w:rsidDel="00000000" w:rsidR="00000000" w:rsidRPr="00000000">
                    <w:rPr>
                      <w:sz w:val="20"/>
                      <w:szCs w:val="20"/>
                      <w:vertAlign w:val="baseline"/>
                      <w:rtl w:val="0"/>
                    </w:rPr>
                    <w:t xml:space="preserve"> Marker’s/Moderator’s provisional mark</w:t>
                  </w:r>
                </w:p>
              </w:tc>
              <w:tc>
                <w:tcPr>
                  <w:vAlign w:val="top"/>
                </w:tcPr>
                <w:p w:rsidR="00000000" w:rsidDel="00000000" w:rsidP="00000000" w:rsidRDefault="00000000" w:rsidRPr="00000000" w14:paraId="0000003D">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rPr>
                      <w:color w:val="000000"/>
                      <w:sz w:val="20"/>
                      <w:szCs w:val="20"/>
                      <w:vertAlign w:val="baseline"/>
                    </w:rPr>
                  </w:pPr>
                  <w:r w:rsidDel="00000000" w:rsidR="00000000" w:rsidRPr="00000000">
                    <w:rPr>
                      <w:color w:val="000000"/>
                      <w:sz w:val="20"/>
                      <w:szCs w:val="20"/>
                      <w:vertAlign w:val="baseline"/>
                      <w:rtl w:val="0"/>
                    </w:rPr>
                    <w:t xml:space="preserve">Agreed Internal Mark: </w:t>
                  </w:r>
                </w:p>
                <w:p w:rsidR="00000000" w:rsidDel="00000000" w:rsidP="00000000" w:rsidRDefault="00000000" w:rsidRPr="00000000" w14:paraId="0000003F">
                  <w:pPr>
                    <w:rPr>
                      <w:sz w:val="20"/>
                      <w:szCs w:val="20"/>
                      <w:highlight w:val="yellow"/>
                      <w:vertAlign w:val="baseline"/>
                    </w:rPr>
                  </w:pPr>
                  <w:r w:rsidDel="00000000" w:rsidR="00000000" w:rsidRPr="00000000">
                    <w:rPr>
                      <w:rtl w:val="0"/>
                    </w:rPr>
                  </w:r>
                </w:p>
              </w:tc>
              <w:tc>
                <w:tcPr>
                  <w:vAlign w:val="top"/>
                </w:tcPr>
                <w:p w:rsidR="00000000" w:rsidDel="00000000" w:rsidP="00000000" w:rsidRDefault="00000000" w:rsidRPr="00000000" w14:paraId="00000040">
                  <w:pPr>
                    <w:rPr>
                      <w:sz w:val="20"/>
                      <w:szCs w:val="20"/>
                      <w:highlight w:val="yellow"/>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1">
                  <w:pPr>
                    <w:rPr>
                      <w:sz w:val="20"/>
                      <w:szCs w:val="20"/>
                      <w:vertAlign w:val="baseline"/>
                    </w:rPr>
                  </w:pPr>
                  <w:r w:rsidDel="00000000" w:rsidR="00000000" w:rsidRPr="00000000">
                    <w:rPr>
                      <w:rtl w:val="0"/>
                    </w:rPr>
                  </w:r>
                </w:p>
                <w:p w:rsidR="00000000" w:rsidDel="00000000" w:rsidP="00000000" w:rsidRDefault="00000000" w:rsidRPr="00000000" w14:paraId="00000042">
                  <w:pPr>
                    <w:rPr>
                      <w:sz w:val="20"/>
                      <w:szCs w:val="20"/>
                      <w:vertAlign w:val="baseline"/>
                    </w:rPr>
                  </w:pPr>
                  <w:r w:rsidDel="00000000" w:rsidR="00000000" w:rsidRPr="00000000">
                    <w:rPr>
                      <w:sz w:val="20"/>
                      <w:szCs w:val="20"/>
                      <w:vertAlign w:val="baseline"/>
                      <w:rtl w:val="0"/>
                    </w:rPr>
                    <w:t xml:space="preserve">External Examiner’s mark (if relevant)</w:t>
                  </w:r>
                </w:p>
              </w:tc>
              <w:tc>
                <w:tcPr>
                  <w:vAlign w:val="top"/>
                </w:tcPr>
                <w:p w:rsidR="00000000" w:rsidDel="00000000" w:rsidP="00000000" w:rsidRDefault="00000000" w:rsidRPr="00000000" w14:paraId="00000043">
                  <w:pPr>
                    <w:rPr>
                      <w:sz w:val="20"/>
                      <w:szCs w:val="2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4">
                  <w:pPr>
                    <w:rPr>
                      <w:sz w:val="20"/>
                      <w:szCs w:val="20"/>
                      <w:vertAlign w:val="baseline"/>
                    </w:rPr>
                  </w:pPr>
                  <w:r w:rsidDel="00000000" w:rsidR="00000000" w:rsidRPr="00000000">
                    <w:rPr>
                      <w:rtl w:val="0"/>
                    </w:rPr>
                  </w:r>
                </w:p>
                <w:p w:rsidR="00000000" w:rsidDel="00000000" w:rsidP="00000000" w:rsidRDefault="00000000" w:rsidRPr="00000000" w14:paraId="00000045">
                  <w:pPr>
                    <w:rPr>
                      <w:sz w:val="20"/>
                      <w:szCs w:val="20"/>
                      <w:vertAlign w:val="baseline"/>
                    </w:rPr>
                  </w:pPr>
                  <w:r w:rsidDel="00000000" w:rsidR="00000000" w:rsidRPr="00000000">
                    <w:rPr>
                      <w:b w:val="1"/>
                      <w:sz w:val="20"/>
                      <w:szCs w:val="20"/>
                      <w:vertAlign w:val="baseline"/>
                      <w:rtl w:val="0"/>
                    </w:rPr>
                    <w:t xml:space="preserve">Final Mark</w:t>
                  </w:r>
                  <w:r w:rsidDel="00000000" w:rsidR="00000000" w:rsidRPr="00000000">
                    <w:rPr>
                      <w:rtl w:val="0"/>
                    </w:rPr>
                  </w:r>
                </w:p>
                <w:p w:rsidR="00000000" w:rsidDel="00000000" w:rsidP="00000000" w:rsidRDefault="00000000" w:rsidRPr="00000000" w14:paraId="00000046">
                  <w:pPr>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47">
                  <w:pPr>
                    <w:rPr>
                      <w:sz w:val="20"/>
                      <w:szCs w:val="20"/>
                      <w:vertAlign w:val="baseline"/>
                    </w:rPr>
                  </w:pPr>
                  <w:r w:rsidDel="00000000" w:rsidR="00000000" w:rsidRPr="00000000">
                    <w:rPr>
                      <w:rtl w:val="0"/>
                    </w:rPr>
                  </w:r>
                </w:p>
              </w:tc>
            </w:tr>
          </w:tbl>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NB.</w:t>
            </w:r>
            <w:r w:rsidDel="00000000" w:rsidR="00000000" w:rsidRPr="00000000">
              <w:rPr>
                <w:i w:val="0"/>
                <w:smallCaps w:val="0"/>
                <w:strike w:val="0"/>
                <w:color w:val="000000"/>
                <w:sz w:val="22"/>
                <w:szCs w:val="22"/>
                <w:u w:val="none"/>
                <w:shd w:fill="auto" w:val="clear"/>
                <w:vertAlign w:val="baseline"/>
                <w:rtl w:val="0"/>
              </w:rPr>
              <w:t xml:space="preserve">  All marks are provisional until confirmed by the Final Examination Board.</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 completion by Marker 1 :</w:t>
            </w:r>
            <w:r w:rsidDel="00000000" w:rsidR="00000000" w:rsidRPr="00000000">
              <w:rPr>
                <w:rtl w:val="0"/>
              </w:rPr>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Marker’s signature:</w:t>
            </w:r>
          </w:p>
        </w:tc>
        <w:tc>
          <w:tcPr>
            <w:gridSpan w:val="2"/>
            <w:vAlign w:val="top"/>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2" w:right="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Date:</w:t>
            </w:r>
          </w:p>
        </w:tc>
      </w:tr>
      <w:tr>
        <w:trPr>
          <w:cantSplit w:val="0"/>
          <w:tblHeader w:val="0"/>
        </w:trPr>
        <w:tc>
          <w:tcPr>
            <w:gridSpan w:val="5"/>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b w:val="1"/>
                <w:i w:val="0"/>
                <w:smallCaps w:val="0"/>
                <w:strike w:val="0"/>
                <w:color w:val="000000"/>
                <w:sz w:val="22"/>
                <w:szCs w:val="22"/>
                <w:u w:val="none"/>
                <w:shd w:fill="auto" w:val="clear"/>
                <w:vertAlign w:val="baseline"/>
                <w:rtl w:val="0"/>
              </w:rPr>
              <w:t xml:space="preserve">For completion by Marker 2/Moderator:</w:t>
            </w:r>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Comments:</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Marker’s Signature:</w:t>
            </w:r>
          </w:p>
        </w:tc>
        <w:tc>
          <w:tcPr>
            <w:gridSpan w:val="3"/>
            <w:vAlign w:val="top"/>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i w:val="0"/>
                <w:smallCaps w:val="0"/>
                <w:strike w:val="0"/>
                <w:color w:val="000000"/>
                <w:sz w:val="22"/>
                <w:szCs w:val="22"/>
                <w:u w:val="none"/>
                <w:shd w:fill="auto" w:val="clear"/>
                <w:vertAlign w:val="baseline"/>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A">
            <w:pPr>
              <w:rPr>
                <w:sz w:val="22"/>
                <w:szCs w:val="22"/>
                <w:vertAlign w:val="baseline"/>
              </w:rPr>
            </w:pPr>
            <w:r w:rsidDel="00000000" w:rsidR="00000000" w:rsidRPr="00000000">
              <w:rPr>
                <w:b w:val="1"/>
                <w:sz w:val="22"/>
                <w:szCs w:val="22"/>
                <w:vertAlign w:val="baseline"/>
                <w:rtl w:val="0"/>
              </w:rPr>
              <w:t xml:space="preserve">AGREED INTERNAL MARK (where necessary):</w:t>
            </w:r>
            <w:r w:rsidDel="00000000" w:rsidR="00000000" w:rsidRPr="00000000">
              <w:rPr>
                <w:rtl w:val="0"/>
              </w:rPr>
            </w:r>
          </w:p>
          <w:p w:rsidR="00000000" w:rsidDel="00000000" w:rsidP="00000000" w:rsidRDefault="00000000" w:rsidRPr="00000000" w14:paraId="0000006B">
            <w:pPr>
              <w:rPr>
                <w:sz w:val="22"/>
                <w:szCs w:val="22"/>
                <w:vertAlign w:val="baseline"/>
              </w:rPr>
            </w:pPr>
            <w:r w:rsidDel="00000000" w:rsidR="00000000" w:rsidRPr="00000000">
              <w:rPr>
                <w:rtl w:val="0"/>
              </w:rPr>
            </w:r>
          </w:p>
          <w:p w:rsidR="00000000" w:rsidDel="00000000" w:rsidP="00000000" w:rsidRDefault="00000000" w:rsidRPr="00000000" w14:paraId="0000006C">
            <w:pPr>
              <w:rPr>
                <w:sz w:val="22"/>
                <w:szCs w:val="22"/>
                <w:vertAlign w:val="baseline"/>
              </w:rPr>
            </w:pPr>
            <w:r w:rsidDel="00000000" w:rsidR="00000000" w:rsidRPr="00000000">
              <w:rPr>
                <w:b w:val="1"/>
                <w:sz w:val="22"/>
                <w:szCs w:val="22"/>
                <w:vertAlign w:val="baseline"/>
                <w:rtl w:val="0"/>
              </w:rPr>
              <w:t xml:space="preserve">Comment on process of arriving at agreed mark:</w:t>
            </w:r>
            <w:r w:rsidDel="00000000" w:rsidR="00000000" w:rsidRPr="00000000">
              <w:rPr>
                <w:rtl w:val="0"/>
              </w:rPr>
            </w:r>
          </w:p>
          <w:p w:rsidR="00000000" w:rsidDel="00000000" w:rsidP="00000000" w:rsidRDefault="00000000" w:rsidRPr="00000000" w14:paraId="0000006D">
            <w:pPr>
              <w:rPr>
                <w:sz w:val="22"/>
                <w:szCs w:val="22"/>
                <w:vertAlign w:val="baseline"/>
              </w:rPr>
            </w:pPr>
            <w:r w:rsidDel="00000000" w:rsidR="00000000" w:rsidRPr="00000000">
              <w:rPr>
                <w:rtl w:val="0"/>
              </w:rPr>
            </w:r>
          </w:p>
          <w:p w:rsidR="00000000" w:rsidDel="00000000" w:rsidP="00000000" w:rsidRDefault="00000000" w:rsidRPr="00000000" w14:paraId="0000006E">
            <w:pPr>
              <w:rPr>
                <w:sz w:val="22"/>
                <w:szCs w:val="22"/>
                <w:vertAlign w:val="baseline"/>
              </w:rPr>
            </w:pPr>
            <w:r w:rsidDel="00000000" w:rsidR="00000000" w:rsidRPr="00000000">
              <w:rPr>
                <w:rtl w:val="0"/>
              </w:rPr>
            </w:r>
          </w:p>
          <w:p w:rsidR="00000000" w:rsidDel="00000000" w:rsidP="00000000" w:rsidRDefault="00000000" w:rsidRPr="00000000" w14:paraId="0000006F">
            <w:pPr>
              <w:rPr>
                <w:sz w:val="22"/>
                <w:szCs w:val="22"/>
                <w:vertAlign w:val="baseline"/>
              </w:rPr>
            </w:pPr>
            <w:r w:rsidDel="00000000" w:rsidR="00000000" w:rsidRPr="00000000">
              <w:rPr>
                <w:rtl w:val="0"/>
              </w:rPr>
            </w:r>
          </w:p>
          <w:p w:rsidR="00000000" w:rsidDel="00000000" w:rsidP="00000000" w:rsidRDefault="00000000" w:rsidRPr="00000000" w14:paraId="00000070">
            <w:pPr>
              <w:rPr>
                <w:sz w:val="22"/>
                <w:szCs w:val="22"/>
                <w:vertAlign w:val="baseline"/>
              </w:rPr>
            </w:pPr>
            <w:r w:rsidDel="00000000" w:rsidR="00000000" w:rsidRPr="00000000">
              <w:rPr>
                <w:rtl w:val="0"/>
              </w:rPr>
            </w:r>
          </w:p>
          <w:p w:rsidR="00000000" w:rsidDel="00000000" w:rsidP="00000000" w:rsidRDefault="00000000" w:rsidRPr="00000000" w14:paraId="00000071">
            <w:pPr>
              <w:rPr>
                <w:sz w:val="22"/>
                <w:szCs w:val="22"/>
                <w:vertAlign w:val="baseline"/>
              </w:rPr>
            </w:pPr>
            <w:r w:rsidDel="00000000" w:rsidR="00000000" w:rsidRPr="00000000">
              <w:rPr>
                <w:rtl w:val="0"/>
              </w:rPr>
            </w:r>
          </w:p>
          <w:p w:rsidR="00000000" w:rsidDel="00000000" w:rsidP="00000000" w:rsidRDefault="00000000" w:rsidRPr="00000000" w14:paraId="00000072">
            <w:pPr>
              <w:rPr>
                <w:sz w:val="22"/>
                <w:szCs w:val="22"/>
                <w:vertAlign w:val="baseline"/>
              </w:rPr>
            </w:pPr>
            <w:r w:rsidDel="00000000" w:rsidR="00000000" w:rsidRPr="00000000">
              <w:rPr>
                <w:rtl w:val="0"/>
              </w:rPr>
            </w:r>
          </w:p>
          <w:p w:rsidR="00000000" w:rsidDel="00000000" w:rsidP="00000000" w:rsidRDefault="00000000" w:rsidRPr="00000000" w14:paraId="00000073">
            <w:pPr>
              <w:rPr>
                <w:sz w:val="22"/>
                <w:szCs w:val="22"/>
                <w:vertAlign w:val="baseline"/>
              </w:rPr>
            </w:pPr>
            <w:r w:rsidDel="00000000" w:rsidR="00000000" w:rsidRPr="00000000">
              <w:rPr>
                <w:rtl w:val="0"/>
              </w:rPr>
            </w:r>
          </w:p>
          <w:p w:rsidR="00000000" w:rsidDel="00000000" w:rsidP="00000000" w:rsidRDefault="00000000" w:rsidRPr="00000000" w14:paraId="00000074">
            <w:pPr>
              <w:rPr>
                <w:sz w:val="22"/>
                <w:szCs w:val="22"/>
                <w:vertAlign w:val="baseline"/>
              </w:rPr>
            </w:pPr>
            <w:r w:rsidDel="00000000" w:rsidR="00000000" w:rsidRPr="00000000">
              <w:rPr>
                <w:rtl w:val="0"/>
              </w:rPr>
            </w:r>
          </w:p>
        </w:tc>
      </w:tr>
      <w:tr>
        <w:trPr>
          <w:cantSplit w:val="0"/>
          <w:trHeight w:val="720" w:hRule="atLeast"/>
          <w:tblHeader w:val="0"/>
        </w:trPr>
        <w:tc>
          <w:tcPr>
            <w:gridSpan w:val="5"/>
            <w:vAlign w:val="top"/>
          </w:tcPr>
          <w:p w:rsidR="00000000" w:rsidDel="00000000" w:rsidP="00000000" w:rsidRDefault="00000000" w:rsidRPr="00000000" w14:paraId="00000079">
            <w:pPr>
              <w:rPr>
                <w:sz w:val="22"/>
                <w:szCs w:val="22"/>
                <w:vertAlign w:val="baseline"/>
              </w:rPr>
            </w:pPr>
            <w:r w:rsidDel="00000000" w:rsidR="00000000" w:rsidRPr="00000000">
              <w:rPr>
                <w:b w:val="1"/>
                <w:sz w:val="22"/>
                <w:szCs w:val="22"/>
                <w:vertAlign w:val="baseline"/>
                <w:rtl w:val="0"/>
              </w:rPr>
              <w:t xml:space="preserve">External Examiner’s comments (if relevant)</w:t>
            </w: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85">
            <w:pPr>
              <w:rPr>
                <w:sz w:val="22"/>
                <w:szCs w:val="22"/>
                <w:vertAlign w:val="baseline"/>
              </w:rPr>
            </w:pPr>
            <w:r w:rsidDel="00000000" w:rsidR="00000000" w:rsidRPr="00000000">
              <w:rPr>
                <w:sz w:val="22"/>
                <w:szCs w:val="22"/>
                <w:vertAlign w:val="baseline"/>
                <w:rtl w:val="0"/>
              </w:rPr>
              <w:t xml:space="preserve">External Examiner’s Signature:</w:t>
            </w:r>
          </w:p>
        </w:tc>
        <w:tc>
          <w:tcPr>
            <w:gridSpan w:val="3"/>
            <w:vAlign w:val="top"/>
          </w:tcPr>
          <w:p w:rsidR="00000000" w:rsidDel="00000000" w:rsidP="00000000" w:rsidRDefault="00000000" w:rsidRPr="00000000" w14:paraId="00000087">
            <w:pPr>
              <w:rPr>
                <w:sz w:val="22"/>
                <w:szCs w:val="22"/>
                <w:vertAlign w:val="baseline"/>
              </w:rPr>
            </w:pPr>
            <w:r w:rsidDel="00000000" w:rsidR="00000000" w:rsidRPr="00000000">
              <w:rPr>
                <w:sz w:val="22"/>
                <w:szCs w:val="22"/>
                <w:vertAlign w:val="baseline"/>
                <w:rtl w:val="0"/>
              </w:rPr>
              <w:t xml:space="preserve">Date:</w:t>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98">
      <w:pPr>
        <w:spacing w:after="80" w:line="276" w:lineRule="auto"/>
        <w:jc w:val="center"/>
        <w:rPr>
          <w:b w:val="1"/>
        </w:rPr>
      </w:pPr>
      <w:r w:rsidDel="00000000" w:rsidR="00000000" w:rsidRPr="00000000">
        <w:rPr>
          <w:rtl w:val="0"/>
        </w:rPr>
      </w:r>
    </w:p>
    <w:p w:rsidR="00000000" w:rsidDel="00000000" w:rsidP="00000000" w:rsidRDefault="00000000" w:rsidRPr="00000000" w14:paraId="00000099">
      <w:pPr>
        <w:spacing w:after="80" w:line="276" w:lineRule="auto"/>
        <w:jc w:val="center"/>
        <w:rPr>
          <w:b w:val="1"/>
        </w:rPr>
      </w:pPr>
      <w:r w:rsidDel="00000000" w:rsidR="00000000" w:rsidRPr="00000000">
        <w:rPr>
          <w:rtl w:val="0"/>
        </w:rPr>
      </w:r>
    </w:p>
    <w:p w:rsidR="00000000" w:rsidDel="00000000" w:rsidP="00000000" w:rsidRDefault="00000000" w:rsidRPr="00000000" w14:paraId="0000009A">
      <w:pPr>
        <w:spacing w:after="80" w:line="276" w:lineRule="auto"/>
        <w:jc w:val="center"/>
        <w:rPr>
          <w:b w:val="1"/>
        </w:rPr>
      </w:pPr>
      <w:r w:rsidDel="00000000" w:rsidR="00000000" w:rsidRPr="00000000">
        <w:rPr>
          <w:rtl w:val="0"/>
        </w:rPr>
      </w:r>
    </w:p>
    <w:p w:rsidR="00000000" w:rsidDel="00000000" w:rsidP="00000000" w:rsidRDefault="00000000" w:rsidRPr="00000000" w14:paraId="0000009B">
      <w:pPr>
        <w:spacing w:after="80" w:line="276" w:lineRule="auto"/>
        <w:jc w:val="center"/>
        <w:rPr>
          <w:b w:val="1"/>
        </w:rPr>
      </w:pPr>
      <w:r w:rsidDel="00000000" w:rsidR="00000000" w:rsidRPr="00000000">
        <w:rPr>
          <w:rtl w:val="0"/>
        </w:rPr>
      </w:r>
    </w:p>
    <w:p w:rsidR="00000000" w:rsidDel="00000000" w:rsidP="00000000" w:rsidRDefault="00000000" w:rsidRPr="00000000" w14:paraId="0000009C">
      <w:pPr>
        <w:spacing w:after="80" w:line="276" w:lineRule="auto"/>
        <w:jc w:val="center"/>
        <w:rPr>
          <w:b w:val="1"/>
        </w:rPr>
      </w:pPr>
      <w:r w:rsidDel="00000000" w:rsidR="00000000" w:rsidRPr="00000000">
        <w:rPr>
          <w:rtl w:val="0"/>
        </w:rPr>
      </w:r>
    </w:p>
    <w:p w:rsidR="00000000" w:rsidDel="00000000" w:rsidP="00000000" w:rsidRDefault="00000000" w:rsidRPr="00000000" w14:paraId="0000009D">
      <w:pPr>
        <w:spacing w:after="80" w:line="276" w:lineRule="auto"/>
        <w:jc w:val="center"/>
        <w:rPr>
          <w:b w:val="1"/>
        </w:rPr>
      </w:pPr>
      <w:r w:rsidDel="00000000" w:rsidR="00000000" w:rsidRPr="00000000">
        <w:rPr>
          <w:rtl w:val="0"/>
        </w:rPr>
      </w:r>
    </w:p>
    <w:p w:rsidR="00000000" w:rsidDel="00000000" w:rsidP="00000000" w:rsidRDefault="00000000" w:rsidRPr="00000000" w14:paraId="0000009E">
      <w:pPr>
        <w:spacing w:after="80" w:line="276" w:lineRule="auto"/>
        <w:jc w:val="center"/>
        <w:rPr>
          <w:b w:val="1"/>
        </w:rPr>
      </w:pPr>
      <w:r w:rsidDel="00000000" w:rsidR="00000000" w:rsidRPr="00000000">
        <w:rPr>
          <w:rtl w:val="0"/>
        </w:rPr>
      </w:r>
    </w:p>
    <w:p w:rsidR="00000000" w:rsidDel="00000000" w:rsidP="00000000" w:rsidRDefault="00000000" w:rsidRPr="00000000" w14:paraId="0000009F">
      <w:pPr>
        <w:spacing w:after="80" w:line="276" w:lineRule="auto"/>
        <w:jc w:val="center"/>
        <w:rPr>
          <w:b w:val="1"/>
        </w:rPr>
      </w:pPr>
      <w:r w:rsidDel="00000000" w:rsidR="00000000" w:rsidRPr="00000000">
        <w:rPr>
          <w:rtl w:val="0"/>
        </w:rPr>
      </w:r>
    </w:p>
    <w:p w:rsidR="00000000" w:rsidDel="00000000" w:rsidP="00000000" w:rsidRDefault="00000000" w:rsidRPr="00000000" w14:paraId="000000A0">
      <w:pPr>
        <w:spacing w:after="80" w:line="276" w:lineRule="auto"/>
        <w:jc w:val="center"/>
        <w:rPr>
          <w:b w:val="1"/>
        </w:rPr>
      </w:pPr>
      <w:r w:rsidDel="00000000" w:rsidR="00000000" w:rsidRPr="00000000">
        <w:rPr>
          <w:rtl w:val="0"/>
        </w:rPr>
      </w:r>
    </w:p>
    <w:p w:rsidR="00000000" w:rsidDel="00000000" w:rsidP="00000000" w:rsidRDefault="00000000" w:rsidRPr="00000000" w14:paraId="000000A1">
      <w:pPr>
        <w:spacing w:after="80" w:line="276" w:lineRule="auto"/>
        <w:jc w:val="center"/>
        <w:rPr>
          <w:b w:val="1"/>
        </w:rPr>
      </w:pPr>
      <w:r w:rsidDel="00000000" w:rsidR="00000000" w:rsidRPr="00000000">
        <w:rPr>
          <w:rtl w:val="0"/>
        </w:rPr>
      </w:r>
    </w:p>
    <w:p w:rsidR="00000000" w:rsidDel="00000000" w:rsidP="00000000" w:rsidRDefault="00000000" w:rsidRPr="00000000" w14:paraId="000000A2">
      <w:pPr>
        <w:spacing w:after="80" w:line="276" w:lineRule="auto"/>
        <w:jc w:val="center"/>
        <w:rPr>
          <w:b w:val="1"/>
        </w:rPr>
      </w:pPr>
      <w:r w:rsidDel="00000000" w:rsidR="00000000" w:rsidRPr="00000000">
        <w:rPr>
          <w:rtl w:val="0"/>
        </w:rPr>
      </w:r>
    </w:p>
    <w:p w:rsidR="00000000" w:rsidDel="00000000" w:rsidP="00000000" w:rsidRDefault="00000000" w:rsidRPr="00000000" w14:paraId="000000A3">
      <w:pPr>
        <w:spacing w:after="80" w:line="276" w:lineRule="auto"/>
        <w:jc w:val="center"/>
        <w:rPr>
          <w:b w:val="1"/>
        </w:rPr>
      </w:pPr>
      <w:r w:rsidDel="00000000" w:rsidR="00000000" w:rsidRPr="00000000">
        <w:rPr>
          <w:rtl w:val="0"/>
        </w:rPr>
      </w:r>
    </w:p>
    <w:p w:rsidR="00000000" w:rsidDel="00000000" w:rsidP="00000000" w:rsidRDefault="00000000" w:rsidRPr="00000000" w14:paraId="000000A4">
      <w:pPr>
        <w:spacing w:after="80" w:line="276" w:lineRule="auto"/>
        <w:jc w:val="center"/>
        <w:rPr>
          <w:b w:val="1"/>
        </w:rPr>
      </w:pPr>
      <w:r w:rsidDel="00000000" w:rsidR="00000000" w:rsidRPr="00000000">
        <w:rPr>
          <w:rtl w:val="0"/>
        </w:rPr>
      </w:r>
    </w:p>
    <w:p w:rsidR="00000000" w:rsidDel="00000000" w:rsidP="00000000" w:rsidRDefault="00000000" w:rsidRPr="00000000" w14:paraId="000000A5">
      <w:pPr>
        <w:spacing w:after="80" w:line="276" w:lineRule="auto"/>
        <w:jc w:val="center"/>
        <w:rPr>
          <w:b w:val="1"/>
        </w:rPr>
      </w:pPr>
      <w:r w:rsidDel="00000000" w:rsidR="00000000" w:rsidRPr="00000000">
        <w:rPr>
          <w:rtl w:val="0"/>
        </w:rPr>
      </w:r>
    </w:p>
    <w:p w:rsidR="00000000" w:rsidDel="00000000" w:rsidP="00000000" w:rsidRDefault="00000000" w:rsidRPr="00000000" w14:paraId="000000A6">
      <w:pPr>
        <w:spacing w:after="80" w:line="276" w:lineRule="auto"/>
        <w:jc w:val="center"/>
        <w:rPr>
          <w:b w:val="1"/>
        </w:rPr>
      </w:pPr>
      <w:r w:rsidDel="00000000" w:rsidR="00000000" w:rsidRPr="00000000">
        <w:rPr>
          <w:rtl w:val="0"/>
        </w:rPr>
      </w:r>
    </w:p>
    <w:p w:rsidR="00000000" w:rsidDel="00000000" w:rsidP="00000000" w:rsidRDefault="00000000" w:rsidRPr="00000000" w14:paraId="000000A7">
      <w:pPr>
        <w:spacing w:after="80" w:line="276" w:lineRule="auto"/>
        <w:jc w:val="center"/>
        <w:rPr>
          <w:b w:val="1"/>
        </w:rPr>
      </w:pPr>
      <w:r w:rsidDel="00000000" w:rsidR="00000000" w:rsidRPr="00000000">
        <w:rPr>
          <w:rtl w:val="0"/>
        </w:rPr>
      </w:r>
    </w:p>
    <w:p w:rsidR="00000000" w:rsidDel="00000000" w:rsidP="00000000" w:rsidRDefault="00000000" w:rsidRPr="00000000" w14:paraId="000000A8">
      <w:pPr>
        <w:spacing w:after="80" w:line="276" w:lineRule="auto"/>
        <w:jc w:val="center"/>
        <w:rPr>
          <w:b w:val="1"/>
        </w:rPr>
      </w:pPr>
      <w:r w:rsidDel="00000000" w:rsidR="00000000" w:rsidRPr="00000000">
        <w:rPr>
          <w:rtl w:val="0"/>
        </w:rPr>
      </w:r>
    </w:p>
    <w:p w:rsidR="00000000" w:rsidDel="00000000" w:rsidP="00000000" w:rsidRDefault="00000000" w:rsidRPr="00000000" w14:paraId="000000A9">
      <w:pPr>
        <w:spacing w:after="80" w:line="276" w:lineRule="auto"/>
        <w:jc w:val="left"/>
        <w:rPr>
          <w:b w:val="1"/>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Costantino Toth 2430606</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spacing w:line="276" w:lineRule="auto"/>
        <w:jc w:val="center"/>
        <w:rPr/>
      </w:pPr>
      <w:r w:rsidDel="00000000" w:rsidR="00000000" w:rsidRPr="00000000">
        <w:rPr>
          <w:rtl w:val="0"/>
        </w:rPr>
        <w:t xml:space="preserve">A Critical Comparison of Two Secondary Sources</w:t>
      </w:r>
    </w:p>
    <w:p w:rsidR="00000000" w:rsidDel="00000000" w:rsidP="00000000" w:rsidRDefault="00000000" w:rsidRPr="00000000" w14:paraId="000000AE">
      <w:pPr>
        <w:spacing w:line="276" w:lineRule="auto"/>
        <w:jc w:val="center"/>
        <w:rPr>
          <w:rFonts w:ascii="Arial" w:cs="Arial" w:eastAsia="Arial" w:hAnsi="Arial"/>
          <w:b w:val="1"/>
          <w:i w:val="1"/>
          <w:sz w:val="18"/>
          <w:szCs w:val="18"/>
        </w:rPr>
      </w:pPr>
      <w:r w:rsidDel="00000000" w:rsidR="00000000" w:rsidRPr="00000000">
        <w:rPr>
          <w:rtl w:val="0"/>
        </w:rPr>
      </w:r>
    </w:p>
    <w:p w:rsidR="00000000" w:rsidDel="00000000" w:rsidP="00000000" w:rsidRDefault="00000000" w:rsidRPr="00000000" w14:paraId="000000AF">
      <w:pPr>
        <w:spacing w:after="80" w:line="276" w:lineRule="auto"/>
        <w:rPr/>
      </w:pPr>
      <w:r w:rsidDel="00000000" w:rsidR="00000000" w:rsidRPr="00000000">
        <w:rPr>
          <w:rtl w:val="0"/>
        </w:rPr>
        <w:t xml:space="preserve">Word count: </w:t>
      </w:r>
      <w:r w:rsidDel="00000000" w:rsidR="00000000" w:rsidRPr="00000000">
        <w:rPr>
          <w:rFonts w:ascii="Roboto" w:cs="Roboto" w:eastAsia="Roboto" w:hAnsi="Roboto"/>
          <w:color w:val="1f1f1f"/>
          <w:sz w:val="21"/>
          <w:szCs w:val="21"/>
          <w:rtl w:val="0"/>
        </w:rPr>
        <w:t xml:space="preserve">2165</w:t>
      </w:r>
      <w:r w:rsidDel="00000000" w:rsidR="00000000" w:rsidRPr="00000000">
        <w:rPr>
          <w:rtl w:val="0"/>
        </w:rPr>
      </w:r>
    </w:p>
    <w:p w:rsidR="00000000" w:rsidDel="00000000" w:rsidP="00000000" w:rsidRDefault="00000000" w:rsidRPr="00000000" w14:paraId="000000B0">
      <w:pPr>
        <w:spacing w:after="80" w:line="276" w:lineRule="auto"/>
        <w:rPr/>
      </w:pPr>
      <w:r w:rsidDel="00000000" w:rsidR="00000000" w:rsidRPr="00000000">
        <w:rPr>
          <w:rtl w:val="0"/>
        </w:rPr>
      </w:r>
    </w:p>
    <w:p w:rsidR="00000000" w:rsidDel="00000000" w:rsidP="00000000" w:rsidRDefault="00000000" w:rsidRPr="00000000" w14:paraId="000000B1">
      <w:pPr>
        <w:spacing w:line="276" w:lineRule="auto"/>
        <w:rPr>
          <w:b w:val="1"/>
        </w:rPr>
      </w:pPr>
      <w:r w:rsidDel="00000000" w:rsidR="00000000" w:rsidRPr="00000000">
        <w:rPr>
          <w:b w:val="1"/>
          <w:rtl w:val="0"/>
        </w:rPr>
        <w:t xml:space="preserve">Abstract:</w:t>
      </w:r>
      <w:r w:rsidDel="00000000" w:rsidR="00000000" w:rsidRPr="00000000">
        <w:rPr>
          <w:rtl w:val="0"/>
        </w:rPr>
      </w:r>
    </w:p>
    <w:p w:rsidR="00000000" w:rsidDel="00000000" w:rsidP="00000000" w:rsidRDefault="00000000" w:rsidRPr="00000000" w14:paraId="000000B2">
      <w:pPr>
        <w:spacing w:line="276" w:lineRule="auto"/>
        <w:rPr/>
      </w:pPr>
      <w:r w:rsidDel="00000000" w:rsidR="00000000" w:rsidRPr="00000000">
        <w:rPr>
          <w:rtl w:val="0"/>
        </w:rPr>
        <w:t xml:space="preserve">This essay compares and contrasts Nancy Siraisi’s article, ‘Anatomizing the Past: Physicians and History in Renaissance Culture.’ with Alisha Rankin’s article, ‘Telling Time through Medicine: A Gendered Perspective.’</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B3">
      <w:pPr>
        <w:spacing w:line="276" w:lineRule="auto"/>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B4">
      <w:pPr>
        <w:spacing w:line="276" w:lineRule="auto"/>
        <w:rPr>
          <w:b w:val="1"/>
        </w:rPr>
      </w:pPr>
      <w:r w:rsidDel="00000000" w:rsidR="00000000" w:rsidRPr="00000000">
        <w:rPr>
          <w:rtl w:val="0"/>
        </w:rPr>
      </w:r>
    </w:p>
    <w:p w:rsidR="00000000" w:rsidDel="00000000" w:rsidP="00000000" w:rsidRDefault="00000000" w:rsidRPr="00000000" w14:paraId="000000B5">
      <w:pPr>
        <w:spacing w:line="276" w:lineRule="auto"/>
        <w:rPr>
          <w:b w:val="1"/>
        </w:rPr>
      </w:pPr>
      <w:r w:rsidDel="00000000" w:rsidR="00000000" w:rsidRPr="00000000">
        <w:rPr>
          <w:b w:val="1"/>
          <w:rtl w:val="0"/>
        </w:rPr>
        <w:t xml:space="preserve">A. Background </w:t>
      </w:r>
    </w:p>
    <w:p w:rsidR="00000000" w:rsidDel="00000000" w:rsidP="00000000" w:rsidRDefault="00000000" w:rsidRPr="00000000" w14:paraId="000000B6">
      <w:pPr>
        <w:spacing w:line="276" w:lineRule="auto"/>
        <w:rPr>
          <w:b w:val="1"/>
        </w:rPr>
      </w:pPr>
      <w:r w:rsidDel="00000000" w:rsidR="00000000" w:rsidRPr="00000000">
        <w:rPr>
          <w:rtl w:val="0"/>
        </w:rPr>
      </w:r>
    </w:p>
    <w:p w:rsidR="00000000" w:rsidDel="00000000" w:rsidP="00000000" w:rsidRDefault="00000000" w:rsidRPr="00000000" w14:paraId="000000B7">
      <w:pPr>
        <w:spacing w:line="276" w:lineRule="auto"/>
        <w:rPr>
          <w:b w:val="1"/>
          <w:sz w:val="20"/>
          <w:szCs w:val="20"/>
        </w:rPr>
      </w:pPr>
      <w:r w:rsidDel="00000000" w:rsidR="00000000" w:rsidRPr="00000000">
        <w:rPr>
          <w:b w:val="1"/>
          <w:rtl w:val="0"/>
        </w:rPr>
        <w:t xml:space="preserve">A1. The authors: </w:t>
      </w:r>
      <w:r w:rsidDel="00000000" w:rsidR="00000000" w:rsidRPr="00000000">
        <w:rPr>
          <w:rtl w:val="0"/>
        </w:rPr>
      </w:r>
    </w:p>
    <w:p w:rsidR="00000000" w:rsidDel="00000000" w:rsidP="00000000" w:rsidRDefault="00000000" w:rsidRPr="00000000" w14:paraId="000000B8">
      <w:pPr>
        <w:spacing w:line="276" w:lineRule="auto"/>
        <w:ind w:firstLine="720"/>
        <w:rPr/>
      </w:pPr>
      <w:r w:rsidDel="00000000" w:rsidR="00000000" w:rsidRPr="00000000">
        <w:rPr>
          <w:rtl w:val="0"/>
        </w:rPr>
        <w:t xml:space="preserve">Nancy Gillian Siraisi was born in the UK in 1932, receiving her M.A. from the University of Oxford and her Ph.D. from the City University of New York, respectively in 1958 and 1970.</w:t>
      </w:r>
      <w:r w:rsidDel="00000000" w:rsidR="00000000" w:rsidRPr="00000000">
        <w:rPr>
          <w:vertAlign w:val="superscript"/>
        </w:rPr>
        <w:footnoteReference w:customMarkFollows="0" w:id="2"/>
      </w:r>
      <w:r w:rsidDel="00000000" w:rsidR="00000000" w:rsidRPr="00000000">
        <w:rPr>
          <w:rtl w:val="0"/>
        </w:rPr>
        <w:t xml:space="preserve"> </w:t>
      </w:r>
      <w:r w:rsidDel="00000000" w:rsidR="00000000" w:rsidRPr="00000000">
        <w:rPr>
          <w:vertAlign w:val="superscript"/>
        </w:rPr>
        <w:footnoteReference w:customMarkFollows="0" w:id="3"/>
      </w:r>
      <w:r w:rsidDel="00000000" w:rsidR="00000000" w:rsidRPr="00000000">
        <w:rPr>
          <w:rtl w:val="0"/>
        </w:rPr>
        <w:t xml:space="preserve">  She continued to reside and teach in New York City, becoming a distinguished professor of the history of science, specifically of medicine in the Middle Ages and Italian Renaissance. By 2000, she had published two books on said areas and later received many awards for her research.</w:t>
      </w:r>
      <w:r w:rsidDel="00000000" w:rsidR="00000000" w:rsidRPr="00000000">
        <w:rPr>
          <w:vertAlign w:val="superscript"/>
        </w:rPr>
        <w:footnoteReference w:customMarkFollows="0" w:id="4"/>
      </w:r>
      <w:r w:rsidDel="00000000" w:rsidR="00000000" w:rsidRPr="00000000">
        <w:rPr>
          <w:rtl w:val="0"/>
        </w:rPr>
        <w:t xml:space="preserve"> </w:t>
      </w:r>
      <w:r w:rsidDel="00000000" w:rsidR="00000000" w:rsidRPr="00000000">
        <w:rPr>
          <w:vertAlign w:val="superscript"/>
        </w:rPr>
        <w:footnoteReference w:customMarkFollows="0" w:id="5"/>
      </w:r>
      <w:r w:rsidDel="00000000" w:rsidR="00000000" w:rsidRPr="00000000">
        <w:rPr>
          <w:rtl w:val="0"/>
        </w:rPr>
        <w:t xml:space="preserve"> Siraisi is currently retired*.</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B9">
      <w:pPr>
        <w:spacing w:line="276" w:lineRule="auto"/>
        <w:ind w:firstLine="720"/>
        <w:rPr/>
      </w:pPr>
      <w:r w:rsidDel="00000000" w:rsidR="00000000" w:rsidRPr="00000000">
        <w:rPr>
          <w:rtl w:val="0"/>
        </w:rPr>
        <w:t xml:space="preserve">Alisha Rankin received her B.A from Wellesley College in 1996, her Ph.D. in History of Science from Harvard in 2005. She subsequently spent the next three years at University of Cambridge as a research fellow, before becoming faculty at the Tufts history department in 2008, where she still teaches.</w:t>
      </w:r>
      <w:r w:rsidDel="00000000" w:rsidR="00000000" w:rsidRPr="00000000">
        <w:rPr>
          <w:vertAlign w:val="superscript"/>
        </w:rPr>
        <w:footnoteReference w:customMarkFollows="0" w:id="7"/>
      </w:r>
      <w:r w:rsidDel="00000000" w:rsidR="00000000" w:rsidRPr="00000000">
        <w:rPr>
          <w:rtl w:val="0"/>
        </w:rPr>
        <w:t xml:space="preserve"> As of now, she has published two books on the history of pre–modern medicine in Germany and broader Western Europe. Her research and courses focus on “global perspectives and… underrepresented groups.” </w:t>
      </w:r>
      <w:r w:rsidDel="00000000" w:rsidR="00000000" w:rsidRPr="00000000">
        <w:rPr>
          <w:vertAlign w:val="superscript"/>
        </w:rPr>
        <w:footnoteReference w:customMarkFollows="0" w:id="8"/>
      </w:r>
      <w:r w:rsidDel="00000000" w:rsidR="00000000" w:rsidRPr="00000000">
        <w:rPr>
          <w:rtl w:val="0"/>
        </w:rPr>
        <w:t xml:space="preserve"> </w:t>
        <w:br w:type="textWrapping"/>
        <w:br w:type="textWrapping"/>
      </w:r>
    </w:p>
    <w:p w:rsidR="00000000" w:rsidDel="00000000" w:rsidP="00000000" w:rsidRDefault="00000000" w:rsidRPr="00000000" w14:paraId="000000BA">
      <w:pPr>
        <w:spacing w:line="276" w:lineRule="auto"/>
        <w:rPr>
          <w:b w:val="1"/>
          <w:i w:val="1"/>
          <w:sz w:val="20"/>
          <w:szCs w:val="20"/>
        </w:rPr>
      </w:pPr>
      <w:r w:rsidDel="00000000" w:rsidR="00000000" w:rsidRPr="00000000">
        <w:rPr>
          <w:b w:val="1"/>
          <w:rtl w:val="0"/>
        </w:rPr>
        <w:t xml:space="preserve">A2. The articles’ contexts: </w:t>
      </w:r>
      <w:r w:rsidDel="00000000" w:rsidR="00000000" w:rsidRPr="00000000">
        <w:rPr>
          <w:rtl w:val="0"/>
        </w:rPr>
      </w:r>
    </w:p>
    <w:p w:rsidR="00000000" w:rsidDel="00000000" w:rsidP="00000000" w:rsidRDefault="00000000" w:rsidRPr="00000000" w14:paraId="000000BB">
      <w:pPr>
        <w:spacing w:line="276" w:lineRule="auto"/>
        <w:rPr>
          <w:b w:val="1"/>
        </w:rPr>
      </w:pPr>
      <w:r w:rsidDel="00000000" w:rsidR="00000000" w:rsidRPr="00000000">
        <w:rPr>
          <w:b w:val="1"/>
          <w:rtl w:val="0"/>
        </w:rPr>
        <w:tab/>
      </w:r>
      <w:r w:rsidDel="00000000" w:rsidR="00000000" w:rsidRPr="00000000">
        <w:rPr>
          <w:rtl w:val="0"/>
        </w:rPr>
        <w:t xml:space="preserve">Siraisi’s article was published in 2000, eighteen years prior to Rankin’s, in the first issue of Renaissance Quarterly’s Volume 53.</w:t>
      </w:r>
      <w:r w:rsidDel="00000000" w:rsidR="00000000" w:rsidRPr="00000000">
        <w:rPr>
          <w:vertAlign w:val="superscript"/>
        </w:rPr>
        <w:footnoteReference w:customMarkFollows="0" w:id="9"/>
      </w:r>
      <w:r w:rsidDel="00000000" w:rsidR="00000000" w:rsidRPr="00000000">
        <w:rPr>
          <w:rtl w:val="0"/>
        </w:rPr>
        <w:t xml:space="preserve"> The journal has been in print since 1948.</w:t>
      </w:r>
      <w:r w:rsidDel="00000000" w:rsidR="00000000" w:rsidRPr="00000000">
        <w:rPr>
          <w:vertAlign w:val="superscript"/>
        </w:rPr>
        <w:footnoteReference w:customMarkFollows="0" w:id="10"/>
      </w:r>
      <w:r w:rsidDel="00000000" w:rsidR="00000000" w:rsidRPr="00000000">
        <w:rPr>
          <w:rtl w:val="0"/>
        </w:rPr>
        <w:t xml:space="preserve"> As the article’s and journal’s title suggests, academics with particular interest in the Renaissance and its scientific developments are the target audience.</w:t>
      </w:r>
      <w:r w:rsidDel="00000000" w:rsidR="00000000" w:rsidRPr="00000000">
        <w:rPr>
          <w:vertAlign w:val="superscript"/>
        </w:rPr>
        <w:footnoteReference w:customMarkFollows="0" w:id="11"/>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C">
      <w:pPr>
        <w:spacing w:line="276" w:lineRule="auto"/>
        <w:ind w:firstLine="720"/>
        <w:rPr/>
      </w:pPr>
      <w:r w:rsidDel="00000000" w:rsidR="00000000" w:rsidRPr="00000000">
        <w:rPr>
          <w:rtl w:val="0"/>
        </w:rPr>
        <w:t xml:space="preserve">Likewise written for an academic audience interested in pre–modern and Renaissance Europe, Rankin’s article appeared as the fourth chapter in a larger work, “Gendered Temporalities in the Early Modern World” published by Amsterdam University Press, in the larger series Gendering the Late Medieval and Early Modern World.</w:t>
      </w:r>
      <w:r w:rsidDel="00000000" w:rsidR="00000000" w:rsidRPr="00000000">
        <w:rPr>
          <w:vertAlign w:val="superscript"/>
        </w:rPr>
        <w:footnoteReference w:customMarkFollows="0" w:id="12"/>
      </w:r>
      <w:r w:rsidDel="00000000" w:rsidR="00000000" w:rsidRPr="00000000">
        <w:rPr>
          <w:rtl w:val="0"/>
        </w:rPr>
        <w:t xml:space="preserve"> The book is a collection of essays exploring how women of the early modern period in Europe experienced and shaped time, in lieu of a burgeoning attention to temporality and material studies that has been paid by feminist and queer theorists.</w:t>
      </w:r>
      <w:r w:rsidDel="00000000" w:rsidR="00000000" w:rsidRPr="00000000">
        <w:rPr>
          <w:vertAlign w:val="superscript"/>
        </w:rPr>
        <w:footnoteReference w:customMarkFollows="0" w:id="13"/>
      </w:r>
      <w:r w:rsidDel="00000000" w:rsidR="00000000" w:rsidRPr="00000000">
        <w:rPr>
          <w:rtl w:val="0"/>
        </w:rPr>
        <w:t xml:space="preserve"> The book employs a comparative method, the chapters covering various European countries and written by a diverse and interdisciplinary range of authors and researchers.</w:t>
      </w:r>
    </w:p>
    <w:p w:rsidR="00000000" w:rsidDel="00000000" w:rsidP="00000000" w:rsidRDefault="00000000" w:rsidRPr="00000000" w14:paraId="000000BD">
      <w:pPr>
        <w:spacing w:line="276" w:lineRule="auto"/>
        <w:ind w:left="0" w:firstLine="0"/>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BE">
      <w:pPr>
        <w:spacing w:line="276" w:lineRule="auto"/>
        <w:rPr>
          <w:b w:val="1"/>
        </w:rPr>
      </w:pPr>
      <w:r w:rsidDel="00000000" w:rsidR="00000000" w:rsidRPr="00000000">
        <w:rPr>
          <w:rtl w:val="0"/>
        </w:rPr>
      </w:r>
    </w:p>
    <w:p w:rsidR="00000000" w:rsidDel="00000000" w:rsidP="00000000" w:rsidRDefault="00000000" w:rsidRPr="00000000" w14:paraId="000000BF">
      <w:pPr>
        <w:spacing w:line="276" w:lineRule="auto"/>
        <w:rPr/>
      </w:pPr>
      <w:r w:rsidDel="00000000" w:rsidR="00000000" w:rsidRPr="00000000">
        <w:rPr>
          <w:b w:val="1"/>
          <w:rtl w:val="0"/>
        </w:rPr>
        <w:t xml:space="preserve">B. Analysis </w:t>
      </w:r>
      <w:r w:rsidDel="00000000" w:rsidR="00000000" w:rsidRPr="00000000">
        <w:rPr>
          <w:rtl w:val="0"/>
        </w:rPr>
      </w:r>
    </w:p>
    <w:p w:rsidR="00000000" w:rsidDel="00000000" w:rsidP="00000000" w:rsidRDefault="00000000" w:rsidRPr="00000000" w14:paraId="000000C0">
      <w:pPr>
        <w:spacing w:line="276" w:lineRule="auto"/>
        <w:rPr/>
      </w:pPr>
      <w:r w:rsidDel="00000000" w:rsidR="00000000" w:rsidRPr="00000000">
        <w:rPr>
          <w:rtl w:val="0"/>
        </w:rPr>
      </w:r>
    </w:p>
    <w:p w:rsidR="00000000" w:rsidDel="00000000" w:rsidP="00000000" w:rsidRDefault="00000000" w:rsidRPr="00000000" w14:paraId="000000C1">
      <w:pPr>
        <w:spacing w:line="276" w:lineRule="auto"/>
        <w:rPr>
          <w:i w:val="1"/>
          <w:sz w:val="20"/>
          <w:szCs w:val="20"/>
        </w:rPr>
      </w:pPr>
      <w:r w:rsidDel="00000000" w:rsidR="00000000" w:rsidRPr="00000000">
        <w:rPr>
          <w:b w:val="1"/>
          <w:rtl w:val="0"/>
        </w:rPr>
        <w:t xml:space="preserve">B1. Summary of the articles: </w:t>
      </w:r>
      <w:r w:rsidDel="00000000" w:rsidR="00000000" w:rsidRPr="00000000">
        <w:rPr>
          <w:rtl w:val="0"/>
        </w:rPr>
      </w:r>
    </w:p>
    <w:p w:rsidR="00000000" w:rsidDel="00000000" w:rsidP="00000000" w:rsidRDefault="00000000" w:rsidRPr="00000000" w14:paraId="000000C2">
      <w:pPr>
        <w:spacing w:line="276" w:lineRule="auto"/>
        <w:ind w:firstLine="720"/>
        <w:rPr/>
      </w:pPr>
      <w:r w:rsidDel="00000000" w:rsidR="00000000" w:rsidRPr="00000000">
        <w:rPr>
          <w:rtl w:val="0"/>
        </w:rPr>
        <w:t xml:space="preserve">B</w:t>
      </w:r>
      <w:r w:rsidDel="00000000" w:rsidR="00000000" w:rsidRPr="00000000">
        <w:rPr>
          <w:rtl w:val="0"/>
        </w:rPr>
        <w:t xml:space="preserve">oth Siraisi’s and Rankin’s articles, in a broad sense, deal with the various ways medical practitioners in the European Renaissance treated or experienced time. They both share the preoccupation of bringing attention to certain aspects of the Renaissance’s medicinal world that, according to them, have gone unscrutinized. Siraisi focuses on how learned physicians of that era (therefore all male), through their writings, entwined history with the more “scientific” aspects of their work.</w:t>
      </w:r>
      <w:r w:rsidDel="00000000" w:rsidR="00000000" w:rsidRPr="00000000">
        <w:rPr>
          <w:vertAlign w:val="superscript"/>
        </w:rPr>
        <w:footnoteReference w:customMarkFollows="0" w:id="14"/>
      </w:r>
      <w:r w:rsidDel="00000000" w:rsidR="00000000" w:rsidRPr="00000000">
        <w:rPr>
          <w:rtl w:val="0"/>
        </w:rPr>
        <w:t xml:space="preserve"> Rankin instead examines a series of letters between two women in order to demonstrate some ways in how female medical practitioners in Germany negotiated with time, especially in the contexts of birth, midwifery, and making medicine.</w:t>
      </w:r>
      <w:r w:rsidDel="00000000" w:rsidR="00000000" w:rsidRPr="00000000">
        <w:rPr>
          <w:vertAlign w:val="superscript"/>
        </w:rPr>
        <w:footnoteReference w:customMarkFollows="0" w:id="15"/>
      </w:r>
      <w:r w:rsidDel="00000000" w:rsidR="00000000" w:rsidRPr="00000000">
        <w:rPr>
          <w:rtl w:val="0"/>
        </w:rPr>
        <w:t xml:space="preserve"> What follows is a brief overview of how each author structures their arguments and utilizes their respective primary sources.</w:t>
      </w:r>
    </w:p>
    <w:p w:rsidR="00000000" w:rsidDel="00000000" w:rsidP="00000000" w:rsidRDefault="00000000" w:rsidRPr="00000000" w14:paraId="000000C3">
      <w:pPr>
        <w:spacing w:line="276" w:lineRule="auto"/>
        <w:ind w:firstLine="720"/>
        <w:rPr/>
      </w:pPr>
      <w:r w:rsidDel="00000000" w:rsidR="00000000" w:rsidRPr="00000000">
        <w:rPr>
          <w:rtl w:val="0"/>
        </w:rPr>
      </w:r>
    </w:p>
    <w:p w:rsidR="00000000" w:rsidDel="00000000" w:rsidP="00000000" w:rsidRDefault="00000000" w:rsidRPr="00000000" w14:paraId="000000C4">
      <w:pPr>
        <w:spacing w:line="276" w:lineRule="auto"/>
        <w:ind w:firstLine="720"/>
        <w:rPr/>
      </w:pPr>
      <w:r w:rsidDel="00000000" w:rsidR="00000000" w:rsidRPr="00000000">
        <w:rPr>
          <w:rtl w:val="0"/>
        </w:rPr>
      </w:r>
    </w:p>
    <w:p w:rsidR="00000000" w:rsidDel="00000000" w:rsidP="00000000" w:rsidRDefault="00000000" w:rsidRPr="00000000" w14:paraId="000000C5">
      <w:pPr>
        <w:spacing w:line="276" w:lineRule="auto"/>
        <w:ind w:firstLine="720"/>
        <w:rPr/>
      </w:pPr>
      <w:r w:rsidDel="00000000" w:rsidR="00000000" w:rsidRPr="00000000">
        <w:rPr>
          <w:rtl w:val="0"/>
        </w:rPr>
      </w:r>
    </w:p>
    <w:p w:rsidR="00000000" w:rsidDel="00000000" w:rsidP="00000000" w:rsidRDefault="00000000" w:rsidRPr="00000000" w14:paraId="000000C6">
      <w:pPr>
        <w:spacing w:line="276" w:lineRule="auto"/>
        <w:ind w:firstLine="720"/>
        <w:rPr/>
      </w:pPr>
      <w:r w:rsidDel="00000000" w:rsidR="00000000" w:rsidRPr="00000000">
        <w:rPr>
          <w:rtl w:val="0"/>
        </w:rPr>
        <w:t xml:space="preserve">Siraisi begins her paper stating that a careful look at how Renaissance doctors interacted with history, whether through what they wrote or read, illustrates that their connections to the subject were not coincidental curiosities, but a common thread spanning two centuries</w:t>
      </w:r>
      <w:r w:rsidDel="00000000" w:rsidR="00000000" w:rsidRPr="00000000">
        <w:rPr>
          <w:rtl w:val="0"/>
        </w:rPr>
        <w:t xml:space="preserve">.</w:t>
      </w:r>
      <w:r w:rsidDel="00000000" w:rsidR="00000000" w:rsidRPr="00000000">
        <w:rPr>
          <w:vertAlign w:val="superscript"/>
        </w:rPr>
        <w:footnoteReference w:customMarkFollows="0" w:id="16"/>
      </w:r>
      <w:r w:rsidDel="00000000" w:rsidR="00000000" w:rsidRPr="00000000">
        <w:rPr>
          <w:rtl w:val="0"/>
        </w:rPr>
        <w:t xml:space="preserve"> One of her first examples is Machiavelli, who paralleled the conduct of a good historian to a good physician in a preface to his </w:t>
      </w:r>
      <w:r w:rsidDel="00000000" w:rsidR="00000000" w:rsidRPr="00000000">
        <w:rPr>
          <w:i w:val="1"/>
          <w:rtl w:val="0"/>
        </w:rPr>
        <w:t xml:space="preserve">Discorsi</w:t>
      </w:r>
      <w:r w:rsidDel="00000000" w:rsidR="00000000" w:rsidRPr="00000000">
        <w:rPr>
          <w:rtl w:val="0"/>
        </w:rPr>
        <w:t xml:space="preserve">: both deal not only with events and symptoms, but seek to uncover the underlying causes.</w:t>
      </w:r>
      <w:r w:rsidDel="00000000" w:rsidR="00000000" w:rsidRPr="00000000">
        <w:rPr>
          <w:vertAlign w:val="superscript"/>
        </w:rPr>
        <w:footnoteReference w:customMarkFollows="0" w:id="17"/>
      </w:r>
      <w:r w:rsidDel="00000000" w:rsidR="00000000" w:rsidRPr="00000000">
        <w:rPr>
          <w:rtl w:val="0"/>
        </w:rPr>
        <w:t xml:space="preserve"> From this quote, she describes how, in the Renaissance’s cultural milieu, physicians and doctors were “…far from being isolated in a specialist, academic, or craft ghetto, they were full participants in a culture in which history had come to be valued.” </w:t>
      </w:r>
      <w:r w:rsidDel="00000000" w:rsidR="00000000" w:rsidRPr="00000000">
        <w:rPr>
          <w:vertAlign w:val="superscript"/>
        </w:rPr>
        <w:footnoteReference w:customMarkFollows="0" w:id="18"/>
      </w:r>
      <w:r w:rsidDel="00000000" w:rsidR="00000000" w:rsidRPr="00000000">
        <w:rPr>
          <w:rtl w:val="0"/>
        </w:rPr>
        <w:t xml:space="preserve"> She goes on to provide a plethora of examples, cumulatively illustrating a cultural shift in medicine from Platonic abstraction to a preoccupation with Aristotelian particulars, culminating in a desire to craft or consume historical narrative, whether that be for themselves, patients, or past doctors. For instance, she outlines how the use of case histories increased in the Renaissance, whereas in the Middle Ages they were nearly unheard of.</w:t>
      </w:r>
      <w:r w:rsidDel="00000000" w:rsidR="00000000" w:rsidRPr="00000000">
        <w:rPr>
          <w:vertAlign w:val="superscript"/>
        </w:rPr>
        <w:footnoteReference w:customMarkFollows="0" w:id="19"/>
      </w:r>
      <w:r w:rsidDel="00000000" w:rsidR="00000000" w:rsidRPr="00000000">
        <w:rPr>
          <w:rtl w:val="0"/>
        </w:rPr>
        <w:t xml:space="preserve"> She concludes with a statement on how Renaissance studies would be reinvigorated if its researchers were to explore elements initially deemed “extraneous”, by approaches we might now call “interdisciplinary.” </w:t>
      </w:r>
      <w:r w:rsidDel="00000000" w:rsidR="00000000" w:rsidRPr="00000000">
        <w:rPr>
          <w:vertAlign w:val="superscript"/>
        </w:rPr>
        <w:footnoteReference w:customMarkFollows="0" w:id="20"/>
      </w:r>
      <w:r w:rsidDel="00000000" w:rsidR="00000000" w:rsidRPr="00000000">
        <w:rPr>
          <w:rtl w:val="0"/>
        </w:rPr>
      </w:r>
    </w:p>
    <w:p w:rsidR="00000000" w:rsidDel="00000000" w:rsidP="00000000" w:rsidRDefault="00000000" w:rsidRPr="00000000" w14:paraId="000000C7">
      <w:pPr>
        <w:spacing w:line="276" w:lineRule="auto"/>
        <w:ind w:left="0" w:firstLine="0"/>
        <w:rPr/>
      </w:pPr>
      <w:r w:rsidDel="00000000" w:rsidR="00000000" w:rsidRPr="00000000">
        <w:rPr>
          <w:rtl w:val="0"/>
        </w:rPr>
      </w:r>
    </w:p>
    <w:p w:rsidR="00000000" w:rsidDel="00000000" w:rsidP="00000000" w:rsidRDefault="00000000" w:rsidRPr="00000000" w14:paraId="000000C8">
      <w:pPr>
        <w:spacing w:line="276" w:lineRule="auto"/>
        <w:ind w:firstLine="720"/>
        <w:rPr/>
      </w:pPr>
      <w:r w:rsidDel="00000000" w:rsidR="00000000" w:rsidRPr="00000000">
        <w:rPr>
          <w:rtl w:val="0"/>
        </w:rPr>
        <w:t xml:space="preserve">Rankin begins her article with an abstract, stating that medical professionals and laymen in “early modern Europe” utilized more than one system of time. Female practitioners were thus no different, but Rankin argues that, specifically, they prioritized embodied time and botanical time— pregnancy, menstrual cycles, when to pick certain plants, for example —in order to guide their activities.</w:t>
      </w:r>
      <w:r w:rsidDel="00000000" w:rsidR="00000000" w:rsidRPr="00000000">
        <w:rPr>
          <w:vertAlign w:val="superscript"/>
        </w:rPr>
        <w:footnoteReference w:customMarkFollows="0" w:id="21"/>
      </w:r>
      <w:r w:rsidDel="00000000" w:rsidR="00000000" w:rsidRPr="00000000">
        <w:rPr>
          <w:rtl w:val="0"/>
        </w:rPr>
        <w:t xml:space="preserve">  </w:t>
      </w:r>
    </w:p>
    <w:p w:rsidR="00000000" w:rsidDel="00000000" w:rsidP="00000000" w:rsidRDefault="00000000" w:rsidRPr="00000000" w14:paraId="000000C9">
      <w:pPr>
        <w:spacing w:line="276" w:lineRule="auto"/>
        <w:ind w:firstLine="720"/>
        <w:rPr/>
      </w:pPr>
      <w:r w:rsidDel="00000000" w:rsidR="00000000" w:rsidRPr="00000000">
        <w:rPr>
          <w:rtl w:val="0"/>
        </w:rPr>
        <w:t xml:space="preserve">Rankin first establishes the larger historical context, demonstrating how time-keeping was central to the medical practice of the era.</w:t>
      </w:r>
      <w:r w:rsidDel="00000000" w:rsidR="00000000" w:rsidRPr="00000000">
        <w:rPr>
          <w:vertAlign w:val="superscript"/>
        </w:rPr>
        <w:footnoteReference w:customMarkFollows="0" w:id="22"/>
      </w:r>
      <w:r w:rsidDel="00000000" w:rsidR="00000000" w:rsidRPr="00000000">
        <w:rPr>
          <w:rtl w:val="0"/>
        </w:rPr>
        <w:t xml:space="preserve"> </w:t>
      </w:r>
      <w:r w:rsidDel="00000000" w:rsidR="00000000" w:rsidRPr="00000000">
        <w:rPr>
          <w:color w:val="161615"/>
          <w:rtl w:val="0"/>
        </w:rPr>
        <w:t xml:space="preserve">She then focuses on her central </w:t>
      </w:r>
      <w:r w:rsidDel="00000000" w:rsidR="00000000" w:rsidRPr="00000000">
        <w:rPr>
          <w:rtl w:val="0"/>
        </w:rPr>
        <w:t xml:space="preserve">case study, presenting excerpts from the many letters sent between Dorothea of Mansfeld and Electress Anna of Saxony. For Rankin, these two, German, aristocratic women offer a unique middle ground between lay medicine and learned medicine.</w:t>
      </w:r>
      <w:r w:rsidDel="00000000" w:rsidR="00000000" w:rsidRPr="00000000">
        <w:rPr>
          <w:vertAlign w:val="superscript"/>
        </w:rPr>
        <w:footnoteReference w:customMarkFollows="0" w:id="23"/>
      </w:r>
      <w:r w:rsidDel="00000000" w:rsidR="00000000" w:rsidRPr="00000000">
        <w:rPr>
          <w:rtl w:val="0"/>
        </w:rPr>
        <w:t xml:space="preserve"> The first piece of evidence Rankin examines is a letter from Dorothea to Electress, dated to May of 1557, in which Dorothea cancels an upcoming trip to Dresden in order to wait for her daughter to give birth. </w:t>
      </w:r>
      <w:r w:rsidDel="00000000" w:rsidR="00000000" w:rsidRPr="00000000">
        <w:rPr>
          <w:color w:val="161615"/>
          <w:vertAlign w:val="superscript"/>
        </w:rPr>
        <w:footnoteReference w:customMarkFollows="0" w:id="24"/>
      </w:r>
      <w:r w:rsidDel="00000000" w:rsidR="00000000" w:rsidRPr="00000000">
        <w:rPr>
          <w:color w:val="161615"/>
          <w:rtl w:val="0"/>
        </w:rPr>
        <w:t xml:space="preserve"> Rankin reads this quote as evidence of a tension between the common religious calendar and the “embodied time” which Dorothea ultimately chose to defer to for her decision to cancel her trip. Rankin goes on to present how other excerpts from these letters demonstrate that, </w:t>
      </w:r>
      <w:r w:rsidDel="00000000" w:rsidR="00000000" w:rsidRPr="00000000">
        <w:rPr>
          <w:rtl w:val="0"/>
        </w:rPr>
        <w:t xml:space="preserve">despite living between various “overlapping temporalities", women consistently deferred to embodied time and botanical time in order to not miss</w:t>
      </w:r>
      <w:r w:rsidDel="00000000" w:rsidR="00000000" w:rsidRPr="00000000">
        <w:rPr>
          <w:color w:val="161615"/>
          <w:rtl w:val="0"/>
        </w:rPr>
        <w:t xml:space="preserve"> various windows of “opportunity”, such as in picking plants or in distilling medicines.</w:t>
      </w:r>
      <w:r w:rsidDel="00000000" w:rsidR="00000000" w:rsidRPr="00000000">
        <w:rPr>
          <w:color w:val="161615"/>
          <w:vertAlign w:val="superscript"/>
        </w:rPr>
        <w:footnoteReference w:customMarkFollows="0" w:id="25"/>
      </w:r>
      <w:r w:rsidDel="00000000" w:rsidR="00000000" w:rsidRPr="00000000">
        <w:rPr>
          <w:color w:val="161615"/>
          <w:rtl w:val="0"/>
        </w:rPr>
        <w:t xml:space="preserve"> </w:t>
      </w:r>
      <w:r w:rsidDel="00000000" w:rsidR="00000000" w:rsidRPr="00000000">
        <w:rPr>
          <w:vertAlign w:val="superscript"/>
        </w:rPr>
        <w:footnoteReference w:customMarkFollows="0" w:id="26"/>
      </w:r>
      <w:r w:rsidDel="00000000" w:rsidR="00000000" w:rsidRPr="00000000">
        <w:rPr>
          <w:rtl w:val="0"/>
        </w:rPr>
        <w:t xml:space="preserve"> </w:t>
      </w:r>
    </w:p>
    <w:p w:rsidR="00000000" w:rsidDel="00000000" w:rsidP="00000000" w:rsidRDefault="00000000" w:rsidRPr="00000000" w14:paraId="000000CA">
      <w:pPr>
        <w:spacing w:line="276" w:lineRule="auto"/>
        <w:ind w:firstLine="720"/>
        <w:rPr/>
      </w:pPr>
      <w:r w:rsidDel="00000000" w:rsidR="00000000" w:rsidRPr="00000000">
        <w:rPr>
          <w:rtl w:val="0"/>
        </w:rPr>
      </w:r>
    </w:p>
    <w:p w:rsidR="00000000" w:rsidDel="00000000" w:rsidP="00000000" w:rsidRDefault="00000000" w:rsidRPr="00000000" w14:paraId="000000CB">
      <w:pPr>
        <w:spacing w:line="276" w:lineRule="auto"/>
        <w:rPr>
          <w:b w:val="1"/>
        </w:rPr>
      </w:pPr>
      <w:r w:rsidDel="00000000" w:rsidR="00000000" w:rsidRPr="00000000">
        <w:rPr>
          <w:b w:val="1"/>
          <w:rtl w:val="0"/>
        </w:rPr>
        <w:t xml:space="preserve">B2. Comparison of differing philosophies: </w:t>
      </w:r>
      <w:r w:rsidDel="00000000" w:rsidR="00000000" w:rsidRPr="00000000">
        <w:rPr>
          <w:rtl w:val="0"/>
        </w:rPr>
      </w:r>
    </w:p>
    <w:p w:rsidR="00000000" w:rsidDel="00000000" w:rsidP="00000000" w:rsidRDefault="00000000" w:rsidRPr="00000000" w14:paraId="000000CC">
      <w:pPr>
        <w:spacing w:line="276" w:lineRule="auto"/>
        <w:ind w:left="0" w:firstLine="720"/>
        <w:rPr/>
      </w:pPr>
      <w:r w:rsidDel="00000000" w:rsidR="00000000" w:rsidRPr="00000000">
        <w:rPr>
          <w:rtl w:val="0"/>
        </w:rPr>
        <w:t xml:space="preserve">Siraisi’s and Rankin’s investigations into Renaissance medicine, it can be argued, exhibit postmodernist influences (or metamodernist, in Rankin’s case). However, the two researchers emphasize different aspects of postmodern philosophy and thus their respective methodologies and chosen subjects differ greatly. </w:t>
      </w:r>
    </w:p>
    <w:p w:rsidR="00000000" w:rsidDel="00000000" w:rsidP="00000000" w:rsidRDefault="00000000" w:rsidRPr="00000000" w14:paraId="000000CD">
      <w:pPr>
        <w:spacing w:line="276" w:lineRule="auto"/>
        <w:ind w:left="0" w:firstLine="720"/>
        <w:rPr/>
      </w:pPr>
      <w:r w:rsidDel="00000000" w:rsidR="00000000" w:rsidRPr="00000000">
        <w:rPr>
          <w:rtl w:val="0"/>
        </w:rPr>
        <w:t xml:space="preserve">Siraisi strings together a copious amount of writings from notable, male Renaissance doctors to outline a greater philosophical movement (about 20+ primary sources). However, Siraisi’s decision to re-analyze these famous figures employs a postmodernist skepticism and challenges the narrative and academic view of said–physicians as being mere “scientists” focused solely on “science.” </w:t>
      </w:r>
      <w:r w:rsidDel="00000000" w:rsidR="00000000" w:rsidRPr="00000000">
        <w:rPr>
          <w:vertAlign w:val="superscript"/>
        </w:rPr>
        <w:footnoteReference w:customMarkFollows="0" w:id="27"/>
      </w:r>
      <w:r w:rsidDel="00000000" w:rsidR="00000000" w:rsidRPr="00000000">
        <w:rPr>
          <w:rtl w:val="0"/>
        </w:rPr>
        <w:t xml:space="preserve"> </w:t>
      </w:r>
      <w:r w:rsidDel="00000000" w:rsidR="00000000" w:rsidRPr="00000000">
        <w:rPr>
          <w:vertAlign w:val="superscript"/>
        </w:rPr>
        <w:footnoteReference w:customMarkFollows="0" w:id="28"/>
      </w:r>
      <w:r w:rsidDel="00000000" w:rsidR="00000000" w:rsidRPr="00000000">
        <w:rPr>
          <w:rtl w:val="0"/>
        </w:rPr>
        <w:t xml:space="preserve"> Within this challenge, Siraisi thus arranges her examples non–chronologically in order to outline a larger theme. This high volume of specifics, coupled with the fact that Siraisi does not provide parenthetical dates for the many Renaissance figures she describes, can either be seen as “meticulous” or impenetrable.</w:t>
      </w:r>
      <w:r w:rsidDel="00000000" w:rsidR="00000000" w:rsidRPr="00000000">
        <w:rPr>
          <w:vertAlign w:val="superscript"/>
        </w:rPr>
        <w:footnoteReference w:customMarkFollows="0" w:id="29"/>
      </w:r>
      <w:r w:rsidDel="00000000" w:rsidR="00000000" w:rsidRPr="00000000">
        <w:rPr>
          <w:rtl w:val="0"/>
        </w:rPr>
        <w:t xml:space="preserve"> Keeping in mind that Siraisi’s article and the publication it appears in is for an audience well–versed in the history of the Renaissance, her method of research and writing is not necessarily a shortcoming. Her approach is intentional, she herself </w:t>
      </w:r>
      <w:r w:rsidDel="00000000" w:rsidR="00000000" w:rsidRPr="00000000">
        <w:rPr>
          <w:rtl w:val="0"/>
        </w:rPr>
        <w:t xml:space="preserve">describing</w:t>
      </w:r>
      <w:r w:rsidDel="00000000" w:rsidR="00000000" w:rsidRPr="00000000">
        <w:rPr>
          <w:rtl w:val="0"/>
        </w:rPr>
        <w:t xml:space="preserve"> it as a “sketch.” </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CE">
      <w:pPr>
        <w:spacing w:line="276" w:lineRule="auto"/>
        <w:ind w:left="0" w:firstLine="720"/>
        <w:rPr/>
      </w:pPr>
      <w:r w:rsidDel="00000000" w:rsidR="00000000" w:rsidRPr="00000000">
        <w:rPr>
          <w:rtl w:val="0"/>
        </w:rPr>
        <w:t xml:space="preserve">Rankin’s approach highlights a different vein of postmodernism. Appropriating Eagleton’s description of postmodernism as “</w:t>
      </w:r>
      <w:r w:rsidDel="00000000" w:rsidR="00000000" w:rsidRPr="00000000">
        <w:rPr>
          <w:rtl w:val="0"/>
        </w:rPr>
        <w:t xml:space="preserve">whole ways of life are to be celebrated when they are those of dissident or minority groups” and “abandoned… belief in radical mass movements” summarizes Rankin’s preoccupations; in her article she states that “</w:t>
      </w:r>
      <w:r w:rsidDel="00000000" w:rsidR="00000000" w:rsidRPr="00000000">
        <w:rPr>
          <w:color w:val="161615"/>
          <w:rtl w:val="0"/>
        </w:rPr>
        <w:t xml:space="preserve">Whenever we encounter prescriptive frameworks, we have to ask where </w:t>
      </w:r>
      <w:r w:rsidDel="00000000" w:rsidR="00000000" w:rsidRPr="00000000">
        <w:rPr>
          <w:color w:val="161615"/>
          <w:rtl w:val="0"/>
        </w:rPr>
        <w:t xml:space="preserve">women fit in.”</w:t>
      </w:r>
      <w:r w:rsidDel="00000000" w:rsidR="00000000" w:rsidRPr="00000000">
        <w:rPr>
          <w:vertAlign w:val="superscript"/>
        </w:rPr>
        <w:footnoteReference w:customMarkFollows="0" w:id="31"/>
      </w:r>
      <w:r w:rsidDel="00000000" w:rsidR="00000000" w:rsidRPr="00000000">
        <w:rPr>
          <w:rtl w:val="0"/>
        </w:rPr>
        <w:t xml:space="preserve"> </w:t>
      </w:r>
      <w:r w:rsidDel="00000000" w:rsidR="00000000" w:rsidRPr="00000000">
        <w:rPr>
          <w:vertAlign w:val="superscript"/>
        </w:rPr>
        <w:footnoteReference w:customMarkFollows="0" w:id="32"/>
      </w:r>
      <w:r w:rsidDel="00000000" w:rsidR="00000000" w:rsidRPr="00000000">
        <w:rPr>
          <w:rtl w:val="0"/>
        </w:rPr>
        <w:t xml:space="preserve"> Thus, Rankin’s very decision to examine Dorothea of Mansfeld and Electress Anna of Saxony, whom have not been as discussed as the subjects of Siraisi’s research (Siraisi’s primary sources are widely available in translation and print, while Dorothea and Anna did not publish any books; in fact, Rankin might even be the first researcher to translate these letters between the two in English) is how she utilizes the post–modern philosophy to deconstruct the common view of the Renaissance as resulting solely from the intellectual effluence of male physicians. </w:t>
      </w:r>
    </w:p>
    <w:p w:rsidR="00000000" w:rsidDel="00000000" w:rsidP="00000000" w:rsidRDefault="00000000" w:rsidRPr="00000000" w14:paraId="000000CF">
      <w:pPr>
        <w:spacing w:line="276" w:lineRule="auto"/>
        <w:ind w:left="0" w:firstLine="720"/>
        <w:rPr>
          <w:color w:val="161615"/>
        </w:rPr>
      </w:pPr>
      <w:r w:rsidDel="00000000" w:rsidR="00000000" w:rsidRPr="00000000">
        <w:rPr>
          <w:rtl w:val="0"/>
        </w:rPr>
        <w:t xml:space="preserve">Rankin’s description of the cultural milieu of Renaissance Europe as, in her view, not a single narrative arc but a conglomeration of different time-systems in which “</w:t>
      </w:r>
      <w:r w:rsidDel="00000000" w:rsidR="00000000" w:rsidRPr="00000000">
        <w:rPr>
          <w:color w:val="161615"/>
          <w:rtl w:val="0"/>
        </w:rPr>
        <w:t xml:space="preserve">Lay medicine often overlapped with learned” also veers towards metamodernism.</w:t>
      </w:r>
      <w:r w:rsidDel="00000000" w:rsidR="00000000" w:rsidRPr="00000000">
        <w:rPr>
          <w:color w:val="161615"/>
          <w:vertAlign w:val="superscript"/>
        </w:rPr>
        <w:footnoteReference w:customMarkFollows="0" w:id="33"/>
      </w:r>
      <w:r w:rsidDel="00000000" w:rsidR="00000000" w:rsidRPr="00000000">
        <w:rPr>
          <w:color w:val="161615"/>
          <w:rtl w:val="0"/>
        </w:rPr>
        <w:t xml:space="preserve"> Rankin’s presentation of the historical period as constellatory instead of centralized parallels how </w:t>
      </w:r>
      <w:r w:rsidDel="00000000" w:rsidR="00000000" w:rsidRPr="00000000">
        <w:rPr>
          <w:color w:val="2c2c2c"/>
          <w:highlight w:val="white"/>
          <w:rtl w:val="0"/>
        </w:rPr>
        <w:t xml:space="preserve">Bourriaud</w:t>
      </w:r>
      <w:r w:rsidDel="00000000" w:rsidR="00000000" w:rsidRPr="00000000">
        <w:rPr>
          <w:rFonts w:ascii="Arial" w:cs="Arial" w:eastAsia="Arial" w:hAnsi="Arial"/>
          <w:color w:val="2c2c2c"/>
          <w:highlight w:val="white"/>
          <w:rtl w:val="0"/>
        </w:rPr>
        <w:t xml:space="preserve"> </w:t>
      </w:r>
      <w:r w:rsidDel="00000000" w:rsidR="00000000" w:rsidRPr="00000000">
        <w:rPr>
          <w:color w:val="161615"/>
          <w:rtl w:val="0"/>
        </w:rPr>
        <w:t xml:space="preserve">described the art being produced in the 2010s, in reaction to both modernism and postmodernism</w:t>
      </w:r>
      <w:r w:rsidDel="00000000" w:rsidR="00000000" w:rsidRPr="00000000">
        <w:rPr>
          <w:color w:val="161615"/>
          <w:rtl w:val="0"/>
        </w:rPr>
        <w:t xml:space="preserve">, as presenting “...a vision of human history as constituted of multiple temporalities…tracing lines in all directions of time and space.”</w:t>
      </w:r>
      <w:r w:rsidDel="00000000" w:rsidR="00000000" w:rsidRPr="00000000">
        <w:rPr>
          <w:color w:val="161615"/>
          <w:vertAlign w:val="superscript"/>
        </w:rPr>
        <w:footnoteReference w:customMarkFollows="0" w:id="34"/>
      </w:r>
      <w:r w:rsidDel="00000000" w:rsidR="00000000" w:rsidRPr="00000000">
        <w:rPr>
          <w:color w:val="161615"/>
          <w:rtl w:val="0"/>
        </w:rPr>
        <w:t xml:space="preserve"> </w:t>
      </w:r>
    </w:p>
    <w:p w:rsidR="00000000" w:rsidDel="00000000" w:rsidP="00000000" w:rsidRDefault="00000000" w:rsidRPr="00000000" w14:paraId="000000D0">
      <w:pPr>
        <w:spacing w:line="276" w:lineRule="auto"/>
        <w:ind w:left="0" w:firstLine="0"/>
        <w:rPr/>
      </w:pPr>
      <w:r w:rsidDel="00000000" w:rsidR="00000000" w:rsidRPr="00000000">
        <w:rPr>
          <w:rtl w:val="0"/>
        </w:rPr>
        <w:tab/>
        <w:t xml:space="preserve">While Siraisi’s use of primary sources can be overwhelming and, perhaps from how Rankin uses postmodern modes of analysis, neglectful of minorities, Rankin’s approach encounters a different set of problems. In trying to understand her subjects from an emotive and embodied perspective, a justified pursuit, this brings her writing close to unwarranted assumptions on how the subjects must have felt as they wrote their letters. For instance, she describes </w:t>
      </w:r>
      <w:r w:rsidDel="00000000" w:rsidR="00000000" w:rsidRPr="00000000">
        <w:rPr>
          <w:color w:val="161615"/>
          <w:rtl w:val="0"/>
        </w:rPr>
        <w:t xml:space="preserve">Dorothea as waiting </w:t>
      </w:r>
      <w:r w:rsidDel="00000000" w:rsidR="00000000" w:rsidRPr="00000000">
        <w:rPr>
          <w:color w:val="161615"/>
          <w:rtl w:val="0"/>
        </w:rPr>
        <w:t xml:space="preserve">“anxiously for her daughter-in-law to give birth.” </w:t>
      </w:r>
      <w:r w:rsidDel="00000000" w:rsidR="00000000" w:rsidRPr="00000000">
        <w:rPr>
          <w:color w:val="161615"/>
          <w:vertAlign w:val="superscript"/>
        </w:rPr>
        <w:footnoteReference w:customMarkFollows="0" w:id="35"/>
      </w:r>
      <w:r w:rsidDel="00000000" w:rsidR="00000000" w:rsidRPr="00000000">
        <w:rPr>
          <w:color w:val="161615"/>
          <w:rtl w:val="0"/>
        </w:rPr>
        <w:t xml:space="preserve"> While it might seem obvious to our present minds that such an event would be stress–inducing, it is perhaps overly–speculative to project too much onto not just the past, but a different culture– even if an author might identify with the group of people they are examining. As rhetorical devices, these descriptors function well in providing a read that is more engaging and approachable than Siraisi’s. However, these rhetorical strategies also limit the author’s persuasiveness, especially given the fact that Rankin does not provide </w:t>
      </w:r>
      <w:r w:rsidDel="00000000" w:rsidR="00000000" w:rsidRPr="00000000">
        <w:rPr>
          <w:rtl w:val="0"/>
        </w:rPr>
        <w:t xml:space="preserve">the original German for the majority of her excerpts. If indeed the original writings show clear evidence of Dorothea and Anna’s perceptions, readers are disallowed from corroborating this for themselves. Siraisi, on the other hand, provides the majority of her excerpts in their original language within the footnotes. Conjoined with Rankin’s initial statement that these two aristocratic women cannot be taken as “ ‘average’ cases”, as well as her decision to devote half of her article (six of twelve pages total) to establishing the historical context,  her thesis is undermined. While Siraisi’s article is more persuasive, its tone is dry, while Rankin’s is more inviting in its emotional appeals. In another context, perhaps, Rankin’s decision to devote half of her article (six out of twelve pages total) to establishing the historical scene would have also limited the effectiveness of her article. Remembering the interdisciplinary and wide–reaching scope of the book that Rankin’s article appears in, however, perhaps her writing was meant more as an introduction for the reader to delve deeper into the topic of women and Renaissance medicine. If so, then the article is effective. </w:t>
        <w:br w:type="textWrapping"/>
        <w:tab/>
      </w:r>
      <w:r w:rsidDel="00000000" w:rsidR="00000000" w:rsidRPr="00000000">
        <w:rPr>
          <w:rtl w:val="0"/>
        </w:rPr>
      </w:r>
    </w:p>
    <w:p w:rsidR="00000000" w:rsidDel="00000000" w:rsidP="00000000" w:rsidRDefault="00000000" w:rsidRPr="00000000" w14:paraId="000000D1">
      <w:pPr>
        <w:spacing w:line="276" w:lineRule="auto"/>
        <w:rPr/>
      </w:pPr>
      <w:r w:rsidDel="00000000" w:rsidR="00000000" w:rsidRPr="00000000">
        <w:rPr>
          <w:b w:val="1"/>
          <w:rtl w:val="0"/>
        </w:rPr>
        <w:t xml:space="preserve">C2. A lineage?</w:t>
      </w:r>
      <w:r w:rsidDel="00000000" w:rsidR="00000000" w:rsidRPr="00000000">
        <w:rPr>
          <w:rtl w:val="0"/>
        </w:rPr>
      </w:r>
    </w:p>
    <w:p w:rsidR="00000000" w:rsidDel="00000000" w:rsidP="00000000" w:rsidRDefault="00000000" w:rsidRPr="00000000" w14:paraId="000000D2">
      <w:pPr>
        <w:spacing w:line="276" w:lineRule="auto"/>
        <w:ind w:firstLine="720"/>
        <w:rPr>
          <w:b w:val="1"/>
          <w:sz w:val="21"/>
          <w:szCs w:val="21"/>
        </w:rPr>
      </w:pPr>
      <w:r w:rsidDel="00000000" w:rsidR="00000000" w:rsidRPr="00000000">
        <w:rPr>
          <w:rtl w:val="0"/>
        </w:rPr>
        <w:t xml:space="preserve">Siraisi’s article, being published in 2000, marks a pivot point in general Renaissance studies towards a postmodern and metamodern praxis. One can simply observe the titles of various articles published in Renaissance Quarterly as an indication of this shift. Only in the 1980s do the titles of research articles and book reviews begin to veer away from including widely known names— Shakespeare, Michelangelo, Machiavelli, etc —towards including names of female figures, or words referring to “women”, “race”, and “gender.” Indeed, it would be impossible to find an article titled “Gay Erasmus” or “</w:t>
      </w:r>
      <w:r w:rsidDel="00000000" w:rsidR="00000000" w:rsidRPr="00000000">
        <w:rPr>
          <w:rtl w:val="0"/>
        </w:rPr>
        <w:t xml:space="preserve">Finding Black Women’s Presence in Spanish Colonial Legal Records” among those published in the first thirty years of Renaissance Quarterly’s run.</w:t>
      </w:r>
      <w:r w:rsidDel="00000000" w:rsidR="00000000" w:rsidRPr="00000000">
        <w:rPr>
          <w:vertAlign w:val="superscript"/>
        </w:rPr>
        <w:footnoteReference w:customMarkFollows="0" w:id="36"/>
      </w:r>
      <w:r w:rsidDel="00000000" w:rsidR="00000000" w:rsidRPr="00000000">
        <w:rPr>
          <w:rtl w:val="0"/>
        </w:rPr>
      </w:r>
    </w:p>
    <w:p w:rsidR="00000000" w:rsidDel="00000000" w:rsidP="00000000" w:rsidRDefault="00000000" w:rsidRPr="00000000" w14:paraId="000000D3">
      <w:pPr>
        <w:spacing w:line="276" w:lineRule="auto"/>
        <w:ind w:firstLine="720"/>
        <w:rPr/>
      </w:pPr>
      <w:r w:rsidDel="00000000" w:rsidR="00000000" w:rsidRPr="00000000">
        <w:rPr>
          <w:rtl w:val="0"/>
        </w:rPr>
        <w:t xml:space="preserve">It could be argued that almost twenty years later, Rankin, despite her different writing style and methodology, is following and continuing the same trajectory as Siraisi. Indeed, having received her BA in History and German studies only four years before the publishing of Siraisi’s article, it’s possible that Rankin read Siraisi’s article during her research. Rankin is certainly not unaware of Siraisin’s work, as she appears thrice as a secondary source in Rankin’s article.</w:t>
      </w:r>
      <w:r w:rsidDel="00000000" w:rsidR="00000000" w:rsidRPr="00000000">
        <w:rPr>
          <w:vertAlign w:val="superscript"/>
        </w:rPr>
        <w:footnoteReference w:customMarkFollows="0" w:id="37"/>
      </w:r>
      <w:r w:rsidDel="00000000" w:rsidR="00000000" w:rsidRPr="00000000">
        <w:rPr>
          <w:rtl w:val="0"/>
        </w:rPr>
        <w:t xml:space="preserve"> </w:t>
        <w:tab/>
      </w:r>
    </w:p>
    <w:p w:rsidR="00000000" w:rsidDel="00000000" w:rsidP="00000000" w:rsidRDefault="00000000" w:rsidRPr="00000000" w14:paraId="000000D4">
      <w:pPr>
        <w:spacing w:line="276" w:lineRule="auto"/>
        <w:ind w:left="0" w:firstLine="0"/>
        <w:rPr>
          <w:color w:val="161615"/>
        </w:rPr>
      </w:pPr>
      <w:r w:rsidDel="00000000" w:rsidR="00000000" w:rsidRPr="00000000">
        <w:rPr>
          <w:rtl w:val="0"/>
        </w:rPr>
      </w:r>
    </w:p>
    <w:p w:rsidR="00000000" w:rsidDel="00000000" w:rsidP="00000000" w:rsidRDefault="00000000" w:rsidRPr="00000000" w14:paraId="000000D5">
      <w:pPr>
        <w:spacing w:line="276" w:lineRule="auto"/>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D6">
      <w:pPr>
        <w:spacing w:line="276" w:lineRule="auto"/>
        <w:rPr>
          <w:b w:val="1"/>
        </w:rPr>
      </w:pPr>
      <w:r w:rsidDel="00000000" w:rsidR="00000000" w:rsidRPr="00000000">
        <w:rPr>
          <w:rtl w:val="0"/>
        </w:rPr>
      </w:r>
    </w:p>
    <w:p w:rsidR="00000000" w:rsidDel="00000000" w:rsidP="00000000" w:rsidRDefault="00000000" w:rsidRPr="00000000" w14:paraId="000000D7">
      <w:pPr>
        <w:spacing w:line="276" w:lineRule="auto"/>
        <w:rPr>
          <w:b w:val="1"/>
        </w:rPr>
      </w:pPr>
      <w:r w:rsidDel="00000000" w:rsidR="00000000" w:rsidRPr="00000000">
        <w:rPr>
          <w:rtl w:val="0"/>
        </w:rPr>
      </w:r>
    </w:p>
    <w:p w:rsidR="00000000" w:rsidDel="00000000" w:rsidP="00000000" w:rsidRDefault="00000000" w:rsidRPr="00000000" w14:paraId="000000D8">
      <w:pPr>
        <w:spacing w:line="276" w:lineRule="auto"/>
        <w:rPr/>
      </w:pPr>
      <w:r w:rsidDel="00000000" w:rsidR="00000000" w:rsidRPr="00000000">
        <w:rPr>
          <w:b w:val="1"/>
          <w:rtl w:val="0"/>
        </w:rPr>
        <w:t xml:space="preserve">C. </w:t>
      </w:r>
      <w:r w:rsidDel="00000000" w:rsidR="00000000" w:rsidRPr="00000000">
        <w:rPr>
          <w:b w:val="1"/>
          <w:rtl w:val="0"/>
        </w:rPr>
        <w:t xml:space="preserve">Conclusion:</w:t>
        <w:br w:type="textWrapping"/>
        <w:tab/>
      </w:r>
      <w:r w:rsidDel="00000000" w:rsidR="00000000" w:rsidRPr="00000000">
        <w:rPr>
          <w:rtl w:val="0"/>
        </w:rPr>
        <w:t xml:space="preserve">Siraisin and Rankin’s articles bear many differences, with Siraisi probing a wide array of published and translated texts from famed and male Renaissance physicians and Rankin focusing on a single correspondence between two aristocratic women who were renowned in their heyday but remain currently looked over. However, underneath these differences runs a parallel and mutual interest. Both authors considered these subjects, in some shape or form, to be understudied or even ignored, and that the discipline of Renaissance studies is in need of re–evaluation regarding how and who it includes in historical research. Viewed not as opposing authors but two points in the same, wider field, their writings map out various changes in the landscape of Renaissance studies. </w:t>
      </w:r>
    </w:p>
    <w:p w:rsidR="00000000" w:rsidDel="00000000" w:rsidP="00000000" w:rsidRDefault="00000000" w:rsidRPr="00000000" w14:paraId="000000D9">
      <w:pPr>
        <w:spacing w:line="276" w:lineRule="auto"/>
        <w:rPr>
          <w:b w:val="1"/>
        </w:rPr>
      </w:pPr>
      <w:r w:rsidDel="00000000" w:rsidR="00000000" w:rsidRPr="00000000">
        <w:rPr>
          <w:rtl w:val="0"/>
        </w:rPr>
      </w:r>
    </w:p>
    <w:p w:rsidR="00000000" w:rsidDel="00000000" w:rsidP="00000000" w:rsidRDefault="00000000" w:rsidRPr="00000000" w14:paraId="000000DA">
      <w:pPr>
        <w:spacing w:line="276" w:lineRule="auto"/>
        <w:rPr>
          <w:b w:val="1"/>
        </w:rPr>
      </w:pPr>
      <w:r w:rsidDel="00000000" w:rsidR="00000000" w:rsidRPr="00000000">
        <w:rPr>
          <w:b w:val="1"/>
          <w:rtl w:val="0"/>
        </w:rPr>
        <w:t xml:space="preserve">______________________________________________________________________________</w:t>
      </w:r>
    </w:p>
    <w:p w:rsidR="00000000" w:rsidDel="00000000" w:rsidP="00000000" w:rsidRDefault="00000000" w:rsidRPr="00000000" w14:paraId="000000DB">
      <w:pPr>
        <w:spacing w:after="80" w:line="276" w:lineRule="auto"/>
        <w:rPr/>
      </w:pPr>
      <w:r w:rsidDel="00000000" w:rsidR="00000000" w:rsidRPr="00000000">
        <w:rPr>
          <w:rtl w:val="0"/>
        </w:rPr>
      </w:r>
    </w:p>
    <w:p w:rsidR="00000000" w:rsidDel="00000000" w:rsidP="00000000" w:rsidRDefault="00000000" w:rsidRPr="00000000" w14:paraId="000000DC">
      <w:pPr>
        <w:spacing w:line="276" w:lineRule="auto"/>
        <w:jc w:val="center"/>
        <w:rPr>
          <w:b w:val="1"/>
          <w:sz w:val="28"/>
          <w:szCs w:val="28"/>
        </w:rPr>
      </w:pPr>
      <w:r w:rsidDel="00000000" w:rsidR="00000000" w:rsidRPr="00000000">
        <w:rPr>
          <w:b w:val="1"/>
          <w:sz w:val="28"/>
          <w:szCs w:val="28"/>
          <w:rtl w:val="0"/>
        </w:rPr>
        <w:t xml:space="preserve">Bibliography</w:t>
      </w:r>
    </w:p>
    <w:p w:rsidR="00000000" w:rsidDel="00000000" w:rsidP="00000000" w:rsidRDefault="00000000" w:rsidRPr="00000000" w14:paraId="000000DD">
      <w:pPr>
        <w:spacing w:line="276" w:lineRule="auto"/>
        <w:rPr/>
      </w:pPr>
      <w:r w:rsidDel="00000000" w:rsidR="00000000" w:rsidRPr="00000000">
        <w:rPr>
          <w:rtl w:val="0"/>
        </w:rPr>
      </w:r>
    </w:p>
    <w:p w:rsidR="00000000" w:rsidDel="00000000" w:rsidP="00000000" w:rsidRDefault="00000000" w:rsidRPr="00000000" w14:paraId="000000D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2">
      <w:pPr>
        <w:spacing w:line="276" w:lineRule="auto"/>
        <w:rPr>
          <w:rFonts w:ascii="Trebuchet MS" w:cs="Trebuchet MS" w:eastAsia="Trebuchet MS" w:hAnsi="Trebuchet MS"/>
          <w:color w:val="141413"/>
          <w:sz w:val="16"/>
          <w:szCs w:val="16"/>
        </w:rPr>
      </w:pPr>
      <w:r w:rsidDel="00000000" w:rsidR="00000000" w:rsidRPr="00000000">
        <w:rPr>
          <w:rFonts w:ascii="Trebuchet MS" w:cs="Trebuchet MS" w:eastAsia="Trebuchet MS" w:hAnsi="Trebuchet MS"/>
          <w:color w:val="141413"/>
          <w:sz w:val="16"/>
          <w:szCs w:val="16"/>
          <w:rtl w:val="0"/>
        </w:rPr>
        <w:br w:type="textWrapping"/>
        <w:br w:type="textWrapping"/>
        <w:t xml:space="preserve"> [N. Bourriaud, ed. Altermodern. Tate Triennal 2009</w:t>
      </w:r>
    </w:p>
    <w:p w:rsidR="00000000" w:rsidDel="00000000" w:rsidP="00000000" w:rsidRDefault="00000000" w:rsidRPr="00000000" w14:paraId="000000E3">
      <w:pPr>
        <w:spacing w:line="276" w:lineRule="auto"/>
        <w:rPr>
          <w:rFonts w:ascii="Trebuchet MS" w:cs="Trebuchet MS" w:eastAsia="Trebuchet MS" w:hAnsi="Trebuchet MS"/>
          <w:color w:val="141413"/>
          <w:sz w:val="14"/>
          <w:szCs w:val="14"/>
        </w:rPr>
      </w:pPr>
      <w:r w:rsidDel="00000000" w:rsidR="00000000" w:rsidRPr="00000000">
        <w:rPr>
          <w:rFonts w:ascii="Trebuchet MS" w:cs="Trebuchet MS" w:eastAsia="Trebuchet MS" w:hAnsi="Trebuchet MS"/>
          <w:color w:val="141413"/>
          <w:sz w:val="14"/>
          <w:szCs w:val="14"/>
          <w:rtl w:val="0"/>
        </w:rPr>
        <w:t xml:space="preserve">(London: Tate Publishing, 2009), 12.]</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hyperlink r:id="rId9">
        <w:r w:rsidDel="00000000" w:rsidR="00000000" w:rsidRPr="00000000">
          <w:rPr>
            <w:rFonts w:ascii="Trebuchet MS" w:cs="Trebuchet MS" w:eastAsia="Trebuchet MS" w:hAnsi="Trebuchet MS"/>
            <w:color w:val="1155cc"/>
            <w:u w:val="single"/>
            <w:rtl w:val="0"/>
          </w:rPr>
          <w:t xml:space="preserve">https://archive.org/details/altermoderntatet0000tate</w:t>
        </w:r>
      </w:hyperlink>
      <w:r w:rsidDel="00000000" w:rsidR="00000000" w:rsidRPr="00000000">
        <w:rPr>
          <w:rFonts w:ascii="Trebuchet MS" w:cs="Trebuchet MS" w:eastAsia="Trebuchet MS" w:hAnsi="Trebuchet MS"/>
          <w:rtl w:val="0"/>
        </w:rPr>
        <w:t xml:space="preserve">    p. 12</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7">
      <w:pPr>
        <w:spacing w:line="276" w:lineRule="auto"/>
        <w:rPr>
          <w:rFonts w:ascii="Trebuchet MS" w:cs="Trebuchet MS" w:eastAsia="Trebuchet MS" w:hAnsi="Trebuchet MS"/>
          <w:i w:val="1"/>
          <w:sz w:val="15"/>
          <w:szCs w:val="15"/>
        </w:rPr>
      </w:pPr>
      <w:r w:rsidDel="00000000" w:rsidR="00000000" w:rsidRPr="00000000">
        <w:rPr>
          <w:rFonts w:ascii="Trebuchet MS" w:cs="Trebuchet MS" w:eastAsia="Trebuchet MS" w:hAnsi="Trebuchet MS"/>
          <w:sz w:val="15"/>
          <w:szCs w:val="15"/>
          <w:rtl w:val="0"/>
        </w:rPr>
        <w:t xml:space="preserve">Willis, Roy and Patrick Curry, </w:t>
      </w:r>
      <w:r w:rsidDel="00000000" w:rsidR="00000000" w:rsidRPr="00000000">
        <w:rPr>
          <w:rFonts w:ascii="Trebuchet MS" w:cs="Trebuchet MS" w:eastAsia="Trebuchet MS" w:hAnsi="Trebuchet MS"/>
          <w:i w:val="1"/>
          <w:sz w:val="15"/>
          <w:szCs w:val="15"/>
          <w:rtl w:val="0"/>
        </w:rPr>
        <w:t xml:space="preserve">Astrology, Science and Culture: Pulling Down</w:t>
      </w:r>
    </w:p>
    <w:p w:rsidR="00000000" w:rsidDel="00000000" w:rsidP="00000000" w:rsidRDefault="00000000" w:rsidRPr="00000000" w14:paraId="000000E8">
      <w:pPr>
        <w:spacing w:line="276" w:lineRule="auto"/>
        <w:rPr>
          <w:rFonts w:ascii="Trebuchet MS" w:cs="Trebuchet MS" w:eastAsia="Trebuchet MS" w:hAnsi="Trebuchet MS"/>
          <w:sz w:val="15"/>
          <w:szCs w:val="15"/>
        </w:rPr>
      </w:pPr>
      <w:r w:rsidDel="00000000" w:rsidR="00000000" w:rsidRPr="00000000">
        <w:rPr>
          <w:rFonts w:ascii="Trebuchet MS" w:cs="Trebuchet MS" w:eastAsia="Trebuchet MS" w:hAnsi="Trebuchet MS"/>
          <w:i w:val="1"/>
          <w:sz w:val="15"/>
          <w:szCs w:val="15"/>
          <w:rtl w:val="0"/>
        </w:rPr>
        <w:t xml:space="preserve">the Moon</w:t>
      </w:r>
      <w:r w:rsidDel="00000000" w:rsidR="00000000" w:rsidRPr="00000000">
        <w:rPr>
          <w:rFonts w:ascii="Trebuchet MS" w:cs="Trebuchet MS" w:eastAsia="Trebuchet MS" w:hAnsi="Trebuchet MS"/>
          <w:sz w:val="15"/>
          <w:szCs w:val="15"/>
          <w:rtl w:val="0"/>
        </w:rPr>
        <w:t xml:space="preserve"> (Oxford: Berg, 2004) [hereafter Willis and Curry], P. 118</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34" w:firstLine="0"/>
        <w:jc w:val="left"/>
        <w:rPr>
          <w:rFonts w:ascii="Trebuchet MS" w:cs="Trebuchet MS" w:eastAsia="Trebuchet MS" w:hAnsi="Trebuchet MS"/>
        </w:rPr>
      </w:pPr>
      <w:r w:rsidDel="00000000" w:rsidR="00000000" w:rsidRPr="00000000">
        <w:rPr>
          <w:rtl w:val="0"/>
        </w:rPr>
      </w:r>
    </w:p>
    <w:sectPr>
      <w:headerReference r:id="rId10" w:type="default"/>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Gungsuh"/>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rebuchet MS" w:cs="Trebuchet MS" w:eastAsia="Trebuchet MS" w:hAnsi="Trebuchet MS"/>
        <w:b w:val="0"/>
        <w:i w:val="0"/>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18"/>
        <w:szCs w:val="18"/>
        <w:u w:val="none"/>
        <w:shd w:fill="auto" w:val="clear"/>
        <w:vertAlign w:val="baseline"/>
        <w:rtl w:val="0"/>
      </w:rPr>
      <w:t xml:space="preserve"> </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E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Rankin, Alisha. 'Telling Time through Medicine: A Gendered Perspective.' In Gendered Temporalities in the Early Modern World, edited by Merry E. Wiesner-Hanks, 95-114: Amsterdam University Press, 2018</w:t>
      </w:r>
      <w:r w:rsidDel="00000000" w:rsidR="00000000" w:rsidRPr="00000000">
        <w:rPr>
          <w:rtl w:val="0"/>
        </w:rPr>
      </w:r>
    </w:p>
  </w:footnote>
  <w:footnote w:id="2">
    <w:p w:rsidR="00000000" w:rsidDel="00000000" w:rsidP="00000000" w:rsidRDefault="00000000" w:rsidRPr="00000000" w14:paraId="000000E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https://en.wikipedia.org/wiki/Nancy_Siraisi</w:t>
        </w:r>
      </w:hyperlink>
      <w:r w:rsidDel="00000000" w:rsidR="00000000" w:rsidRPr="00000000">
        <w:rPr>
          <w:sz w:val="20"/>
          <w:szCs w:val="20"/>
          <w:rtl w:val="0"/>
        </w:rPr>
        <w:t xml:space="preserve"> </w:t>
      </w:r>
      <w:r w:rsidDel="00000000" w:rsidR="00000000" w:rsidRPr="00000000">
        <w:rPr>
          <w:rtl w:val="0"/>
        </w:rPr>
      </w:r>
    </w:p>
  </w:footnote>
  <w:footnote w:id="3">
    <w:p w:rsidR="00000000" w:rsidDel="00000000" w:rsidP="00000000" w:rsidRDefault="00000000" w:rsidRPr="00000000" w14:paraId="000000E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https://www.macfound.org/fellows/class-of-2008/nancy-siraisi</w:t>
        </w:r>
      </w:hyperlink>
      <w:r w:rsidDel="00000000" w:rsidR="00000000" w:rsidRPr="00000000">
        <w:rPr>
          <w:sz w:val="20"/>
          <w:szCs w:val="20"/>
          <w:rtl w:val="0"/>
        </w:rPr>
        <w:t xml:space="preserve"> </w:t>
      </w:r>
      <w:r w:rsidDel="00000000" w:rsidR="00000000" w:rsidRPr="00000000">
        <w:rPr>
          <w:rtl w:val="0"/>
        </w:rPr>
      </w:r>
    </w:p>
  </w:footnote>
  <w:footnote w:id="5">
    <w:p w:rsidR="00000000" w:rsidDel="00000000" w:rsidP="00000000" w:rsidRDefault="00000000" w:rsidRPr="00000000" w14:paraId="000000E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https://hssonline.org/page/sartonmedal</w:t>
        </w:r>
      </w:hyperlink>
      <w:r w:rsidDel="00000000" w:rsidR="00000000" w:rsidRPr="00000000">
        <w:rPr>
          <w:rtl w:val="0"/>
        </w:rPr>
      </w:r>
    </w:p>
  </w:footnote>
  <w:footnote w:id="7">
    <w:p w:rsidR="00000000" w:rsidDel="00000000" w:rsidP="00000000" w:rsidRDefault="00000000" w:rsidRPr="00000000" w14:paraId="000000F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rtl w:val="0"/>
          </w:rPr>
          <w:t xml:space="preserve"> </w:t>
        </w:r>
      </w:hyperlink>
      <w:hyperlink r:id="rId5">
        <w:r w:rsidDel="00000000" w:rsidR="00000000" w:rsidRPr="00000000">
          <w:rPr>
            <w:color w:val="1155cc"/>
            <w:u w:val="single"/>
            <w:rtl w:val="0"/>
          </w:rPr>
          <w:t xml:space="preserve">https://as.tufts.edu/history/people/faculty/alisha-rankin</w:t>
        </w:r>
      </w:hyperlink>
      <w:r w:rsidDel="00000000" w:rsidR="00000000" w:rsidRPr="00000000">
        <w:rPr>
          <w:rtl w:val="0"/>
        </w:rPr>
      </w:r>
    </w:p>
  </w:footnote>
  <w:footnote w:id="8">
    <w:p w:rsidR="00000000" w:rsidDel="00000000" w:rsidP="00000000" w:rsidRDefault="00000000" w:rsidRPr="00000000" w14:paraId="000000F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tufts</w:t>
      </w:r>
    </w:p>
  </w:footnote>
  <w:footnote w:id="11">
    <w:p w:rsidR="00000000" w:rsidDel="00000000" w:rsidP="00000000" w:rsidRDefault="00000000" w:rsidRPr="00000000" w14:paraId="000000F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siraisi’s article</w:t>
      </w:r>
    </w:p>
  </w:footnote>
  <w:footnote w:id="13">
    <w:p w:rsidR="00000000" w:rsidDel="00000000" w:rsidP="00000000" w:rsidRDefault="00000000" w:rsidRPr="00000000" w14:paraId="000000F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8-9. </w:t>
      </w:r>
      <w:r w:rsidDel="00000000" w:rsidR="00000000" w:rsidRPr="00000000">
        <w:rPr>
          <w:rtl w:val="0"/>
        </w:rPr>
        <w:t xml:space="preserve">The book was born out of the ninth Attending to Early Modern Women conference, titled “It’s About Time”, in 2015.”</w:t>
      </w:r>
      <w:r w:rsidDel="00000000" w:rsidR="00000000" w:rsidRPr="00000000">
        <w:rPr>
          <w:rtl w:val="0"/>
        </w:rPr>
      </w:r>
    </w:p>
  </w:footnote>
  <w:footnote w:id="14">
    <w:p w:rsidR="00000000" w:rsidDel="00000000" w:rsidP="00000000" w:rsidRDefault="00000000" w:rsidRPr="00000000" w14:paraId="000000F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p. 1</w:t>
      </w:r>
    </w:p>
  </w:footnote>
  <w:footnote w:id="15">
    <w:p w:rsidR="00000000" w:rsidDel="00000000" w:rsidP="00000000" w:rsidRDefault="00000000" w:rsidRPr="00000000" w14:paraId="000000F5">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w:t>
      </w:r>
      <w:r w:rsidDel="00000000" w:rsidR="00000000" w:rsidRPr="00000000">
        <w:rPr>
          <w:rtl w:val="0"/>
        </w:rPr>
        <w:t xml:space="preserve">[p.95]</w:t>
      </w:r>
      <w:r w:rsidDel="00000000" w:rsidR="00000000" w:rsidRPr="00000000">
        <w:rPr>
          <w:rtl w:val="0"/>
        </w:rPr>
      </w:r>
    </w:p>
  </w:footnote>
  <w:footnote w:id="17">
    <w:p w:rsidR="00000000" w:rsidDel="00000000" w:rsidP="00000000" w:rsidRDefault="00000000" w:rsidRPr="00000000" w14:paraId="000000F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p. 1- 2</w:t>
      </w:r>
    </w:p>
  </w:footnote>
  <w:footnote w:id="18">
    <w:p w:rsidR="00000000" w:rsidDel="00000000" w:rsidP="00000000" w:rsidRDefault="00000000" w:rsidRPr="00000000" w14:paraId="000000F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Siraisi p. 3</w:t>
      </w:r>
    </w:p>
  </w:footnote>
  <w:footnote w:id="19">
    <w:p w:rsidR="00000000" w:rsidDel="00000000" w:rsidP="00000000" w:rsidRDefault="00000000" w:rsidRPr="00000000" w14:paraId="000000F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[pg. 5 - “appreciation of the particular”]. [p. 5 - Rimini’s library, pg. 7 - Benivieni’s collection of cases, publicaiton of the Hippocratic corpus in Latin and Greek, Theodore Turquet de Mayernre dissecting a cadaver while unveiling said-cadaver’s biography, pg 8 - Thomas Bodier of Rouen erecting a chart for each client’s onset of illness, p. 10 - Cardano’s writings on the history of diasease and epidemics, pg 10 - biographies of Galens breaking from medeival tradition to present him as not just a skilled doctor, but a man of high virtue, pg 11 - various physicians worryong over which works of Hippocrates were authentic or not, pg 16 - gian giacomo bartolotto first to rite a general history of medicine] </w:t>
      </w:r>
    </w:p>
  </w:footnote>
  <w:footnote w:id="16">
    <w:p w:rsidR="00000000" w:rsidDel="00000000" w:rsidP="00000000" w:rsidRDefault="00000000" w:rsidRPr="00000000" w14:paraId="000000F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Sirasi p. 1</w:t>
      </w:r>
    </w:p>
  </w:footnote>
  <w:footnote w:id="20">
    <w:p w:rsidR="00000000" w:rsidDel="00000000" w:rsidP="00000000" w:rsidRDefault="00000000" w:rsidRPr="00000000" w14:paraId="000000F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 26 : </w:t>
      </w:r>
      <w:r w:rsidDel="00000000" w:rsidR="00000000" w:rsidRPr="00000000">
        <w:rPr>
          <w:rtl w:val="0"/>
        </w:rPr>
        <w:t xml:space="preserve">“How then are we to read medical participation in two centuries of humanistic historical culture in all its varieties? I would suggest that it needs to be recognized that the Renaissance discipline of medicine included elements that have sometimes seemed extraneous to historians concerned with either the scientific or the social history of medicine. </w:t>
      </w:r>
      <w:r w:rsidDel="00000000" w:rsidR="00000000" w:rsidRPr="00000000">
        <w:rPr>
          <w:rtl w:val="0"/>
        </w:rPr>
      </w:r>
    </w:p>
  </w:footnote>
  <w:footnote w:id="21">
    <w:p w:rsidR="00000000" w:rsidDel="00000000" w:rsidP="00000000" w:rsidRDefault="00000000" w:rsidRPr="00000000" w14:paraId="000000F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pg 95</w:t>
      </w:r>
    </w:p>
  </w:footnote>
  <w:footnote w:id="24">
    <w:p w:rsidR="00000000" w:rsidDel="00000000" w:rsidP="00000000" w:rsidRDefault="00000000" w:rsidRPr="00000000" w14:paraId="000000F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pg 96 – </w:t>
      </w:r>
      <w:r w:rsidDel="00000000" w:rsidR="00000000" w:rsidRPr="00000000">
        <w:rPr>
          <w:rtl w:val="0"/>
        </w:rPr>
        <w:t xml:space="preserve">“</w:t>
      </w:r>
      <w:r w:rsidDel="00000000" w:rsidR="00000000" w:rsidRPr="00000000">
        <w:rPr>
          <w:color w:val="161615"/>
          <w:rtl w:val="0"/>
        </w:rPr>
        <w:t xml:space="preserve">in either eight or fourteen days, but she is not sure of her calculation, and I cannot move from her until God has helped her from her burden.”</w:t>
      </w:r>
      <w:r w:rsidDel="00000000" w:rsidR="00000000" w:rsidRPr="00000000">
        <w:rPr>
          <w:rtl w:val="0"/>
        </w:rPr>
      </w:r>
    </w:p>
  </w:footnote>
  <w:footnote w:id="26">
    <w:p w:rsidR="00000000" w:rsidDel="00000000" w:rsidP="00000000" w:rsidRDefault="00000000" w:rsidRPr="00000000" w14:paraId="000000F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 pg 96</w:t>
      </w:r>
    </w:p>
  </w:footnote>
  <w:footnote w:id="22">
    <w:p w:rsidR="00000000" w:rsidDel="00000000" w:rsidP="00000000" w:rsidRDefault="00000000" w:rsidRPr="00000000" w14:paraId="000000F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98 - 104</w:t>
      </w:r>
    </w:p>
  </w:footnote>
  <w:footnote w:id="37">
    <w:p w:rsidR="00000000" w:rsidDel="00000000" w:rsidP="00000000" w:rsidRDefault="00000000" w:rsidRPr="00000000" w14:paraId="000000F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 pg. 99, 100-101,113  ]</w:t>
      </w:r>
      <w:r w:rsidDel="00000000" w:rsidR="00000000" w:rsidRPr="00000000">
        <w:rPr>
          <w:rtl w:val="0"/>
        </w:rPr>
      </w:r>
    </w:p>
  </w:footnote>
  <w:footnote w:id="0">
    <w:p w:rsidR="00000000" w:rsidDel="00000000" w:rsidP="00000000" w:rsidRDefault="00000000" w:rsidRPr="00000000" w14:paraId="0000010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tl w:val="0"/>
        </w:rPr>
        <w:t xml:space="preserve">Siraisi, Nancy, ‘Anatomizing the Past: Physicians and History in Renaissance Culture.’ </w:t>
      </w:r>
      <w:r w:rsidDel="00000000" w:rsidR="00000000" w:rsidRPr="00000000">
        <w:rPr>
          <w:i w:val="1"/>
          <w:rtl w:val="0"/>
        </w:rPr>
        <w:t xml:space="preserve">Renaissance Quarterly </w:t>
      </w:r>
      <w:r w:rsidDel="00000000" w:rsidR="00000000" w:rsidRPr="00000000">
        <w:rPr>
          <w:rtl w:val="0"/>
        </w:rPr>
        <w:t xml:space="preserve">53, no. 1 (2000): 1-30</w:t>
      </w:r>
      <w:r w:rsidDel="00000000" w:rsidR="00000000" w:rsidRPr="00000000">
        <w:rPr>
          <w:rtl w:val="0"/>
        </w:rPr>
      </w:r>
    </w:p>
  </w:footnote>
  <w:footnote w:id="6">
    <w:p w:rsidR="00000000" w:rsidDel="00000000" w:rsidP="00000000" w:rsidRDefault="00000000" w:rsidRPr="00000000" w14:paraId="0000010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https://www.hunter.cuny.edu/artsci/history/faculty-and-staff/</w:t>
        </w:r>
      </w:hyperlink>
      <w:r w:rsidDel="00000000" w:rsidR="00000000" w:rsidRPr="00000000">
        <w:rPr>
          <w:rtl w:val="0"/>
        </w:rPr>
      </w:r>
    </w:p>
  </w:footnote>
  <w:footnote w:id="9">
    <w:p w:rsidR="00000000" w:rsidDel="00000000" w:rsidP="00000000" w:rsidRDefault="00000000" w:rsidRPr="00000000" w14:paraId="0000010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Renaissance Quarterly (RQ) at this time was published by ___. As of 2019, RQ is published by Cambridge University Press.</w:t>
      </w:r>
    </w:p>
  </w:footnote>
  <w:footnote w:id="10">
    <w:p w:rsidR="00000000" w:rsidDel="00000000" w:rsidP="00000000" w:rsidRDefault="00000000" w:rsidRPr="00000000" w14:paraId="00000103">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https://www.rsa.org/page/AboutRQ</w:t>
        </w:r>
      </w:hyperlink>
      <w:r w:rsidDel="00000000" w:rsidR="00000000" w:rsidRPr="00000000">
        <w:rPr>
          <w:sz w:val="20"/>
          <w:szCs w:val="20"/>
          <w:rtl w:val="0"/>
        </w:rPr>
        <w:t xml:space="preserve"> </w:t>
      </w:r>
      <w:r w:rsidDel="00000000" w:rsidR="00000000" w:rsidRPr="00000000">
        <w:rPr>
          <w:rtl w:val="0"/>
        </w:rPr>
      </w:r>
    </w:p>
  </w:footnote>
  <w:footnote w:id="25">
    <w:p w:rsidR="00000000" w:rsidDel="00000000" w:rsidP="00000000" w:rsidRDefault="00000000" w:rsidRPr="00000000" w14:paraId="00000104">
      <w:pPr>
        <w:rPr>
          <w:color w:val="161615"/>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61615"/>
          <w:rtl w:val="0"/>
        </w:rPr>
        <w:t xml:space="preserve">p. 107 - childbirth called ‘going on her time’ (an der zeit gehen), … The German word Dorothea used for a premature birth was unzeitig, literally ‘untimely’—in one case noting that her son’s ‘untimely child [unzeitiges Kind] still lives, but it is a poor child to behold’.4</w:t>
      </w:r>
    </w:p>
    <w:p w:rsidR="00000000" w:rsidDel="00000000" w:rsidP="00000000" w:rsidRDefault="00000000" w:rsidRPr="00000000" w14:paraId="00000105">
      <w:pPr>
        <w:spacing w:line="276" w:lineRule="auto"/>
        <w:rPr>
          <w:sz w:val="20"/>
          <w:szCs w:val="20"/>
        </w:rPr>
      </w:pPr>
      <w:r w:rsidDel="00000000" w:rsidR="00000000" w:rsidRPr="00000000">
        <w:rPr>
          <w:color w:val="161615"/>
          <w:rtl w:val="0"/>
        </w:rPr>
        <w:t xml:space="preserve">p. 109: “Noblewomen certainly were fluent in horological time and used it to mark specific events, but in the general description of disease, it appears only rarely”</w:t>
      </w:r>
      <w:r w:rsidDel="00000000" w:rsidR="00000000" w:rsidRPr="00000000">
        <w:rPr>
          <w:rtl w:val="0"/>
        </w:rPr>
      </w:r>
    </w:p>
  </w:footnote>
  <w:footnote w:id="31">
    <w:p w:rsidR="00000000" w:rsidDel="00000000" w:rsidP="00000000" w:rsidRDefault="00000000" w:rsidRPr="00000000" w14:paraId="0000010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Eagleton, pg 14</w:t>
      </w:r>
    </w:p>
  </w:footnote>
  <w:footnote w:id="29">
    <w:p w:rsidR="00000000" w:rsidDel="00000000" w:rsidP="00000000" w:rsidRDefault="00000000" w:rsidRPr="00000000" w14:paraId="00000107">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“Meticulous” from ?</w:t>
      </w:r>
    </w:p>
  </w:footnote>
  <w:footnote w:id="27">
    <w:p w:rsidR="00000000" w:rsidDel="00000000" w:rsidP="00000000" w:rsidRDefault="00000000" w:rsidRPr="00000000" w14:paraId="0000010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Pg. __ siraisi</w:t>
      </w:r>
    </w:p>
  </w:footnote>
  <w:footnote w:id="32">
    <w:p w:rsidR="00000000" w:rsidDel="00000000" w:rsidP="00000000" w:rsidRDefault="00000000" w:rsidRPr="00000000" w14:paraId="0000010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61615"/>
          <w:sz w:val="16"/>
          <w:szCs w:val="16"/>
          <w:rtl w:val="0"/>
        </w:rPr>
        <w:t xml:space="preserve"> p. 97 rankin</w:t>
      </w:r>
      <w:r w:rsidDel="00000000" w:rsidR="00000000" w:rsidRPr="00000000">
        <w:rPr>
          <w:rtl w:val="0"/>
        </w:rPr>
      </w:r>
    </w:p>
  </w:footnote>
  <w:footnote w:id="33">
    <w:p w:rsidR="00000000" w:rsidDel="00000000" w:rsidP="00000000" w:rsidRDefault="00000000" w:rsidRPr="00000000" w14:paraId="0000010A">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101</w:t>
      </w:r>
    </w:p>
  </w:footnote>
  <w:footnote w:id="34">
    <w:p w:rsidR="00000000" w:rsidDel="00000000" w:rsidP="00000000" w:rsidRDefault="00000000" w:rsidRPr="00000000" w14:paraId="0000010B">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color w:val="2c2c2c"/>
          <w:highlight w:val="white"/>
          <w:rtl w:val="0"/>
        </w:rPr>
        <w:t xml:space="preserve">Bourriaud p. 12</w:t>
      </w:r>
      <w:r w:rsidDel="00000000" w:rsidR="00000000" w:rsidRPr="00000000">
        <w:rPr>
          <w:rtl w:val="0"/>
        </w:rPr>
      </w:r>
    </w:p>
  </w:footnote>
  <w:footnote w:id="23">
    <w:p w:rsidR="00000000" w:rsidDel="00000000" w:rsidP="00000000" w:rsidRDefault="00000000" w:rsidRPr="00000000" w14:paraId="0000010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Pg. ?</w:t>
      </w:r>
    </w:p>
  </w:footnote>
  <w:footnote w:id="30">
    <w:p w:rsidR="00000000" w:rsidDel="00000000" w:rsidP="00000000" w:rsidRDefault="00000000" w:rsidRPr="00000000" w14:paraId="0000010D">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Pg. siraisi</w:t>
      </w:r>
    </w:p>
  </w:footnote>
  <w:footnote w:id="35">
    <w:p w:rsidR="00000000" w:rsidDel="00000000" w:rsidP="00000000" w:rsidRDefault="00000000" w:rsidRPr="00000000" w14:paraId="0000010E">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Rankin pg. 95</w:t>
      </w:r>
    </w:p>
  </w:footnote>
  <w:footnote w:id="36">
    <w:p w:rsidR="00000000" w:rsidDel="00000000" w:rsidP="00000000" w:rsidRDefault="00000000" w:rsidRPr="00000000" w14:paraId="0000010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Articles cited and renaissance quarterly website</w:t>
      </w:r>
    </w:p>
  </w:footnote>
  <w:footnote w:id="4">
    <w:p w:rsidR="00000000" w:rsidDel="00000000" w:rsidP="00000000" w:rsidRDefault="00000000" w:rsidRPr="00000000" w14:paraId="0000011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macarthur</w:t>
      </w:r>
    </w:p>
  </w:footnote>
  <w:footnote w:id="12">
    <w:p w:rsidR="00000000" w:rsidDel="00000000" w:rsidP="00000000" w:rsidRDefault="00000000" w:rsidRPr="00000000" w14:paraId="00000111">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Citation needed</w:t>
      </w:r>
    </w:p>
  </w:footnote>
  <w:footnote w:id="28">
    <w:p w:rsidR="00000000" w:rsidDel="00000000" w:rsidP="00000000" w:rsidRDefault="00000000" w:rsidRPr="00000000" w14:paraId="00000112">
      <w:pPr>
        <w:rPr>
          <w:sz w:val="20"/>
          <w:szCs w:val="20"/>
          <w:highlight w:val="red"/>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red"/>
          <w:rtl w:val="0"/>
        </w:rPr>
        <w:t xml:space="preserve">Example of grand rneiassance narrative</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ind w:left="720"/>
      <w:jc w:val="both"/>
    </w:pPr>
    <w:rPr>
      <w:rFonts w:ascii="Tahoma" w:cs="Tahoma" w:eastAsia="Tahoma" w:hAnsi="Tahoma"/>
      <w:b w:val="1"/>
      <w:sz w:val="20"/>
      <w:szCs w:val="20"/>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Georgia" w:hAnsi="Georgia"/>
      <w:color w:val="000000"/>
      <w:w w:val="100"/>
      <w:position w:val="-1"/>
      <w:sz w:val="21"/>
      <w:szCs w:val="21"/>
      <w:effect w:val="none"/>
      <w:vertAlign w:val="baseline"/>
      <w:cs w:val="0"/>
      <w:em w:val="none"/>
      <w:lang w:bidi="ar-SA" w:eastAsia="zh-CN" w:val="en-GB"/>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zh-CN" w:val="und"/>
    </w:rPr>
  </w:style>
  <w:style w:type="character" w:styleId="CommentTextChar">
    <w:name w:val="Comment Text Char"/>
    <w:next w:val="CommentTextChar"/>
    <w:autoRedefine w:val="0"/>
    <w:hidden w:val="0"/>
    <w:qFormat w:val="0"/>
    <w:rPr>
      <w:w w:val="100"/>
      <w:position w:val="-1"/>
      <w:effect w:val="none"/>
      <w:vertAlign w:val="baseline"/>
      <w:cs w:val="0"/>
      <w:em w:val="none"/>
      <w:lang w:eastAsia="zh-CN"/>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zh-CN" w:val="und"/>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zh-CN"/>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16"/>
      <w:szCs w:val="16"/>
      <w:effect w:val="none"/>
      <w:vertAlign w:val="baseline"/>
      <w:cs w:val="0"/>
      <w:em w:val="none"/>
      <w:lang w:bidi="ar-SA" w:eastAsia="zh-CN" w:val="und"/>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zh-CN"/>
    </w:rPr>
  </w:style>
  <w:style w:type="paragraph" w:styleId="Header">
    <w:name w:val="Header"/>
    <w:basedOn w:val="Normal"/>
    <w:next w:val="Header"/>
    <w:autoRedefine w:val="0"/>
    <w:hidden w:val="0"/>
    <w:qFormat w:val="1"/>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Trebuchet MS" w:eastAsia="Calibri" w:hAnsi="Trebuchet MS"/>
      <w:w w:val="100"/>
      <w:position w:val="-1"/>
      <w:sz w:val="22"/>
      <w:szCs w:val="20"/>
      <w:effect w:val="none"/>
      <w:vertAlign w:val="baseline"/>
      <w:cs w:val="0"/>
      <w:em w:val="none"/>
      <w:lang w:bidi="ar-SA" w:eastAsia="zh-CN" w:val="und"/>
    </w:rPr>
  </w:style>
  <w:style w:type="character" w:styleId="HeaderChar">
    <w:name w:val="Header Char"/>
    <w:next w:val="HeaderChar"/>
    <w:autoRedefine w:val="0"/>
    <w:hidden w:val="0"/>
    <w:qFormat w:val="0"/>
    <w:rPr>
      <w:rFonts w:ascii="Trebuchet MS" w:cs="Tahoma" w:eastAsia="Calibri" w:hAnsi="Trebuchet MS"/>
      <w:w w:val="100"/>
      <w:position w:val="-1"/>
      <w:sz w:val="22"/>
      <w:effect w:val="none"/>
      <w:vertAlign w:val="baseline"/>
      <w:cs w:val="0"/>
      <w:em w:val="none"/>
      <w:lang w:eastAsia="en-US"/>
    </w:rPr>
  </w:style>
  <w:style w:type="paragraph" w:styleId="Footer">
    <w:name w:val="Footer"/>
    <w:basedOn w:val="Normal"/>
    <w:next w:val="Foot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zh-CN" w:val="und"/>
    </w:rPr>
  </w:style>
  <w:style w:type="character" w:styleId="FooterChar">
    <w:name w:val="Footer Char"/>
    <w:next w:val="FooterChar"/>
    <w:autoRedefine w:val="0"/>
    <w:hidden w:val="0"/>
    <w:qFormat w:val="0"/>
    <w:rPr>
      <w:w w:val="100"/>
      <w:position w:val="-1"/>
      <w:sz w:val="24"/>
      <w:szCs w:val="24"/>
      <w:effect w:val="none"/>
      <w:vertAlign w:val="baseline"/>
      <w:cs w:val="0"/>
      <w:em w:val="none"/>
      <w:lang w:eastAsia="zh-CN"/>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archive.org/details/altermoderntatet0000tat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en.wikipedia.org/wiki/Nancy_Siraisi" TargetMode="External"/><Relationship Id="rId2" Type="http://schemas.openxmlformats.org/officeDocument/2006/relationships/hyperlink" Target="https://www.macfound.org/fellows/class-of-2008/nancy-siraisi" TargetMode="External"/><Relationship Id="rId3" Type="http://schemas.openxmlformats.org/officeDocument/2006/relationships/hyperlink" Target="https://hssonline.org/page/sartonmedal" TargetMode="External"/><Relationship Id="rId4" Type="http://schemas.openxmlformats.org/officeDocument/2006/relationships/hyperlink" Target="https://as.tufts.edu/history/people/faculty/alisha-rankin" TargetMode="External"/><Relationship Id="rId5" Type="http://schemas.openxmlformats.org/officeDocument/2006/relationships/hyperlink" Target="https://as.tufts.edu/history/people/faculty/alisha-rankin" TargetMode="External"/><Relationship Id="rId6" Type="http://schemas.openxmlformats.org/officeDocument/2006/relationships/hyperlink" Target="https://www.hunter.cuny.edu/artsci/history/faculty-and-staff/" TargetMode="External"/><Relationship Id="rId7" Type="http://schemas.openxmlformats.org/officeDocument/2006/relationships/hyperlink" Target="https://www.rsa.org/page/AboutR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yvy8vf9NAOqqyGLTYO++mLIWAw==">CgMxLjAaFAoBMBIPCg0IB0IJEgdHdW5nc3VoMg9pZC5heDE1NTN4Mnd1MnMyD2lkLnVwbHJpbW5tZ2c1ZDIPaWQuMmIwNXllZmprNmdzMg9pZC4zanUxYjdnYXVqYzQyD2lkLmM5NGQzeG9mNm84ZzIPaWQueTBhY3V2ZnJ1Zm90OAByITFqLWlPbEp2YmJxTnE0WEtPOG4xTkYyVVhKRDhnN2Fzaw==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2015-07-03T18:04:00Z</dcterms:created>
  <dc:creator>sa044</dc:creator>
</cp:coreProperties>
</file>