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3E181" w14:textId="09F9B31A" w:rsidR="00B134A1" w:rsidRDefault="00222AA8" w:rsidP="00DF7DFD">
      <w:pPr>
        <w:spacing w:line="259" w:lineRule="auto"/>
        <w:rPr>
          <w:b/>
          <w:bCs/>
        </w:rPr>
      </w:pPr>
      <w:r>
        <w:rPr>
          <w:rFonts w:cs="Arial"/>
          <w:noProof/>
          <w:lang w:eastAsia="en-GB"/>
        </w:rPr>
        <w:drawing>
          <wp:inline distT="0" distB="0" distL="0" distR="0" wp14:anchorId="4B58A697" wp14:editId="22FBC6E6">
            <wp:extent cx="3317240" cy="1318260"/>
            <wp:effectExtent l="0" t="0" r="0" b="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7240" cy="1318260"/>
                    </a:xfrm>
                    <a:prstGeom prst="rect">
                      <a:avLst/>
                    </a:prstGeom>
                    <a:noFill/>
                    <a:ln>
                      <a:noFill/>
                    </a:ln>
                  </pic:spPr>
                </pic:pic>
              </a:graphicData>
            </a:graphic>
          </wp:inline>
        </w:drawing>
      </w:r>
    </w:p>
    <w:p w14:paraId="4E9CA128" w14:textId="77777777" w:rsidR="00B134A1" w:rsidRDefault="00B134A1" w:rsidP="00B134A1">
      <w:pPr>
        <w:spacing w:line="259" w:lineRule="auto"/>
        <w:jc w:val="center"/>
        <w:rPr>
          <w:b/>
          <w:bCs/>
        </w:rPr>
      </w:pPr>
    </w:p>
    <w:p w14:paraId="5344090A" w14:textId="77777777" w:rsidR="00B134A1" w:rsidRDefault="00B134A1" w:rsidP="00E56828">
      <w:pPr>
        <w:spacing w:line="259" w:lineRule="auto"/>
        <w:rPr>
          <w:b/>
          <w:bCs/>
        </w:rPr>
      </w:pPr>
    </w:p>
    <w:p w14:paraId="6E864EF4" w14:textId="77777777" w:rsidR="0063094A" w:rsidRDefault="0063094A" w:rsidP="00B134A1">
      <w:pPr>
        <w:spacing w:line="259" w:lineRule="auto"/>
        <w:jc w:val="center"/>
        <w:rPr>
          <w:b/>
          <w:bCs/>
        </w:rPr>
      </w:pPr>
    </w:p>
    <w:p w14:paraId="7505A757" w14:textId="77777777" w:rsidR="0063094A" w:rsidRDefault="0063094A" w:rsidP="00B134A1">
      <w:pPr>
        <w:spacing w:line="259" w:lineRule="auto"/>
        <w:jc w:val="center"/>
        <w:rPr>
          <w:b/>
          <w:bCs/>
        </w:rPr>
      </w:pPr>
    </w:p>
    <w:p w14:paraId="664A2F35" w14:textId="77777777" w:rsidR="00B134A1" w:rsidRDefault="00B134A1" w:rsidP="00B134A1">
      <w:pPr>
        <w:spacing w:line="259" w:lineRule="auto"/>
        <w:jc w:val="center"/>
        <w:rPr>
          <w:b/>
          <w:bCs/>
        </w:rPr>
      </w:pPr>
    </w:p>
    <w:p w14:paraId="114CCEDC" w14:textId="2FEAAE8B" w:rsidR="007D2D60" w:rsidRDefault="00E56828" w:rsidP="00E56828">
      <w:pPr>
        <w:pStyle w:val="Title"/>
      </w:pPr>
      <w:r>
        <w:t xml:space="preserve">                 </w:t>
      </w:r>
      <w:r w:rsidR="00B134A1" w:rsidRPr="00B134A1">
        <w:t>Research Project Proposal</w:t>
      </w:r>
    </w:p>
    <w:p w14:paraId="73D8473A" w14:textId="77777777" w:rsidR="0063094A" w:rsidRDefault="0063094A" w:rsidP="0063094A">
      <w:pPr>
        <w:spacing w:line="259" w:lineRule="auto"/>
        <w:jc w:val="left"/>
        <w:rPr>
          <w:b/>
          <w:bCs/>
        </w:rPr>
      </w:pPr>
    </w:p>
    <w:p w14:paraId="4387E60A" w14:textId="77777777" w:rsidR="0063094A" w:rsidRDefault="0063094A" w:rsidP="0063094A">
      <w:pPr>
        <w:spacing w:line="259" w:lineRule="auto"/>
        <w:jc w:val="left"/>
        <w:rPr>
          <w:b/>
          <w:bCs/>
        </w:rPr>
      </w:pPr>
    </w:p>
    <w:p w14:paraId="062971D4" w14:textId="77777777" w:rsidR="0063094A" w:rsidRDefault="0063094A" w:rsidP="0063094A">
      <w:pPr>
        <w:spacing w:line="259" w:lineRule="auto"/>
        <w:jc w:val="left"/>
        <w:rPr>
          <w:b/>
          <w:bCs/>
        </w:rPr>
      </w:pPr>
    </w:p>
    <w:p w14:paraId="29A245D2" w14:textId="4F90EEE4" w:rsidR="0063094A" w:rsidRPr="001B0E0A" w:rsidRDefault="0063094A" w:rsidP="0063094A">
      <w:pPr>
        <w:spacing w:line="259" w:lineRule="auto"/>
        <w:jc w:val="left"/>
        <w:rPr>
          <w:b/>
          <w:bCs/>
        </w:rPr>
      </w:pPr>
      <w:r w:rsidRPr="001B0E0A">
        <w:rPr>
          <w:b/>
          <w:bCs/>
        </w:rPr>
        <w:t>Student ID: 2117337</w:t>
      </w:r>
    </w:p>
    <w:p w14:paraId="515D5617" w14:textId="77777777" w:rsidR="0063094A" w:rsidRDefault="0063094A" w:rsidP="0063094A">
      <w:pPr>
        <w:spacing w:line="259" w:lineRule="auto"/>
        <w:jc w:val="left"/>
        <w:rPr>
          <w:b/>
          <w:bCs/>
        </w:rPr>
      </w:pPr>
      <w:r w:rsidRPr="001B0E0A">
        <w:rPr>
          <w:b/>
          <w:bCs/>
        </w:rPr>
        <w:t>Student Name: Antonela Costiuc</w:t>
      </w:r>
    </w:p>
    <w:p w14:paraId="6D6A34A8" w14:textId="506643A7" w:rsidR="00E56828" w:rsidRPr="001B0E0A" w:rsidRDefault="00E56828" w:rsidP="0063094A">
      <w:pPr>
        <w:spacing w:line="259" w:lineRule="auto"/>
        <w:jc w:val="left"/>
        <w:rPr>
          <w:b/>
          <w:bCs/>
        </w:rPr>
      </w:pPr>
      <w:r>
        <w:rPr>
          <w:b/>
          <w:bCs/>
        </w:rPr>
        <w:t>Modu</w:t>
      </w:r>
      <w:r w:rsidR="006F3B58">
        <w:rPr>
          <w:b/>
          <w:bCs/>
        </w:rPr>
        <w:t xml:space="preserve">le name </w:t>
      </w:r>
      <w:r w:rsidR="00913A36">
        <w:rPr>
          <w:b/>
          <w:bCs/>
        </w:rPr>
        <w:t>(</w:t>
      </w:r>
      <w:r w:rsidR="006F3B58">
        <w:rPr>
          <w:b/>
          <w:bCs/>
        </w:rPr>
        <w:t>code</w:t>
      </w:r>
      <w:r w:rsidR="0085549A">
        <w:rPr>
          <w:b/>
          <w:bCs/>
        </w:rPr>
        <w:t>)</w:t>
      </w:r>
      <w:r w:rsidR="006F3B58">
        <w:rPr>
          <w:b/>
          <w:bCs/>
        </w:rPr>
        <w:t>: PRD (BMIH5005)</w:t>
      </w:r>
    </w:p>
    <w:p w14:paraId="04BC912B" w14:textId="77777777" w:rsidR="0063094A" w:rsidRDefault="0063094A" w:rsidP="0063094A">
      <w:pPr>
        <w:spacing w:line="259" w:lineRule="auto"/>
        <w:jc w:val="left"/>
        <w:rPr>
          <w:rFonts w:eastAsiaTheme="majorEastAsia" w:cstheme="majorBidi"/>
          <w:b/>
          <w:sz w:val="28"/>
          <w:szCs w:val="26"/>
        </w:rPr>
      </w:pPr>
      <w:r w:rsidRPr="001B0E0A">
        <w:rPr>
          <w:b/>
          <w:bCs/>
        </w:rPr>
        <w:t>Lecturer name: Helen Lee</w:t>
      </w:r>
    </w:p>
    <w:p w14:paraId="03826523" w14:textId="5119C5CF" w:rsidR="00DF7DFD" w:rsidRDefault="00DF7DFD">
      <w:pPr>
        <w:spacing w:line="259" w:lineRule="auto"/>
        <w:jc w:val="left"/>
        <w:rPr>
          <w:b/>
          <w:bCs/>
        </w:rPr>
      </w:pPr>
    </w:p>
    <w:p w14:paraId="6EC7F37C" w14:textId="77777777" w:rsidR="0063094A" w:rsidRDefault="0063094A">
      <w:pPr>
        <w:spacing w:line="259" w:lineRule="auto"/>
        <w:jc w:val="left"/>
        <w:rPr>
          <w:b/>
          <w:bCs/>
        </w:rPr>
      </w:pPr>
    </w:p>
    <w:p w14:paraId="0ADEC2C3" w14:textId="77777777" w:rsidR="0063094A" w:rsidRDefault="0063094A">
      <w:pPr>
        <w:spacing w:line="259" w:lineRule="auto"/>
        <w:jc w:val="left"/>
        <w:rPr>
          <w:b/>
          <w:bCs/>
        </w:rPr>
      </w:pPr>
    </w:p>
    <w:p w14:paraId="71420327" w14:textId="77777777" w:rsidR="0063094A" w:rsidRDefault="0063094A">
      <w:pPr>
        <w:spacing w:line="259" w:lineRule="auto"/>
        <w:jc w:val="left"/>
        <w:rPr>
          <w:b/>
          <w:bCs/>
        </w:rPr>
      </w:pPr>
    </w:p>
    <w:p w14:paraId="1FECE545" w14:textId="77777777" w:rsidR="0063094A" w:rsidRDefault="0063094A">
      <w:pPr>
        <w:spacing w:line="259" w:lineRule="auto"/>
        <w:jc w:val="left"/>
        <w:rPr>
          <w:b/>
          <w:bCs/>
        </w:rPr>
      </w:pPr>
    </w:p>
    <w:p w14:paraId="2ED0B7E3" w14:textId="77777777" w:rsidR="0063094A" w:rsidRDefault="0063094A">
      <w:pPr>
        <w:spacing w:line="259" w:lineRule="auto"/>
        <w:jc w:val="left"/>
        <w:rPr>
          <w:b/>
          <w:bCs/>
        </w:rPr>
      </w:pPr>
    </w:p>
    <w:p w14:paraId="4DB5690E" w14:textId="77777777" w:rsidR="0063094A" w:rsidRDefault="0063094A">
      <w:pPr>
        <w:spacing w:line="259" w:lineRule="auto"/>
        <w:jc w:val="left"/>
        <w:rPr>
          <w:b/>
          <w:bCs/>
        </w:rPr>
      </w:pPr>
    </w:p>
    <w:p w14:paraId="73B7ABA6" w14:textId="77777777" w:rsidR="0063094A" w:rsidRDefault="0063094A">
      <w:pPr>
        <w:spacing w:line="259" w:lineRule="auto"/>
        <w:jc w:val="left"/>
        <w:rPr>
          <w:b/>
          <w:bCs/>
        </w:rPr>
      </w:pPr>
    </w:p>
    <w:p w14:paraId="217FC56D" w14:textId="77777777" w:rsidR="0063094A" w:rsidRDefault="0063094A">
      <w:pPr>
        <w:spacing w:line="259" w:lineRule="auto"/>
        <w:jc w:val="left"/>
        <w:rPr>
          <w:b/>
          <w:bCs/>
        </w:rPr>
      </w:pPr>
    </w:p>
    <w:p w14:paraId="625B2990" w14:textId="77777777" w:rsidR="0063094A" w:rsidRDefault="0063094A">
      <w:pPr>
        <w:spacing w:line="259" w:lineRule="auto"/>
        <w:jc w:val="left"/>
        <w:rPr>
          <w:b/>
          <w:bCs/>
        </w:rPr>
      </w:pPr>
    </w:p>
    <w:p w14:paraId="31E323C7" w14:textId="77777777" w:rsidR="0063094A" w:rsidRDefault="0063094A">
      <w:pPr>
        <w:spacing w:line="259" w:lineRule="auto"/>
        <w:jc w:val="left"/>
        <w:rPr>
          <w:b/>
          <w:bCs/>
        </w:rPr>
      </w:pPr>
    </w:p>
    <w:p w14:paraId="4913F7D7" w14:textId="77777777" w:rsidR="0063094A" w:rsidRDefault="0063094A">
      <w:pPr>
        <w:spacing w:line="259" w:lineRule="auto"/>
        <w:jc w:val="left"/>
        <w:rPr>
          <w:b/>
          <w:bCs/>
        </w:rPr>
      </w:pPr>
    </w:p>
    <w:p w14:paraId="1434D989" w14:textId="77777777" w:rsidR="0063094A" w:rsidRDefault="0063094A">
      <w:pPr>
        <w:spacing w:line="259" w:lineRule="auto"/>
        <w:jc w:val="left"/>
        <w:rPr>
          <w:b/>
          <w:bCs/>
        </w:rPr>
      </w:pPr>
    </w:p>
    <w:p w14:paraId="2DA9920B" w14:textId="77777777" w:rsidR="0063094A" w:rsidRDefault="0063094A">
      <w:pPr>
        <w:spacing w:line="259" w:lineRule="auto"/>
        <w:jc w:val="left"/>
        <w:rPr>
          <w:b/>
          <w:bCs/>
        </w:rPr>
      </w:pPr>
    </w:p>
    <w:p w14:paraId="0CAF05A5" w14:textId="77777777" w:rsidR="0063094A" w:rsidRDefault="0063094A">
      <w:pPr>
        <w:spacing w:line="259" w:lineRule="auto"/>
        <w:jc w:val="left"/>
        <w:rPr>
          <w:b/>
          <w:bCs/>
        </w:rPr>
      </w:pPr>
    </w:p>
    <w:sdt>
      <w:sdtPr>
        <w:rPr>
          <w:rFonts w:asciiTheme="minorBidi" w:eastAsiaTheme="minorHAnsi" w:hAnsiTheme="minorBidi" w:cstheme="minorBidi"/>
          <w:color w:val="auto"/>
          <w:kern w:val="2"/>
          <w:sz w:val="24"/>
          <w:szCs w:val="24"/>
          <w:lang w:eastAsia="en-US"/>
          <w14:ligatures w14:val="standardContextual"/>
        </w:rPr>
        <w:id w:val="-4747454"/>
        <w:docPartObj>
          <w:docPartGallery w:val="Table of Contents"/>
          <w:docPartUnique/>
        </w:docPartObj>
      </w:sdtPr>
      <w:sdtEndPr>
        <w:rPr>
          <w:b/>
          <w:bCs/>
        </w:rPr>
      </w:sdtEndPr>
      <w:sdtContent>
        <w:p w14:paraId="7C32DA2A" w14:textId="00FCDDFA" w:rsidR="007D2D60" w:rsidRDefault="007D2D60" w:rsidP="007D2D60">
          <w:pPr>
            <w:pStyle w:val="TOCHeading"/>
            <w:jc w:val="center"/>
          </w:pPr>
          <w:r>
            <w:t>Table of Contents</w:t>
          </w:r>
        </w:p>
        <w:p w14:paraId="68DDCD70" w14:textId="76E01839" w:rsidR="007D2D60" w:rsidRDefault="007D2D60">
          <w:pPr>
            <w:pStyle w:val="TOC1"/>
            <w:tabs>
              <w:tab w:val="left" w:pos="480"/>
              <w:tab w:val="right" w:leader="dot" w:pos="9350"/>
            </w:tabs>
            <w:rPr>
              <w:noProof/>
            </w:rPr>
          </w:pPr>
          <w:r>
            <w:fldChar w:fldCharType="begin"/>
          </w:r>
          <w:r>
            <w:instrText xml:space="preserve"> TOC \o "1-3" \h \z \u </w:instrText>
          </w:r>
          <w:r>
            <w:fldChar w:fldCharType="separate"/>
          </w:r>
          <w:hyperlink w:anchor="_Toc159227378" w:history="1">
            <w:r w:rsidRPr="004E6A89">
              <w:rPr>
                <w:rStyle w:val="Hyperlink"/>
                <w:noProof/>
              </w:rPr>
              <w:t>1.</w:t>
            </w:r>
            <w:r>
              <w:rPr>
                <w:noProof/>
              </w:rPr>
              <w:tab/>
            </w:r>
            <w:r w:rsidRPr="004E6A89">
              <w:rPr>
                <w:rStyle w:val="Hyperlink"/>
                <w:noProof/>
              </w:rPr>
              <w:t>Introduction</w:t>
            </w:r>
            <w:r>
              <w:rPr>
                <w:noProof/>
                <w:webHidden/>
              </w:rPr>
              <w:tab/>
            </w:r>
            <w:r>
              <w:rPr>
                <w:noProof/>
                <w:webHidden/>
              </w:rPr>
              <w:fldChar w:fldCharType="begin"/>
            </w:r>
            <w:r>
              <w:rPr>
                <w:noProof/>
                <w:webHidden/>
              </w:rPr>
              <w:instrText xml:space="preserve"> PAGEREF _Toc159227378 \h </w:instrText>
            </w:r>
            <w:r>
              <w:rPr>
                <w:noProof/>
                <w:webHidden/>
              </w:rPr>
            </w:r>
            <w:r>
              <w:rPr>
                <w:noProof/>
                <w:webHidden/>
              </w:rPr>
              <w:fldChar w:fldCharType="separate"/>
            </w:r>
            <w:r>
              <w:rPr>
                <w:noProof/>
                <w:webHidden/>
              </w:rPr>
              <w:t>3</w:t>
            </w:r>
            <w:r>
              <w:rPr>
                <w:noProof/>
                <w:webHidden/>
              </w:rPr>
              <w:fldChar w:fldCharType="end"/>
            </w:r>
          </w:hyperlink>
        </w:p>
        <w:p w14:paraId="201F2352" w14:textId="405C453D" w:rsidR="007D2D60" w:rsidRDefault="00000000">
          <w:pPr>
            <w:pStyle w:val="TOC1"/>
            <w:tabs>
              <w:tab w:val="left" w:pos="480"/>
              <w:tab w:val="right" w:leader="dot" w:pos="9350"/>
            </w:tabs>
            <w:rPr>
              <w:noProof/>
            </w:rPr>
          </w:pPr>
          <w:hyperlink w:anchor="_Toc159227379" w:history="1">
            <w:r w:rsidR="007D2D60" w:rsidRPr="004E6A89">
              <w:rPr>
                <w:rStyle w:val="Hyperlink"/>
                <w:noProof/>
              </w:rPr>
              <w:t>2.</w:t>
            </w:r>
            <w:r w:rsidR="007D2D60">
              <w:rPr>
                <w:noProof/>
              </w:rPr>
              <w:tab/>
            </w:r>
            <w:r w:rsidR="007D2D60" w:rsidRPr="004E6A89">
              <w:rPr>
                <w:rStyle w:val="Hyperlink"/>
                <w:noProof/>
              </w:rPr>
              <w:t>Discussion</w:t>
            </w:r>
            <w:r w:rsidR="007D2D60">
              <w:rPr>
                <w:noProof/>
                <w:webHidden/>
              </w:rPr>
              <w:tab/>
            </w:r>
            <w:r w:rsidR="007D2D60">
              <w:rPr>
                <w:noProof/>
                <w:webHidden/>
              </w:rPr>
              <w:fldChar w:fldCharType="begin"/>
            </w:r>
            <w:r w:rsidR="007D2D60">
              <w:rPr>
                <w:noProof/>
                <w:webHidden/>
              </w:rPr>
              <w:instrText xml:space="preserve"> PAGEREF _Toc159227379 \h </w:instrText>
            </w:r>
            <w:r w:rsidR="007D2D60">
              <w:rPr>
                <w:noProof/>
                <w:webHidden/>
              </w:rPr>
            </w:r>
            <w:r w:rsidR="007D2D60">
              <w:rPr>
                <w:noProof/>
                <w:webHidden/>
              </w:rPr>
              <w:fldChar w:fldCharType="separate"/>
            </w:r>
            <w:r w:rsidR="007D2D60">
              <w:rPr>
                <w:noProof/>
                <w:webHidden/>
              </w:rPr>
              <w:t>4</w:t>
            </w:r>
            <w:r w:rsidR="007D2D60">
              <w:rPr>
                <w:noProof/>
                <w:webHidden/>
              </w:rPr>
              <w:fldChar w:fldCharType="end"/>
            </w:r>
          </w:hyperlink>
        </w:p>
        <w:p w14:paraId="659ACE43" w14:textId="257743A6" w:rsidR="007D2D60" w:rsidRDefault="00000000">
          <w:pPr>
            <w:pStyle w:val="TOC1"/>
            <w:tabs>
              <w:tab w:val="left" w:pos="480"/>
              <w:tab w:val="right" w:leader="dot" w:pos="9350"/>
            </w:tabs>
            <w:rPr>
              <w:noProof/>
            </w:rPr>
          </w:pPr>
          <w:hyperlink w:anchor="_Toc159227380" w:history="1">
            <w:r w:rsidR="007D2D60" w:rsidRPr="004E6A89">
              <w:rPr>
                <w:rStyle w:val="Hyperlink"/>
                <w:noProof/>
              </w:rPr>
              <w:t>3.</w:t>
            </w:r>
            <w:r w:rsidR="007D2D60">
              <w:rPr>
                <w:noProof/>
              </w:rPr>
              <w:tab/>
            </w:r>
            <w:r w:rsidR="007D2D60" w:rsidRPr="004E6A89">
              <w:rPr>
                <w:rStyle w:val="Hyperlink"/>
                <w:noProof/>
              </w:rPr>
              <w:t>Conclusion</w:t>
            </w:r>
            <w:r w:rsidR="007D2D60">
              <w:rPr>
                <w:noProof/>
                <w:webHidden/>
              </w:rPr>
              <w:tab/>
            </w:r>
            <w:r w:rsidR="007D2D60">
              <w:rPr>
                <w:noProof/>
                <w:webHidden/>
              </w:rPr>
              <w:fldChar w:fldCharType="begin"/>
            </w:r>
            <w:r w:rsidR="007D2D60">
              <w:rPr>
                <w:noProof/>
                <w:webHidden/>
              </w:rPr>
              <w:instrText xml:space="preserve"> PAGEREF _Toc159227380 \h </w:instrText>
            </w:r>
            <w:r w:rsidR="007D2D60">
              <w:rPr>
                <w:noProof/>
                <w:webHidden/>
              </w:rPr>
            </w:r>
            <w:r w:rsidR="007D2D60">
              <w:rPr>
                <w:noProof/>
                <w:webHidden/>
              </w:rPr>
              <w:fldChar w:fldCharType="separate"/>
            </w:r>
            <w:r w:rsidR="007D2D60">
              <w:rPr>
                <w:noProof/>
                <w:webHidden/>
              </w:rPr>
              <w:t>9</w:t>
            </w:r>
            <w:r w:rsidR="007D2D60">
              <w:rPr>
                <w:noProof/>
                <w:webHidden/>
              </w:rPr>
              <w:fldChar w:fldCharType="end"/>
            </w:r>
          </w:hyperlink>
        </w:p>
        <w:p w14:paraId="45E86F86" w14:textId="6B6AF318" w:rsidR="007D2D60" w:rsidRDefault="007D2D60">
          <w:r>
            <w:rPr>
              <w:b/>
              <w:bCs/>
            </w:rPr>
            <w:fldChar w:fldCharType="end"/>
          </w:r>
        </w:p>
      </w:sdtContent>
    </w:sdt>
    <w:p w14:paraId="2E2AF4DB" w14:textId="4AA88F42" w:rsidR="00B134A1" w:rsidRDefault="00B134A1" w:rsidP="00B134A1">
      <w:pPr>
        <w:spacing w:line="259" w:lineRule="auto"/>
        <w:jc w:val="center"/>
        <w:rPr>
          <w:b/>
          <w:bCs/>
        </w:rPr>
      </w:pPr>
      <w:r>
        <w:br w:type="page"/>
      </w:r>
    </w:p>
    <w:p w14:paraId="54E0DC01" w14:textId="4419D5C6" w:rsidR="00AE6AC6" w:rsidRDefault="00797BFE" w:rsidP="00797BFE">
      <w:pPr>
        <w:pStyle w:val="Heading1"/>
      </w:pPr>
      <w:bookmarkStart w:id="0" w:name="_Toc159227378"/>
      <w:r w:rsidRPr="00797BFE">
        <w:lastRenderedPageBreak/>
        <w:t>Introduction</w:t>
      </w:r>
      <w:bookmarkEnd w:id="0"/>
    </w:p>
    <w:p w14:paraId="7F36046D" w14:textId="7DAFCCED" w:rsidR="007366EA" w:rsidRDefault="007366EA" w:rsidP="00797BFE">
      <w:r>
        <w:t xml:space="preserve">As the nature of work in the hotel industry changes quickly, it becomes more important to look into the possibility of bringing new ways to make a living. Traditional ideas about work are being challenged by ideas like flexible scheduling, mixed work styles, and office-focused systems. The goal of this project is to look into how The Dorchester's different employees could work together effectively within the hotel's current structure. This study looks into The Dorchester's complicated problems by looking at important parts of the modern hotel business. Maintaining the hotel's renowned service standards in a world where politics and society are always changing is one of the difficulties. </w:t>
      </w:r>
    </w:p>
    <w:p w14:paraId="4CF7002A" w14:textId="465FFFC9" w:rsidR="00674EB0" w:rsidRPr="00674EB0" w:rsidRDefault="00674EB0" w:rsidP="00674EB0">
      <w:r w:rsidRPr="00674EB0">
        <w:t>In most organizations, the transformations to the financial system only undermine productivity and worsen working conditions. As this strategic framework indicates, there are numerous social factors that might impact how The Dorchester's staff operate.</w:t>
      </w:r>
      <w:r w:rsidR="006E3C44">
        <w:t xml:space="preserve"> </w:t>
      </w:r>
      <w:r w:rsidRPr="00674EB0">
        <w:t>Economic modifications, legislation, and social norms may interfere with the hotel personnel's work output. Some new thoughts about the operation of the hotel business are put forward in the section which follows.</w:t>
      </w:r>
      <w:r w:rsidR="006E3C44">
        <w:t xml:space="preserve"> </w:t>
      </w:r>
      <w:r w:rsidRPr="00674EB0">
        <w:t>In this part of the plan, different types of employment contracts staff at The Dorchester can choose are featured. They include the traditional office type with a concentration of people and centralized location; flexible work settings which grant more autonomy to workers; and mixed systems combining both remote and on-site work responsibilities.</w:t>
      </w:r>
      <w:r w:rsidR="006E3C44">
        <w:t xml:space="preserve"> </w:t>
      </w:r>
      <w:r w:rsidRPr="00674EB0">
        <w:t xml:space="preserve">This survey is bent on finding ways The Dorchester Hotel can change the way it appraises and manages employee performance by looking over in detail each practice criticized. </w:t>
      </w:r>
    </w:p>
    <w:p w14:paraId="20E526E8" w14:textId="5AB749F2" w:rsidR="007366EA" w:rsidRDefault="007366EA" w:rsidP="00797BFE">
      <w:r>
        <w:t xml:space="preserve">The many social and economic problems that people face today have a big effect on how things work at work and how much work gets done. The plan talks about important social factors that could have a big impact on how productive Dorchester's workers are. These include changes in society that come from outside sources and can't be stopped by one person. Rules and big factors that affect the economy of the country may have an effect on how well hotel workers do their jobs. There are now a lot of different jobs available in the hotel industry. This part of the plan looks at a lot of different ways people could work together, such as mixed arrangements that combine traditional business structures with completely decentralised scheduling and free hours. </w:t>
      </w:r>
    </w:p>
    <w:p w14:paraId="39ACA975" w14:textId="0767B4CF" w:rsidR="00797BFE" w:rsidRDefault="00797BFE" w:rsidP="00797BFE">
      <w:pPr>
        <w:pStyle w:val="Heading1"/>
      </w:pPr>
      <w:bookmarkStart w:id="1" w:name="_Toc159227379"/>
      <w:r>
        <w:lastRenderedPageBreak/>
        <w:t>Discussion</w:t>
      </w:r>
      <w:bookmarkEnd w:id="1"/>
    </w:p>
    <w:p w14:paraId="6C8AC44F" w14:textId="0B50C8AB" w:rsidR="00AA4828" w:rsidRDefault="00F75F65" w:rsidP="00F75F65">
      <w:r>
        <w:t>When looking at the link between social factors and job success, it is helpful to go over the results of older studies. Researchers have found that workers who have a good work setting, fair pay, and chances to move up in their careers are better able to handle economic downturns</w:t>
      </w:r>
      <w:r w:rsidR="000813B8">
        <w:t xml:space="preserve"> (Hite</w:t>
      </w:r>
      <w:r w:rsidR="000813B8" w:rsidRPr="001E3069">
        <w:t xml:space="preserve"> and McDonald</w:t>
      </w:r>
      <w:r w:rsidR="000813B8">
        <w:t>, 2020)</w:t>
      </w:r>
      <w:r>
        <w:t>. If, on the other hand, companies don't deal with these issues, employee confidence may drop and more people may leave the company. If the high rate of employee retention means that the staff is happy and loyal, then the way the hotel is managed is good</w:t>
      </w:r>
      <w:r w:rsidR="00436AC4">
        <w:t xml:space="preserve"> (Celtek, 2022)</w:t>
      </w:r>
      <w:r>
        <w:t xml:space="preserve">. On the other hand, high shift rates may mean that people are unhappy or having trouble responding to changes in the economy and society. </w:t>
      </w:r>
    </w:p>
    <w:p w14:paraId="2FFEBECF" w14:textId="69512281" w:rsidR="00F75F65" w:rsidRDefault="00F75F65" w:rsidP="00F75F65">
      <w:r>
        <w:t>In the hotel business, changes in work habits have been especially clear over the last five years. Most people no longer work from 9 to 5, but instead have more casual work arrangements like blends</w:t>
      </w:r>
      <w:r w:rsidR="000813B8">
        <w:t xml:space="preserve"> (</w:t>
      </w:r>
      <w:r w:rsidR="000813B8" w:rsidRPr="001E3069">
        <w:t>MacDonald</w:t>
      </w:r>
      <w:r w:rsidR="000813B8">
        <w:t>, 2017)</w:t>
      </w:r>
      <w:r>
        <w:t xml:space="preserve">. New technology is changing the way people think about things by letting them work from home. This change needs to be known in order to figure out if incorporating different work styles at The Dorchester is possible. </w:t>
      </w:r>
    </w:p>
    <w:p w14:paraId="481FEA33" w14:textId="67E6948B" w:rsidR="00F75F65" w:rsidRDefault="00F75F65" w:rsidP="00F75F65">
      <w:r>
        <w:t>When it comes to keeping an eye on staff success in different work styles, international hotel chains like Radisson, IHG, and Marriott are the best. One company that has used flexible work plans well is Marriott</w:t>
      </w:r>
      <w:r w:rsidR="00E85EB7">
        <w:t xml:space="preserve"> (</w:t>
      </w:r>
      <w:r w:rsidR="00E85EB7" w:rsidRPr="001E3069">
        <w:t>Cotton</w:t>
      </w:r>
      <w:r w:rsidR="00E85EB7">
        <w:t xml:space="preserve"> </w:t>
      </w:r>
      <w:r w:rsidR="00E85EB7" w:rsidRPr="00A740D2">
        <w:rPr>
          <w:i/>
        </w:rPr>
        <w:t>et al.,</w:t>
      </w:r>
      <w:r w:rsidR="00E85EB7">
        <w:t xml:space="preserve"> 2021)</w:t>
      </w:r>
      <w:r>
        <w:t>. Marriott relies on technology to keep employees working together and talking to each other. IHG gives its employees specialised training to help them do well in workplaces that are becoming more diverse</w:t>
      </w:r>
      <w:r w:rsidR="00436AC4">
        <w:t xml:space="preserve"> (</w:t>
      </w:r>
      <w:r w:rsidR="00436AC4" w:rsidRPr="00436AC4">
        <w:rPr>
          <w:rFonts w:ascii="Arial" w:hAnsi="Arial" w:cs="Arial"/>
          <w:color w:val="222222"/>
          <w:shd w:val="clear" w:color="auto" w:fill="FFFFFF"/>
        </w:rPr>
        <w:t>LaTour and Brant</w:t>
      </w:r>
      <w:r w:rsidR="00436AC4">
        <w:rPr>
          <w:rFonts w:ascii="Arial" w:hAnsi="Arial" w:cs="Arial"/>
          <w:color w:val="222222"/>
          <w:shd w:val="clear" w:color="auto" w:fill="FFFFFF"/>
        </w:rPr>
        <w:t>, 2022)</w:t>
      </w:r>
      <w:r>
        <w:t>. Radisson wants to keep its image as a workplace of choice, so it puts a lot of effort into health programmes that help employees in a variety of work settings</w:t>
      </w:r>
      <w:r w:rsidR="00BA41F1">
        <w:t xml:space="preserve"> (</w:t>
      </w:r>
      <w:r w:rsidR="00BA41F1" w:rsidRPr="001E3069">
        <w:t>Kwok</w:t>
      </w:r>
      <w:r w:rsidR="00BA41F1">
        <w:t xml:space="preserve"> et al., 2022)</w:t>
      </w:r>
      <w:r>
        <w:t xml:space="preserve">. </w:t>
      </w:r>
    </w:p>
    <w:p w14:paraId="412DB80D" w14:textId="705C3923" w:rsidR="00F75F65" w:rsidRDefault="00F75F65" w:rsidP="00F75F65">
      <w:r>
        <w:t>When working with different work styles, it's important to set up reliable ways to get feedback, do performance reviews, and talk to each other. When managers have more open work hours, they should use results-based methods to judge employees' success instead of the old time-based ones. For its remote and mixed workforce, Marriott uses virtual communication tools to keep workers interested and keep an eye on their performance</w:t>
      </w:r>
      <w:r w:rsidR="00C334EF">
        <w:t xml:space="preserve"> (</w:t>
      </w:r>
      <w:r w:rsidR="00C334EF" w:rsidRPr="001E3069">
        <w:t>Hartley</w:t>
      </w:r>
      <w:r w:rsidR="00C334EF">
        <w:t xml:space="preserve"> et al., 2023)</w:t>
      </w:r>
      <w:r>
        <w:t xml:space="preserve">. </w:t>
      </w:r>
    </w:p>
    <w:p w14:paraId="533AE8CD" w14:textId="60CFAC3C" w:rsidR="008B68ED" w:rsidRPr="00241206" w:rsidRDefault="00F75F65" w:rsidP="00241206">
      <w:r>
        <w:lastRenderedPageBreak/>
        <w:t>Recent study shows that in addition to success measures, social factors also have a big effect on how happy and healthy employees are. Employees may feel more stressed and have mental health issues when the economy is unclear, just like during global disasters. There are more and more businesses, especially hotel businesses, that realise they need to do something to make their workplaces nice and welcoming for their employees</w:t>
      </w:r>
      <w:r w:rsidR="00244D02">
        <w:t xml:space="preserve"> (</w:t>
      </w:r>
      <w:r w:rsidR="00244D02" w:rsidRPr="001E3069">
        <w:t>Conley</w:t>
      </w:r>
      <w:r w:rsidR="00244D02">
        <w:t>, 2017</w:t>
      </w:r>
      <w:r w:rsidR="000D508C">
        <w:t>)</w:t>
      </w:r>
      <w:r>
        <w:t xml:space="preserve">. </w:t>
      </w:r>
    </w:p>
    <w:p w14:paraId="29E44DAC" w14:textId="02DD2F87" w:rsidR="00125E7C" w:rsidRDefault="00125E7C" w:rsidP="00125E7C">
      <w:r>
        <w:t>In the last five years, changes in work styles in the hotel business have been caused in large part by new technologies. Cloud-based systems, advanced communication tools, and fast internet are becoming more common, which has led to a shift towards flexible and mixed work arrangements</w:t>
      </w:r>
      <w:r w:rsidR="00436AC4">
        <w:t xml:space="preserve"> (</w:t>
      </w:r>
      <w:r w:rsidR="00436AC4" w:rsidRPr="00436AC4">
        <w:rPr>
          <w:rFonts w:ascii="Arial" w:hAnsi="Arial" w:cs="Arial"/>
          <w:color w:val="222222"/>
          <w:shd w:val="clear" w:color="auto" w:fill="FFFFFF"/>
        </w:rPr>
        <w:t>Jadallah</w:t>
      </w:r>
      <w:r w:rsidR="00436AC4">
        <w:rPr>
          <w:rFonts w:ascii="Arial" w:hAnsi="Arial" w:cs="Arial"/>
          <w:color w:val="222222"/>
          <w:shd w:val="clear" w:color="auto" w:fill="FFFFFF"/>
        </w:rPr>
        <w:t>, 2018)</w:t>
      </w:r>
      <w:r>
        <w:t xml:space="preserve">. </w:t>
      </w:r>
      <w:r w:rsidR="000D508C">
        <w:t>These technologies are being used by global hotel groups like The Dorchester to keep track of their employees' success in real time across all work modes, speed up processes, and make communication better (</w:t>
      </w:r>
      <w:r w:rsidR="00874AD1">
        <w:t>Hague</w:t>
      </w:r>
      <w:r w:rsidR="000D508C" w:rsidRPr="001E3069">
        <w:t xml:space="preserve"> and Hague</w:t>
      </w:r>
      <w:r w:rsidR="000D508C">
        <w:t>, 2023).</w:t>
      </w:r>
    </w:p>
    <w:p w14:paraId="5D130A31" w14:textId="5BFB6F75" w:rsidR="00125E7C" w:rsidRDefault="00125E7C" w:rsidP="008B179B">
      <w:pPr>
        <w:spacing w:before="240"/>
      </w:pPr>
      <w:r>
        <w:t>The changing political and economic situation has also affected what workers expect and how they like to do their work. Flexibility and work-life balance seem to be very important to the large Millennial and Generation Z workers. The HR staff at The Dorchester needs to know about these choices so they can give employees work mode options that meet their needs and create a positive, productive work environment</w:t>
      </w:r>
      <w:r w:rsidR="00874AD1">
        <w:t xml:space="preserve"> (</w:t>
      </w:r>
      <w:r w:rsidR="00874AD1" w:rsidRPr="001E3069">
        <w:t>Lee</w:t>
      </w:r>
      <w:r w:rsidR="00874AD1">
        <w:t>, 2017)</w:t>
      </w:r>
      <w:r>
        <w:t>.  When companies try to be more DEI, they should really think about how different ways of working can affect different groups of people</w:t>
      </w:r>
      <w:r w:rsidR="00436AC4">
        <w:t xml:space="preserve"> (Morrison, 2022)</w:t>
      </w:r>
      <w:r>
        <w:t>. According to the study, flexible work plans could make workplaces more friendly by meeting the needs of a wide range of employees, including those with disabilities, caring duties, or different ways of doing their jobs. It might teach The Dorchester a lot about this process to look at how other foreign hotel groups use DEI concepts in their work mode plans</w:t>
      </w:r>
      <w:r w:rsidR="008B179B">
        <w:t xml:space="preserve"> (</w:t>
      </w:r>
      <w:r w:rsidR="008B179B" w:rsidRPr="001E3069">
        <w:t>Buras</w:t>
      </w:r>
      <w:r w:rsidR="008B179B">
        <w:t>, 2020)</w:t>
      </w:r>
      <w:r>
        <w:t xml:space="preserve">. </w:t>
      </w:r>
    </w:p>
    <w:p w14:paraId="611F150A" w14:textId="18784FCB" w:rsidR="00125E7C" w:rsidRDefault="00125E7C" w:rsidP="00125E7C">
      <w:r>
        <w:t>The literature looks at how flexible the hotel business might be. Consumer habits, travel tastes, and world events are all changing quickly, so managers need to be able to adapt to these changes. Hotel chains like Radisson, IHG, and Marriott have been able to adapt to new ways of working, which shows how important it is to be proactive when the industry changes. In today's mixed workplaces, training and growth programmes for employees are becoming more and more important</w:t>
      </w:r>
      <w:r w:rsidR="00436AC4">
        <w:t xml:space="preserve"> (</w:t>
      </w:r>
      <w:r w:rsidR="00436AC4" w:rsidRPr="00436AC4">
        <w:rPr>
          <w:rFonts w:ascii="Arial" w:hAnsi="Arial" w:cs="Arial"/>
          <w:color w:val="222222"/>
          <w:shd w:val="clear" w:color="auto" w:fill="FFFFFF"/>
        </w:rPr>
        <w:t>Metaxas</w:t>
      </w:r>
      <w:r w:rsidR="00436AC4">
        <w:rPr>
          <w:rFonts w:ascii="Arial" w:hAnsi="Arial" w:cs="Arial"/>
          <w:color w:val="222222"/>
          <w:shd w:val="clear" w:color="auto" w:fill="FFFFFF"/>
        </w:rPr>
        <w:t xml:space="preserve"> et al., 2019)</w:t>
      </w:r>
      <w:r>
        <w:t xml:space="preserve">. Global hotel groups use </w:t>
      </w:r>
      <w:r>
        <w:lastRenderedPageBreak/>
        <w:t xml:space="preserve">tailored training programmes that teach people how to use technology, control themselves, and work together from afar. According to research, spending money on staff growth makes both success and job happiness better. </w:t>
      </w:r>
    </w:p>
    <w:p w14:paraId="1C8527DF" w14:textId="19D22B77" w:rsidR="00125E7C" w:rsidRDefault="00125E7C" w:rsidP="00125E7C">
      <w:r>
        <w:t>No matter the work style, effective performance management depends on how to get employees involved. This study of the literature looks at how a number of foreign hotel groups are putting employee involvement first by offering health programmes, online team-building events, and easy ways for employees to talk to each other. Now that The Dorchester has this knowledge, they can make sure that every worker feels appreciated and respected, no matter how they like to do their job. Negotiating the legal environment of different work types is an important thing to think about. Different places have different laws about working from home, data protection, and open plans. According to the literature review, businesses must stay in line by following the rules set by regulators. These international hotel groups' views shed light on how they take legal issues into account in their management plans</w:t>
      </w:r>
      <w:r w:rsidR="00436AC4">
        <w:t xml:space="preserve"> (Bharwani et al., 2019)</w:t>
      </w:r>
      <w:r>
        <w:t xml:space="preserve">. The Dorchester needs to stay on top of staff performance management by predicting what will happen in the future. According to the study, businesses will have to keep changing how they do things to accommodate flexible and mixed work arrangements. The hotel business is likely to change how it manages its employees to keep up with the growing focus on social duty, sustainability, and worker health and happiness. </w:t>
      </w:r>
    </w:p>
    <w:p w14:paraId="09A7C6B0" w14:textId="796647EB" w:rsidR="00436AC4" w:rsidRDefault="00125E7C" w:rsidP="00436AC4">
      <w:pPr>
        <w:rPr>
          <w:rFonts w:ascii="Arial" w:hAnsi="Arial" w:cs="Arial"/>
          <w:color w:val="222222"/>
          <w:shd w:val="clear" w:color="auto" w:fill="FFFFFF"/>
        </w:rPr>
      </w:pPr>
      <w:r>
        <w:t>Finally, this more in-depth literature review looks at the complicated connection between how hotel workers work, how productive they are, and their social status. This study takes information from several places and puts it all together to give a full picture of The Dorchester's special atmosphere. It also compares it to other well-known</w:t>
      </w:r>
      <w:r w:rsidR="00AA4828">
        <w:t xml:space="preserve"> hotel chains around the world. </w:t>
      </w:r>
      <w:r>
        <w:t>There is a lot of research that shows how work schedules, staff success, and social and economic problems all affect each other in the hotel business. It's more important than ever to understand how social factors affect the health and happiness of workers, since unstable economies are linked to higher stress levels and mental health problems. Employers can help their workers deal with economic instability by creating a good work environment, paying fair wages, and giving workers chances to advance in their careers</w:t>
      </w:r>
      <w:r w:rsidR="00436AC4">
        <w:t xml:space="preserve"> (</w:t>
      </w:r>
      <w:r w:rsidR="00436AC4" w:rsidRPr="00436AC4">
        <w:rPr>
          <w:rFonts w:ascii="Arial" w:hAnsi="Arial" w:cs="Arial"/>
          <w:color w:val="222222"/>
          <w:shd w:val="clear" w:color="auto" w:fill="FFFFFF"/>
        </w:rPr>
        <w:t>Joo-Ee</w:t>
      </w:r>
      <w:r w:rsidR="00436AC4">
        <w:rPr>
          <w:rFonts w:ascii="Arial" w:hAnsi="Arial" w:cs="Arial"/>
          <w:color w:val="222222"/>
          <w:shd w:val="clear" w:color="auto" w:fill="FFFFFF"/>
        </w:rPr>
        <w:t>, 2015).</w:t>
      </w:r>
    </w:p>
    <w:p w14:paraId="0B24288A" w14:textId="63E2AA2F" w:rsidR="00125E7C" w:rsidRPr="00436AC4" w:rsidRDefault="00125E7C" w:rsidP="00436AC4">
      <w:pPr>
        <w:rPr>
          <w:rFonts w:ascii="Arial" w:hAnsi="Arial" w:cs="Arial"/>
          <w:color w:val="222222"/>
          <w:shd w:val="clear" w:color="auto" w:fill="FFFFFF"/>
        </w:rPr>
      </w:pPr>
      <w:r>
        <w:lastRenderedPageBreak/>
        <w:t xml:space="preserve">Huge improvements in technology over the last five years have had a big effect on how the hotel business has changed how it works. Cloud-based systems, better communication tools, and fast internet have made it easier to switch to virtual and mixed work arrangements. The Dorchester is just one of many foreign hotel groups that use this technology to boost productivity, encourage teamwork, and track employee performance in real time, no matter what mode of operation they choose. </w:t>
      </w:r>
    </w:p>
    <w:p w14:paraId="32C4B0B6" w14:textId="6272FE3A" w:rsidR="00125E7C" w:rsidRDefault="00125E7C" w:rsidP="00241206">
      <w:r>
        <w:t xml:space="preserve">Also, workers' changing needs and wants when it comes to work styles, especially Millennials and Generation Z, make the need for freedom and work-life balance even more clear. The review of the study also looks at how different work styles affect DEI. It shows how open scheduling may help make the workplace more diverse and welcoming by meeting the needs of people with different backgrounds and points of view. </w:t>
      </w:r>
      <w:r>
        <w:br/>
        <w:t>The hotel business shows how important it is to work together to solve world problems</w:t>
      </w:r>
      <w:r w:rsidR="00436AC4">
        <w:t xml:space="preserve"> (Jamshed et al, 2023)</w:t>
      </w:r>
      <w:r>
        <w:t xml:space="preserve">. Well-known foreign hotel companies have to deal with a lot of problems, such as geopolitical uncertainty, economic downturns, and pandemics. </w:t>
      </w:r>
    </w:p>
    <w:p w14:paraId="7547B963" w14:textId="6628D13C" w:rsidR="00125E7C" w:rsidRPr="00241206" w:rsidRDefault="00125E7C" w:rsidP="00241206">
      <w:r>
        <w:t xml:space="preserve">The literature review gives more weight to employee liberty and freedom because they are important for controlling work styles. When employees have more control over how they do their work, they are happier, more engaged, and more productive. </w:t>
      </w:r>
      <w:r>
        <w:br/>
        <w:t>The later parts of this in-depth literature review talk about worker standards, freedom, the effects of technology, joint solutions, and how social factors affect worker performance</w:t>
      </w:r>
      <w:r w:rsidR="00436AC4">
        <w:t xml:space="preserve"> (Wood, 2015)</w:t>
      </w:r>
      <w:r>
        <w:t>. The main goal of the study is to give more information about the changing environment in which The Dorchester works by looking at these factors. The results will be used in the parts that follow to make suggestions that are special to The Dorchester's goals and problems. These suggestions will help the hotel better handle worker performance across all job categories.</w:t>
      </w:r>
    </w:p>
    <w:p w14:paraId="33741462" w14:textId="537953BB" w:rsidR="00241206" w:rsidRDefault="00241206" w:rsidP="00241206">
      <w:pPr>
        <w:pStyle w:val="Heading1"/>
      </w:pPr>
      <w:bookmarkStart w:id="2" w:name="_Toc159227380"/>
      <w:r>
        <w:t>Conclusion</w:t>
      </w:r>
      <w:bookmarkEnd w:id="2"/>
    </w:p>
    <w:p w14:paraId="1B23E5BB" w14:textId="708FDC4C" w:rsidR="00DF4465" w:rsidRDefault="00A634B4" w:rsidP="00A634B4">
      <w:r>
        <w:t xml:space="preserve">The main result of this study shows that workers' performance is affected by social limits in a number of different work styles. This is because of the complicated relationships between many factors. The main point of the study is to show how work habits are changing, how social issues impact the health and happiness of workers, and how leaders in the industry are working together to find answers. This will have a big effect on the </w:t>
      </w:r>
      <w:r>
        <w:lastRenderedPageBreak/>
        <w:t xml:space="preserve">Dorchester. The hotel's human resource management can benefit from learning about how important it is to give employees power, create a happy work environment, and use technology to make different work arrangements possible. The results stress how important it is to take a complete approach that can be changed to fit global issues and thinks about employee choices, diversity, equality, and inclusivity. </w:t>
      </w:r>
    </w:p>
    <w:p w14:paraId="007FE420" w14:textId="449CA23B" w:rsidR="00DF4465" w:rsidRDefault="00A634B4" w:rsidP="00A634B4">
      <w:r>
        <w:t xml:space="preserve">Because of these things, suggestions for better performance management for a variety of worker styles come up. The Dorchester may look at tech-based ways to improve contact and track performance in real time, like great foreign hotel groups do. Focusing on employee liberty and freedom can help create a positive work setting that leads to higher job happiness and effectiveness. Another way to get workers ready for the changes that will happen in the hotel industry is to change training classes so that they can handle a range of tasks. To sum up, this study is important because it could help The Dorchester and other related businesses improve their HR policies and practices. </w:t>
      </w:r>
    </w:p>
    <w:p w14:paraId="204B6E66" w14:textId="77777777" w:rsidR="00DF4465" w:rsidRDefault="00DF4465">
      <w:pPr>
        <w:spacing w:line="259" w:lineRule="auto"/>
        <w:jc w:val="left"/>
      </w:pPr>
      <w:r>
        <w:br w:type="page"/>
      </w:r>
    </w:p>
    <w:p w14:paraId="31A5ACE6" w14:textId="0D93D4B4" w:rsidR="00241206" w:rsidRDefault="00DF4465" w:rsidP="00DF4465">
      <w:pPr>
        <w:pStyle w:val="Heading1"/>
      </w:pPr>
      <w:r>
        <w:lastRenderedPageBreak/>
        <w:t>References</w:t>
      </w:r>
    </w:p>
    <w:p w14:paraId="7DB5A342" w14:textId="77777777" w:rsidR="003B2D48" w:rsidRPr="00436AC4"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t>Bharwani, S., Mathews, D. and Ghura, A.S., 2019. Business model innovation in the Indian hospitality industry: A study of the willingness to outsource specialty restaurants in luxury hotels. </w:t>
      </w:r>
      <w:r w:rsidRPr="00436AC4">
        <w:rPr>
          <w:rFonts w:ascii="Arial" w:hAnsi="Arial" w:cs="Arial"/>
          <w:i/>
          <w:iCs/>
          <w:color w:val="222222"/>
          <w:shd w:val="clear" w:color="auto" w:fill="FFFFFF"/>
        </w:rPr>
        <w:t>Worldwide Hospitality and Tourism Themes</w:t>
      </w:r>
      <w:r w:rsidRPr="00436AC4">
        <w:rPr>
          <w:rFonts w:ascii="Arial" w:hAnsi="Arial" w:cs="Arial"/>
          <w:color w:val="222222"/>
          <w:shd w:val="clear" w:color="auto" w:fill="FFFFFF"/>
        </w:rPr>
        <w:t>, </w:t>
      </w:r>
      <w:r w:rsidRPr="00436AC4">
        <w:rPr>
          <w:rFonts w:ascii="Arial" w:hAnsi="Arial" w:cs="Arial"/>
          <w:i/>
          <w:iCs/>
          <w:color w:val="222222"/>
          <w:shd w:val="clear" w:color="auto" w:fill="FFFFFF"/>
        </w:rPr>
        <w:t>11</w:t>
      </w:r>
      <w:r w:rsidRPr="00436AC4">
        <w:rPr>
          <w:rFonts w:ascii="Arial" w:hAnsi="Arial" w:cs="Arial"/>
          <w:color w:val="222222"/>
          <w:shd w:val="clear" w:color="auto" w:fill="FFFFFF"/>
        </w:rPr>
        <w:t>(4), pp.362-377.</w:t>
      </w:r>
    </w:p>
    <w:p w14:paraId="3C45096C" w14:textId="77777777" w:rsidR="003B2D48" w:rsidRDefault="003B2D48" w:rsidP="003B2D48">
      <w:pPr>
        <w:ind w:left="720" w:hanging="720"/>
      </w:pPr>
      <w:r w:rsidRPr="001E3069">
        <w:t>Buras, N.H., 2020. </w:t>
      </w:r>
      <w:r w:rsidRPr="001E3069">
        <w:rPr>
          <w:i/>
          <w:iCs/>
        </w:rPr>
        <w:t>The art of classic planning: building beautiful and enduring communities</w:t>
      </w:r>
      <w:r w:rsidRPr="001E3069">
        <w:t>. Harvard University Press.</w:t>
      </w:r>
    </w:p>
    <w:p w14:paraId="3F87442F" w14:textId="77777777" w:rsidR="003B2D48" w:rsidRPr="00436AC4"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t>Çeltek, E., 2022. Smart technology trends in the tourism and hospitality industry. </w:t>
      </w:r>
      <w:r w:rsidRPr="00436AC4">
        <w:rPr>
          <w:rFonts w:ascii="Arial" w:hAnsi="Arial" w:cs="Arial"/>
          <w:i/>
          <w:iCs/>
          <w:color w:val="222222"/>
          <w:shd w:val="clear" w:color="auto" w:fill="FFFFFF"/>
        </w:rPr>
        <w:t>Smart Cities and Tourism: Co-creating experiences, challenges and opportunities: Co-creating experiences, challenges and opportunities</w:t>
      </w:r>
      <w:r w:rsidRPr="00436AC4">
        <w:rPr>
          <w:rFonts w:ascii="Arial" w:hAnsi="Arial" w:cs="Arial"/>
          <w:color w:val="222222"/>
          <w:shd w:val="clear" w:color="auto" w:fill="FFFFFF"/>
        </w:rPr>
        <w:t>, p.14..</w:t>
      </w:r>
    </w:p>
    <w:p w14:paraId="434F91A5" w14:textId="77777777" w:rsidR="003B2D48" w:rsidRDefault="003B2D48" w:rsidP="003B2D48">
      <w:pPr>
        <w:ind w:left="720" w:hanging="720"/>
      </w:pPr>
      <w:r w:rsidRPr="001E3069">
        <w:t>Conley, C., 2017. </w:t>
      </w:r>
      <w:r w:rsidRPr="001E3069">
        <w:rPr>
          <w:i/>
          <w:iCs/>
        </w:rPr>
        <w:t>PEAK: How great companies get their mojo from Maslow revised and updated</w:t>
      </w:r>
      <w:r w:rsidRPr="001E3069">
        <w:t>. John Wiley &amp; Sons.</w:t>
      </w:r>
    </w:p>
    <w:p w14:paraId="5E934739" w14:textId="77777777" w:rsidR="003B2D48" w:rsidRDefault="003B2D48" w:rsidP="003B2D48">
      <w:pPr>
        <w:ind w:left="720" w:hanging="720"/>
      </w:pPr>
      <w:r w:rsidRPr="001E3069">
        <w:t>Cotton, C., Marriott, L. and Perkins, S.J., 2021. REWARDS MANAGEMENT SURVEY: EMPLOYEE FINANCIAL WELL-BEING. </w:t>
      </w:r>
      <w:r w:rsidRPr="001E3069">
        <w:rPr>
          <w:i/>
          <w:iCs/>
        </w:rPr>
        <w:t>The Journal of Total Rewards</w:t>
      </w:r>
      <w:r w:rsidRPr="001E3069">
        <w:t>, </w:t>
      </w:r>
      <w:r w:rsidRPr="001E3069">
        <w:rPr>
          <w:i/>
          <w:iCs/>
        </w:rPr>
        <w:t>30</w:t>
      </w:r>
      <w:r w:rsidRPr="001E3069">
        <w:t>(4), pp.36-4.</w:t>
      </w:r>
    </w:p>
    <w:p w14:paraId="53203F35" w14:textId="77777777" w:rsidR="003B2D48" w:rsidRDefault="003B2D48" w:rsidP="003B2D48">
      <w:pPr>
        <w:ind w:left="720" w:hanging="720"/>
      </w:pPr>
      <w:r w:rsidRPr="001E3069">
        <w:t>Hague, P. and Hague, N., 2023. </w:t>
      </w:r>
      <w:r w:rsidRPr="001E3069">
        <w:rPr>
          <w:i/>
          <w:iCs/>
        </w:rPr>
        <w:t>B2B customer experience: A practical guide to delivering exceptional CX</w:t>
      </w:r>
      <w:r w:rsidRPr="001E3069">
        <w:t>. Kogan Page Publishers.</w:t>
      </w:r>
    </w:p>
    <w:p w14:paraId="1725A481" w14:textId="77777777" w:rsidR="003B2D48" w:rsidRDefault="003B2D48" w:rsidP="003B2D48">
      <w:pPr>
        <w:ind w:left="720" w:hanging="720"/>
      </w:pPr>
      <w:r w:rsidRPr="001E3069">
        <w:t>Hartley, P., Marriott, S. and Knapton, H., 2023. </w:t>
      </w:r>
      <w:r w:rsidRPr="001E3069">
        <w:rPr>
          <w:i/>
          <w:iCs/>
        </w:rPr>
        <w:t>Professional and Business Communication: Personal Strategies for the Post-Digital World</w:t>
      </w:r>
      <w:r w:rsidRPr="001E3069">
        <w:t>. Taylor &amp; Francis.</w:t>
      </w:r>
    </w:p>
    <w:p w14:paraId="1A24B0F2" w14:textId="77777777" w:rsidR="003B2D48" w:rsidRDefault="003B2D48" w:rsidP="003B2D48">
      <w:pPr>
        <w:ind w:left="720" w:hanging="720"/>
      </w:pPr>
      <w:r w:rsidRPr="001E3069">
        <w:t>Hite, L.M. and McDonald, K.S., 2020. Careers after COVID-19: Challenges and changes. </w:t>
      </w:r>
      <w:r w:rsidRPr="001E3069">
        <w:rPr>
          <w:i/>
          <w:iCs/>
        </w:rPr>
        <w:t>Human Resource Development International</w:t>
      </w:r>
      <w:r w:rsidRPr="001E3069">
        <w:t>, </w:t>
      </w:r>
      <w:r w:rsidRPr="001E3069">
        <w:rPr>
          <w:i/>
          <w:iCs/>
        </w:rPr>
        <w:t>23</w:t>
      </w:r>
      <w:r w:rsidRPr="001E3069">
        <w:t>(4), pp.427-437.</w:t>
      </w:r>
    </w:p>
    <w:p w14:paraId="0CA503B7" w14:textId="77777777" w:rsidR="003B2D48" w:rsidRPr="00436AC4" w:rsidRDefault="003B2D48" w:rsidP="00436AC4">
      <w:pPr>
        <w:ind w:left="720" w:hanging="720"/>
      </w:pPr>
      <w:r w:rsidRPr="00436AC4">
        <w:rPr>
          <w:rFonts w:ascii="Arial" w:hAnsi="Arial" w:cs="Arial"/>
          <w:color w:val="222222"/>
          <w:shd w:val="clear" w:color="auto" w:fill="FFFFFF"/>
        </w:rPr>
        <w:t>Jadallah, R., 2018. An Exploration into How Design Can Better Align the Attributes of Luxury and Sustainability for ‘High-End’Hotel Guest Rooms.</w:t>
      </w:r>
    </w:p>
    <w:p w14:paraId="318C481E" w14:textId="77777777" w:rsidR="003B2D48" w:rsidRPr="00436AC4" w:rsidRDefault="003B2D48" w:rsidP="00436AC4">
      <w:pPr>
        <w:ind w:left="720" w:hanging="720"/>
      </w:pPr>
      <w:r w:rsidRPr="00436AC4">
        <w:t>Jamshed, K.A., Shah, S.H.A. and Al-Ghazali, B.M., 2023. Family Tourism Businesses and Post Pandemic: An Overview of the Hospitality Industry of Europe. </w:t>
      </w:r>
      <w:r w:rsidRPr="00436AC4">
        <w:rPr>
          <w:i/>
          <w:iCs/>
        </w:rPr>
        <w:t>Women’s Empowerment Within the Tourism Industry</w:t>
      </w:r>
      <w:r w:rsidRPr="00436AC4">
        <w:t>, pp.102-115.</w:t>
      </w:r>
    </w:p>
    <w:p w14:paraId="6DB7690F" w14:textId="77777777" w:rsidR="003B2D48" w:rsidRPr="00436AC4"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lastRenderedPageBreak/>
        <w:t>Joo-Ee, G., 2016. Minimum wage and the hospitality industry in Malaysia: An analysis of employee perceptions. </w:t>
      </w:r>
      <w:r w:rsidRPr="00436AC4">
        <w:rPr>
          <w:rFonts w:ascii="Arial" w:hAnsi="Arial" w:cs="Arial"/>
          <w:i/>
          <w:iCs/>
          <w:color w:val="222222"/>
          <w:shd w:val="clear" w:color="auto" w:fill="FFFFFF"/>
        </w:rPr>
        <w:t>Journal of Human Resources in Hospitality &amp; Tourism</w:t>
      </w:r>
      <w:r w:rsidRPr="00436AC4">
        <w:rPr>
          <w:rFonts w:ascii="Arial" w:hAnsi="Arial" w:cs="Arial"/>
          <w:color w:val="222222"/>
          <w:shd w:val="clear" w:color="auto" w:fill="FFFFFF"/>
        </w:rPr>
        <w:t>, </w:t>
      </w:r>
      <w:r w:rsidRPr="00436AC4">
        <w:rPr>
          <w:rFonts w:ascii="Arial" w:hAnsi="Arial" w:cs="Arial"/>
          <w:i/>
          <w:iCs/>
          <w:color w:val="222222"/>
          <w:shd w:val="clear" w:color="auto" w:fill="FFFFFF"/>
        </w:rPr>
        <w:t>15</w:t>
      </w:r>
      <w:r w:rsidRPr="00436AC4">
        <w:rPr>
          <w:rFonts w:ascii="Arial" w:hAnsi="Arial" w:cs="Arial"/>
          <w:color w:val="222222"/>
          <w:shd w:val="clear" w:color="auto" w:fill="FFFFFF"/>
        </w:rPr>
        <w:t>(1), pp.29-44.</w:t>
      </w:r>
    </w:p>
    <w:p w14:paraId="30464D33" w14:textId="77777777" w:rsidR="003B2D48" w:rsidRDefault="003B2D48" w:rsidP="003B2D48">
      <w:pPr>
        <w:ind w:left="720" w:hanging="720"/>
      </w:pPr>
      <w:r w:rsidRPr="001E3069">
        <w:t>Kwok, L., Lee, J. and Han, S.H., 2022. Crisis communication on social media: what types of COVID-19 messages get the attention?. </w:t>
      </w:r>
      <w:r w:rsidRPr="001E3069">
        <w:rPr>
          <w:i/>
          <w:iCs/>
        </w:rPr>
        <w:t>Cornell Hospitality Quarterly</w:t>
      </w:r>
      <w:r w:rsidRPr="001E3069">
        <w:t>, </w:t>
      </w:r>
      <w:r w:rsidRPr="001E3069">
        <w:rPr>
          <w:i/>
          <w:iCs/>
        </w:rPr>
        <w:t>63</w:t>
      </w:r>
      <w:r w:rsidRPr="001E3069">
        <w:t>(4), pp.528-543.</w:t>
      </w:r>
    </w:p>
    <w:p w14:paraId="140C74F9" w14:textId="77777777" w:rsidR="003B2D48" w:rsidRPr="00436AC4"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t>LaTour, K.A. and Brant, A., 2022. Social listening to create bespoke customer experiences: best practices for hospitality operators. </w:t>
      </w:r>
      <w:r w:rsidRPr="00436AC4">
        <w:rPr>
          <w:rFonts w:ascii="Arial" w:hAnsi="Arial" w:cs="Arial"/>
          <w:i/>
          <w:iCs/>
          <w:color w:val="222222"/>
          <w:shd w:val="clear" w:color="auto" w:fill="FFFFFF"/>
        </w:rPr>
        <w:t>Cornell Hospitality Quarterly</w:t>
      </w:r>
      <w:r w:rsidRPr="00436AC4">
        <w:rPr>
          <w:rFonts w:ascii="Arial" w:hAnsi="Arial" w:cs="Arial"/>
          <w:color w:val="222222"/>
          <w:shd w:val="clear" w:color="auto" w:fill="FFFFFF"/>
        </w:rPr>
        <w:t>, </w:t>
      </w:r>
      <w:r w:rsidRPr="00436AC4">
        <w:rPr>
          <w:rFonts w:ascii="Arial" w:hAnsi="Arial" w:cs="Arial"/>
          <w:i/>
          <w:iCs/>
          <w:color w:val="222222"/>
          <w:shd w:val="clear" w:color="auto" w:fill="FFFFFF"/>
        </w:rPr>
        <w:t>63</w:t>
      </w:r>
      <w:r w:rsidRPr="00436AC4">
        <w:rPr>
          <w:rFonts w:ascii="Arial" w:hAnsi="Arial" w:cs="Arial"/>
          <w:color w:val="222222"/>
          <w:shd w:val="clear" w:color="auto" w:fill="FFFFFF"/>
        </w:rPr>
        <w:t>(3), pp.320-333.</w:t>
      </w:r>
    </w:p>
    <w:p w14:paraId="3CF026F6" w14:textId="77777777" w:rsidR="003B2D48" w:rsidRDefault="003B2D48" w:rsidP="003B2D48">
      <w:pPr>
        <w:ind w:left="720" w:hanging="720"/>
      </w:pPr>
      <w:r w:rsidRPr="001E3069">
        <w:t>Lee, J.J., 2017. US workers need not apply: Challenging low-wage guest worker programs. </w:t>
      </w:r>
      <w:r w:rsidRPr="001E3069">
        <w:rPr>
          <w:i/>
          <w:iCs/>
        </w:rPr>
        <w:t>Stan. L. &amp; Pol'y Rev.</w:t>
      </w:r>
      <w:r w:rsidRPr="001E3069">
        <w:t>, </w:t>
      </w:r>
      <w:r w:rsidRPr="001E3069">
        <w:rPr>
          <w:i/>
          <w:iCs/>
        </w:rPr>
        <w:t>28</w:t>
      </w:r>
      <w:r w:rsidRPr="001E3069">
        <w:t>, p.1.</w:t>
      </w:r>
    </w:p>
    <w:p w14:paraId="64136F2D" w14:textId="77777777" w:rsidR="003B2D48" w:rsidRDefault="003B2D48" w:rsidP="003B2D48">
      <w:pPr>
        <w:ind w:left="720" w:hanging="720"/>
      </w:pPr>
      <w:r w:rsidRPr="001E3069">
        <w:t>MacDonald, J., 2017. </w:t>
      </w:r>
      <w:r w:rsidRPr="001E3069">
        <w:rPr>
          <w:i/>
          <w:iCs/>
        </w:rPr>
        <w:t>Blended learning and online tutoring: Planning learner support and activity design</w:t>
      </w:r>
      <w:r w:rsidRPr="001E3069">
        <w:t>. Routledge.</w:t>
      </w:r>
    </w:p>
    <w:p w14:paraId="589CF9F2" w14:textId="77777777" w:rsidR="003B2D48" w:rsidRPr="00436AC4"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t>Metaxas, I.N., Chatzoglou, P.D. and Koulouriotis, D.E., 2019. Proposing a new modus operandi for sustainable business excellence: the case of Greek hospitality industry. </w:t>
      </w:r>
      <w:r w:rsidRPr="00436AC4">
        <w:rPr>
          <w:rFonts w:ascii="Arial" w:hAnsi="Arial" w:cs="Arial"/>
          <w:i/>
          <w:iCs/>
          <w:color w:val="222222"/>
          <w:shd w:val="clear" w:color="auto" w:fill="FFFFFF"/>
        </w:rPr>
        <w:t>Total Quality Management &amp; Business Excellence</w:t>
      </w:r>
      <w:r w:rsidRPr="00436AC4">
        <w:rPr>
          <w:rFonts w:ascii="Arial" w:hAnsi="Arial" w:cs="Arial"/>
          <w:color w:val="222222"/>
          <w:shd w:val="clear" w:color="auto" w:fill="FFFFFF"/>
        </w:rPr>
        <w:t>, </w:t>
      </w:r>
      <w:r w:rsidRPr="00436AC4">
        <w:rPr>
          <w:rFonts w:ascii="Arial" w:hAnsi="Arial" w:cs="Arial"/>
          <w:i/>
          <w:iCs/>
          <w:color w:val="222222"/>
          <w:shd w:val="clear" w:color="auto" w:fill="FFFFFF"/>
        </w:rPr>
        <w:t>30</w:t>
      </w:r>
      <w:r w:rsidRPr="00436AC4">
        <w:rPr>
          <w:rFonts w:ascii="Arial" w:hAnsi="Arial" w:cs="Arial"/>
          <w:color w:val="222222"/>
          <w:shd w:val="clear" w:color="auto" w:fill="FFFFFF"/>
        </w:rPr>
        <w:t>(5-6), pp.499-524.</w:t>
      </w:r>
    </w:p>
    <w:p w14:paraId="192DA8A3" w14:textId="77777777" w:rsidR="003B2D48" w:rsidRPr="00436AC4"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t>Morrison, A.M., 2022. </w:t>
      </w:r>
      <w:r w:rsidRPr="00436AC4">
        <w:rPr>
          <w:rFonts w:ascii="Arial" w:hAnsi="Arial" w:cs="Arial"/>
          <w:i/>
          <w:iCs/>
          <w:color w:val="222222"/>
          <w:shd w:val="clear" w:color="auto" w:fill="FFFFFF"/>
        </w:rPr>
        <w:t>Hospitality and travel marketing</w:t>
      </w:r>
      <w:r w:rsidRPr="00436AC4">
        <w:rPr>
          <w:rFonts w:ascii="Arial" w:hAnsi="Arial" w:cs="Arial"/>
          <w:color w:val="222222"/>
          <w:shd w:val="clear" w:color="auto" w:fill="FFFFFF"/>
        </w:rPr>
        <w:t>. Taylor &amp; Francis.</w:t>
      </w:r>
    </w:p>
    <w:p w14:paraId="07AB2207" w14:textId="77777777" w:rsidR="003B2D48" w:rsidRPr="00436AC4"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t>Papadopoulos, O. and Ioannou, G., 2023. Working in hospitality and catering in Greece and the UK: Do trade union membership and collective bargaining still matter?. </w:t>
      </w:r>
      <w:r w:rsidRPr="00436AC4">
        <w:rPr>
          <w:rFonts w:ascii="Arial" w:hAnsi="Arial" w:cs="Arial"/>
          <w:i/>
          <w:iCs/>
          <w:color w:val="222222"/>
          <w:shd w:val="clear" w:color="auto" w:fill="FFFFFF"/>
        </w:rPr>
        <w:t>European Journal of Industrial Relations</w:t>
      </w:r>
      <w:r w:rsidRPr="00436AC4">
        <w:rPr>
          <w:rFonts w:ascii="Arial" w:hAnsi="Arial" w:cs="Arial"/>
          <w:color w:val="222222"/>
          <w:shd w:val="clear" w:color="auto" w:fill="FFFFFF"/>
        </w:rPr>
        <w:t>, </w:t>
      </w:r>
      <w:r w:rsidRPr="00436AC4">
        <w:rPr>
          <w:rFonts w:ascii="Arial" w:hAnsi="Arial" w:cs="Arial"/>
          <w:i/>
          <w:iCs/>
          <w:color w:val="222222"/>
          <w:shd w:val="clear" w:color="auto" w:fill="FFFFFF"/>
        </w:rPr>
        <w:t>29</w:t>
      </w:r>
      <w:r w:rsidRPr="00436AC4">
        <w:rPr>
          <w:rFonts w:ascii="Arial" w:hAnsi="Arial" w:cs="Arial"/>
          <w:color w:val="222222"/>
          <w:shd w:val="clear" w:color="auto" w:fill="FFFFFF"/>
        </w:rPr>
        <w:t>(2), pp.105-122.</w:t>
      </w:r>
    </w:p>
    <w:p w14:paraId="4B450B7B" w14:textId="77777777" w:rsidR="003B2D48" w:rsidRDefault="003B2D48" w:rsidP="00436AC4">
      <w:pPr>
        <w:ind w:left="720" w:hanging="720"/>
        <w:rPr>
          <w:rFonts w:ascii="Arial" w:hAnsi="Arial" w:cs="Arial"/>
          <w:color w:val="222222"/>
          <w:shd w:val="clear" w:color="auto" w:fill="FFFFFF"/>
        </w:rPr>
      </w:pPr>
      <w:r w:rsidRPr="00436AC4">
        <w:rPr>
          <w:rFonts w:ascii="Arial" w:hAnsi="Arial" w:cs="Arial"/>
          <w:color w:val="222222"/>
          <w:shd w:val="clear" w:color="auto" w:fill="FFFFFF"/>
        </w:rPr>
        <w:t>Tinacci, E., De Carlo, M. and Friel, M., 2023. 10Integrating Sustainability in Luxury Hospitality Experiences. </w:t>
      </w:r>
      <w:r w:rsidRPr="00436AC4">
        <w:rPr>
          <w:rFonts w:ascii="Arial" w:hAnsi="Arial" w:cs="Arial"/>
          <w:i/>
          <w:iCs/>
          <w:color w:val="222222"/>
          <w:shd w:val="clear" w:color="auto" w:fill="FFFFFF"/>
        </w:rPr>
        <w:t>Made in Italy and the Luxury Market: Heritage, Sustainability and Innovation</w:t>
      </w:r>
      <w:r w:rsidRPr="00436AC4">
        <w:rPr>
          <w:rFonts w:ascii="Arial" w:hAnsi="Arial" w:cs="Arial"/>
          <w:color w:val="222222"/>
          <w:shd w:val="clear" w:color="auto" w:fill="FFFFFF"/>
        </w:rPr>
        <w:t>.</w:t>
      </w:r>
    </w:p>
    <w:p w14:paraId="32D65C94" w14:textId="77777777" w:rsidR="003B2D48" w:rsidRPr="00436AC4" w:rsidRDefault="003B2D48" w:rsidP="00436AC4">
      <w:pPr>
        <w:ind w:left="720" w:hanging="720"/>
      </w:pPr>
      <w:r w:rsidRPr="00436AC4">
        <w:t>Wood, R.C., 2020. Perspectives on hospitality industry trade unionism in the UK and beyond. </w:t>
      </w:r>
      <w:r w:rsidRPr="00436AC4">
        <w:rPr>
          <w:i/>
          <w:iCs/>
        </w:rPr>
        <w:t>Research in Hospitality Management</w:t>
      </w:r>
      <w:r w:rsidRPr="00436AC4">
        <w:t>, </w:t>
      </w:r>
      <w:r w:rsidRPr="00436AC4">
        <w:rPr>
          <w:i/>
          <w:iCs/>
        </w:rPr>
        <w:t>10</w:t>
      </w:r>
      <w:r w:rsidRPr="00436AC4">
        <w:t>(2), pp.137-147.</w:t>
      </w:r>
    </w:p>
    <w:sectPr w:rsidR="003B2D48" w:rsidRPr="00436A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35080"/>
    <w:multiLevelType w:val="hybridMultilevel"/>
    <w:tmpl w:val="674C37B2"/>
    <w:lvl w:ilvl="0" w:tplc="2182E75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0732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BFE"/>
    <w:rsid w:val="000813B8"/>
    <w:rsid w:val="000D508C"/>
    <w:rsid w:val="00125E7C"/>
    <w:rsid w:val="00165483"/>
    <w:rsid w:val="00222AA8"/>
    <w:rsid w:val="00241206"/>
    <w:rsid w:val="00244D02"/>
    <w:rsid w:val="003B2D48"/>
    <w:rsid w:val="00436AC4"/>
    <w:rsid w:val="005249BC"/>
    <w:rsid w:val="0063094A"/>
    <w:rsid w:val="00674EB0"/>
    <w:rsid w:val="006E3C44"/>
    <w:rsid w:val="006F3B58"/>
    <w:rsid w:val="00736257"/>
    <w:rsid w:val="007366EA"/>
    <w:rsid w:val="00797BFE"/>
    <w:rsid w:val="007D2D60"/>
    <w:rsid w:val="0085549A"/>
    <w:rsid w:val="00874AD1"/>
    <w:rsid w:val="008B179B"/>
    <w:rsid w:val="008B68ED"/>
    <w:rsid w:val="00913A36"/>
    <w:rsid w:val="00A634B4"/>
    <w:rsid w:val="00A740D2"/>
    <w:rsid w:val="00A91A6A"/>
    <w:rsid w:val="00AA4828"/>
    <w:rsid w:val="00AA6B54"/>
    <w:rsid w:val="00AE6AC6"/>
    <w:rsid w:val="00B134A1"/>
    <w:rsid w:val="00B8652D"/>
    <w:rsid w:val="00BA41F1"/>
    <w:rsid w:val="00C334EF"/>
    <w:rsid w:val="00DC7AB3"/>
    <w:rsid w:val="00DF1278"/>
    <w:rsid w:val="00DF4465"/>
    <w:rsid w:val="00DF7DFD"/>
    <w:rsid w:val="00E56828"/>
    <w:rsid w:val="00E85EB7"/>
    <w:rsid w:val="00F75F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D2E488"/>
  <w15:chartTrackingRefBased/>
  <w15:docId w15:val="{80C88AD7-8BFB-43C4-A9AD-83958F8B1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BFE"/>
    <w:pPr>
      <w:spacing w:line="360" w:lineRule="auto"/>
      <w:jc w:val="both"/>
    </w:pPr>
    <w:rPr>
      <w:rFonts w:asciiTheme="minorBidi" w:hAnsiTheme="minorBidi"/>
      <w:sz w:val="24"/>
      <w:szCs w:val="24"/>
      <w:lang w:val="en-GB"/>
    </w:rPr>
  </w:style>
  <w:style w:type="paragraph" w:styleId="Heading1">
    <w:name w:val="heading 1"/>
    <w:basedOn w:val="ListParagraph"/>
    <w:next w:val="Normal"/>
    <w:link w:val="Heading1Char"/>
    <w:uiPriority w:val="9"/>
    <w:qFormat/>
    <w:rsid w:val="00797BFE"/>
    <w:pPr>
      <w:numPr>
        <w:numId w:val="1"/>
      </w:numPr>
      <w:outlineLvl w:val="0"/>
    </w:pPr>
    <w:rPr>
      <w:b/>
      <w:bCs/>
    </w:rPr>
  </w:style>
  <w:style w:type="paragraph" w:styleId="Heading2">
    <w:name w:val="heading 2"/>
    <w:basedOn w:val="Normal"/>
    <w:next w:val="Normal"/>
    <w:link w:val="Heading2Char"/>
    <w:uiPriority w:val="9"/>
    <w:semiHidden/>
    <w:unhideWhenUsed/>
    <w:qFormat/>
    <w:rsid w:val="00797BF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97BF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97BF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97BF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97B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B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B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B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BFE"/>
    <w:rPr>
      <w:rFonts w:asciiTheme="minorBidi" w:hAnsiTheme="minorBidi"/>
      <w:b/>
      <w:bCs/>
      <w:sz w:val="24"/>
      <w:szCs w:val="24"/>
      <w:lang w:val="en-GB"/>
    </w:rPr>
  </w:style>
  <w:style w:type="character" w:customStyle="1" w:styleId="Heading2Char">
    <w:name w:val="Heading 2 Char"/>
    <w:basedOn w:val="DefaultParagraphFont"/>
    <w:link w:val="Heading2"/>
    <w:uiPriority w:val="9"/>
    <w:semiHidden/>
    <w:rsid w:val="00797BF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97BF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97BF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97BF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97B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B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B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BFE"/>
    <w:rPr>
      <w:rFonts w:eastAsiaTheme="majorEastAsia" w:cstheme="majorBidi"/>
      <w:color w:val="272727" w:themeColor="text1" w:themeTint="D8"/>
    </w:rPr>
  </w:style>
  <w:style w:type="paragraph" w:styleId="Title">
    <w:name w:val="Title"/>
    <w:basedOn w:val="Normal"/>
    <w:next w:val="Normal"/>
    <w:link w:val="TitleChar"/>
    <w:uiPriority w:val="10"/>
    <w:qFormat/>
    <w:rsid w:val="00797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B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B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B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BFE"/>
    <w:pPr>
      <w:spacing w:before="160"/>
      <w:jc w:val="center"/>
    </w:pPr>
    <w:rPr>
      <w:i/>
      <w:iCs/>
      <w:color w:val="404040" w:themeColor="text1" w:themeTint="BF"/>
    </w:rPr>
  </w:style>
  <w:style w:type="character" w:customStyle="1" w:styleId="QuoteChar">
    <w:name w:val="Quote Char"/>
    <w:basedOn w:val="DefaultParagraphFont"/>
    <w:link w:val="Quote"/>
    <w:uiPriority w:val="29"/>
    <w:rsid w:val="00797BFE"/>
    <w:rPr>
      <w:i/>
      <w:iCs/>
      <w:color w:val="404040" w:themeColor="text1" w:themeTint="BF"/>
    </w:rPr>
  </w:style>
  <w:style w:type="paragraph" w:styleId="ListParagraph">
    <w:name w:val="List Paragraph"/>
    <w:basedOn w:val="Normal"/>
    <w:uiPriority w:val="34"/>
    <w:qFormat/>
    <w:rsid w:val="00797BFE"/>
    <w:pPr>
      <w:ind w:left="720"/>
      <w:contextualSpacing/>
    </w:pPr>
  </w:style>
  <w:style w:type="character" w:styleId="IntenseEmphasis">
    <w:name w:val="Intense Emphasis"/>
    <w:basedOn w:val="DefaultParagraphFont"/>
    <w:uiPriority w:val="21"/>
    <w:qFormat/>
    <w:rsid w:val="00797BFE"/>
    <w:rPr>
      <w:i/>
      <w:iCs/>
      <w:color w:val="2E74B5" w:themeColor="accent1" w:themeShade="BF"/>
    </w:rPr>
  </w:style>
  <w:style w:type="paragraph" w:styleId="IntenseQuote">
    <w:name w:val="Intense Quote"/>
    <w:basedOn w:val="Normal"/>
    <w:next w:val="Normal"/>
    <w:link w:val="IntenseQuoteChar"/>
    <w:uiPriority w:val="30"/>
    <w:qFormat/>
    <w:rsid w:val="00797BF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97BFE"/>
    <w:rPr>
      <w:i/>
      <w:iCs/>
      <w:color w:val="2E74B5" w:themeColor="accent1" w:themeShade="BF"/>
    </w:rPr>
  </w:style>
  <w:style w:type="character" w:styleId="IntenseReference">
    <w:name w:val="Intense Reference"/>
    <w:basedOn w:val="DefaultParagraphFont"/>
    <w:uiPriority w:val="32"/>
    <w:qFormat/>
    <w:rsid w:val="00797BFE"/>
    <w:rPr>
      <w:b/>
      <w:bCs/>
      <w:smallCaps/>
      <w:color w:val="2E74B5" w:themeColor="accent1" w:themeShade="BF"/>
      <w:spacing w:val="5"/>
    </w:rPr>
  </w:style>
  <w:style w:type="character" w:styleId="Strong">
    <w:name w:val="Strong"/>
    <w:basedOn w:val="DefaultParagraphFont"/>
    <w:uiPriority w:val="22"/>
    <w:qFormat/>
    <w:rsid w:val="008B68ED"/>
    <w:rPr>
      <w:b/>
      <w:bCs/>
    </w:rPr>
  </w:style>
  <w:style w:type="table" w:styleId="PlainTable3">
    <w:name w:val="Plain Table 3"/>
    <w:basedOn w:val="TableNormal"/>
    <w:uiPriority w:val="43"/>
    <w:rsid w:val="008B68E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uiPriority w:val="35"/>
    <w:semiHidden/>
    <w:unhideWhenUsed/>
    <w:qFormat/>
    <w:rsid w:val="008B68E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D2D60"/>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E74B5" w:themeColor="accent1" w:themeShade="BF"/>
      <w:kern w:val="0"/>
      <w:sz w:val="32"/>
      <w:szCs w:val="32"/>
      <w:lang w:eastAsia="en-GB"/>
      <w14:ligatures w14:val="none"/>
    </w:rPr>
  </w:style>
  <w:style w:type="paragraph" w:styleId="TOC1">
    <w:name w:val="toc 1"/>
    <w:basedOn w:val="Normal"/>
    <w:next w:val="Normal"/>
    <w:autoRedefine/>
    <w:uiPriority w:val="39"/>
    <w:unhideWhenUsed/>
    <w:rsid w:val="007D2D60"/>
    <w:pPr>
      <w:spacing w:after="100"/>
    </w:pPr>
  </w:style>
  <w:style w:type="character" w:styleId="Hyperlink">
    <w:name w:val="Hyperlink"/>
    <w:basedOn w:val="DefaultParagraphFont"/>
    <w:uiPriority w:val="99"/>
    <w:unhideWhenUsed/>
    <w:rsid w:val="007D2D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12106">
      <w:bodyDiv w:val="1"/>
      <w:marLeft w:val="0"/>
      <w:marRight w:val="0"/>
      <w:marTop w:val="0"/>
      <w:marBottom w:val="0"/>
      <w:divBdr>
        <w:top w:val="none" w:sz="0" w:space="0" w:color="auto"/>
        <w:left w:val="none" w:sz="0" w:space="0" w:color="auto"/>
        <w:bottom w:val="none" w:sz="0" w:space="0" w:color="auto"/>
        <w:right w:val="none" w:sz="0" w:space="0" w:color="auto"/>
      </w:divBdr>
    </w:div>
    <w:div w:id="123736553">
      <w:bodyDiv w:val="1"/>
      <w:marLeft w:val="0"/>
      <w:marRight w:val="0"/>
      <w:marTop w:val="0"/>
      <w:marBottom w:val="0"/>
      <w:divBdr>
        <w:top w:val="none" w:sz="0" w:space="0" w:color="auto"/>
        <w:left w:val="none" w:sz="0" w:space="0" w:color="auto"/>
        <w:bottom w:val="none" w:sz="0" w:space="0" w:color="auto"/>
        <w:right w:val="none" w:sz="0" w:space="0" w:color="auto"/>
      </w:divBdr>
    </w:div>
    <w:div w:id="1158763332">
      <w:bodyDiv w:val="1"/>
      <w:marLeft w:val="0"/>
      <w:marRight w:val="0"/>
      <w:marTop w:val="0"/>
      <w:marBottom w:val="0"/>
      <w:divBdr>
        <w:top w:val="none" w:sz="0" w:space="0" w:color="auto"/>
        <w:left w:val="none" w:sz="0" w:space="0" w:color="auto"/>
        <w:bottom w:val="none" w:sz="0" w:space="0" w:color="auto"/>
        <w:right w:val="none" w:sz="0" w:space="0" w:color="auto"/>
      </w:divBdr>
    </w:div>
    <w:div w:id="1691644187">
      <w:bodyDiv w:val="1"/>
      <w:marLeft w:val="0"/>
      <w:marRight w:val="0"/>
      <w:marTop w:val="0"/>
      <w:marBottom w:val="0"/>
      <w:divBdr>
        <w:top w:val="none" w:sz="0" w:space="0" w:color="auto"/>
        <w:left w:val="none" w:sz="0" w:space="0" w:color="auto"/>
        <w:bottom w:val="none" w:sz="0" w:space="0" w:color="auto"/>
        <w:right w:val="none" w:sz="0" w:space="0" w:color="auto"/>
      </w:divBdr>
    </w:div>
    <w:div w:id="1692950093">
      <w:bodyDiv w:val="1"/>
      <w:marLeft w:val="0"/>
      <w:marRight w:val="0"/>
      <w:marTop w:val="0"/>
      <w:marBottom w:val="0"/>
      <w:divBdr>
        <w:top w:val="none" w:sz="0" w:space="0" w:color="auto"/>
        <w:left w:val="none" w:sz="0" w:space="0" w:color="auto"/>
        <w:bottom w:val="none" w:sz="0" w:space="0" w:color="auto"/>
        <w:right w:val="none" w:sz="0" w:space="0" w:color="auto"/>
      </w:divBdr>
    </w:div>
    <w:div w:id="207122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AA28F-710D-4465-BCB3-58B78B956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2525</Words>
  <Characters>14398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antonela costiuc</cp:lastModifiedBy>
  <cp:revision>9</cp:revision>
  <dcterms:created xsi:type="dcterms:W3CDTF">2024-02-20T09:32:00Z</dcterms:created>
  <dcterms:modified xsi:type="dcterms:W3CDTF">2024-02-20T11:47:00Z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497a1cee-f705-4ebf-8389-a9dc147ad254</vt:lpwstr>
  </property>
</Properties>
</file>