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EB230F" w14:textId="29442216" w:rsidR="00E15A1C" w:rsidRPr="00A67D29" w:rsidRDefault="002223B8">
      <w:pPr>
        <w:rPr>
          <w:rFonts w:ascii="Bookman Old Style" w:hAnsi="Bookman Old Style"/>
          <w:sz w:val="36"/>
          <w:szCs w:val="36"/>
        </w:rPr>
      </w:pPr>
      <w:r w:rsidRPr="00A67D29">
        <w:rPr>
          <w:rFonts w:ascii="Bookman Old Style" w:hAnsi="Bookman Old Style"/>
          <w:sz w:val="36"/>
          <w:szCs w:val="36"/>
        </w:rPr>
        <w:t>Riffat Hassan and the Reinterpretation of Eve</w:t>
      </w:r>
    </w:p>
    <w:p w14:paraId="629A742B" w14:textId="3E9633F6" w:rsidR="002223B8" w:rsidRPr="00A67D29" w:rsidRDefault="002223B8">
      <w:pPr>
        <w:rPr>
          <w:rFonts w:ascii="Bookman Old Style" w:hAnsi="Bookman Old Style"/>
          <w:sz w:val="32"/>
          <w:szCs w:val="32"/>
        </w:rPr>
      </w:pPr>
      <w:r w:rsidRPr="00A67D29">
        <w:rPr>
          <w:rFonts w:ascii="Bookman Old Style" w:hAnsi="Bookman Old Style"/>
          <w:sz w:val="32"/>
          <w:szCs w:val="32"/>
        </w:rPr>
        <w:t>HPHI6032</w:t>
      </w:r>
    </w:p>
    <w:p w14:paraId="7073597A" w14:textId="2DFB3F77" w:rsidR="002223B8" w:rsidRPr="00A67D29" w:rsidRDefault="002223B8">
      <w:pPr>
        <w:rPr>
          <w:rFonts w:ascii="Bookman Old Style" w:hAnsi="Bookman Old Style"/>
          <w:sz w:val="32"/>
          <w:szCs w:val="32"/>
        </w:rPr>
      </w:pPr>
      <w:r w:rsidRPr="00A67D29">
        <w:rPr>
          <w:rFonts w:ascii="Bookman Old Style" w:hAnsi="Bookman Old Style"/>
          <w:sz w:val="32"/>
          <w:szCs w:val="32"/>
        </w:rPr>
        <w:t>Ania d’Abdank Kunicki</w:t>
      </w:r>
    </w:p>
    <w:p w14:paraId="19EB65C0" w14:textId="3C9F0126" w:rsidR="002223B8" w:rsidRPr="00A67D29" w:rsidRDefault="002223B8">
      <w:pPr>
        <w:rPr>
          <w:rFonts w:ascii="Bookman Old Style" w:hAnsi="Bookman Old Style"/>
          <w:sz w:val="32"/>
          <w:szCs w:val="32"/>
        </w:rPr>
      </w:pPr>
      <w:r w:rsidRPr="00A67D29">
        <w:rPr>
          <w:rFonts w:ascii="Bookman Old Style" w:hAnsi="Bookman Old Style"/>
          <w:sz w:val="32"/>
          <w:szCs w:val="32"/>
        </w:rPr>
        <w:t>2306132</w:t>
      </w:r>
    </w:p>
    <w:p w14:paraId="6D18D39C" w14:textId="77777777" w:rsidR="002223B8" w:rsidRPr="00A67D29" w:rsidRDefault="002223B8">
      <w:pPr>
        <w:rPr>
          <w:rFonts w:ascii="Bookman Old Style" w:hAnsi="Bookman Old Style"/>
          <w:sz w:val="32"/>
          <w:szCs w:val="32"/>
        </w:rPr>
      </w:pPr>
    </w:p>
    <w:p w14:paraId="42F2E500" w14:textId="5A2A6934" w:rsidR="00B274D3" w:rsidRPr="00673078" w:rsidRDefault="00B274D3" w:rsidP="00673078">
      <w:pPr>
        <w:spacing w:line="480" w:lineRule="auto"/>
        <w:ind w:firstLine="360"/>
        <w:rPr>
          <w:rFonts w:ascii="Bookman Old Style" w:hAnsi="Bookman Old Style"/>
          <w:sz w:val="22"/>
          <w:szCs w:val="22"/>
        </w:rPr>
      </w:pPr>
      <w:r w:rsidRPr="00673078">
        <w:rPr>
          <w:rFonts w:ascii="Bookman Old Style" w:hAnsi="Bookman Old Style"/>
          <w:sz w:val="22"/>
          <w:szCs w:val="22"/>
        </w:rPr>
        <w:t xml:space="preserve">Riffat Hassan </w:t>
      </w:r>
      <w:r w:rsidR="002E10FF" w:rsidRPr="00673078">
        <w:rPr>
          <w:rFonts w:ascii="Bookman Old Style" w:hAnsi="Bookman Old Style"/>
          <w:sz w:val="22"/>
          <w:szCs w:val="22"/>
        </w:rPr>
        <w:t xml:space="preserve">is a leading Islamic feminist scholar, one of her main arguments centering around the creation story of Eve. She argues against the previous interpretation of passages in the </w:t>
      </w:r>
      <w:r w:rsidR="00684DCF" w:rsidRPr="00673078">
        <w:rPr>
          <w:rFonts w:ascii="Bookman Old Style" w:hAnsi="Bookman Old Style"/>
          <w:sz w:val="22"/>
          <w:szCs w:val="22"/>
        </w:rPr>
        <w:t>Qur’an</w:t>
      </w:r>
      <w:r w:rsidR="00A67D29" w:rsidRPr="00673078">
        <w:rPr>
          <w:rFonts w:ascii="Bookman Old Style" w:hAnsi="Bookman Old Style"/>
          <w:sz w:val="22"/>
          <w:szCs w:val="22"/>
        </w:rPr>
        <w:t xml:space="preserve"> that have left traditions and cultures embedded into Muslim societies </w:t>
      </w:r>
      <w:r w:rsidR="00EC4B87" w:rsidRPr="00673078">
        <w:rPr>
          <w:rFonts w:ascii="Bookman Old Style" w:hAnsi="Bookman Old Style"/>
          <w:sz w:val="22"/>
          <w:szCs w:val="22"/>
        </w:rPr>
        <w:t xml:space="preserve">that she believed to have been misinterpreted. Hassan takes a new look on these passages looking at it through a feminist eye, questioning </w:t>
      </w:r>
      <w:r w:rsidR="00684DCF" w:rsidRPr="00673078">
        <w:rPr>
          <w:rFonts w:ascii="Bookman Old Style" w:hAnsi="Bookman Old Style"/>
          <w:sz w:val="22"/>
          <w:szCs w:val="22"/>
        </w:rPr>
        <w:t>whether</w:t>
      </w:r>
      <w:r w:rsidR="00EC4B87" w:rsidRPr="00673078">
        <w:rPr>
          <w:rFonts w:ascii="Bookman Old Style" w:hAnsi="Bookman Old Style"/>
          <w:sz w:val="22"/>
          <w:szCs w:val="22"/>
        </w:rPr>
        <w:t xml:space="preserve"> what had been followed for centuries was what the actual meaning of the original passage had been. Her contributions to the discussion of the rising theme of Islamic feminism has been immense and vital, while still drawing criticism from other scholars. </w:t>
      </w:r>
      <w:r w:rsidR="00833928" w:rsidRPr="00673078">
        <w:rPr>
          <w:rFonts w:ascii="Bookman Old Style" w:hAnsi="Bookman Old Style"/>
          <w:sz w:val="22"/>
          <w:szCs w:val="22"/>
        </w:rPr>
        <w:t xml:space="preserve">She rejects the </w:t>
      </w:r>
      <w:r w:rsidR="00684DCF" w:rsidRPr="00673078">
        <w:rPr>
          <w:rFonts w:ascii="Bookman Old Style" w:hAnsi="Bookman Old Style"/>
          <w:sz w:val="22"/>
          <w:szCs w:val="22"/>
        </w:rPr>
        <w:t>original</w:t>
      </w:r>
      <w:r w:rsidR="00833928" w:rsidRPr="00673078">
        <w:rPr>
          <w:rFonts w:ascii="Bookman Old Style" w:hAnsi="Bookman Old Style"/>
          <w:sz w:val="22"/>
          <w:szCs w:val="22"/>
        </w:rPr>
        <w:t xml:space="preserve"> interpretations of the creation story as she believes the idea actually comes from the Christian story of Adam and Eve. Hassan writes that the </w:t>
      </w:r>
      <w:r w:rsidR="00684DCF" w:rsidRPr="00673078">
        <w:rPr>
          <w:rFonts w:ascii="Bookman Old Style" w:hAnsi="Bookman Old Style"/>
          <w:sz w:val="22"/>
          <w:szCs w:val="22"/>
        </w:rPr>
        <w:t>Qur’an</w:t>
      </w:r>
      <w:r w:rsidR="00833928" w:rsidRPr="00673078">
        <w:rPr>
          <w:rFonts w:ascii="Bookman Old Style" w:hAnsi="Bookman Old Style"/>
          <w:sz w:val="22"/>
          <w:szCs w:val="22"/>
        </w:rPr>
        <w:t xml:space="preserve"> presents a more equal narrative and that the creation story and rather than referring to them as individuals, introduces the term </w:t>
      </w:r>
      <w:r w:rsidR="00833928" w:rsidRPr="00673078">
        <w:rPr>
          <w:rFonts w:ascii="Bookman Old Style" w:hAnsi="Bookman Old Style"/>
          <w:i/>
          <w:iCs/>
          <w:sz w:val="22"/>
          <w:szCs w:val="22"/>
        </w:rPr>
        <w:t xml:space="preserve">nafs wāhida, </w:t>
      </w:r>
      <w:r w:rsidR="00684DCF" w:rsidRPr="00673078">
        <w:rPr>
          <w:rFonts w:ascii="Bookman Old Style" w:hAnsi="Bookman Old Style"/>
          <w:sz w:val="22"/>
          <w:szCs w:val="22"/>
        </w:rPr>
        <w:t>a single self.</w:t>
      </w:r>
      <w:r w:rsidR="00684DCF">
        <w:rPr>
          <w:rStyle w:val="FootnoteReference"/>
          <w:rFonts w:ascii="Bookman Old Style" w:hAnsi="Bookman Old Style"/>
          <w:sz w:val="22"/>
          <w:szCs w:val="22"/>
        </w:rPr>
        <w:footnoteReference w:id="1"/>
      </w:r>
      <w:r w:rsidR="00684DCF" w:rsidRPr="00673078">
        <w:rPr>
          <w:rFonts w:ascii="Bookman Old Style" w:hAnsi="Bookman Old Style"/>
          <w:sz w:val="22"/>
          <w:szCs w:val="22"/>
        </w:rPr>
        <w:t xml:space="preserve"> </w:t>
      </w:r>
      <w:r w:rsidR="00051C71" w:rsidRPr="00673078">
        <w:rPr>
          <w:rFonts w:ascii="Bookman Old Style" w:hAnsi="Bookman Old Style"/>
          <w:sz w:val="22"/>
          <w:szCs w:val="22"/>
        </w:rPr>
        <w:t xml:space="preserve">This work shall examine and analyze her argument, her methodology, as well as those that criticize her work and the arguments against it. </w:t>
      </w:r>
      <w:r w:rsidR="00A23C76">
        <w:rPr>
          <w:rFonts w:ascii="Bookman Old Style" w:hAnsi="Bookman Old Style"/>
          <w:sz w:val="22"/>
          <w:szCs w:val="22"/>
        </w:rPr>
        <w:t xml:space="preserve">While her work has been a cornerstone of Islamic feminism, it has not gone without drawing criticism from other scholars within the Islamic space. Hassan’s use of solely relying on the Qur’an and only relying on the Hadith when it suits her argument has drawn the criticism of </w:t>
      </w:r>
      <w:r w:rsidR="00A23C76">
        <w:rPr>
          <w:rFonts w:ascii="Bookman Old Style" w:hAnsi="Bookman Old Style"/>
          <w:sz w:val="22"/>
          <w:szCs w:val="22"/>
        </w:rPr>
        <w:lastRenderedPageBreak/>
        <w:t xml:space="preserve">scholars such as </w:t>
      </w:r>
      <w:r w:rsidR="00A23C76" w:rsidRPr="00A23C76">
        <w:rPr>
          <w:rFonts w:ascii="Bookman Old Style" w:hAnsi="Bookman Old Style"/>
          <w:sz w:val="22"/>
          <w:szCs w:val="22"/>
        </w:rPr>
        <w:t>Ayesha Hidayatullah</w:t>
      </w:r>
      <w:r w:rsidR="00A23C76">
        <w:rPr>
          <w:rFonts w:ascii="Bookman Old Style" w:hAnsi="Bookman Old Style"/>
          <w:sz w:val="22"/>
          <w:szCs w:val="22"/>
        </w:rPr>
        <w:t xml:space="preserve"> and Kecia Ali. When looking through Hassan’s research it is important to </w:t>
      </w:r>
      <w:r w:rsidR="00DA016C">
        <w:rPr>
          <w:rFonts w:ascii="Bookman Old Style" w:hAnsi="Bookman Old Style"/>
          <w:sz w:val="22"/>
          <w:szCs w:val="22"/>
        </w:rPr>
        <w:t xml:space="preserve">consider those who criticize her use of the Hadith as it adds further to the conversation surrounding Islamic feminism. </w:t>
      </w:r>
    </w:p>
    <w:p w14:paraId="5A645D27" w14:textId="4AA5DF73" w:rsidR="002223B8" w:rsidRPr="00C05C32" w:rsidRDefault="00397B3C" w:rsidP="00C05C32">
      <w:pPr>
        <w:spacing w:line="480" w:lineRule="auto"/>
        <w:ind w:firstLine="360"/>
        <w:rPr>
          <w:rFonts w:ascii="Bookman Old Style" w:hAnsi="Bookman Old Style"/>
          <w:sz w:val="22"/>
          <w:szCs w:val="22"/>
        </w:rPr>
      </w:pPr>
      <w:r w:rsidRPr="00673078">
        <w:rPr>
          <w:rFonts w:ascii="Bookman Old Style" w:hAnsi="Bookman Old Style"/>
          <w:sz w:val="22"/>
          <w:szCs w:val="22"/>
        </w:rPr>
        <w:t xml:space="preserve">Riffat Hassan is </w:t>
      </w:r>
      <w:r w:rsidR="00684DCF" w:rsidRPr="00673078">
        <w:rPr>
          <w:rFonts w:ascii="Bookman Old Style" w:hAnsi="Bookman Old Style"/>
          <w:sz w:val="22"/>
          <w:szCs w:val="22"/>
        </w:rPr>
        <w:t>a</w:t>
      </w:r>
      <w:r w:rsidRPr="00673078">
        <w:rPr>
          <w:rFonts w:ascii="Bookman Old Style" w:hAnsi="Bookman Old Style"/>
          <w:sz w:val="22"/>
          <w:szCs w:val="22"/>
        </w:rPr>
        <w:t xml:space="preserve"> Pakistani-American theologian who is a leading Islamic feminist scholar.</w:t>
      </w:r>
      <w:r w:rsidR="00051C71" w:rsidRPr="00673078">
        <w:rPr>
          <w:rFonts w:ascii="Bookman Old Style" w:hAnsi="Bookman Old Style"/>
          <w:sz w:val="22"/>
          <w:szCs w:val="22"/>
        </w:rPr>
        <w:t xml:space="preserve"> She has taught within many institutions</w:t>
      </w:r>
      <w:r w:rsidR="00D125B6" w:rsidRPr="00673078">
        <w:rPr>
          <w:rFonts w:ascii="Bookman Old Style" w:hAnsi="Bookman Old Style"/>
          <w:sz w:val="22"/>
          <w:szCs w:val="22"/>
        </w:rPr>
        <w:t xml:space="preserve"> and was trained within Qur’anic studies</w:t>
      </w:r>
      <w:r w:rsidR="001F5407" w:rsidRPr="00673078">
        <w:rPr>
          <w:rFonts w:ascii="Bookman Old Style" w:hAnsi="Bookman Old Style"/>
          <w:sz w:val="22"/>
          <w:szCs w:val="22"/>
        </w:rPr>
        <w:t>, eventually becoming a Professor Emerita at the University of Louisville in Kentucky</w:t>
      </w:r>
      <w:r w:rsidR="00D125B6" w:rsidRPr="00673078">
        <w:rPr>
          <w:rFonts w:ascii="Bookman Old Style" w:hAnsi="Bookman Old Style"/>
          <w:sz w:val="22"/>
          <w:szCs w:val="22"/>
        </w:rPr>
        <w:t>.</w:t>
      </w:r>
      <w:r w:rsidR="001F5407" w:rsidRPr="00673078">
        <w:rPr>
          <w:rFonts w:ascii="Bookman Old Style" w:hAnsi="Bookman Old Style"/>
          <w:sz w:val="22"/>
          <w:szCs w:val="22"/>
        </w:rPr>
        <w:t xml:space="preserve"> Having taught for over thirty years she has made her impact on the world of academia.</w:t>
      </w:r>
      <w:r w:rsidR="00D125B6" w:rsidRPr="00673078">
        <w:rPr>
          <w:rFonts w:ascii="Bookman Old Style" w:hAnsi="Bookman Old Style"/>
          <w:sz w:val="22"/>
          <w:szCs w:val="22"/>
        </w:rPr>
        <w:t xml:space="preserve"> Through her writings she was one of the first scholars to create this Islamic feminist ideology, making her a pioneer of the movement.</w:t>
      </w:r>
      <w:r w:rsidRPr="00673078">
        <w:rPr>
          <w:rFonts w:ascii="Bookman Old Style" w:hAnsi="Bookman Old Style"/>
          <w:sz w:val="22"/>
          <w:szCs w:val="22"/>
        </w:rPr>
        <w:t xml:space="preserve"> </w:t>
      </w:r>
    </w:p>
    <w:p w14:paraId="281C125D" w14:textId="568FAF45" w:rsidR="001F5407" w:rsidRPr="00673078" w:rsidRDefault="001F5407" w:rsidP="00673078">
      <w:pPr>
        <w:spacing w:line="480" w:lineRule="auto"/>
        <w:ind w:firstLine="360"/>
        <w:rPr>
          <w:rFonts w:ascii="Bookman Old Style" w:hAnsi="Bookman Old Style"/>
          <w:sz w:val="22"/>
          <w:szCs w:val="22"/>
        </w:rPr>
      </w:pPr>
      <w:r w:rsidRPr="00673078">
        <w:rPr>
          <w:rFonts w:ascii="Bookman Old Style" w:hAnsi="Bookman Old Style"/>
          <w:sz w:val="22"/>
          <w:szCs w:val="22"/>
        </w:rPr>
        <w:t>Beyond just the challenging of the narrative surrounding the Qur’anic studies of the creation myth, she has been a strong advocate against “honor killings”, where a person is killed by their family for bringing shame upon their family for a multitude of reasons, and is disproportionately a crime that is committed against women.</w:t>
      </w:r>
      <w:r w:rsidR="008A5C4B">
        <w:rPr>
          <w:rStyle w:val="FootnoteReference"/>
          <w:rFonts w:ascii="Bookman Old Style" w:hAnsi="Bookman Old Style"/>
          <w:sz w:val="22"/>
          <w:szCs w:val="22"/>
        </w:rPr>
        <w:footnoteReference w:id="2"/>
      </w:r>
      <w:r w:rsidRPr="00673078">
        <w:rPr>
          <w:rFonts w:ascii="Bookman Old Style" w:hAnsi="Bookman Old Style"/>
          <w:sz w:val="22"/>
          <w:szCs w:val="22"/>
        </w:rPr>
        <w:t xml:space="preserve"> Her work also helps change the narrative that typically surrounds Islam within the Western world.</w:t>
      </w:r>
      <w:r w:rsidR="002F04D8" w:rsidRPr="00673078">
        <w:rPr>
          <w:rFonts w:ascii="Bookman Old Style" w:hAnsi="Bookman Old Style"/>
          <w:sz w:val="22"/>
          <w:szCs w:val="22"/>
        </w:rPr>
        <w:t xml:space="preserve"> Such as the belief that Islam is inherently misogynistic and cannot be viewed in any other way.</w:t>
      </w:r>
      <w:r w:rsidRPr="00673078">
        <w:rPr>
          <w:rFonts w:ascii="Bookman Old Style" w:hAnsi="Bookman Old Style"/>
          <w:sz w:val="22"/>
          <w:szCs w:val="22"/>
        </w:rPr>
        <w:t xml:space="preserve"> The reinterpretation of the Qur’an shows a more egalitarian and </w:t>
      </w:r>
      <w:r w:rsidR="00D6385D" w:rsidRPr="00673078">
        <w:rPr>
          <w:rFonts w:ascii="Bookman Old Style" w:hAnsi="Bookman Old Style"/>
          <w:sz w:val="22"/>
          <w:szCs w:val="22"/>
        </w:rPr>
        <w:t>liberal world view than can be seen in the Bible and shows how a lot of traditions in Islamic culture actually comes from the crossing of culture between the Christian and Islamic worlds. An example could be how the concept of hair coverings and the use of the hijab, which was actually originally a Chri</w:t>
      </w:r>
      <w:r w:rsidR="00F02128" w:rsidRPr="00673078">
        <w:rPr>
          <w:rFonts w:ascii="Bookman Old Style" w:hAnsi="Bookman Old Style"/>
          <w:sz w:val="22"/>
          <w:szCs w:val="22"/>
        </w:rPr>
        <w:t>s</w:t>
      </w:r>
      <w:r w:rsidR="00D6385D" w:rsidRPr="00673078">
        <w:rPr>
          <w:rFonts w:ascii="Bookman Old Style" w:hAnsi="Bookman Old Style"/>
          <w:sz w:val="22"/>
          <w:szCs w:val="22"/>
        </w:rPr>
        <w:t xml:space="preserve">tian practice but as the centuries have gone on, it has become a forgotten tradition within Christianity and has shifted towards Islam and has almost become synonymous with Muslim women and is expected of Muslim women. </w:t>
      </w:r>
      <w:r w:rsidR="008A5C4B" w:rsidRPr="00673078">
        <w:rPr>
          <w:rFonts w:ascii="Bookman Old Style" w:hAnsi="Bookman Old Style"/>
          <w:sz w:val="22"/>
          <w:szCs w:val="22"/>
        </w:rPr>
        <w:t xml:space="preserve">In comparison to many secular feminist scholars, Hassan </w:t>
      </w:r>
      <w:r w:rsidR="008A5C4B" w:rsidRPr="00673078">
        <w:rPr>
          <w:rFonts w:ascii="Bookman Old Style" w:hAnsi="Bookman Old Style"/>
          <w:sz w:val="22"/>
          <w:szCs w:val="22"/>
        </w:rPr>
        <w:lastRenderedPageBreak/>
        <w:t xml:space="preserve">situates her beliefs still within the Islamic faith while critiquing the culture and practices that have surrounded </w:t>
      </w:r>
      <w:r w:rsidR="00673078" w:rsidRPr="00673078">
        <w:rPr>
          <w:rFonts w:ascii="Bookman Old Style" w:hAnsi="Bookman Old Style"/>
          <w:sz w:val="22"/>
          <w:szCs w:val="22"/>
        </w:rPr>
        <w:t>Islam</w:t>
      </w:r>
      <w:r w:rsidR="008A5C4B" w:rsidRPr="00673078">
        <w:rPr>
          <w:rFonts w:ascii="Bookman Old Style" w:hAnsi="Bookman Old Style"/>
          <w:sz w:val="22"/>
          <w:szCs w:val="22"/>
        </w:rPr>
        <w:t xml:space="preserve"> for centuries</w:t>
      </w:r>
      <w:r w:rsidR="00E83348" w:rsidRPr="00673078">
        <w:rPr>
          <w:rFonts w:ascii="Bookman Old Style" w:hAnsi="Bookman Old Style"/>
          <w:sz w:val="22"/>
          <w:szCs w:val="22"/>
        </w:rPr>
        <w:t>.</w:t>
      </w:r>
    </w:p>
    <w:p w14:paraId="48A0EB60" w14:textId="0E3ABCC1" w:rsidR="00FE62C8" w:rsidRDefault="00622331" w:rsidP="00C05C32">
      <w:pPr>
        <w:spacing w:line="480" w:lineRule="auto"/>
        <w:ind w:firstLine="360"/>
        <w:rPr>
          <w:rFonts w:ascii="Bookman Old Style" w:hAnsi="Bookman Old Style"/>
          <w:sz w:val="22"/>
          <w:szCs w:val="22"/>
        </w:rPr>
      </w:pPr>
      <w:r w:rsidRPr="00673078">
        <w:rPr>
          <w:rFonts w:ascii="Bookman Old Style" w:hAnsi="Bookman Old Style"/>
          <w:sz w:val="22"/>
          <w:szCs w:val="22"/>
        </w:rPr>
        <w:t xml:space="preserve">Through her research she argues that three widely held beliefs: the belief that woman was created second making her inferior, </w:t>
      </w:r>
      <w:r w:rsidR="00985689" w:rsidRPr="00673078">
        <w:rPr>
          <w:rFonts w:ascii="Bookman Old Style" w:hAnsi="Bookman Old Style"/>
          <w:sz w:val="22"/>
          <w:szCs w:val="22"/>
        </w:rPr>
        <w:t>that woman was created from a part of man (the rib), and that woman was the one responsible for humanity being removed from Paradise. These beliefs are deeply imbedded not just in Islam but throughout Judaism and Christianity. Even secular people will know of the story of Adam and Eve and ho</w:t>
      </w:r>
      <w:r w:rsidR="00A63CE4">
        <w:rPr>
          <w:rFonts w:ascii="Bookman Old Style" w:hAnsi="Bookman Old Style"/>
          <w:sz w:val="22"/>
          <w:szCs w:val="22"/>
        </w:rPr>
        <w:t>w</w:t>
      </w:r>
      <w:r w:rsidR="00985689" w:rsidRPr="00673078">
        <w:rPr>
          <w:rFonts w:ascii="Bookman Old Style" w:hAnsi="Bookman Old Style"/>
          <w:sz w:val="22"/>
          <w:szCs w:val="22"/>
        </w:rPr>
        <w:t xml:space="preserve"> Eve was made from the “crooked rib” from Adam while he slept</w:t>
      </w:r>
      <w:r w:rsidR="00A63CE4">
        <w:rPr>
          <w:rFonts w:ascii="Bookman Old Style" w:hAnsi="Bookman Old Style"/>
          <w:sz w:val="22"/>
          <w:szCs w:val="22"/>
        </w:rPr>
        <w:t>, the specific use of the rib being “crooked” adds another layer to women’s inferiority, the crooked part of the rib alluding to the fact that woman requires the man to guide her and that her views and actions will be “crooked”</w:t>
      </w:r>
      <w:r w:rsidR="00985689" w:rsidRPr="00673078">
        <w:rPr>
          <w:rFonts w:ascii="Bookman Old Style" w:hAnsi="Bookman Old Style"/>
          <w:sz w:val="22"/>
          <w:szCs w:val="22"/>
        </w:rPr>
        <w:t>. And the popular story of Eve being tempted by the snake that was actually Satan in disguise, her consuming of the forbidden fruit then led to the expulsion of Adam and Eve from the Garden of Eden. However this story comes specifically from the book of Genesis</w:t>
      </w:r>
      <w:r w:rsidR="004B3CF5" w:rsidRPr="00673078">
        <w:rPr>
          <w:rFonts w:ascii="Bookman Old Style" w:hAnsi="Bookman Old Style"/>
          <w:sz w:val="22"/>
          <w:szCs w:val="22"/>
        </w:rPr>
        <w:t>. Hassa</w:t>
      </w:r>
      <w:r w:rsidR="00A63CE4">
        <w:rPr>
          <w:rFonts w:ascii="Bookman Old Style" w:hAnsi="Bookman Old Style"/>
          <w:sz w:val="22"/>
          <w:szCs w:val="22"/>
        </w:rPr>
        <w:t>n</w:t>
      </w:r>
      <w:r w:rsidR="004B3CF5" w:rsidRPr="00673078">
        <w:rPr>
          <w:rFonts w:ascii="Bookman Old Style" w:hAnsi="Bookman Old Style"/>
          <w:sz w:val="22"/>
          <w:szCs w:val="22"/>
        </w:rPr>
        <w:t xml:space="preserve"> argues that within the Qur’an this is not how the story is written.</w:t>
      </w:r>
    </w:p>
    <w:p w14:paraId="25A1C61D" w14:textId="5F3B5340" w:rsidR="00FE62C8" w:rsidRDefault="00FE62C8" w:rsidP="00FE62C8">
      <w:pPr>
        <w:spacing w:line="480" w:lineRule="auto"/>
        <w:ind w:left="720"/>
        <w:rPr>
          <w:rFonts w:ascii="Bookman Old Style" w:hAnsi="Bookman Old Style"/>
          <w:sz w:val="22"/>
          <w:szCs w:val="22"/>
        </w:rPr>
      </w:pPr>
      <w:r w:rsidRPr="00FE62C8">
        <w:rPr>
          <w:rFonts w:ascii="Bookman Old Style" w:hAnsi="Bookman Old Style"/>
          <w:sz w:val="22"/>
          <w:szCs w:val="22"/>
        </w:rPr>
        <w:t>While in Genesis, specific reference is made to the creation of Adam and Eve, there is no corresponding reference in the Qur'an. In fact, there is no mention of Eve </w:t>
      </w:r>
      <w:r w:rsidRPr="00FE62C8">
        <w:rPr>
          <w:rFonts w:ascii="Bookman Old Style" w:hAnsi="Bookman Old Style"/>
          <w:i/>
          <w:iCs/>
          <w:sz w:val="22"/>
          <w:szCs w:val="22"/>
        </w:rPr>
        <w:t>(Hawwa') </w:t>
      </w:r>
      <w:r w:rsidRPr="00FE62C8">
        <w:rPr>
          <w:rFonts w:ascii="Bookman Old Style" w:hAnsi="Bookman Old Style"/>
          <w:sz w:val="22"/>
          <w:szCs w:val="22"/>
        </w:rPr>
        <w:t>at all in the Qur'an. The term </w:t>
      </w:r>
      <w:r w:rsidRPr="00FE62C8">
        <w:rPr>
          <w:rFonts w:ascii="Bookman Old Style" w:hAnsi="Bookman Old Style"/>
          <w:i/>
          <w:iCs/>
          <w:sz w:val="22"/>
          <w:szCs w:val="22"/>
        </w:rPr>
        <w:t>Adam</w:t>
      </w:r>
      <w:r w:rsidRPr="00FE62C8">
        <w:rPr>
          <w:rFonts w:ascii="Bookman Old Style" w:hAnsi="Bookman Old Style"/>
          <w:sz w:val="22"/>
          <w:szCs w:val="22"/>
        </w:rPr>
        <w:t> occurs twenty-five times in the Qur'an, but there is only one verse (</w:t>
      </w:r>
      <w:r w:rsidRPr="00FE62C8">
        <w:rPr>
          <w:rFonts w:ascii="Bookman Old Style" w:hAnsi="Bookman Old Style"/>
          <w:i/>
          <w:iCs/>
          <w:sz w:val="22"/>
          <w:szCs w:val="22"/>
        </w:rPr>
        <w:t>Surah</w:t>
      </w:r>
      <w:r w:rsidRPr="00FE62C8">
        <w:rPr>
          <w:rFonts w:ascii="Bookman Old Style" w:hAnsi="Bookman Old Style"/>
          <w:sz w:val="22"/>
          <w:szCs w:val="22"/>
        </w:rPr>
        <w:t> 3: </w:t>
      </w:r>
      <w:r w:rsidRPr="00FE62C8">
        <w:rPr>
          <w:rFonts w:ascii="Bookman Old Style" w:hAnsi="Bookman Old Style"/>
          <w:i/>
          <w:iCs/>
          <w:sz w:val="22"/>
          <w:szCs w:val="22"/>
        </w:rPr>
        <w:t>Al-'Imran:</w:t>
      </w:r>
      <w:r w:rsidRPr="00FE62C8">
        <w:rPr>
          <w:rFonts w:ascii="Bookman Old Style" w:hAnsi="Bookman Old Style"/>
          <w:sz w:val="22"/>
          <w:szCs w:val="22"/>
        </w:rPr>
        <w:t>59)</w:t>
      </w:r>
      <w:r w:rsidRPr="00FE62C8">
        <w:rPr>
          <w:rFonts w:ascii="Bookman Old Style" w:hAnsi="Bookman Old Style"/>
          <w:i/>
          <w:iCs/>
          <w:sz w:val="22"/>
          <w:szCs w:val="22"/>
        </w:rPr>
        <w:t> </w:t>
      </w:r>
      <w:r w:rsidRPr="00FE62C8">
        <w:rPr>
          <w:rFonts w:ascii="Bookman Old Style" w:hAnsi="Bookman Old Style"/>
          <w:sz w:val="22"/>
          <w:szCs w:val="22"/>
        </w:rPr>
        <w:t>that refers to the creation of Adam: "Certainly with Allah the likeness of 'Isa [Jesus] is as the likeness of Adam</w:t>
      </w:r>
      <w:r w:rsidR="00DC332C" w:rsidRPr="00FE62C8">
        <w:rPr>
          <w:rFonts w:ascii="Bookman Old Style" w:hAnsi="Bookman Old Style"/>
          <w:sz w:val="22"/>
          <w:szCs w:val="22"/>
        </w:rPr>
        <w:t xml:space="preserve">. </w:t>
      </w:r>
      <w:r w:rsidRPr="00FE62C8">
        <w:rPr>
          <w:rFonts w:ascii="Bookman Old Style" w:hAnsi="Bookman Old Style"/>
          <w:sz w:val="22"/>
          <w:szCs w:val="22"/>
        </w:rPr>
        <w:t>Allah created him from the earth then said to him, "Be," and he was."</w:t>
      </w:r>
      <w:r>
        <w:rPr>
          <w:rStyle w:val="FootnoteReference"/>
          <w:rFonts w:ascii="Bookman Old Style" w:hAnsi="Bookman Old Style"/>
          <w:sz w:val="22"/>
          <w:szCs w:val="22"/>
        </w:rPr>
        <w:footnoteReference w:id="3"/>
      </w:r>
    </w:p>
    <w:p w14:paraId="22CA8B61" w14:textId="60728D40" w:rsidR="008E6888" w:rsidRDefault="004B3CF5" w:rsidP="00FE62C8">
      <w:pPr>
        <w:spacing w:line="480" w:lineRule="auto"/>
        <w:rPr>
          <w:rFonts w:ascii="Bookman Old Style" w:hAnsi="Bookman Old Style"/>
          <w:sz w:val="22"/>
          <w:szCs w:val="22"/>
        </w:rPr>
      </w:pPr>
      <w:r w:rsidRPr="00673078">
        <w:rPr>
          <w:rFonts w:ascii="Bookman Old Style" w:hAnsi="Bookman Old Style"/>
          <w:sz w:val="22"/>
          <w:szCs w:val="22"/>
        </w:rPr>
        <w:lastRenderedPageBreak/>
        <w:t xml:space="preserve"> Through multiple verses it is seen that the term </w:t>
      </w:r>
      <w:r w:rsidR="008E6888">
        <w:rPr>
          <w:rFonts w:ascii="Bookman Old Style" w:hAnsi="Bookman Old Style"/>
          <w:sz w:val="22"/>
          <w:szCs w:val="22"/>
        </w:rPr>
        <w:t>E</w:t>
      </w:r>
      <w:r w:rsidRPr="00673078">
        <w:rPr>
          <w:rFonts w:ascii="Bookman Old Style" w:hAnsi="Bookman Old Style"/>
          <w:sz w:val="22"/>
          <w:szCs w:val="22"/>
        </w:rPr>
        <w:t>ve is never actually mentioned, while in Genesis there are two separate stories for the creation of Adam and then Eve, there is no such thing in the Qur’an.</w:t>
      </w:r>
      <w:r w:rsidR="00673078">
        <w:rPr>
          <w:rStyle w:val="FootnoteReference"/>
          <w:rFonts w:ascii="Bookman Old Style" w:hAnsi="Bookman Old Style"/>
          <w:sz w:val="22"/>
          <w:szCs w:val="22"/>
        </w:rPr>
        <w:footnoteReference w:id="4"/>
      </w:r>
      <w:r w:rsidR="00673078">
        <w:rPr>
          <w:rFonts w:ascii="Bookman Old Style" w:hAnsi="Bookman Old Style"/>
          <w:sz w:val="22"/>
          <w:szCs w:val="22"/>
        </w:rPr>
        <w:t xml:space="preserve"> Within the Qur’an the creation story does refer to Adam, but Hassan mentions how it was not necessarily as a single individual but could rather be referring to humanity as a whole.</w:t>
      </w:r>
    </w:p>
    <w:p w14:paraId="7BBA2C09" w14:textId="2A6BAD82" w:rsidR="008E6888" w:rsidRDefault="008E6888" w:rsidP="008E6888">
      <w:pPr>
        <w:spacing w:line="480" w:lineRule="auto"/>
        <w:ind w:left="720"/>
        <w:rPr>
          <w:rFonts w:ascii="Bookman Old Style" w:hAnsi="Bookman Old Style"/>
          <w:sz w:val="22"/>
          <w:szCs w:val="22"/>
        </w:rPr>
      </w:pPr>
      <w:r w:rsidRPr="008E6888">
        <w:rPr>
          <w:rFonts w:ascii="Bookman Old Style" w:hAnsi="Bookman Old Style"/>
          <w:sz w:val="22"/>
          <w:szCs w:val="22"/>
        </w:rPr>
        <w:t>It is He - Allah -Who created you from a single being (</w:t>
      </w:r>
      <w:r w:rsidRPr="008E6888">
        <w:rPr>
          <w:rFonts w:ascii="Bookman Old Style" w:hAnsi="Bookman Old Style"/>
          <w:i/>
          <w:iCs/>
          <w:sz w:val="22"/>
          <w:szCs w:val="22"/>
        </w:rPr>
        <w:t xml:space="preserve">nafs </w:t>
      </w:r>
      <w:r w:rsidRPr="008E6888">
        <w:rPr>
          <w:rFonts w:ascii="Bookman Old Style" w:hAnsi="Bookman Old Style"/>
          <w:i/>
          <w:iCs/>
          <w:sz w:val="22"/>
          <w:szCs w:val="22"/>
        </w:rPr>
        <w:t>wāhida</w:t>
      </w:r>
      <w:r w:rsidRPr="008E6888">
        <w:rPr>
          <w:rFonts w:ascii="Bookman Old Style" w:hAnsi="Bookman Old Style"/>
          <w:sz w:val="22"/>
          <w:szCs w:val="22"/>
        </w:rPr>
        <w:t>), and out of it He made its mate, that he may find comfort in her (Al-A'raf [7]: 189).</w:t>
      </w:r>
    </w:p>
    <w:p w14:paraId="78B957BB" w14:textId="5DCBD533" w:rsidR="008A5C4B" w:rsidRDefault="00673078" w:rsidP="008E6888">
      <w:pPr>
        <w:spacing w:line="480" w:lineRule="auto"/>
        <w:rPr>
          <w:rFonts w:ascii="Bookman Old Style" w:hAnsi="Bookman Old Style"/>
          <w:sz w:val="22"/>
          <w:szCs w:val="22"/>
        </w:rPr>
      </w:pPr>
      <w:r>
        <w:rPr>
          <w:rFonts w:ascii="Bookman Old Style" w:hAnsi="Bookman Old Style"/>
          <w:sz w:val="22"/>
          <w:szCs w:val="22"/>
        </w:rPr>
        <w:t xml:space="preserve"> It also mentions how both Adam and his spouse were tempted by Satan, rather than just the woman. </w:t>
      </w:r>
      <w:r w:rsidR="007E4BB6">
        <w:rPr>
          <w:rFonts w:ascii="Bookman Old Style" w:hAnsi="Bookman Old Style"/>
          <w:sz w:val="22"/>
          <w:szCs w:val="22"/>
        </w:rPr>
        <w:t>While other scholars may say that the Qur’an leaves the creation of woman undefined and separate from man, Hassan says that that is fundamentally not true and that it is clear woman is created in the same manner as man, from the same substance, and from the same process, so rather than being separate they are exactly the same, contrary to what the common thought is.</w:t>
      </w:r>
      <w:r w:rsidR="007E4BB6">
        <w:rPr>
          <w:rStyle w:val="FootnoteReference"/>
          <w:rFonts w:ascii="Bookman Old Style" w:hAnsi="Bookman Old Style"/>
          <w:sz w:val="22"/>
          <w:szCs w:val="22"/>
        </w:rPr>
        <w:footnoteReference w:id="5"/>
      </w:r>
      <w:r w:rsidR="007E4BB6">
        <w:rPr>
          <w:rFonts w:ascii="Bookman Old Style" w:hAnsi="Bookman Old Style"/>
          <w:sz w:val="22"/>
          <w:szCs w:val="22"/>
        </w:rPr>
        <w:t xml:space="preserve"> </w:t>
      </w:r>
      <w:r w:rsidR="00FE62C8">
        <w:rPr>
          <w:rFonts w:ascii="Bookman Old Style" w:hAnsi="Bookman Old Style"/>
          <w:sz w:val="22"/>
          <w:szCs w:val="22"/>
        </w:rPr>
        <w:t>Hassan believes that fundamentally the anti-women beliefs are due to secondary sources of Islam rather than the primary source of the Qur’an</w:t>
      </w:r>
      <w:r w:rsidR="00C8222A">
        <w:rPr>
          <w:rFonts w:ascii="Bookman Old Style" w:hAnsi="Bookman Old Style"/>
          <w:sz w:val="22"/>
          <w:szCs w:val="22"/>
        </w:rPr>
        <w:t>.</w:t>
      </w:r>
      <w:r w:rsidR="00A63CE4">
        <w:rPr>
          <w:rFonts w:ascii="Bookman Old Style" w:hAnsi="Bookman Old Style"/>
          <w:sz w:val="22"/>
          <w:szCs w:val="22"/>
        </w:rPr>
        <w:t xml:space="preserve"> </w:t>
      </w:r>
    </w:p>
    <w:p w14:paraId="553B2654" w14:textId="311ACFD3" w:rsidR="00B221E5" w:rsidRDefault="00C8222A" w:rsidP="008E6888">
      <w:pPr>
        <w:spacing w:line="480" w:lineRule="auto"/>
        <w:rPr>
          <w:rFonts w:ascii="Bookman Old Style" w:hAnsi="Bookman Old Style"/>
          <w:sz w:val="22"/>
          <w:szCs w:val="22"/>
        </w:rPr>
      </w:pPr>
      <w:r>
        <w:rPr>
          <w:rFonts w:ascii="Bookman Old Style" w:hAnsi="Bookman Old Style"/>
          <w:sz w:val="22"/>
          <w:szCs w:val="22"/>
        </w:rPr>
        <w:tab/>
        <w:t xml:space="preserve">Hassan writes that the major beliefs </w:t>
      </w:r>
      <w:r w:rsidR="00152AE2">
        <w:rPr>
          <w:rFonts w:ascii="Bookman Old Style" w:hAnsi="Bookman Old Style"/>
          <w:sz w:val="22"/>
          <w:szCs w:val="22"/>
        </w:rPr>
        <w:t>s</w:t>
      </w:r>
      <w:r>
        <w:rPr>
          <w:rFonts w:ascii="Bookman Old Style" w:hAnsi="Bookman Old Style"/>
          <w:sz w:val="22"/>
          <w:szCs w:val="22"/>
        </w:rPr>
        <w:t xml:space="preserve">urrounding women in the </w:t>
      </w:r>
      <w:r w:rsidR="00DC332C">
        <w:rPr>
          <w:rFonts w:ascii="Bookman Old Style" w:hAnsi="Bookman Old Style"/>
          <w:sz w:val="22"/>
          <w:szCs w:val="22"/>
        </w:rPr>
        <w:t>hadith</w:t>
      </w:r>
      <w:r>
        <w:rPr>
          <w:rFonts w:ascii="Bookman Old Style" w:hAnsi="Bookman Old Style"/>
          <w:sz w:val="22"/>
          <w:szCs w:val="22"/>
        </w:rPr>
        <w:t xml:space="preserve"> comes from a belief around their ontology, biology, psychology.</w:t>
      </w:r>
      <w:r>
        <w:rPr>
          <w:rStyle w:val="FootnoteReference"/>
          <w:rFonts w:ascii="Bookman Old Style" w:hAnsi="Bookman Old Style"/>
          <w:sz w:val="22"/>
          <w:szCs w:val="22"/>
        </w:rPr>
        <w:footnoteReference w:id="6"/>
      </w:r>
      <w:r>
        <w:rPr>
          <w:rFonts w:ascii="Bookman Old Style" w:hAnsi="Bookman Old Style"/>
          <w:sz w:val="22"/>
          <w:szCs w:val="22"/>
        </w:rPr>
        <w:t xml:space="preserve"> She writes that many Muslim women have taken this distinction of women being lesser than passively without pushback</w:t>
      </w:r>
      <w:r w:rsidR="00B221E5">
        <w:rPr>
          <w:rFonts w:ascii="Bookman Old Style" w:hAnsi="Bookman Old Style"/>
          <w:sz w:val="22"/>
          <w:szCs w:val="22"/>
        </w:rPr>
        <w:t xml:space="preserve"> and that without that knowledge of the contents of the Bible it is impossible for Muslims to evaluate the view of women and the influence within Islam.</w:t>
      </w:r>
    </w:p>
    <w:p w14:paraId="6CB6BFCC" w14:textId="1CABEA88" w:rsidR="00B221E5" w:rsidRPr="00B221E5" w:rsidRDefault="00B221E5" w:rsidP="00B221E5">
      <w:pPr>
        <w:spacing w:line="480" w:lineRule="auto"/>
        <w:ind w:left="720"/>
        <w:rPr>
          <w:rFonts w:ascii="Bookman Old Style" w:hAnsi="Bookman Old Style"/>
          <w:sz w:val="22"/>
          <w:szCs w:val="22"/>
        </w:rPr>
      </w:pPr>
      <w:r w:rsidRPr="00B221E5">
        <w:rPr>
          <w:rFonts w:ascii="Bookman Old Style" w:hAnsi="Bookman Old Style"/>
          <w:sz w:val="22"/>
          <w:szCs w:val="22"/>
        </w:rPr>
        <w:lastRenderedPageBreak/>
        <w:t>Without some knowledge of what the Bible says about the creation of Adam and Eve, I do not believe that it is possible for Muslims to evaluate to what degree their views regarding women (particularly with reference to the issues of her creation and her responsibility in the Fall) have been influenced by the Jewish and Christian tradition rather than by the Qur’an. Such evaluation is, I believe, an essential prerequisite to developing a feminist theology rooted in the Qur’an.</w:t>
      </w:r>
      <w:r>
        <w:rPr>
          <w:rStyle w:val="FootnoteReference"/>
          <w:rFonts w:ascii="Bookman Old Style" w:hAnsi="Bookman Old Style"/>
          <w:sz w:val="22"/>
          <w:szCs w:val="22"/>
        </w:rPr>
        <w:footnoteReference w:id="7"/>
      </w:r>
    </w:p>
    <w:p w14:paraId="2C945121" w14:textId="39E8EABF" w:rsidR="00B221E5" w:rsidRDefault="00B221E5" w:rsidP="008E6888">
      <w:pPr>
        <w:spacing w:line="480" w:lineRule="auto"/>
        <w:rPr>
          <w:rFonts w:ascii="Bookman Old Style" w:hAnsi="Bookman Old Style"/>
          <w:sz w:val="22"/>
          <w:szCs w:val="22"/>
        </w:rPr>
      </w:pPr>
    </w:p>
    <w:p w14:paraId="3613E5FE" w14:textId="601BFBB6" w:rsidR="00C8222A" w:rsidRDefault="00152AE2" w:rsidP="008E6888">
      <w:pPr>
        <w:spacing w:line="480" w:lineRule="auto"/>
        <w:rPr>
          <w:rFonts w:ascii="Bookman Old Style" w:hAnsi="Bookman Old Style"/>
          <w:sz w:val="22"/>
          <w:szCs w:val="22"/>
        </w:rPr>
      </w:pPr>
      <w:r>
        <w:rPr>
          <w:rFonts w:ascii="Bookman Old Style" w:hAnsi="Bookman Old Style"/>
          <w:sz w:val="22"/>
          <w:szCs w:val="22"/>
        </w:rPr>
        <w:t xml:space="preserve"> She speaks of the need of women’s theology within Islam especially in the face of military dictatorship across her home country of Pakistan. Hassan does not believe that Muslims </w:t>
      </w:r>
      <w:r w:rsidR="00DA7563">
        <w:rPr>
          <w:rFonts w:ascii="Bookman Old Style" w:hAnsi="Bookman Old Style"/>
          <w:sz w:val="22"/>
          <w:szCs w:val="22"/>
        </w:rPr>
        <w:t>can understand the misinterpretation of the Qur’an without some prior knowledge of what is written in the Bible.</w:t>
      </w:r>
      <w:r w:rsidR="00DA7563">
        <w:rPr>
          <w:rStyle w:val="FootnoteReference"/>
          <w:rFonts w:ascii="Bookman Old Style" w:hAnsi="Bookman Old Style"/>
          <w:sz w:val="22"/>
          <w:szCs w:val="22"/>
        </w:rPr>
        <w:footnoteReference w:id="8"/>
      </w:r>
      <w:r w:rsidR="00DA7563">
        <w:rPr>
          <w:rFonts w:ascii="Bookman Old Style" w:hAnsi="Bookman Old Style"/>
          <w:sz w:val="22"/>
          <w:szCs w:val="22"/>
        </w:rPr>
        <w:t xml:space="preserve"> The evaluation is necessary for the feminist theologian to develop these interpretations and start the deconstruction of the historically anti-women sentiment that has plagued across the Abrahamic religions. </w:t>
      </w:r>
      <w:r w:rsidR="00DE5C55">
        <w:rPr>
          <w:rFonts w:ascii="Bookman Old Style" w:hAnsi="Bookman Old Style"/>
          <w:sz w:val="22"/>
          <w:szCs w:val="22"/>
        </w:rPr>
        <w:t xml:space="preserve">The belief that women are lesser than Hassan says is mostly based off of the Hadith and medieval context from the time, she forces people to look at these religious texts outside of the Qur’an </w:t>
      </w:r>
      <w:r w:rsidR="006B00F6">
        <w:rPr>
          <w:rFonts w:ascii="Bookman Old Style" w:hAnsi="Bookman Old Style"/>
          <w:sz w:val="22"/>
          <w:szCs w:val="22"/>
        </w:rPr>
        <w:t xml:space="preserve">as almost non-important and that the Qur’an is the only religious text that should really matter when it comes to an individual’s interpretation of the religion as a whole. It is known that the Qur’an leaves quite a lot of passages with a vague meaning and interpretation, which is where the Hadith comes into play to give the people an interpretation and law to follow where there is no clear answer. While these texts have to be viewed in the context of the times they came from, when thinking of medieval context it does give reasoning to the purpose surrounding the rules, especially taking into consideration the rapid growth of Christianity around this </w:t>
      </w:r>
      <w:r w:rsidR="006B00F6">
        <w:rPr>
          <w:rFonts w:ascii="Bookman Old Style" w:hAnsi="Bookman Old Style"/>
          <w:sz w:val="22"/>
          <w:szCs w:val="22"/>
        </w:rPr>
        <w:lastRenderedPageBreak/>
        <w:t xml:space="preserve">time, there is also the thought that these texts perhaps need to be reevaluated to follow with the changing times and attitudes as feminism is on the rise globally in the past fifty years. </w:t>
      </w:r>
      <w:r w:rsidR="00A63CE4">
        <w:rPr>
          <w:rFonts w:ascii="Bookman Old Style" w:hAnsi="Bookman Old Style"/>
          <w:sz w:val="22"/>
          <w:szCs w:val="22"/>
        </w:rPr>
        <w:t xml:space="preserve">Through Hassan’s work it has given rise to feminism movements in many Islamic countries such as Iran. Especially in the last few years with the rebellion against the mandatory use of the hijab, it requires the cornerstone women starting the discussion regarding women and their role within religion,. These women such as Riffat Hassan, Amina Wadud, and others to begin the conversation within the academic space to bring a professional view to the movement, it gives women this view that maybe it is not just a youthful rebellion coming from a new generation. </w:t>
      </w:r>
    </w:p>
    <w:p w14:paraId="6CD809FD" w14:textId="55E6A0A1" w:rsidR="00443BC6" w:rsidRDefault="00C05C32" w:rsidP="004627F1">
      <w:pPr>
        <w:spacing w:line="480" w:lineRule="auto"/>
        <w:ind w:firstLine="360"/>
        <w:rPr>
          <w:rFonts w:ascii="Bookman Old Style" w:hAnsi="Bookman Old Style"/>
          <w:sz w:val="22"/>
          <w:szCs w:val="22"/>
        </w:rPr>
      </w:pPr>
      <w:r>
        <w:rPr>
          <w:rFonts w:ascii="Bookman Old Style" w:hAnsi="Bookman Old Style"/>
          <w:sz w:val="22"/>
          <w:szCs w:val="22"/>
        </w:rPr>
        <w:t xml:space="preserve">While Hassan’s work has been a cornerstone of the Islamic feminist movement, it has also drawn criticism from other scholars. </w:t>
      </w:r>
      <w:r w:rsidR="008E6888">
        <w:rPr>
          <w:rFonts w:ascii="Bookman Old Style" w:hAnsi="Bookman Old Style"/>
          <w:sz w:val="22"/>
          <w:szCs w:val="22"/>
        </w:rPr>
        <w:t xml:space="preserve">There are those that disagree with her belief that themes such as Messianism don’t belong in Islam and argue that these beliefs do have a place within Islam. </w:t>
      </w:r>
      <w:r w:rsidR="004F4E30">
        <w:rPr>
          <w:rFonts w:ascii="Bookman Old Style" w:hAnsi="Bookman Old Style"/>
          <w:sz w:val="22"/>
          <w:szCs w:val="22"/>
        </w:rPr>
        <w:t xml:space="preserve">One of the key critics of her work is </w:t>
      </w:r>
      <w:r w:rsidR="004F4E30" w:rsidRPr="004F4E30">
        <w:rPr>
          <w:rFonts w:ascii="Bookman Old Style" w:hAnsi="Bookman Old Style"/>
          <w:sz w:val="22"/>
          <w:szCs w:val="22"/>
        </w:rPr>
        <w:t>Ayesha Hidayatullah</w:t>
      </w:r>
      <w:r w:rsidR="004F4E30">
        <w:rPr>
          <w:rFonts w:ascii="Bookman Old Style" w:hAnsi="Bookman Old Style"/>
          <w:sz w:val="22"/>
          <w:szCs w:val="22"/>
        </w:rPr>
        <w:t>, a scholar who writes on hermeneutics.</w:t>
      </w:r>
      <w:r w:rsidR="00347437">
        <w:rPr>
          <w:rFonts w:ascii="Bookman Old Style" w:hAnsi="Bookman Old Style"/>
          <w:sz w:val="22"/>
          <w:szCs w:val="22"/>
        </w:rPr>
        <w:t xml:space="preserve"> One of her main criticisms of those that use the Hadith as parts of their arguments is that they tend to  =not treat other documents with same level of scrutiny. She claims that they only take those reports that work within their favour and reject others rather than treating them with the same level of research.</w:t>
      </w:r>
      <w:r w:rsidR="004F4E30">
        <w:rPr>
          <w:rFonts w:ascii="Bookman Old Style" w:hAnsi="Bookman Old Style"/>
          <w:sz w:val="22"/>
          <w:szCs w:val="22"/>
        </w:rPr>
        <w:t xml:space="preserve"> </w:t>
      </w:r>
      <w:r w:rsidR="00FE62C8">
        <w:rPr>
          <w:rFonts w:ascii="Bookman Old Style" w:hAnsi="Bookman Old Style"/>
          <w:sz w:val="22"/>
          <w:szCs w:val="22"/>
        </w:rPr>
        <w:t>Other critics who criticize Islamic feminism as a whole say that the concept of feminism is a human ideology where as Islam is a way of living ones life in accordance with a divine law.</w:t>
      </w:r>
      <w:r w:rsidR="00FE62C8">
        <w:rPr>
          <w:rStyle w:val="FootnoteReference"/>
          <w:rFonts w:ascii="Bookman Old Style" w:hAnsi="Bookman Old Style"/>
          <w:sz w:val="22"/>
          <w:szCs w:val="22"/>
        </w:rPr>
        <w:footnoteReference w:id="9"/>
      </w:r>
      <w:r w:rsidR="00347437">
        <w:rPr>
          <w:rFonts w:ascii="Bookman Old Style" w:hAnsi="Bookman Old Style"/>
          <w:sz w:val="22"/>
          <w:szCs w:val="22"/>
        </w:rPr>
        <w:t xml:space="preserve"> There are those scholars that argue against Hassan’s research and say that her research is not taking into account that perhaps </w:t>
      </w:r>
      <w:r w:rsidR="00347437">
        <w:rPr>
          <w:rFonts w:ascii="Bookman Old Style" w:hAnsi="Bookman Old Style"/>
          <w:sz w:val="22"/>
          <w:szCs w:val="22"/>
        </w:rPr>
        <w:lastRenderedPageBreak/>
        <w:t xml:space="preserve">the Qur’an is written in such a way to allow these interpretations and that the Qur’an cannot be the only source for this research. </w:t>
      </w:r>
      <w:r w:rsidR="005144A0">
        <w:rPr>
          <w:rFonts w:ascii="Bookman Old Style" w:hAnsi="Bookman Old Style"/>
          <w:sz w:val="22"/>
          <w:szCs w:val="22"/>
        </w:rPr>
        <w:t xml:space="preserve"> </w:t>
      </w:r>
    </w:p>
    <w:p w14:paraId="353CC139" w14:textId="751902A7" w:rsidR="00817557" w:rsidRPr="00817557" w:rsidRDefault="00817557" w:rsidP="004627F1">
      <w:pPr>
        <w:spacing w:line="480" w:lineRule="auto"/>
        <w:ind w:firstLine="360"/>
        <w:rPr>
          <w:rFonts w:ascii="Bookman Old Style" w:hAnsi="Bookman Old Style"/>
          <w:sz w:val="22"/>
          <w:szCs w:val="22"/>
        </w:rPr>
      </w:pPr>
      <w:r w:rsidRPr="00817557">
        <w:rPr>
          <w:rFonts w:ascii="Bookman Old Style" w:hAnsi="Bookman Old Style"/>
          <w:sz w:val="22"/>
          <w:szCs w:val="22"/>
        </w:rPr>
        <w:t xml:space="preserve">Riffat Hassan’s reinterpretation of the Islamic creation narrative stands as one of the most influential contributions to contemporary Islamic feminist thought, offering both compelling methodological strengths and a series of notable weaknesses that have generated sustained scholarly debate. </w:t>
      </w:r>
      <w:r w:rsidR="00C1484B">
        <w:rPr>
          <w:rFonts w:ascii="Bookman Old Style" w:hAnsi="Bookman Old Style"/>
          <w:sz w:val="22"/>
          <w:szCs w:val="22"/>
        </w:rPr>
        <w:t>At the centre of her research is her use of the Qur’an and going back to that as a primary source for her methodological approach</w:t>
      </w:r>
      <w:r w:rsidRPr="00817557">
        <w:rPr>
          <w:rFonts w:ascii="Bookman Old Style" w:hAnsi="Bookman Old Style"/>
          <w:sz w:val="22"/>
          <w:szCs w:val="22"/>
        </w:rPr>
        <w:t>.</w:t>
      </w:r>
      <w:r w:rsidR="008F4242">
        <w:rPr>
          <w:rStyle w:val="FootnoteReference"/>
          <w:rFonts w:ascii="Bookman Old Style" w:hAnsi="Bookman Old Style"/>
          <w:sz w:val="22"/>
          <w:szCs w:val="22"/>
        </w:rPr>
        <w:footnoteReference w:id="10"/>
      </w:r>
      <w:r w:rsidRPr="00817557">
        <w:rPr>
          <w:rFonts w:ascii="Bookman Old Style" w:hAnsi="Bookman Old Style"/>
          <w:sz w:val="22"/>
          <w:szCs w:val="22"/>
        </w:rPr>
        <w:t xml:space="preserve"> One of the major strengths of her work is thus her persistent effort to disentangle the Qur’anic text from the cultural layers of interpretation that accumulated throughout Islamic history. Nowhere is this more evident than in her refutation of the widespread belief—borrowed primarily from Judeo-Christian traditions—that Eve was created from Adam’s rib and is therefore derivative, secondary, or </w:t>
      </w:r>
      <w:r w:rsidR="00C1484B">
        <w:rPr>
          <w:rFonts w:ascii="Bookman Old Style" w:hAnsi="Bookman Old Style"/>
          <w:sz w:val="22"/>
          <w:szCs w:val="22"/>
        </w:rPr>
        <w:t>biologically inferior</w:t>
      </w:r>
      <w:r w:rsidRPr="00817557">
        <w:rPr>
          <w:rFonts w:ascii="Bookman Old Style" w:hAnsi="Bookman Old Style"/>
          <w:sz w:val="22"/>
          <w:szCs w:val="22"/>
        </w:rPr>
        <w:t>.</w:t>
      </w:r>
      <w:r w:rsidR="008F4242">
        <w:rPr>
          <w:rStyle w:val="FootnoteReference"/>
          <w:rFonts w:ascii="Bookman Old Style" w:hAnsi="Bookman Old Style"/>
          <w:sz w:val="22"/>
          <w:szCs w:val="22"/>
        </w:rPr>
        <w:footnoteReference w:id="11"/>
      </w:r>
      <w:r w:rsidRPr="00817557">
        <w:rPr>
          <w:rFonts w:ascii="Bookman Old Style" w:hAnsi="Bookman Old Style"/>
          <w:sz w:val="22"/>
          <w:szCs w:val="22"/>
        </w:rPr>
        <w:t xml:space="preserve"> Hassan demonstrates convincingly that the Qur’an contains no such account; instead, she highlights that the language of nafs wā</w:t>
      </w:r>
      <w:r w:rsidRPr="00817557">
        <w:rPr>
          <w:rFonts w:ascii="Cambria" w:hAnsi="Cambria" w:cs="Cambria"/>
          <w:sz w:val="22"/>
          <w:szCs w:val="22"/>
        </w:rPr>
        <w:t>ḥ</w:t>
      </w:r>
      <w:r w:rsidRPr="00817557">
        <w:rPr>
          <w:rFonts w:ascii="Bookman Old Style" w:hAnsi="Bookman Old Style"/>
          <w:sz w:val="22"/>
          <w:szCs w:val="22"/>
        </w:rPr>
        <w:t>ida (“a single soul”) in Q.4:1 and Q.39:6 articulates a shared origin for men and women, thereby undermining theological claims of male precedence and superiority.</w:t>
      </w:r>
      <w:r w:rsidR="008F4242">
        <w:rPr>
          <w:rStyle w:val="FootnoteReference"/>
          <w:rFonts w:ascii="Bookman Old Style" w:hAnsi="Bookman Old Style"/>
          <w:sz w:val="22"/>
          <w:szCs w:val="22"/>
        </w:rPr>
        <w:footnoteReference w:id="12"/>
      </w:r>
      <w:r w:rsidRPr="00817557">
        <w:rPr>
          <w:rFonts w:ascii="Bookman Old Style" w:hAnsi="Bookman Old Style"/>
          <w:sz w:val="22"/>
          <w:szCs w:val="22"/>
        </w:rPr>
        <w:t xml:space="preserve"> This philological and theological reframing is a significant strength of her work, because it offers a hermeneutic grounded in the Qur’an’s own vocabulary rather than inherited mythologies</w:t>
      </w:r>
      <w:r w:rsidR="00C1484B">
        <w:rPr>
          <w:rFonts w:ascii="Bookman Old Style" w:hAnsi="Bookman Old Style"/>
          <w:sz w:val="22"/>
          <w:szCs w:val="22"/>
        </w:rPr>
        <w:t xml:space="preserve">, or using </w:t>
      </w:r>
      <w:r w:rsidRPr="00817557">
        <w:rPr>
          <w:rFonts w:ascii="Bookman Old Style" w:hAnsi="Bookman Old Style"/>
          <w:sz w:val="22"/>
          <w:szCs w:val="22"/>
        </w:rPr>
        <w:t xml:space="preserve">. By locating gender equality within the structure of revelation itself, rather than in modern political discourse, Hassan establishes an </w:t>
      </w:r>
      <w:r w:rsidRPr="00817557">
        <w:rPr>
          <w:rFonts w:ascii="Bookman Old Style" w:hAnsi="Bookman Old Style"/>
          <w:sz w:val="22"/>
          <w:szCs w:val="22"/>
        </w:rPr>
        <w:lastRenderedPageBreak/>
        <w:t>interpretive framework that resonates particularly strongly with Muslim women who seek change through religiously legitimate means rather than secular critique.</w:t>
      </w:r>
    </w:p>
    <w:p w14:paraId="42D341D8" w14:textId="2E8B64DF" w:rsidR="00817557" w:rsidRPr="00817557" w:rsidRDefault="00817557" w:rsidP="004627F1">
      <w:pPr>
        <w:spacing w:line="480" w:lineRule="auto"/>
        <w:ind w:firstLine="360"/>
        <w:rPr>
          <w:rFonts w:ascii="Bookman Old Style" w:hAnsi="Bookman Old Style"/>
          <w:sz w:val="22"/>
          <w:szCs w:val="22"/>
        </w:rPr>
      </w:pPr>
      <w:r w:rsidRPr="00817557">
        <w:rPr>
          <w:rFonts w:ascii="Bookman Old Style" w:hAnsi="Bookman Old Style"/>
          <w:sz w:val="22"/>
          <w:szCs w:val="22"/>
        </w:rPr>
        <w:t>Another strength of Hassan’s work is its capacity to disrupt the authority of patriarchal exegetical traditions by exposing their historical contingency. She draws attention to the fact that many classical exegetes uncritically incorporated Biblical and rabbinic narratives (the isrā’īliyyāt) into their accounts of human origins, an issue that later scholars such as Barbara Stowasser have also acknowledged.</w:t>
      </w:r>
      <w:r w:rsidR="008F4242">
        <w:rPr>
          <w:rStyle w:val="FootnoteReference"/>
          <w:rFonts w:ascii="Bookman Old Style" w:hAnsi="Bookman Old Style"/>
          <w:sz w:val="22"/>
          <w:szCs w:val="22"/>
        </w:rPr>
        <w:footnoteReference w:id="13"/>
      </w:r>
      <w:r w:rsidRPr="00817557">
        <w:rPr>
          <w:rFonts w:ascii="Bookman Old Style" w:hAnsi="Bookman Old Style"/>
          <w:sz w:val="22"/>
          <w:szCs w:val="22"/>
        </w:rPr>
        <w:t xml:space="preserve"> By challenging these narratives, Hassan not only corrects exegetical errors but also destabilises the larger interpretive ecosystem that used such myths to rationalise women’s subordination. Her work therefore plays a significant role in opening up hermeneutical space for Muslim feminist exegesis, helping to establish a wider scholarly movement that includes figures such as Amina Wadud, Asma Barlas, Sa’diyya Shaikh, and Kecia Ali. Moreover, Hassan’s argument that women have historically been made the theological scapegoats for human sinfulness—and that this trope has no Qur’anic foundation—provides a forceful critique of the misogynistic narratives that have shaped Muslim social attitudes.</w:t>
      </w:r>
      <w:r w:rsidR="008F4242">
        <w:rPr>
          <w:rStyle w:val="FootnoteReference"/>
          <w:rFonts w:ascii="Bookman Old Style" w:hAnsi="Bookman Old Style"/>
          <w:sz w:val="22"/>
          <w:szCs w:val="22"/>
        </w:rPr>
        <w:footnoteReference w:id="14"/>
      </w:r>
      <w:r w:rsidRPr="00817557">
        <w:rPr>
          <w:rFonts w:ascii="Bookman Old Style" w:hAnsi="Bookman Old Style"/>
          <w:sz w:val="22"/>
          <w:szCs w:val="22"/>
        </w:rPr>
        <w:t xml:space="preserve"> Her insistence that the Qur</w:t>
      </w:r>
      <w:r w:rsidRPr="00817557">
        <w:rPr>
          <w:rFonts w:ascii="Bookman Old Style" w:hAnsi="Bookman Old Style" w:cs="Bookman Old Style"/>
          <w:sz w:val="22"/>
          <w:szCs w:val="22"/>
        </w:rPr>
        <w:t>’</w:t>
      </w:r>
      <w:r w:rsidRPr="00817557">
        <w:rPr>
          <w:rFonts w:ascii="Bookman Old Style" w:hAnsi="Bookman Old Style"/>
          <w:sz w:val="22"/>
          <w:szCs w:val="22"/>
        </w:rPr>
        <w:t>an assigns equal moral responsibility to both Adam and his spouse at the moment of temptation and error further reinforces her egalitarian reading.</w:t>
      </w:r>
      <w:r w:rsidR="008F4242">
        <w:rPr>
          <w:rStyle w:val="FootnoteReference"/>
          <w:rFonts w:ascii="Bookman Old Style" w:hAnsi="Bookman Old Style"/>
          <w:sz w:val="22"/>
          <w:szCs w:val="22"/>
        </w:rPr>
        <w:footnoteReference w:id="15"/>
      </w:r>
      <w:r w:rsidRPr="00817557">
        <w:rPr>
          <w:rFonts w:ascii="Bookman Old Style" w:hAnsi="Bookman Old Style"/>
          <w:sz w:val="22"/>
          <w:szCs w:val="22"/>
        </w:rPr>
        <w:t xml:space="preserve"> In this sense, Hassan</w:t>
      </w:r>
      <w:r w:rsidRPr="00817557">
        <w:rPr>
          <w:rFonts w:ascii="Bookman Old Style" w:hAnsi="Bookman Old Style" w:cs="Bookman Old Style"/>
          <w:sz w:val="22"/>
          <w:szCs w:val="22"/>
        </w:rPr>
        <w:t>’</w:t>
      </w:r>
      <w:r w:rsidRPr="00817557">
        <w:rPr>
          <w:rFonts w:ascii="Bookman Old Style" w:hAnsi="Bookman Old Style"/>
          <w:sz w:val="22"/>
          <w:szCs w:val="22"/>
        </w:rPr>
        <w:t>s work has been praised for its courage in confronting deeply entrenched patriarchal beliefs and for offering women a religiously grounded alternative that affirms their moral and spiritual dignity.</w:t>
      </w:r>
    </w:p>
    <w:p w14:paraId="4D7B0DE0" w14:textId="77777777" w:rsidR="00B221E5" w:rsidRDefault="00817557" w:rsidP="004627F1">
      <w:pPr>
        <w:spacing w:line="480" w:lineRule="auto"/>
        <w:ind w:firstLine="360"/>
        <w:rPr>
          <w:rFonts w:ascii="Bookman Old Style" w:hAnsi="Bookman Old Style" w:cs="Cambria Math"/>
          <w:sz w:val="22"/>
          <w:szCs w:val="22"/>
        </w:rPr>
      </w:pPr>
      <w:r w:rsidRPr="00817557">
        <w:rPr>
          <w:rFonts w:ascii="Bookman Old Style" w:hAnsi="Bookman Old Style"/>
          <w:sz w:val="22"/>
          <w:szCs w:val="22"/>
        </w:rPr>
        <w:lastRenderedPageBreak/>
        <w:t>Yet despite these strengths, Hassan’s work exhibits several weaknesses that scholars have identified. The most prominent criticism comes from Ayesha Hidayatullah, who argues that Hassan’s hermeneutics are shaped by a strong theological presupposition—namely, the conviction that the Qur’an must be wholly just and equitable toward women.</w:t>
      </w:r>
      <w:r w:rsidR="008F4242">
        <w:rPr>
          <w:rStyle w:val="FootnoteReference"/>
          <w:rFonts w:ascii="Bookman Old Style" w:hAnsi="Bookman Old Style"/>
          <w:sz w:val="22"/>
          <w:szCs w:val="22"/>
        </w:rPr>
        <w:footnoteReference w:id="16"/>
      </w:r>
      <w:r w:rsidRPr="00817557">
        <w:rPr>
          <w:rFonts w:ascii="Bookman Old Style" w:hAnsi="Bookman Old Style"/>
          <w:sz w:val="22"/>
          <w:szCs w:val="22"/>
        </w:rPr>
        <w:t xml:space="preserve"> According to Hidayatullah, this leads Hassan to adopt a circular method: she begins with the conclusion that the Qur</w:t>
      </w:r>
      <w:r w:rsidRPr="00817557">
        <w:rPr>
          <w:rFonts w:ascii="Bookman Old Style" w:hAnsi="Bookman Old Style" w:cs="Bookman Old Style"/>
          <w:sz w:val="22"/>
          <w:szCs w:val="22"/>
        </w:rPr>
        <w:t>’</w:t>
      </w:r>
      <w:r w:rsidRPr="00817557">
        <w:rPr>
          <w:rFonts w:ascii="Bookman Old Style" w:hAnsi="Bookman Old Style"/>
          <w:sz w:val="22"/>
          <w:szCs w:val="22"/>
        </w:rPr>
        <w:t>an cannot contain problematic verses, and then interprets difficult passages through that assumption.</w:t>
      </w:r>
      <w:r w:rsidR="008F4242">
        <w:rPr>
          <w:rStyle w:val="FootnoteReference"/>
          <w:rFonts w:ascii="Bookman Old Style" w:hAnsi="Bookman Old Style"/>
          <w:sz w:val="22"/>
          <w:szCs w:val="22"/>
        </w:rPr>
        <w:footnoteReference w:id="17"/>
      </w:r>
      <w:r w:rsidRPr="00817557">
        <w:rPr>
          <w:rFonts w:ascii="Bookman Old Style" w:hAnsi="Bookman Old Style"/>
          <w:sz w:val="22"/>
          <w:szCs w:val="22"/>
        </w:rPr>
        <w:t xml:space="preserve"> This raises questions about methodological transparency, since it suggests that the ethical outcome is predetermined rather than emerging from an open-ended reading of the text. Furthermore, Hassan</w:t>
      </w:r>
      <w:r w:rsidRPr="00817557">
        <w:rPr>
          <w:rFonts w:ascii="Bookman Old Style" w:hAnsi="Bookman Old Style" w:cs="Bookman Old Style"/>
          <w:sz w:val="22"/>
          <w:szCs w:val="22"/>
        </w:rPr>
        <w:t>’</w:t>
      </w:r>
      <w:r w:rsidRPr="00817557">
        <w:rPr>
          <w:rFonts w:ascii="Bookman Old Style" w:hAnsi="Bookman Old Style"/>
          <w:sz w:val="22"/>
          <w:szCs w:val="22"/>
        </w:rPr>
        <w:t>s selective rejection of certain hadith accounts</w:t>
      </w:r>
      <w:r w:rsidRPr="00817557">
        <w:rPr>
          <w:rFonts w:ascii="Bookman Old Style" w:hAnsi="Bookman Old Style" w:cs="Bookman Old Style"/>
          <w:sz w:val="22"/>
          <w:szCs w:val="22"/>
        </w:rPr>
        <w:t>—</w:t>
      </w:r>
      <w:r w:rsidRPr="00817557">
        <w:rPr>
          <w:rFonts w:ascii="Bookman Old Style" w:hAnsi="Bookman Old Style"/>
          <w:sz w:val="22"/>
          <w:szCs w:val="22"/>
        </w:rPr>
        <w:t>particularly those that describe Eve</w:t>
      </w:r>
      <w:r w:rsidRPr="00817557">
        <w:rPr>
          <w:rFonts w:ascii="Bookman Old Style" w:hAnsi="Bookman Old Style" w:cs="Bookman Old Style"/>
          <w:sz w:val="22"/>
          <w:szCs w:val="22"/>
        </w:rPr>
        <w:t>’</w:t>
      </w:r>
      <w:r w:rsidRPr="00817557">
        <w:rPr>
          <w:rFonts w:ascii="Bookman Old Style" w:hAnsi="Bookman Old Style"/>
          <w:sz w:val="22"/>
          <w:szCs w:val="22"/>
        </w:rPr>
        <w:t>s creation from Adam</w:t>
      </w:r>
      <w:r w:rsidRPr="00817557">
        <w:rPr>
          <w:rFonts w:ascii="Bookman Old Style" w:hAnsi="Bookman Old Style" w:cs="Bookman Old Style"/>
          <w:sz w:val="22"/>
          <w:szCs w:val="22"/>
        </w:rPr>
        <w:t>’</w:t>
      </w:r>
      <w:r w:rsidRPr="00817557">
        <w:rPr>
          <w:rFonts w:ascii="Bookman Old Style" w:hAnsi="Bookman Old Style"/>
          <w:sz w:val="22"/>
          <w:szCs w:val="22"/>
        </w:rPr>
        <w:t>s rib</w:t>
      </w:r>
      <w:r w:rsidRPr="00817557">
        <w:rPr>
          <w:rFonts w:ascii="Bookman Old Style" w:hAnsi="Bookman Old Style" w:cs="Bookman Old Style"/>
          <w:sz w:val="22"/>
          <w:szCs w:val="22"/>
        </w:rPr>
        <w:t>—</w:t>
      </w:r>
      <w:r w:rsidRPr="00817557">
        <w:rPr>
          <w:rFonts w:ascii="Bookman Old Style" w:hAnsi="Bookman Old Style"/>
          <w:sz w:val="22"/>
          <w:szCs w:val="22"/>
        </w:rPr>
        <w:t xml:space="preserve">has been </w:t>
      </w:r>
      <w:r w:rsidR="004865B0" w:rsidRPr="00817557">
        <w:rPr>
          <w:rFonts w:ascii="Bookman Old Style" w:hAnsi="Bookman Old Style"/>
          <w:sz w:val="22"/>
          <w:szCs w:val="22"/>
        </w:rPr>
        <w:t>criticized</w:t>
      </w:r>
      <w:r w:rsidRPr="00817557">
        <w:rPr>
          <w:rFonts w:ascii="Bookman Old Style" w:hAnsi="Bookman Old Style"/>
          <w:sz w:val="22"/>
          <w:szCs w:val="22"/>
        </w:rPr>
        <w:t xml:space="preserve"> for lacking a consistent theoretical framework. While she is correct to question the authenticity and reliability of these reports, critics argue that she sometimes dismisses them on the basis of their theological implications rather than through a systematic evaluation of isnād, matn, or legal utility.</w:t>
      </w:r>
      <w:r w:rsidR="00A857A1">
        <w:rPr>
          <w:rFonts w:ascii="Cambria Math" w:hAnsi="Cambria Math" w:cs="Cambria Math"/>
          <w:sz w:val="22"/>
          <w:szCs w:val="22"/>
        </w:rPr>
        <w:t xml:space="preserve"> </w:t>
      </w:r>
      <w:r w:rsidR="00A857A1">
        <w:rPr>
          <w:rFonts w:ascii="Bookman Old Style" w:hAnsi="Bookman Old Style" w:cs="Cambria Math"/>
          <w:sz w:val="22"/>
          <w:szCs w:val="22"/>
        </w:rPr>
        <w:t>While Hassan is not the only one to use this method</w:t>
      </w:r>
      <w:r w:rsidR="006637D2">
        <w:rPr>
          <w:rFonts w:ascii="Bookman Old Style" w:hAnsi="Bookman Old Style" w:cs="Cambria Math"/>
          <w:sz w:val="22"/>
          <w:szCs w:val="22"/>
        </w:rPr>
        <w:t xml:space="preserve"> of disregarding the Hadith where it does not agree with her theory</w:t>
      </w:r>
      <w:r w:rsidR="00A857A1">
        <w:rPr>
          <w:rFonts w:ascii="Bookman Old Style" w:hAnsi="Bookman Old Style" w:cs="Cambria Math"/>
          <w:sz w:val="22"/>
          <w:szCs w:val="22"/>
        </w:rPr>
        <w:t>, Hidayatullah argues that the rejection of using the Hadith when it does not fit with their arguments makes for less clarity in statin their position.</w:t>
      </w:r>
    </w:p>
    <w:p w14:paraId="7578BF18" w14:textId="77777777" w:rsidR="00B221E5" w:rsidRPr="00B221E5" w:rsidRDefault="00B221E5" w:rsidP="00B221E5">
      <w:pPr>
        <w:spacing w:line="480" w:lineRule="auto"/>
        <w:rPr>
          <w:rFonts w:ascii="Bookman Old Style" w:hAnsi="Bookman Old Style" w:cs="Cambria Math"/>
          <w:sz w:val="22"/>
          <w:szCs w:val="22"/>
        </w:rPr>
      </w:pPr>
      <w:r>
        <w:rPr>
          <w:rFonts w:ascii="Bookman Old Style" w:hAnsi="Bookman Old Style" w:cs="Cambria Math"/>
          <w:sz w:val="22"/>
          <w:szCs w:val="22"/>
        </w:rPr>
        <w:tab/>
      </w:r>
      <w:r w:rsidRPr="00B221E5">
        <w:rPr>
          <w:rFonts w:ascii="Bookman Old Style" w:hAnsi="Bookman Old Style" w:cs="Cambria Math"/>
          <w:sz w:val="22"/>
          <w:szCs w:val="22"/>
        </w:rPr>
        <w:t>The successful</w:t>
      </w:r>
    </w:p>
    <w:p w14:paraId="3447E7D7" w14:textId="77777777" w:rsidR="00B221E5" w:rsidRPr="00B221E5" w:rsidRDefault="00B221E5" w:rsidP="00B221E5">
      <w:pPr>
        <w:spacing w:line="480" w:lineRule="auto"/>
        <w:ind w:firstLine="720"/>
        <w:rPr>
          <w:rFonts w:ascii="Bookman Old Style" w:hAnsi="Bookman Old Style" w:cs="Cambria Math"/>
          <w:sz w:val="22"/>
          <w:szCs w:val="22"/>
        </w:rPr>
      </w:pPr>
      <w:r w:rsidRPr="00B221E5">
        <w:rPr>
          <w:rFonts w:ascii="Bookman Old Style" w:hAnsi="Bookman Old Style" w:cs="Cambria Math"/>
          <w:sz w:val="22"/>
          <w:szCs w:val="22"/>
        </w:rPr>
        <w:t>use of the feminist method of historical contextualization will require</w:t>
      </w:r>
    </w:p>
    <w:p w14:paraId="45960124" w14:textId="77777777" w:rsidR="00B221E5" w:rsidRPr="00B221E5" w:rsidRDefault="00B221E5" w:rsidP="00B221E5">
      <w:pPr>
        <w:spacing w:line="480" w:lineRule="auto"/>
        <w:ind w:firstLine="720"/>
        <w:rPr>
          <w:rFonts w:ascii="Bookman Old Style" w:hAnsi="Bookman Old Style" w:cs="Cambria Math"/>
          <w:sz w:val="22"/>
          <w:szCs w:val="22"/>
        </w:rPr>
      </w:pPr>
      <w:r w:rsidRPr="00B221E5">
        <w:rPr>
          <w:rFonts w:ascii="Bookman Old Style" w:hAnsi="Bookman Old Style" w:cs="Cambria Math"/>
          <w:sz w:val="22"/>
          <w:szCs w:val="22"/>
        </w:rPr>
        <w:t>that scholars of feminist tafsir more carefully clarify their positions</w:t>
      </w:r>
    </w:p>
    <w:p w14:paraId="26B69A58" w14:textId="77777777" w:rsidR="00B221E5" w:rsidRPr="00B221E5" w:rsidRDefault="00B221E5" w:rsidP="00B221E5">
      <w:pPr>
        <w:spacing w:line="480" w:lineRule="auto"/>
        <w:ind w:firstLine="720"/>
        <w:rPr>
          <w:rFonts w:ascii="Bookman Old Style" w:hAnsi="Bookman Old Style" w:cs="Cambria Math"/>
          <w:sz w:val="22"/>
          <w:szCs w:val="22"/>
        </w:rPr>
      </w:pPr>
      <w:r w:rsidRPr="00B221E5">
        <w:rPr>
          <w:rFonts w:ascii="Bookman Old Style" w:hAnsi="Bookman Old Style" w:cs="Cambria Math"/>
          <w:sz w:val="22"/>
          <w:szCs w:val="22"/>
        </w:rPr>
        <w:t>on the Hadith tradition as a whole, in part by treating the Hadith more</w:t>
      </w:r>
    </w:p>
    <w:p w14:paraId="464BFAC2" w14:textId="77777777" w:rsidR="00B221E5" w:rsidRPr="00B221E5" w:rsidRDefault="00B221E5" w:rsidP="00B221E5">
      <w:pPr>
        <w:spacing w:line="480" w:lineRule="auto"/>
        <w:ind w:firstLine="720"/>
        <w:rPr>
          <w:rFonts w:ascii="Bookman Old Style" w:hAnsi="Bookman Old Style" w:cs="Cambria Math"/>
          <w:sz w:val="22"/>
          <w:szCs w:val="22"/>
        </w:rPr>
      </w:pPr>
      <w:r w:rsidRPr="00B221E5">
        <w:rPr>
          <w:rFonts w:ascii="Bookman Old Style" w:hAnsi="Bookman Old Style" w:cs="Cambria Math"/>
          <w:sz w:val="22"/>
          <w:szCs w:val="22"/>
        </w:rPr>
        <w:lastRenderedPageBreak/>
        <w:t>systematically in all their readings of the Qur'an rather than referencing</w:t>
      </w:r>
    </w:p>
    <w:p w14:paraId="6BDFC7AE" w14:textId="77777777" w:rsidR="00B221E5" w:rsidRPr="00B221E5" w:rsidRDefault="00B221E5" w:rsidP="00B221E5">
      <w:pPr>
        <w:spacing w:line="480" w:lineRule="auto"/>
        <w:ind w:firstLine="720"/>
        <w:rPr>
          <w:rFonts w:ascii="Bookman Old Style" w:hAnsi="Bookman Old Style" w:cs="Cambria Math"/>
          <w:sz w:val="22"/>
          <w:szCs w:val="22"/>
        </w:rPr>
      </w:pPr>
      <w:r w:rsidRPr="00B221E5">
        <w:rPr>
          <w:rFonts w:ascii="Bookman Old Style" w:hAnsi="Bookman Old Style" w:cs="Cambria Math"/>
          <w:sz w:val="22"/>
          <w:szCs w:val="22"/>
        </w:rPr>
        <w:t>the Hadith in select cases when it is convenient to support or defend their</w:t>
      </w:r>
    </w:p>
    <w:p w14:paraId="39D42CBB" w14:textId="02727E03" w:rsidR="00B221E5" w:rsidRDefault="00B221E5" w:rsidP="00B221E5">
      <w:pPr>
        <w:spacing w:line="480" w:lineRule="auto"/>
        <w:ind w:firstLine="720"/>
        <w:rPr>
          <w:rFonts w:ascii="Bookman Old Style" w:hAnsi="Bookman Old Style" w:cs="Cambria Math"/>
          <w:sz w:val="22"/>
          <w:szCs w:val="22"/>
        </w:rPr>
      </w:pPr>
      <w:r w:rsidRPr="00B221E5">
        <w:rPr>
          <w:rFonts w:ascii="Bookman Old Style" w:hAnsi="Bookman Old Style" w:cs="Cambria Math"/>
          <w:sz w:val="22"/>
          <w:szCs w:val="22"/>
        </w:rPr>
        <w:t>interpretations.</w:t>
      </w:r>
      <w:r>
        <w:rPr>
          <w:rStyle w:val="FootnoteReference"/>
          <w:rFonts w:ascii="Bookman Old Style" w:hAnsi="Bookman Old Style" w:cs="Cambria Math"/>
          <w:sz w:val="22"/>
          <w:szCs w:val="22"/>
        </w:rPr>
        <w:footnoteReference w:id="18"/>
      </w:r>
    </w:p>
    <w:p w14:paraId="1FC4FCF5" w14:textId="7D86DCDE" w:rsidR="00817557" w:rsidRPr="00817557" w:rsidRDefault="00817557" w:rsidP="00B221E5">
      <w:pPr>
        <w:spacing w:line="480" w:lineRule="auto"/>
        <w:rPr>
          <w:rFonts w:ascii="Bookman Old Style" w:hAnsi="Bookman Old Style"/>
          <w:sz w:val="22"/>
          <w:szCs w:val="22"/>
        </w:rPr>
      </w:pPr>
      <w:r w:rsidRPr="00817557">
        <w:rPr>
          <w:rFonts w:ascii="Bookman Old Style" w:hAnsi="Bookman Old Style"/>
          <w:sz w:val="22"/>
          <w:szCs w:val="22"/>
        </w:rPr>
        <w:t xml:space="preserve"> Kecia Ali has noted that this approach risks privileging sources based on their alignment with feminist ethical commitments rather than on coherent methodological criteria.</w:t>
      </w:r>
      <w:r w:rsidR="008F4242">
        <w:rPr>
          <w:rStyle w:val="FootnoteReference"/>
          <w:rFonts w:ascii="Bookman Old Style" w:hAnsi="Bookman Old Style"/>
          <w:sz w:val="22"/>
          <w:szCs w:val="22"/>
        </w:rPr>
        <w:footnoteReference w:id="19"/>
      </w:r>
      <w:r w:rsidRPr="00817557">
        <w:rPr>
          <w:rFonts w:ascii="Bookman Old Style" w:hAnsi="Bookman Old Style"/>
          <w:sz w:val="22"/>
          <w:szCs w:val="22"/>
        </w:rPr>
        <w:t xml:space="preserve"> The result can appear ad hoc or selective, which undermines the broader claim that her argument is grounded solely in textual evidence rather than normative preference.</w:t>
      </w:r>
    </w:p>
    <w:p w14:paraId="3967319C" w14:textId="2D3EC448" w:rsidR="00817557" w:rsidRPr="00817557" w:rsidRDefault="00817557" w:rsidP="004627F1">
      <w:pPr>
        <w:spacing w:line="480" w:lineRule="auto"/>
        <w:ind w:firstLine="360"/>
        <w:rPr>
          <w:rFonts w:ascii="Bookman Old Style" w:hAnsi="Bookman Old Style"/>
          <w:sz w:val="22"/>
          <w:szCs w:val="22"/>
        </w:rPr>
      </w:pPr>
      <w:r w:rsidRPr="00817557">
        <w:rPr>
          <w:rFonts w:ascii="Bookman Old Style" w:hAnsi="Bookman Old Style"/>
          <w:sz w:val="22"/>
          <w:szCs w:val="22"/>
        </w:rPr>
        <w:t>Another weakness concerns Hassan’s tendency to present the Qur’anic narrative as unambiguously egalitarian, sometimes overlooking the complexities, ambiguities, and interpretive tensions within the text itself. While her reading of nafs wā</w:t>
      </w:r>
      <w:r w:rsidRPr="00817557">
        <w:rPr>
          <w:rFonts w:ascii="Cambria" w:hAnsi="Cambria" w:cs="Cambria"/>
          <w:sz w:val="22"/>
          <w:szCs w:val="22"/>
        </w:rPr>
        <w:t>ḥ</w:t>
      </w:r>
      <w:r w:rsidRPr="00817557">
        <w:rPr>
          <w:rFonts w:ascii="Bookman Old Style" w:hAnsi="Bookman Old Style"/>
          <w:sz w:val="22"/>
          <w:szCs w:val="22"/>
        </w:rPr>
        <w:t>ida is linguistically defensible, it is not the only possible interpretation, and classical as well as modern scholars have offered alternative readings that do not necessarily imply full ontological equality.</w:t>
      </w:r>
      <w:r w:rsidR="008F4242">
        <w:rPr>
          <w:rStyle w:val="FootnoteReference"/>
          <w:rFonts w:ascii="Bookman Old Style" w:hAnsi="Bookman Old Style"/>
          <w:sz w:val="22"/>
          <w:szCs w:val="22"/>
        </w:rPr>
        <w:footnoteReference w:id="20"/>
      </w:r>
      <w:r w:rsidRPr="00817557">
        <w:rPr>
          <w:rFonts w:ascii="Bookman Old Style" w:hAnsi="Bookman Old Style"/>
          <w:sz w:val="22"/>
          <w:szCs w:val="22"/>
        </w:rPr>
        <w:t xml:space="preserve"> Barbara Stowasser notes that the Qur’an’s creation verses are multivalent and symbolically rich, and that the tradition has long grappled with their meanings.</w:t>
      </w:r>
      <w:r w:rsidR="008F4242">
        <w:rPr>
          <w:rStyle w:val="FootnoteReference"/>
          <w:rFonts w:ascii="Bookman Old Style" w:hAnsi="Bookman Old Style"/>
          <w:sz w:val="22"/>
          <w:szCs w:val="22"/>
        </w:rPr>
        <w:footnoteReference w:id="21"/>
      </w:r>
      <w:r w:rsidRPr="00817557">
        <w:rPr>
          <w:rFonts w:ascii="Bookman Old Style" w:hAnsi="Bookman Old Style"/>
          <w:sz w:val="22"/>
          <w:szCs w:val="22"/>
        </w:rPr>
        <w:t xml:space="preserve"> By treating the egalitarian reading as the only legitimate one, Hassan risks flattening the hermeneutical landscape and downplaying the diversity of exegetical voices. Additionally, her portrayal of the Qur’an as a timeless ethical document, largely free from the socio-historical conditions of revelation, has been questioned by scholars who emphasise the importance of understanding the Qur’an within the legal, social, and cultural contexts of seventh-century Arabia.</w:t>
      </w:r>
      <w:r w:rsidR="008F4242">
        <w:rPr>
          <w:rStyle w:val="FootnoteReference"/>
          <w:rFonts w:ascii="Bookman Old Style" w:hAnsi="Bookman Old Style"/>
          <w:sz w:val="22"/>
          <w:szCs w:val="22"/>
        </w:rPr>
        <w:footnoteReference w:id="22"/>
      </w:r>
      <w:r w:rsidRPr="00817557">
        <w:rPr>
          <w:rFonts w:ascii="Bookman Old Style" w:hAnsi="Bookman Old Style"/>
          <w:sz w:val="22"/>
          <w:szCs w:val="22"/>
        </w:rPr>
        <w:t xml:space="preserve"> These </w:t>
      </w:r>
      <w:r w:rsidRPr="00817557">
        <w:rPr>
          <w:rFonts w:ascii="Bookman Old Style" w:hAnsi="Bookman Old Style"/>
          <w:sz w:val="22"/>
          <w:szCs w:val="22"/>
        </w:rPr>
        <w:lastRenderedPageBreak/>
        <w:t>criticisms suggest that Hassan’s interpretive optimism may lead her to overlook the ways in which the Qur’anic text participates in, rather than simply transcends, its historical milieu.</w:t>
      </w:r>
    </w:p>
    <w:p w14:paraId="46EF64E0" w14:textId="3A38E40C" w:rsidR="004B3CF5" w:rsidRDefault="00817557" w:rsidP="004627F1">
      <w:pPr>
        <w:spacing w:line="480" w:lineRule="auto"/>
        <w:ind w:firstLine="360"/>
        <w:rPr>
          <w:rFonts w:ascii="Bookman Old Style" w:hAnsi="Bookman Old Style"/>
          <w:sz w:val="22"/>
          <w:szCs w:val="22"/>
        </w:rPr>
      </w:pPr>
      <w:r w:rsidRPr="00817557">
        <w:rPr>
          <w:rFonts w:ascii="Bookman Old Style" w:hAnsi="Bookman Old Style"/>
          <w:sz w:val="22"/>
          <w:szCs w:val="22"/>
        </w:rPr>
        <w:t>Finally, some scholars argue that Hassan’s work, though groundbreaking, occasionally lacks engagement with the broader methodological debates within Qur’anic studies, including literary structure, semantic fields, and the relationship between text and tradition.</w:t>
      </w:r>
      <w:r w:rsidR="008F4242">
        <w:rPr>
          <w:rStyle w:val="FootnoteReference"/>
          <w:rFonts w:ascii="Bookman Old Style" w:hAnsi="Bookman Old Style"/>
          <w:sz w:val="22"/>
          <w:szCs w:val="22"/>
        </w:rPr>
        <w:footnoteReference w:id="23"/>
      </w:r>
      <w:r w:rsidRPr="00817557">
        <w:rPr>
          <w:rFonts w:ascii="Bookman Old Style" w:hAnsi="Bookman Old Style"/>
          <w:sz w:val="22"/>
          <w:szCs w:val="22"/>
        </w:rPr>
        <w:t xml:space="preserve"> As a result, her arguments can appear to operate within a binary framework</w:t>
      </w:r>
      <w:r w:rsidRPr="00817557">
        <w:rPr>
          <w:rFonts w:ascii="Bookman Old Style" w:hAnsi="Bookman Old Style" w:cs="Bookman Old Style"/>
          <w:sz w:val="22"/>
          <w:szCs w:val="22"/>
        </w:rPr>
        <w:t>—</w:t>
      </w:r>
      <w:r w:rsidRPr="00817557">
        <w:rPr>
          <w:rFonts w:ascii="Bookman Old Style" w:hAnsi="Bookman Old Style"/>
          <w:sz w:val="22"/>
          <w:szCs w:val="22"/>
        </w:rPr>
        <w:t>egalitarian Qur</w:t>
      </w:r>
      <w:r w:rsidRPr="00817557">
        <w:rPr>
          <w:rFonts w:ascii="Bookman Old Style" w:hAnsi="Bookman Old Style" w:cs="Bookman Old Style"/>
          <w:sz w:val="22"/>
          <w:szCs w:val="22"/>
        </w:rPr>
        <w:t>’</w:t>
      </w:r>
      <w:r w:rsidRPr="00817557">
        <w:rPr>
          <w:rFonts w:ascii="Bookman Old Style" w:hAnsi="Bookman Old Style"/>
          <w:sz w:val="22"/>
          <w:szCs w:val="22"/>
        </w:rPr>
        <w:t>an versus patriarchal tradition</w:t>
      </w:r>
      <w:r w:rsidRPr="00817557">
        <w:rPr>
          <w:rFonts w:ascii="Bookman Old Style" w:hAnsi="Bookman Old Style" w:cs="Bookman Old Style"/>
          <w:sz w:val="22"/>
          <w:szCs w:val="22"/>
        </w:rPr>
        <w:t>—</w:t>
      </w:r>
      <w:r w:rsidRPr="00817557">
        <w:rPr>
          <w:rFonts w:ascii="Bookman Old Style" w:hAnsi="Bookman Old Style"/>
          <w:sz w:val="22"/>
          <w:szCs w:val="22"/>
        </w:rPr>
        <w:t>that does not always account for the intricate interplay between scripture, interpretation, and communal practice. Despite these weaknesses, Hassan’s work remains foundational to Islamic feminist theology because of its clarity, originality, and its powerful challenge to patriarchal distortions of the creation narrative. Her contributions continue to shape the field, even as scholars refine, revise, or critique her methodological choices.</w:t>
      </w:r>
    </w:p>
    <w:p w14:paraId="40D5FDB8" w14:textId="411E8D22" w:rsidR="003A1BC1" w:rsidRDefault="003A1BC1" w:rsidP="004627F1">
      <w:pPr>
        <w:spacing w:line="480" w:lineRule="auto"/>
        <w:ind w:firstLine="360"/>
        <w:rPr>
          <w:rFonts w:ascii="Bookman Old Style" w:hAnsi="Bookman Old Style"/>
          <w:sz w:val="22"/>
          <w:szCs w:val="22"/>
        </w:rPr>
      </w:pPr>
      <w:r>
        <w:rPr>
          <w:rFonts w:ascii="Bookman Old Style" w:hAnsi="Bookman Old Style"/>
          <w:sz w:val="22"/>
          <w:szCs w:val="22"/>
        </w:rPr>
        <w:t xml:space="preserve">While drawing criticism, there is no denying the large impact that that Riffat Hassan’s work has had on the movement of Islamic feminism. Her interpretation of the creation story surrounding Adam and Eve specifically inspired this work as it truly brings in a new light to how Islam is viewed as a whole, especially within the western world of how the religion is viewed as inherently misogynistic due to these interpretations that have just been viewed as what is right and very rarely contested throughout history. The way she brings in the fact that quite a few of the Islamic traditions have actually been influenced by the Judeo-Christian traditions that surrounded the religion at his foundations and the medieval context of these laws and rules. Her contributions have not only influenced Islamic feminism but also force </w:t>
      </w:r>
      <w:r>
        <w:rPr>
          <w:rFonts w:ascii="Bookman Old Style" w:hAnsi="Bookman Old Style"/>
          <w:sz w:val="22"/>
          <w:szCs w:val="22"/>
        </w:rPr>
        <w:lastRenderedPageBreak/>
        <w:t xml:space="preserve">those who consume her work to examine the religions of Judaism and Christianity in a light that shows their influence </w:t>
      </w:r>
      <w:r w:rsidR="00FB1008">
        <w:rPr>
          <w:rFonts w:ascii="Bookman Old Style" w:hAnsi="Bookman Old Style"/>
          <w:sz w:val="22"/>
          <w:szCs w:val="22"/>
        </w:rPr>
        <w:t xml:space="preserve">within. </w:t>
      </w:r>
      <w:r w:rsidR="004865B0">
        <w:rPr>
          <w:rFonts w:ascii="Bookman Old Style" w:hAnsi="Bookman Old Style"/>
          <w:sz w:val="22"/>
          <w:szCs w:val="22"/>
        </w:rPr>
        <w:t xml:space="preserve">The criticism surrounding her work are valid in her refusal to consider those texts that do not align with her arguments and add to the conversation to have scholars using her work as inspiration to go into a deeper dive of these foundational texts outside of the Qur’an. Her work is a cornerstone in anyone studying Islamic traditions and religion as a whole. Using both the work of those who have criticized Hassan’s work as well as her own makes this work have the nuance that is needed to truly add to the conversation and have also given me the proper introduction into the world of Islamic feminism that most people are not aware of until they start giving </w:t>
      </w:r>
      <w:r w:rsidR="007E274F">
        <w:rPr>
          <w:rFonts w:ascii="Bookman Old Style" w:hAnsi="Bookman Old Style"/>
          <w:sz w:val="22"/>
          <w:szCs w:val="22"/>
        </w:rPr>
        <w:t>a proper look into it due to the attitudes of Islam in a western world where the far right and increasingly Islamophobic and racist attitudes have been on the rise within the last few years.</w:t>
      </w:r>
    </w:p>
    <w:p w14:paraId="2C5EC041" w14:textId="77777777" w:rsidR="00DA016C" w:rsidRDefault="00DA016C" w:rsidP="004627F1">
      <w:pPr>
        <w:spacing w:line="480" w:lineRule="auto"/>
        <w:ind w:firstLine="360"/>
        <w:rPr>
          <w:rFonts w:ascii="Bookman Old Style" w:hAnsi="Bookman Old Style"/>
          <w:sz w:val="22"/>
          <w:szCs w:val="22"/>
        </w:rPr>
      </w:pPr>
    </w:p>
    <w:p w14:paraId="56E78E8E" w14:textId="77777777" w:rsidR="00DA016C" w:rsidRDefault="00DA016C" w:rsidP="004627F1">
      <w:pPr>
        <w:spacing w:line="480" w:lineRule="auto"/>
        <w:ind w:firstLine="360"/>
        <w:rPr>
          <w:rFonts w:ascii="Bookman Old Style" w:hAnsi="Bookman Old Style"/>
          <w:sz w:val="22"/>
          <w:szCs w:val="22"/>
        </w:rPr>
      </w:pPr>
    </w:p>
    <w:p w14:paraId="27C03146" w14:textId="77777777" w:rsidR="00DA016C" w:rsidRDefault="00DA016C" w:rsidP="004627F1">
      <w:pPr>
        <w:spacing w:line="480" w:lineRule="auto"/>
        <w:ind w:firstLine="360"/>
        <w:rPr>
          <w:rFonts w:ascii="Bookman Old Style" w:hAnsi="Bookman Old Style"/>
          <w:sz w:val="22"/>
          <w:szCs w:val="22"/>
        </w:rPr>
      </w:pPr>
    </w:p>
    <w:p w14:paraId="0F64A136" w14:textId="77777777" w:rsidR="00DA016C" w:rsidRDefault="00DA016C" w:rsidP="004627F1">
      <w:pPr>
        <w:spacing w:line="480" w:lineRule="auto"/>
        <w:ind w:firstLine="360"/>
        <w:rPr>
          <w:rFonts w:ascii="Bookman Old Style" w:hAnsi="Bookman Old Style"/>
          <w:sz w:val="22"/>
          <w:szCs w:val="22"/>
        </w:rPr>
      </w:pPr>
    </w:p>
    <w:p w14:paraId="093D7FC5" w14:textId="77777777" w:rsidR="00DA016C" w:rsidRDefault="00DA016C" w:rsidP="004627F1">
      <w:pPr>
        <w:spacing w:line="480" w:lineRule="auto"/>
        <w:ind w:firstLine="360"/>
        <w:rPr>
          <w:rFonts w:ascii="Bookman Old Style" w:hAnsi="Bookman Old Style"/>
          <w:sz w:val="22"/>
          <w:szCs w:val="22"/>
        </w:rPr>
      </w:pPr>
    </w:p>
    <w:p w14:paraId="29E38145" w14:textId="77777777" w:rsidR="00DA016C" w:rsidRDefault="00DA016C" w:rsidP="004627F1">
      <w:pPr>
        <w:spacing w:line="480" w:lineRule="auto"/>
        <w:ind w:firstLine="360"/>
        <w:rPr>
          <w:rFonts w:ascii="Bookman Old Style" w:hAnsi="Bookman Old Style"/>
          <w:sz w:val="22"/>
          <w:szCs w:val="22"/>
        </w:rPr>
      </w:pPr>
    </w:p>
    <w:p w14:paraId="793AF5BF" w14:textId="77777777" w:rsidR="00DA016C" w:rsidRDefault="00DA016C" w:rsidP="004627F1">
      <w:pPr>
        <w:spacing w:line="480" w:lineRule="auto"/>
        <w:ind w:firstLine="360"/>
        <w:rPr>
          <w:rFonts w:ascii="Bookman Old Style" w:hAnsi="Bookman Old Style"/>
          <w:sz w:val="22"/>
          <w:szCs w:val="22"/>
        </w:rPr>
      </w:pPr>
    </w:p>
    <w:p w14:paraId="2943C461" w14:textId="77777777" w:rsidR="00DA016C" w:rsidRDefault="00DA016C" w:rsidP="004627F1">
      <w:pPr>
        <w:spacing w:line="480" w:lineRule="auto"/>
        <w:ind w:firstLine="360"/>
        <w:rPr>
          <w:rFonts w:ascii="Bookman Old Style" w:hAnsi="Bookman Old Style"/>
          <w:sz w:val="22"/>
          <w:szCs w:val="22"/>
        </w:rPr>
      </w:pPr>
    </w:p>
    <w:p w14:paraId="2AE636BF" w14:textId="77777777" w:rsidR="00DA016C" w:rsidRDefault="00DA016C" w:rsidP="004627F1">
      <w:pPr>
        <w:spacing w:line="480" w:lineRule="auto"/>
        <w:ind w:firstLine="360"/>
        <w:rPr>
          <w:rFonts w:ascii="Bookman Old Style" w:hAnsi="Bookman Old Style"/>
          <w:sz w:val="22"/>
          <w:szCs w:val="22"/>
        </w:rPr>
      </w:pPr>
    </w:p>
    <w:p w14:paraId="4CB7007D" w14:textId="77777777" w:rsidR="00DA016C" w:rsidRDefault="00DA016C" w:rsidP="004627F1">
      <w:pPr>
        <w:spacing w:line="480" w:lineRule="auto"/>
        <w:ind w:firstLine="360"/>
        <w:rPr>
          <w:rFonts w:ascii="Bookman Old Style" w:hAnsi="Bookman Old Style"/>
          <w:sz w:val="22"/>
          <w:szCs w:val="22"/>
        </w:rPr>
      </w:pPr>
    </w:p>
    <w:p w14:paraId="7C7C287F" w14:textId="363975A4" w:rsidR="00DA016C" w:rsidRDefault="00DA016C" w:rsidP="004627F1">
      <w:pPr>
        <w:spacing w:line="480" w:lineRule="auto"/>
        <w:ind w:firstLine="360"/>
        <w:rPr>
          <w:rFonts w:ascii="Bookman Old Style" w:hAnsi="Bookman Old Style"/>
          <w:sz w:val="32"/>
          <w:szCs w:val="32"/>
          <w:u w:val="single"/>
        </w:rPr>
      </w:pPr>
      <w:r>
        <w:rPr>
          <w:rFonts w:ascii="Bookman Old Style" w:hAnsi="Bookman Old Style"/>
          <w:sz w:val="32"/>
          <w:szCs w:val="32"/>
          <w:u w:val="single"/>
        </w:rPr>
        <w:lastRenderedPageBreak/>
        <w:t>Bibliography:</w:t>
      </w:r>
    </w:p>
    <w:p w14:paraId="7CBB477A" w14:textId="77777777" w:rsidR="00DA016C" w:rsidRPr="00DA016C" w:rsidRDefault="00DA016C" w:rsidP="00DA016C">
      <w:pPr>
        <w:pStyle w:val="NormalWeb"/>
        <w:spacing w:before="0" w:beforeAutospacing="0" w:after="240" w:afterAutospacing="0" w:line="360" w:lineRule="auto"/>
        <w:ind w:left="720" w:hanging="720"/>
        <w:rPr>
          <w:rFonts w:ascii="Bookman Old Style" w:hAnsi="Bookman Old Style"/>
          <w:sz w:val="22"/>
          <w:szCs w:val="22"/>
        </w:rPr>
      </w:pPr>
      <w:r w:rsidRPr="00DA016C">
        <w:rPr>
          <w:rFonts w:ascii="Bookman Old Style" w:hAnsi="Bookman Old Style"/>
          <w:sz w:val="22"/>
          <w:szCs w:val="22"/>
        </w:rPr>
        <w:t xml:space="preserve">Al-Hakim, Ali Hussain, </w:t>
      </w:r>
      <w:r w:rsidRPr="00DA016C">
        <w:rPr>
          <w:rFonts w:ascii="Bookman Old Style" w:hAnsi="Bookman Old Style"/>
          <w:i/>
          <w:iCs/>
          <w:sz w:val="22"/>
          <w:szCs w:val="22"/>
        </w:rPr>
        <w:t>Islam and Feminism</w:t>
      </w:r>
      <w:r w:rsidRPr="00DA016C">
        <w:rPr>
          <w:rFonts w:ascii="Bookman Old Style" w:hAnsi="Bookman Old Style"/>
          <w:sz w:val="22"/>
          <w:szCs w:val="22"/>
        </w:rPr>
        <w:t xml:space="preserve"> (Institute of Islamic Studies, 2005)</w:t>
      </w:r>
    </w:p>
    <w:p w14:paraId="37B2171F" w14:textId="77777777" w:rsidR="00DA016C" w:rsidRPr="00DA016C" w:rsidRDefault="00DA016C" w:rsidP="00DA016C">
      <w:pPr>
        <w:pStyle w:val="NormalWeb"/>
        <w:spacing w:before="0" w:beforeAutospacing="0" w:after="240" w:afterAutospacing="0" w:line="360" w:lineRule="auto"/>
        <w:ind w:left="720" w:hanging="720"/>
        <w:rPr>
          <w:rFonts w:ascii="Bookman Old Style" w:hAnsi="Bookman Old Style"/>
          <w:sz w:val="22"/>
          <w:szCs w:val="22"/>
        </w:rPr>
      </w:pPr>
      <w:r w:rsidRPr="00DA016C">
        <w:rPr>
          <w:rFonts w:ascii="Bookman Old Style" w:hAnsi="Bookman Old Style"/>
          <w:sz w:val="22"/>
          <w:szCs w:val="22"/>
        </w:rPr>
        <w:t xml:space="preserve">Ali, Kecia, </w:t>
      </w:r>
      <w:r w:rsidRPr="00DA016C">
        <w:rPr>
          <w:rFonts w:ascii="Bookman Old Style" w:hAnsi="Bookman Old Style"/>
          <w:i/>
          <w:iCs/>
          <w:sz w:val="22"/>
          <w:szCs w:val="22"/>
        </w:rPr>
        <w:t>The Ethics of Gender in Islam</w:t>
      </w:r>
      <w:r w:rsidRPr="00DA016C">
        <w:rPr>
          <w:rFonts w:ascii="Bookman Old Style" w:hAnsi="Bookman Old Style"/>
          <w:sz w:val="22"/>
          <w:szCs w:val="22"/>
        </w:rPr>
        <w:t xml:space="preserve"> (Oxford, 2012)</w:t>
      </w:r>
    </w:p>
    <w:p w14:paraId="462DC738" w14:textId="77777777" w:rsidR="00DA016C" w:rsidRPr="00DA016C" w:rsidRDefault="00DA016C" w:rsidP="00DA016C">
      <w:pPr>
        <w:pStyle w:val="NormalWeb"/>
        <w:spacing w:before="0" w:beforeAutospacing="0" w:after="240" w:afterAutospacing="0" w:line="360" w:lineRule="auto"/>
        <w:ind w:left="720" w:hanging="720"/>
        <w:rPr>
          <w:rFonts w:ascii="Bookman Old Style" w:hAnsi="Bookman Old Style"/>
          <w:sz w:val="22"/>
          <w:szCs w:val="22"/>
        </w:rPr>
      </w:pPr>
      <w:r w:rsidRPr="00DA016C">
        <w:rPr>
          <w:rFonts w:ascii="Bookman Old Style" w:hAnsi="Bookman Old Style"/>
          <w:sz w:val="22"/>
          <w:szCs w:val="22"/>
        </w:rPr>
        <w:t xml:space="preserve">BBC, ‘BBC - Ethics - Honour Crimes’, </w:t>
      </w:r>
      <w:r w:rsidRPr="00DA016C">
        <w:rPr>
          <w:rFonts w:ascii="Bookman Old Style" w:hAnsi="Bookman Old Style"/>
          <w:i/>
          <w:iCs/>
          <w:sz w:val="22"/>
          <w:szCs w:val="22"/>
        </w:rPr>
        <w:t>Www.bbc.co.uk</w:t>
      </w:r>
      <w:r w:rsidRPr="00DA016C">
        <w:rPr>
          <w:rFonts w:ascii="Bookman Old Style" w:hAnsi="Bookman Old Style"/>
          <w:sz w:val="22"/>
          <w:szCs w:val="22"/>
        </w:rPr>
        <w:t>, 2014 &lt;https://www.bbc.co.uk/ethics/honourcrimes/crimesofhonour_1.shtml&gt; [accessed 29 November 2025]</w:t>
      </w:r>
    </w:p>
    <w:p w14:paraId="654089B5" w14:textId="77777777" w:rsidR="00DA016C" w:rsidRPr="00DA016C" w:rsidRDefault="00DA016C" w:rsidP="00DA016C">
      <w:pPr>
        <w:pStyle w:val="NormalWeb"/>
        <w:spacing w:before="0" w:beforeAutospacing="0" w:after="240" w:afterAutospacing="0" w:line="360" w:lineRule="auto"/>
        <w:ind w:left="720" w:hanging="720"/>
        <w:rPr>
          <w:rFonts w:ascii="Bookman Old Style" w:hAnsi="Bookman Old Style"/>
          <w:sz w:val="22"/>
          <w:szCs w:val="22"/>
        </w:rPr>
      </w:pPr>
      <w:proofErr w:type="spellStart"/>
      <w:r w:rsidRPr="00DA016C">
        <w:rPr>
          <w:rFonts w:ascii="Bookman Old Style" w:hAnsi="Bookman Old Style"/>
          <w:sz w:val="22"/>
          <w:szCs w:val="22"/>
        </w:rPr>
        <w:t>Fidhayanti</w:t>
      </w:r>
      <w:proofErr w:type="spellEnd"/>
      <w:r w:rsidRPr="00DA016C">
        <w:rPr>
          <w:rFonts w:ascii="Bookman Old Style" w:hAnsi="Bookman Old Style"/>
          <w:sz w:val="22"/>
          <w:szCs w:val="22"/>
        </w:rPr>
        <w:t xml:space="preserve">, Dwi, Muhammad </w:t>
      </w:r>
      <w:proofErr w:type="spellStart"/>
      <w:r w:rsidRPr="00DA016C">
        <w:rPr>
          <w:rFonts w:ascii="Bookman Old Style" w:hAnsi="Bookman Old Style"/>
          <w:sz w:val="22"/>
          <w:szCs w:val="22"/>
        </w:rPr>
        <w:t>Muhammad</w:t>
      </w:r>
      <w:proofErr w:type="spellEnd"/>
      <w:r w:rsidRPr="00DA016C">
        <w:rPr>
          <w:rFonts w:ascii="Bookman Old Style" w:hAnsi="Bookman Old Style"/>
          <w:sz w:val="22"/>
          <w:szCs w:val="22"/>
        </w:rPr>
        <w:t xml:space="preserve">, Mahbub </w:t>
      </w:r>
      <w:proofErr w:type="spellStart"/>
      <w:r w:rsidRPr="00DA016C">
        <w:rPr>
          <w:rFonts w:ascii="Bookman Old Style" w:hAnsi="Bookman Old Style"/>
          <w:sz w:val="22"/>
          <w:szCs w:val="22"/>
        </w:rPr>
        <w:t>Aunur</w:t>
      </w:r>
      <w:proofErr w:type="spellEnd"/>
      <w:r w:rsidRPr="00DA016C">
        <w:rPr>
          <w:rFonts w:ascii="Bookman Old Style" w:hAnsi="Bookman Old Style"/>
          <w:sz w:val="22"/>
          <w:szCs w:val="22"/>
        </w:rPr>
        <w:t xml:space="preserve"> Rofiq, Muhammad Robith Fuadi, Abdul Hakim, and </w:t>
      </w:r>
      <w:proofErr w:type="spellStart"/>
      <w:r w:rsidRPr="00DA016C">
        <w:rPr>
          <w:rFonts w:ascii="Bookman Old Style" w:hAnsi="Bookman Old Style"/>
          <w:sz w:val="22"/>
          <w:szCs w:val="22"/>
        </w:rPr>
        <w:t>Nabrisatul</w:t>
      </w:r>
      <w:proofErr w:type="spellEnd"/>
      <w:r w:rsidRPr="00DA016C">
        <w:rPr>
          <w:rFonts w:ascii="Bookman Old Style" w:hAnsi="Bookman Old Style"/>
          <w:sz w:val="22"/>
          <w:szCs w:val="22"/>
        </w:rPr>
        <w:t xml:space="preserve"> </w:t>
      </w:r>
      <w:proofErr w:type="spellStart"/>
      <w:r w:rsidRPr="00DA016C">
        <w:rPr>
          <w:rFonts w:ascii="Bookman Old Style" w:hAnsi="Bookman Old Style"/>
          <w:sz w:val="22"/>
          <w:szCs w:val="22"/>
        </w:rPr>
        <w:t>Chusna</w:t>
      </w:r>
      <w:proofErr w:type="spellEnd"/>
      <w:r w:rsidRPr="00DA016C">
        <w:rPr>
          <w:rFonts w:ascii="Bookman Old Style" w:hAnsi="Bookman Old Style"/>
          <w:sz w:val="22"/>
          <w:szCs w:val="22"/>
        </w:rPr>
        <w:t xml:space="preserve"> Bil Makkiy, ‘Rethinking Islamic Feminist Thought on Reinterpreting the Qur’an: An Analysis of the Thoughts of Aminah Wadud, Fatima Mernissi, Asma Barlas, and Riffat Hassan’, </w:t>
      </w:r>
      <w:proofErr w:type="spellStart"/>
      <w:r w:rsidRPr="00DA016C">
        <w:rPr>
          <w:rFonts w:ascii="Bookman Old Style" w:hAnsi="Bookman Old Style"/>
          <w:i/>
          <w:iCs/>
          <w:sz w:val="22"/>
          <w:szCs w:val="22"/>
        </w:rPr>
        <w:t>Tribakti</w:t>
      </w:r>
      <w:proofErr w:type="spellEnd"/>
      <w:r w:rsidRPr="00DA016C">
        <w:rPr>
          <w:rFonts w:ascii="Bookman Old Style" w:hAnsi="Bookman Old Style"/>
          <w:i/>
          <w:iCs/>
          <w:sz w:val="22"/>
          <w:szCs w:val="22"/>
        </w:rPr>
        <w:t xml:space="preserve">: </w:t>
      </w:r>
      <w:proofErr w:type="spellStart"/>
      <w:r w:rsidRPr="00DA016C">
        <w:rPr>
          <w:rFonts w:ascii="Bookman Old Style" w:hAnsi="Bookman Old Style"/>
          <w:i/>
          <w:iCs/>
          <w:sz w:val="22"/>
          <w:szCs w:val="22"/>
        </w:rPr>
        <w:t>Jurnal</w:t>
      </w:r>
      <w:proofErr w:type="spellEnd"/>
      <w:r w:rsidRPr="00DA016C">
        <w:rPr>
          <w:rFonts w:ascii="Bookman Old Style" w:hAnsi="Bookman Old Style"/>
          <w:i/>
          <w:iCs/>
          <w:sz w:val="22"/>
          <w:szCs w:val="22"/>
        </w:rPr>
        <w:t xml:space="preserve"> </w:t>
      </w:r>
      <w:proofErr w:type="spellStart"/>
      <w:r w:rsidRPr="00DA016C">
        <w:rPr>
          <w:rFonts w:ascii="Bookman Old Style" w:hAnsi="Bookman Old Style"/>
          <w:i/>
          <w:iCs/>
          <w:sz w:val="22"/>
          <w:szCs w:val="22"/>
        </w:rPr>
        <w:t>Pemikiran</w:t>
      </w:r>
      <w:proofErr w:type="spellEnd"/>
      <w:r w:rsidRPr="00DA016C">
        <w:rPr>
          <w:rFonts w:ascii="Bookman Old Style" w:hAnsi="Bookman Old Style"/>
          <w:i/>
          <w:iCs/>
          <w:sz w:val="22"/>
          <w:szCs w:val="22"/>
        </w:rPr>
        <w:t xml:space="preserve"> Keislaman</w:t>
      </w:r>
      <w:r w:rsidRPr="00DA016C">
        <w:rPr>
          <w:rFonts w:ascii="Bookman Old Style" w:hAnsi="Bookman Old Style"/>
          <w:sz w:val="22"/>
          <w:szCs w:val="22"/>
        </w:rPr>
        <w:t>, 35.1 (2024), 37–56 &lt;https://www.researchgate.net/deref/https%3A%2F%2Fdoi.org%2F10.33367%2Ftribakti.v35i1.4956?_tp=eyJjb250ZXh0Ijp7ImZpcnN0UGFnZSI6Il9kaXJlY3QiLCJwYWdlIjoicHVibGljYXRpb24ifX0&gt;</w:t>
      </w:r>
    </w:p>
    <w:p w14:paraId="77EFC0D6" w14:textId="77777777" w:rsidR="00DA016C" w:rsidRPr="00DA016C" w:rsidRDefault="00DA016C" w:rsidP="00DA016C">
      <w:pPr>
        <w:pStyle w:val="NormalWeb"/>
        <w:spacing w:before="0" w:beforeAutospacing="0" w:after="240" w:afterAutospacing="0" w:line="360" w:lineRule="auto"/>
        <w:ind w:left="720" w:hanging="720"/>
        <w:rPr>
          <w:rFonts w:ascii="Bookman Old Style" w:hAnsi="Bookman Old Style"/>
          <w:sz w:val="22"/>
          <w:szCs w:val="22"/>
        </w:rPr>
      </w:pPr>
      <w:r w:rsidRPr="00DA016C">
        <w:rPr>
          <w:rFonts w:ascii="Bookman Old Style" w:hAnsi="Bookman Old Style"/>
          <w:sz w:val="22"/>
          <w:szCs w:val="22"/>
        </w:rPr>
        <w:t xml:space="preserve">Hassan, Riffat , ‘An Islamic Perspective on Women and the Feminist Movement’, </w:t>
      </w:r>
      <w:r w:rsidRPr="00DA016C">
        <w:rPr>
          <w:rFonts w:ascii="Bookman Old Style" w:hAnsi="Bookman Old Style"/>
          <w:i/>
          <w:iCs/>
          <w:sz w:val="22"/>
          <w:szCs w:val="22"/>
        </w:rPr>
        <w:t>Harvard Divinity Bulletin</w:t>
      </w:r>
      <w:r w:rsidRPr="00DA016C">
        <w:rPr>
          <w:rFonts w:ascii="Bookman Old Style" w:hAnsi="Bookman Old Style"/>
          <w:sz w:val="22"/>
          <w:szCs w:val="22"/>
        </w:rPr>
        <w:t>, 17.2 (1987)</w:t>
      </w:r>
    </w:p>
    <w:p w14:paraId="43C5DB03" w14:textId="77777777" w:rsidR="00DA016C" w:rsidRPr="00DA016C" w:rsidRDefault="00DA016C" w:rsidP="00DA016C">
      <w:pPr>
        <w:pStyle w:val="NormalWeb"/>
        <w:spacing w:before="0" w:beforeAutospacing="0" w:after="240" w:afterAutospacing="0" w:line="360" w:lineRule="auto"/>
        <w:ind w:left="720" w:hanging="720"/>
        <w:rPr>
          <w:rFonts w:ascii="Bookman Old Style" w:hAnsi="Bookman Old Style"/>
          <w:sz w:val="22"/>
          <w:szCs w:val="22"/>
        </w:rPr>
      </w:pPr>
      <w:r w:rsidRPr="00DA016C">
        <w:rPr>
          <w:rFonts w:ascii="Bookman Old Style" w:hAnsi="Bookman Old Style"/>
          <w:sz w:val="22"/>
          <w:szCs w:val="22"/>
        </w:rPr>
        <w:t xml:space="preserve">———, ‘Equal before Allah? Woman-Man Equality in the Islamic Tradition’, </w:t>
      </w:r>
      <w:r w:rsidRPr="00DA016C">
        <w:rPr>
          <w:rFonts w:ascii="Bookman Old Style" w:hAnsi="Bookman Old Style"/>
          <w:i/>
          <w:iCs/>
          <w:sz w:val="22"/>
          <w:szCs w:val="22"/>
        </w:rPr>
        <w:t>Harvard University Press</w:t>
      </w:r>
      <w:r w:rsidRPr="00DA016C">
        <w:rPr>
          <w:rFonts w:ascii="Bookman Old Style" w:hAnsi="Bookman Old Style"/>
          <w:sz w:val="22"/>
          <w:szCs w:val="22"/>
        </w:rPr>
        <w:t>, 1985 &lt;http://archive.wluml.org/ar/node/253&gt; [accessed 30 November 2025]</w:t>
      </w:r>
    </w:p>
    <w:p w14:paraId="186FD2F1" w14:textId="77777777" w:rsidR="00DA016C" w:rsidRPr="00DA016C" w:rsidRDefault="00DA016C" w:rsidP="00DA016C">
      <w:pPr>
        <w:pStyle w:val="NormalWeb"/>
        <w:spacing w:before="0" w:beforeAutospacing="0" w:after="240" w:afterAutospacing="0" w:line="360" w:lineRule="auto"/>
        <w:ind w:left="720" w:hanging="720"/>
        <w:rPr>
          <w:rFonts w:ascii="Bookman Old Style" w:hAnsi="Bookman Old Style"/>
          <w:sz w:val="22"/>
          <w:szCs w:val="22"/>
        </w:rPr>
      </w:pPr>
      <w:r w:rsidRPr="00DA016C">
        <w:rPr>
          <w:rFonts w:ascii="Bookman Old Style" w:hAnsi="Bookman Old Style"/>
          <w:sz w:val="22"/>
          <w:szCs w:val="22"/>
        </w:rPr>
        <w:t xml:space="preserve">———, ‘Made from Adam’s Rib - the Issue of Woman’s Creation’, </w:t>
      </w:r>
      <w:r w:rsidRPr="00DA016C">
        <w:rPr>
          <w:rFonts w:ascii="Bookman Old Style" w:hAnsi="Bookman Old Style"/>
          <w:i/>
          <w:iCs/>
          <w:sz w:val="22"/>
          <w:szCs w:val="22"/>
        </w:rPr>
        <w:t>For People Who Think</w:t>
      </w:r>
      <w:r w:rsidRPr="00DA016C">
        <w:rPr>
          <w:rFonts w:ascii="Bookman Old Style" w:hAnsi="Bookman Old Style"/>
          <w:sz w:val="22"/>
          <w:szCs w:val="22"/>
        </w:rPr>
        <w:t>, 2009 &lt;http://www.forpeoplewhothink.org/Topics/Adam's_Rib-The_Issue_Of_Woman's_Creation.html&gt; [accessed 29 November 2025]</w:t>
      </w:r>
    </w:p>
    <w:p w14:paraId="14FC1AA8" w14:textId="77777777" w:rsidR="00DA016C" w:rsidRPr="00DA016C" w:rsidRDefault="00DA016C" w:rsidP="00DA016C">
      <w:pPr>
        <w:pStyle w:val="NormalWeb"/>
        <w:spacing w:before="0" w:beforeAutospacing="0" w:after="240" w:afterAutospacing="0" w:line="360" w:lineRule="auto"/>
        <w:ind w:left="720" w:hanging="720"/>
        <w:rPr>
          <w:rFonts w:ascii="Bookman Old Style" w:hAnsi="Bookman Old Style"/>
          <w:sz w:val="22"/>
          <w:szCs w:val="22"/>
        </w:rPr>
      </w:pPr>
      <w:r w:rsidRPr="00DA016C">
        <w:rPr>
          <w:rFonts w:ascii="Bookman Old Style" w:hAnsi="Bookman Old Style"/>
          <w:sz w:val="22"/>
          <w:szCs w:val="22"/>
        </w:rPr>
        <w:t xml:space="preserve">———, ‘The Issue of Woman–Man Equality in the Islamic Tradition’, </w:t>
      </w:r>
      <w:r w:rsidRPr="00DA016C">
        <w:rPr>
          <w:rFonts w:ascii="Bookman Old Style" w:hAnsi="Bookman Old Style"/>
          <w:i/>
          <w:iCs/>
          <w:sz w:val="22"/>
          <w:szCs w:val="22"/>
        </w:rPr>
        <w:t>WLUML Dossier</w:t>
      </w:r>
      <w:r w:rsidRPr="00DA016C">
        <w:rPr>
          <w:rFonts w:ascii="Bookman Old Style" w:hAnsi="Bookman Old Style"/>
          <w:sz w:val="22"/>
          <w:szCs w:val="22"/>
        </w:rPr>
        <w:t>, 1987</w:t>
      </w:r>
    </w:p>
    <w:p w14:paraId="26974DDD" w14:textId="77777777" w:rsidR="00DA016C" w:rsidRPr="00DA016C" w:rsidRDefault="00DA016C" w:rsidP="00DA016C">
      <w:pPr>
        <w:pStyle w:val="NormalWeb"/>
        <w:spacing w:before="0" w:beforeAutospacing="0" w:after="240" w:afterAutospacing="0" w:line="360" w:lineRule="auto"/>
        <w:ind w:left="720" w:hanging="720"/>
        <w:rPr>
          <w:rFonts w:ascii="Bookman Old Style" w:hAnsi="Bookman Old Style"/>
          <w:sz w:val="22"/>
          <w:szCs w:val="22"/>
        </w:rPr>
      </w:pPr>
      <w:r w:rsidRPr="00DA016C">
        <w:rPr>
          <w:rFonts w:ascii="Bookman Old Style" w:hAnsi="Bookman Old Style"/>
          <w:sz w:val="22"/>
          <w:szCs w:val="22"/>
        </w:rPr>
        <w:t xml:space="preserve">Hidayatullah, Aysha A, </w:t>
      </w:r>
      <w:r w:rsidRPr="00DA016C">
        <w:rPr>
          <w:rFonts w:ascii="Bookman Old Style" w:hAnsi="Bookman Old Style"/>
          <w:i/>
          <w:iCs/>
          <w:sz w:val="22"/>
          <w:szCs w:val="22"/>
        </w:rPr>
        <w:t>Feminist Edges of the Qur’an</w:t>
      </w:r>
      <w:r w:rsidRPr="00DA016C">
        <w:rPr>
          <w:rFonts w:ascii="Bookman Old Style" w:hAnsi="Bookman Old Style"/>
          <w:sz w:val="22"/>
          <w:szCs w:val="22"/>
        </w:rPr>
        <w:t xml:space="preserve"> (New York, Ny: Oxford University Press, 2014)</w:t>
      </w:r>
    </w:p>
    <w:p w14:paraId="1592DEEB" w14:textId="77777777" w:rsidR="00DA016C" w:rsidRPr="00DA016C" w:rsidRDefault="00DA016C" w:rsidP="00DA016C">
      <w:pPr>
        <w:pStyle w:val="NormalWeb"/>
        <w:spacing w:before="0" w:beforeAutospacing="0" w:after="240" w:afterAutospacing="0" w:line="360" w:lineRule="auto"/>
        <w:ind w:left="720" w:hanging="720"/>
        <w:rPr>
          <w:rFonts w:ascii="Bookman Old Style" w:hAnsi="Bookman Old Style"/>
          <w:sz w:val="22"/>
          <w:szCs w:val="22"/>
        </w:rPr>
      </w:pPr>
      <w:r w:rsidRPr="00DA016C">
        <w:rPr>
          <w:rFonts w:ascii="Bookman Old Style" w:hAnsi="Bookman Old Style"/>
          <w:sz w:val="22"/>
          <w:szCs w:val="22"/>
        </w:rPr>
        <w:lastRenderedPageBreak/>
        <w:t xml:space="preserve">Morady, Hassan, Ehsan </w:t>
      </w:r>
      <w:proofErr w:type="spellStart"/>
      <w:r w:rsidRPr="00DA016C">
        <w:rPr>
          <w:rFonts w:ascii="Bookman Old Style" w:hAnsi="Bookman Old Style"/>
          <w:sz w:val="22"/>
          <w:szCs w:val="22"/>
        </w:rPr>
        <w:t>Kordy</w:t>
      </w:r>
      <w:proofErr w:type="spellEnd"/>
      <w:r w:rsidRPr="00DA016C">
        <w:rPr>
          <w:rFonts w:ascii="Bookman Old Style" w:hAnsi="Bookman Old Style"/>
          <w:sz w:val="22"/>
          <w:szCs w:val="22"/>
        </w:rPr>
        <w:t xml:space="preserve"> Ardakany, and Mahmoud Seyedy, ‘Criticism of Riffat Hassan’s Theory of “Incompatibility of Shiite Mahdism with Qur’anic Verses”’, </w:t>
      </w:r>
      <w:r w:rsidRPr="00DA016C">
        <w:rPr>
          <w:rFonts w:ascii="Bookman Old Style" w:hAnsi="Bookman Old Style"/>
          <w:i/>
          <w:iCs/>
          <w:sz w:val="22"/>
          <w:szCs w:val="22"/>
        </w:rPr>
        <w:t>International Journal of Multicultural and Multireligious Understanding</w:t>
      </w:r>
      <w:r w:rsidRPr="00DA016C">
        <w:rPr>
          <w:rFonts w:ascii="Bookman Old Style" w:hAnsi="Bookman Old Style"/>
          <w:sz w:val="22"/>
          <w:szCs w:val="22"/>
        </w:rPr>
        <w:t>, 6.5 (2019), 562 &lt;https://doi.org/10.18415/ijmmu.v6i5.1101&gt;</w:t>
      </w:r>
    </w:p>
    <w:p w14:paraId="3E7EA9B9" w14:textId="77777777" w:rsidR="00DA016C" w:rsidRPr="00DA016C" w:rsidRDefault="00DA016C" w:rsidP="00DA016C">
      <w:pPr>
        <w:pStyle w:val="NormalWeb"/>
        <w:spacing w:before="0" w:beforeAutospacing="0" w:after="240" w:afterAutospacing="0" w:line="360" w:lineRule="auto"/>
        <w:ind w:left="720" w:hanging="720"/>
        <w:rPr>
          <w:rFonts w:ascii="Bookman Old Style" w:hAnsi="Bookman Old Style"/>
          <w:sz w:val="22"/>
          <w:szCs w:val="22"/>
        </w:rPr>
      </w:pPr>
      <w:r w:rsidRPr="00DA016C">
        <w:rPr>
          <w:rFonts w:ascii="Bookman Old Style" w:hAnsi="Bookman Old Style"/>
          <w:sz w:val="22"/>
          <w:szCs w:val="22"/>
        </w:rPr>
        <w:t xml:space="preserve">Renovatio, ‘The Fundamental Contradiction of Islamic Feminism’, </w:t>
      </w:r>
      <w:r w:rsidRPr="00DA016C">
        <w:rPr>
          <w:rFonts w:ascii="Bookman Old Style" w:hAnsi="Bookman Old Style"/>
          <w:i/>
          <w:iCs/>
          <w:sz w:val="22"/>
          <w:szCs w:val="22"/>
        </w:rPr>
        <w:t>Renovatio | the Journal of Zaytuna College</w:t>
      </w:r>
      <w:r w:rsidRPr="00DA016C">
        <w:rPr>
          <w:rFonts w:ascii="Bookman Old Style" w:hAnsi="Bookman Old Style"/>
          <w:sz w:val="22"/>
          <w:szCs w:val="22"/>
        </w:rPr>
        <w:t>, 2023 &lt;https://renovatio.zaytuna.edu/article/the-fundamental-contradiction-of-islamic-feminism&gt; [accessed 30 November 2025]</w:t>
      </w:r>
    </w:p>
    <w:p w14:paraId="1C41FB92" w14:textId="77777777" w:rsidR="00DA016C" w:rsidRPr="00DA016C" w:rsidRDefault="00DA016C" w:rsidP="00DA016C">
      <w:pPr>
        <w:pStyle w:val="NormalWeb"/>
        <w:spacing w:before="0" w:beforeAutospacing="0" w:after="240" w:afterAutospacing="0" w:line="360" w:lineRule="auto"/>
        <w:ind w:left="720" w:hanging="720"/>
        <w:rPr>
          <w:rFonts w:ascii="Bookman Old Style" w:hAnsi="Bookman Old Style"/>
          <w:sz w:val="22"/>
          <w:szCs w:val="22"/>
        </w:rPr>
      </w:pPr>
      <w:r w:rsidRPr="00DA016C">
        <w:rPr>
          <w:rFonts w:ascii="Bookman Old Style" w:hAnsi="Bookman Old Style"/>
          <w:sz w:val="22"/>
          <w:szCs w:val="22"/>
        </w:rPr>
        <w:t xml:space="preserve">Stowasser, Barbara , </w:t>
      </w:r>
      <w:r w:rsidRPr="00DA016C">
        <w:rPr>
          <w:rFonts w:ascii="Bookman Old Style" w:hAnsi="Bookman Old Style"/>
          <w:i/>
          <w:iCs/>
          <w:sz w:val="22"/>
          <w:szCs w:val="22"/>
        </w:rPr>
        <w:t>Women in the Qur’an, Traditions, and Interpretation</w:t>
      </w:r>
      <w:r w:rsidRPr="00DA016C">
        <w:rPr>
          <w:rFonts w:ascii="Bookman Old Style" w:hAnsi="Bookman Old Style"/>
          <w:sz w:val="22"/>
          <w:szCs w:val="22"/>
        </w:rPr>
        <w:t xml:space="preserve">, </w:t>
      </w:r>
      <w:r w:rsidRPr="00DA016C">
        <w:rPr>
          <w:rFonts w:ascii="Bookman Old Style" w:hAnsi="Bookman Old Style"/>
          <w:i/>
          <w:iCs/>
          <w:sz w:val="22"/>
          <w:szCs w:val="22"/>
        </w:rPr>
        <w:t>Oxford University Press</w:t>
      </w:r>
      <w:r w:rsidRPr="00DA016C">
        <w:rPr>
          <w:rFonts w:ascii="Bookman Old Style" w:hAnsi="Bookman Old Style"/>
          <w:sz w:val="22"/>
          <w:szCs w:val="22"/>
        </w:rPr>
        <w:t xml:space="preserve"> (Oxford University Press, 1994)</w:t>
      </w:r>
    </w:p>
    <w:p w14:paraId="76D70516" w14:textId="77777777" w:rsidR="00DA016C" w:rsidRPr="00DA016C" w:rsidRDefault="00DA016C" w:rsidP="004627F1">
      <w:pPr>
        <w:spacing w:line="480" w:lineRule="auto"/>
        <w:ind w:firstLine="360"/>
        <w:rPr>
          <w:rFonts w:ascii="Bookman Old Style" w:hAnsi="Bookman Old Style"/>
          <w:sz w:val="22"/>
          <w:szCs w:val="22"/>
        </w:rPr>
      </w:pPr>
    </w:p>
    <w:p w14:paraId="0508341D" w14:textId="70BA2EF2" w:rsidR="00866E65" w:rsidRDefault="00866E65" w:rsidP="00985689">
      <w:pPr>
        <w:spacing w:line="480" w:lineRule="auto"/>
        <w:rPr>
          <w:rFonts w:ascii="Bookman Old Style" w:hAnsi="Bookman Old Style"/>
          <w:sz w:val="22"/>
          <w:szCs w:val="22"/>
          <w:u w:val="single"/>
        </w:rPr>
      </w:pPr>
    </w:p>
    <w:p w14:paraId="7BF6A064" w14:textId="77777777" w:rsidR="002223B8" w:rsidRPr="00A67D29" w:rsidRDefault="002223B8" w:rsidP="00985689">
      <w:pPr>
        <w:spacing w:line="480" w:lineRule="auto"/>
        <w:rPr>
          <w:rFonts w:ascii="Bookman Old Style" w:hAnsi="Bookman Old Style"/>
          <w:sz w:val="22"/>
          <w:szCs w:val="22"/>
        </w:rPr>
      </w:pPr>
    </w:p>
    <w:sectPr w:rsidR="002223B8" w:rsidRPr="00A67D2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0B4DD6" w14:textId="77777777" w:rsidR="006B6803" w:rsidRDefault="006B6803" w:rsidP="00684DCF">
      <w:pPr>
        <w:spacing w:after="0" w:line="240" w:lineRule="auto"/>
      </w:pPr>
      <w:r>
        <w:separator/>
      </w:r>
    </w:p>
  </w:endnote>
  <w:endnote w:type="continuationSeparator" w:id="0">
    <w:p w14:paraId="2B1230B1" w14:textId="77777777" w:rsidR="006B6803" w:rsidRDefault="006B6803" w:rsidP="00684D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Bookman Old Style">
    <w:panose1 w:val="020506040505050202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2DF5F8" w14:textId="77777777" w:rsidR="006B6803" w:rsidRDefault="006B6803" w:rsidP="00684DCF">
      <w:pPr>
        <w:spacing w:after="0" w:line="240" w:lineRule="auto"/>
      </w:pPr>
      <w:r>
        <w:separator/>
      </w:r>
    </w:p>
  </w:footnote>
  <w:footnote w:type="continuationSeparator" w:id="0">
    <w:p w14:paraId="1C31D41D" w14:textId="77777777" w:rsidR="006B6803" w:rsidRDefault="006B6803" w:rsidP="00684DCF">
      <w:pPr>
        <w:spacing w:after="0" w:line="240" w:lineRule="auto"/>
      </w:pPr>
      <w:r>
        <w:continuationSeparator/>
      </w:r>
    </w:p>
  </w:footnote>
  <w:footnote w:id="1">
    <w:p w14:paraId="7FB4035B" w14:textId="3162EC58" w:rsidR="00684DCF" w:rsidRPr="00684DCF" w:rsidRDefault="00684DCF">
      <w:pPr>
        <w:pStyle w:val="FootnoteText"/>
        <w:rPr>
          <w:rFonts w:ascii="Bookman Old Style" w:hAnsi="Bookman Old Style"/>
          <w:sz w:val="18"/>
          <w:szCs w:val="18"/>
        </w:rPr>
      </w:pPr>
      <w:r w:rsidRPr="00684DCF">
        <w:rPr>
          <w:rStyle w:val="FootnoteReference"/>
          <w:rFonts w:ascii="Bookman Old Style" w:hAnsi="Bookman Old Style"/>
          <w:sz w:val="18"/>
          <w:szCs w:val="18"/>
        </w:rPr>
        <w:footnoteRef/>
      </w:r>
      <w:r w:rsidRPr="00684DCF">
        <w:rPr>
          <w:rFonts w:ascii="Bookman Old Style" w:hAnsi="Bookman Old Style"/>
          <w:sz w:val="18"/>
          <w:szCs w:val="18"/>
        </w:rPr>
        <w:t xml:space="preserve"> Riffat Hassan, ‘Made from Adam’s Rib - the Issue of Woman’s Creation’, </w:t>
      </w:r>
      <w:r w:rsidRPr="00684DCF">
        <w:rPr>
          <w:rFonts w:ascii="Bookman Old Style" w:hAnsi="Bookman Old Style"/>
          <w:i/>
          <w:iCs/>
          <w:sz w:val="18"/>
          <w:szCs w:val="18"/>
        </w:rPr>
        <w:t>For People Who Think</w:t>
      </w:r>
      <w:r w:rsidRPr="00684DCF">
        <w:rPr>
          <w:rFonts w:ascii="Bookman Old Style" w:hAnsi="Bookman Old Style"/>
          <w:sz w:val="18"/>
          <w:szCs w:val="18"/>
        </w:rPr>
        <w:t>, 2009 &lt;</w:t>
      </w:r>
      <w:hyperlink r:id="rId1" w:history="1">
        <w:r w:rsidRPr="00684DCF">
          <w:rPr>
            <w:rStyle w:val="Hyperlink"/>
            <w:rFonts w:ascii="Bookman Old Style" w:hAnsi="Bookman Old Style"/>
            <w:sz w:val="18"/>
            <w:szCs w:val="18"/>
          </w:rPr>
          <w:t>http://www.forpeoplewhothink.org/Topics/Adam's_Rib-The_Issue_Of_Woman's_Creation.html</w:t>
        </w:r>
      </w:hyperlink>
      <w:r w:rsidRPr="00684DCF">
        <w:rPr>
          <w:rFonts w:ascii="Bookman Old Style" w:hAnsi="Bookman Old Style"/>
          <w:sz w:val="18"/>
          <w:szCs w:val="18"/>
        </w:rPr>
        <w:t>&gt; [accessed 29 November 2025].</w:t>
      </w:r>
    </w:p>
  </w:footnote>
  <w:footnote w:id="2">
    <w:p w14:paraId="105E68BF" w14:textId="6A5B5A75" w:rsidR="008A5C4B" w:rsidRPr="008A5C4B" w:rsidRDefault="008A5C4B">
      <w:pPr>
        <w:pStyle w:val="FootnoteText"/>
        <w:rPr>
          <w:rFonts w:ascii="Bookman Old Style" w:hAnsi="Bookman Old Style"/>
          <w:sz w:val="18"/>
          <w:szCs w:val="18"/>
        </w:rPr>
      </w:pPr>
      <w:r w:rsidRPr="008A5C4B">
        <w:rPr>
          <w:rStyle w:val="FootnoteReference"/>
          <w:rFonts w:ascii="Bookman Old Style" w:hAnsi="Bookman Old Style"/>
          <w:sz w:val="18"/>
          <w:szCs w:val="18"/>
        </w:rPr>
        <w:footnoteRef/>
      </w:r>
      <w:r w:rsidRPr="008A5C4B">
        <w:rPr>
          <w:rFonts w:ascii="Bookman Old Style" w:hAnsi="Bookman Old Style"/>
          <w:sz w:val="18"/>
          <w:szCs w:val="18"/>
        </w:rPr>
        <w:t xml:space="preserve"> BBC, ‘BBC - Ethics - Honour Crimes’, </w:t>
      </w:r>
      <w:r w:rsidRPr="008A5C4B">
        <w:rPr>
          <w:rFonts w:ascii="Bookman Old Style" w:hAnsi="Bookman Old Style"/>
          <w:i/>
          <w:iCs/>
          <w:sz w:val="18"/>
          <w:szCs w:val="18"/>
        </w:rPr>
        <w:t>Www.bbc.co.uk</w:t>
      </w:r>
      <w:r w:rsidRPr="008A5C4B">
        <w:rPr>
          <w:rFonts w:ascii="Bookman Old Style" w:hAnsi="Bookman Old Style"/>
          <w:sz w:val="18"/>
          <w:szCs w:val="18"/>
        </w:rPr>
        <w:t>, 2014 &lt;</w:t>
      </w:r>
      <w:hyperlink r:id="rId2" w:history="1">
        <w:r w:rsidRPr="008A5C4B">
          <w:rPr>
            <w:rStyle w:val="Hyperlink"/>
            <w:rFonts w:ascii="Bookman Old Style" w:hAnsi="Bookman Old Style"/>
            <w:sz w:val="18"/>
            <w:szCs w:val="18"/>
          </w:rPr>
          <w:t>https://www.bbc.co.uk/ethics/honourcrimes/crimesofhonour_1.shtml</w:t>
        </w:r>
      </w:hyperlink>
      <w:r w:rsidRPr="008A5C4B">
        <w:rPr>
          <w:rFonts w:ascii="Bookman Old Style" w:hAnsi="Bookman Old Style"/>
          <w:sz w:val="18"/>
          <w:szCs w:val="18"/>
        </w:rPr>
        <w:t>&gt; [accessed 29 November 2025].</w:t>
      </w:r>
    </w:p>
  </w:footnote>
  <w:footnote w:id="3">
    <w:p w14:paraId="7CC02925" w14:textId="5064A157" w:rsidR="00FE62C8" w:rsidRPr="00FE62C8" w:rsidRDefault="00FE62C8">
      <w:pPr>
        <w:pStyle w:val="FootnoteText"/>
        <w:rPr>
          <w:rFonts w:ascii="Bookman Old Style" w:hAnsi="Bookman Old Style"/>
          <w:sz w:val="18"/>
          <w:szCs w:val="18"/>
          <w:lang w:val="en-US"/>
        </w:rPr>
      </w:pPr>
      <w:r w:rsidRPr="00FE62C8">
        <w:rPr>
          <w:rStyle w:val="FootnoteReference"/>
          <w:rFonts w:ascii="Bookman Old Style" w:hAnsi="Bookman Old Style"/>
          <w:sz w:val="18"/>
          <w:szCs w:val="18"/>
        </w:rPr>
        <w:footnoteRef/>
      </w:r>
      <w:r w:rsidRPr="00FE62C8">
        <w:rPr>
          <w:rFonts w:ascii="Bookman Old Style" w:hAnsi="Bookman Old Style"/>
          <w:sz w:val="18"/>
          <w:szCs w:val="18"/>
        </w:rPr>
        <w:t xml:space="preserve"> </w:t>
      </w:r>
      <w:r w:rsidRPr="00FE62C8">
        <w:rPr>
          <w:rFonts w:ascii="Bookman Old Style" w:hAnsi="Bookman Old Style"/>
          <w:sz w:val="18"/>
          <w:szCs w:val="18"/>
          <w:lang w:val="en-US"/>
        </w:rPr>
        <w:t>Hassan, 2009</w:t>
      </w:r>
    </w:p>
  </w:footnote>
  <w:footnote w:id="4">
    <w:p w14:paraId="0825514D" w14:textId="56356DD0" w:rsidR="00673078" w:rsidRPr="00673078" w:rsidRDefault="00673078">
      <w:pPr>
        <w:pStyle w:val="FootnoteText"/>
        <w:rPr>
          <w:rFonts w:ascii="Bookman Old Style" w:hAnsi="Bookman Old Style"/>
          <w:sz w:val="18"/>
          <w:szCs w:val="18"/>
          <w:lang w:val="en-US"/>
        </w:rPr>
      </w:pPr>
      <w:r w:rsidRPr="00673078">
        <w:rPr>
          <w:rStyle w:val="FootnoteReference"/>
          <w:rFonts w:ascii="Bookman Old Style" w:hAnsi="Bookman Old Style"/>
          <w:sz w:val="18"/>
          <w:szCs w:val="18"/>
        </w:rPr>
        <w:footnoteRef/>
      </w:r>
      <w:r w:rsidRPr="00673078">
        <w:rPr>
          <w:rFonts w:ascii="Bookman Old Style" w:hAnsi="Bookman Old Style"/>
          <w:sz w:val="18"/>
          <w:szCs w:val="18"/>
        </w:rPr>
        <w:t xml:space="preserve"> </w:t>
      </w:r>
      <w:r w:rsidRPr="00673078">
        <w:rPr>
          <w:rFonts w:ascii="Bookman Old Style" w:hAnsi="Bookman Old Style"/>
          <w:sz w:val="18"/>
          <w:szCs w:val="18"/>
          <w:lang w:val="en-US"/>
        </w:rPr>
        <w:t xml:space="preserve">Hassan, 2009 </w:t>
      </w:r>
    </w:p>
  </w:footnote>
  <w:footnote w:id="5">
    <w:p w14:paraId="2597FB71" w14:textId="2CF16D57" w:rsidR="007E4BB6" w:rsidRPr="007E4BB6" w:rsidRDefault="007E4BB6">
      <w:pPr>
        <w:pStyle w:val="FootnoteText"/>
        <w:rPr>
          <w:rFonts w:ascii="Bookman Old Style" w:hAnsi="Bookman Old Style"/>
          <w:sz w:val="18"/>
          <w:szCs w:val="18"/>
          <w:lang w:val="en-US"/>
        </w:rPr>
      </w:pPr>
      <w:r w:rsidRPr="007E4BB6">
        <w:rPr>
          <w:rStyle w:val="FootnoteReference"/>
          <w:rFonts w:ascii="Bookman Old Style" w:hAnsi="Bookman Old Style"/>
          <w:sz w:val="18"/>
          <w:szCs w:val="18"/>
        </w:rPr>
        <w:footnoteRef/>
      </w:r>
      <w:r w:rsidRPr="007E4BB6">
        <w:rPr>
          <w:rFonts w:ascii="Bookman Old Style" w:hAnsi="Bookman Old Style"/>
          <w:sz w:val="18"/>
          <w:szCs w:val="18"/>
        </w:rPr>
        <w:t xml:space="preserve"> </w:t>
      </w:r>
      <w:r w:rsidRPr="007E4BB6">
        <w:rPr>
          <w:rFonts w:ascii="Bookman Old Style" w:hAnsi="Bookman Old Style"/>
          <w:sz w:val="18"/>
          <w:szCs w:val="18"/>
          <w:lang w:val="en-US"/>
        </w:rPr>
        <w:t>Hassan, 2009</w:t>
      </w:r>
    </w:p>
  </w:footnote>
  <w:footnote w:id="6">
    <w:p w14:paraId="29E8B802" w14:textId="25E14722" w:rsidR="00C8222A" w:rsidRPr="00C8222A" w:rsidRDefault="00C8222A">
      <w:pPr>
        <w:pStyle w:val="FootnoteText"/>
        <w:rPr>
          <w:rFonts w:ascii="Bookman Old Style" w:hAnsi="Bookman Old Style"/>
          <w:sz w:val="18"/>
          <w:szCs w:val="18"/>
        </w:rPr>
      </w:pPr>
      <w:r w:rsidRPr="00C8222A">
        <w:rPr>
          <w:rStyle w:val="FootnoteReference"/>
          <w:rFonts w:ascii="Bookman Old Style" w:hAnsi="Bookman Old Style"/>
          <w:sz w:val="18"/>
          <w:szCs w:val="18"/>
        </w:rPr>
        <w:footnoteRef/>
      </w:r>
      <w:r w:rsidRPr="00C8222A">
        <w:rPr>
          <w:rFonts w:ascii="Bookman Old Style" w:hAnsi="Bookman Old Style"/>
          <w:sz w:val="18"/>
          <w:szCs w:val="18"/>
        </w:rPr>
        <w:t xml:space="preserve"> </w:t>
      </w:r>
      <w:r w:rsidRPr="00C8222A">
        <w:rPr>
          <w:rFonts w:ascii="Bookman Old Style" w:hAnsi="Bookman Old Style"/>
          <w:sz w:val="18"/>
          <w:szCs w:val="18"/>
        </w:rPr>
        <w:t xml:space="preserve">Riffat Hassan, ‘Equal before Allah? Woman-Man Equality in the Islamic Tradition’, </w:t>
      </w:r>
      <w:r w:rsidRPr="00C8222A">
        <w:rPr>
          <w:rFonts w:ascii="Bookman Old Style" w:hAnsi="Bookman Old Style"/>
          <w:i/>
          <w:iCs/>
          <w:sz w:val="18"/>
          <w:szCs w:val="18"/>
        </w:rPr>
        <w:t>Harvard University Press</w:t>
      </w:r>
      <w:r w:rsidRPr="00C8222A">
        <w:rPr>
          <w:rFonts w:ascii="Bookman Old Style" w:hAnsi="Bookman Old Style"/>
          <w:sz w:val="18"/>
          <w:szCs w:val="18"/>
        </w:rPr>
        <w:t>, 1985 &lt;</w:t>
      </w:r>
      <w:hyperlink r:id="rId3" w:history="1">
        <w:r w:rsidRPr="00C8222A">
          <w:rPr>
            <w:rStyle w:val="Hyperlink"/>
            <w:rFonts w:ascii="Bookman Old Style" w:hAnsi="Bookman Old Style"/>
            <w:sz w:val="18"/>
            <w:szCs w:val="18"/>
          </w:rPr>
          <w:t>http://archive.wluml.org/ar/node/253</w:t>
        </w:r>
      </w:hyperlink>
      <w:r w:rsidRPr="00C8222A">
        <w:rPr>
          <w:rFonts w:ascii="Bookman Old Style" w:hAnsi="Bookman Old Style"/>
          <w:sz w:val="18"/>
          <w:szCs w:val="18"/>
        </w:rPr>
        <w:t>&gt; [accessed 30 November 2025].</w:t>
      </w:r>
    </w:p>
  </w:footnote>
  <w:footnote w:id="7">
    <w:p w14:paraId="0A511B28" w14:textId="18C2278A" w:rsidR="00B221E5" w:rsidRPr="00B221E5" w:rsidRDefault="00B221E5">
      <w:pPr>
        <w:pStyle w:val="FootnoteText"/>
        <w:rPr>
          <w:rFonts w:ascii="Bookman Old Style" w:hAnsi="Bookman Old Style"/>
          <w:sz w:val="18"/>
          <w:szCs w:val="18"/>
          <w:lang w:val="en-US"/>
        </w:rPr>
      </w:pPr>
      <w:r w:rsidRPr="00B221E5">
        <w:rPr>
          <w:rStyle w:val="FootnoteReference"/>
          <w:rFonts w:ascii="Bookman Old Style" w:hAnsi="Bookman Old Style"/>
          <w:sz w:val="18"/>
          <w:szCs w:val="18"/>
        </w:rPr>
        <w:footnoteRef/>
      </w:r>
      <w:r w:rsidRPr="00B221E5">
        <w:rPr>
          <w:rFonts w:ascii="Bookman Old Style" w:hAnsi="Bookman Old Style"/>
          <w:sz w:val="18"/>
          <w:szCs w:val="18"/>
        </w:rPr>
        <w:t xml:space="preserve"> Hassan, 1989</w:t>
      </w:r>
    </w:p>
  </w:footnote>
  <w:footnote w:id="8">
    <w:p w14:paraId="6BA0D898" w14:textId="6F2E7DBF" w:rsidR="00DA7563" w:rsidRPr="00DA7563" w:rsidRDefault="00DA7563">
      <w:pPr>
        <w:pStyle w:val="FootnoteText"/>
        <w:rPr>
          <w:rFonts w:ascii="Bookman Old Style" w:hAnsi="Bookman Old Style"/>
          <w:sz w:val="18"/>
          <w:szCs w:val="18"/>
        </w:rPr>
      </w:pPr>
      <w:r w:rsidRPr="00DA7563">
        <w:rPr>
          <w:rStyle w:val="FootnoteReference"/>
          <w:rFonts w:ascii="Bookman Old Style" w:hAnsi="Bookman Old Style"/>
          <w:sz w:val="18"/>
          <w:szCs w:val="18"/>
        </w:rPr>
        <w:footnoteRef/>
      </w:r>
      <w:r w:rsidRPr="00DA7563">
        <w:rPr>
          <w:rFonts w:ascii="Bookman Old Style" w:hAnsi="Bookman Old Style"/>
          <w:sz w:val="18"/>
          <w:szCs w:val="18"/>
        </w:rPr>
        <w:t xml:space="preserve"> Hassan, 1985</w:t>
      </w:r>
    </w:p>
  </w:footnote>
  <w:footnote w:id="9">
    <w:p w14:paraId="11F0245E" w14:textId="1075BF1E" w:rsidR="00FE62C8" w:rsidRPr="00FE62C8" w:rsidRDefault="00FE62C8">
      <w:pPr>
        <w:pStyle w:val="FootnoteText"/>
        <w:rPr>
          <w:rFonts w:ascii="Bookman Old Style" w:hAnsi="Bookman Old Style"/>
          <w:sz w:val="18"/>
          <w:szCs w:val="18"/>
        </w:rPr>
      </w:pPr>
      <w:r w:rsidRPr="00FE62C8">
        <w:rPr>
          <w:rStyle w:val="FootnoteReference"/>
          <w:rFonts w:ascii="Bookman Old Style" w:hAnsi="Bookman Old Style"/>
          <w:sz w:val="18"/>
          <w:szCs w:val="18"/>
        </w:rPr>
        <w:footnoteRef/>
      </w:r>
      <w:r w:rsidRPr="00FE62C8">
        <w:rPr>
          <w:rFonts w:ascii="Bookman Old Style" w:hAnsi="Bookman Old Style"/>
          <w:sz w:val="18"/>
          <w:szCs w:val="18"/>
        </w:rPr>
        <w:t xml:space="preserve">Renovatio, ‘The Fundamental Contradiction of Islamic Feminism’, </w:t>
      </w:r>
      <w:r w:rsidRPr="00FE62C8">
        <w:rPr>
          <w:rFonts w:ascii="Bookman Old Style" w:hAnsi="Bookman Old Style"/>
          <w:i/>
          <w:iCs/>
          <w:sz w:val="18"/>
          <w:szCs w:val="18"/>
        </w:rPr>
        <w:t>Renovatio | the Journal of Zaytuna College</w:t>
      </w:r>
      <w:r w:rsidRPr="00FE62C8">
        <w:rPr>
          <w:rFonts w:ascii="Bookman Old Style" w:hAnsi="Bookman Old Style"/>
          <w:sz w:val="18"/>
          <w:szCs w:val="18"/>
        </w:rPr>
        <w:t>, 2023 &lt;</w:t>
      </w:r>
      <w:hyperlink r:id="rId4" w:history="1">
        <w:r w:rsidRPr="00FE62C8">
          <w:rPr>
            <w:rStyle w:val="Hyperlink"/>
            <w:rFonts w:ascii="Bookman Old Style" w:hAnsi="Bookman Old Style"/>
            <w:sz w:val="18"/>
            <w:szCs w:val="18"/>
          </w:rPr>
          <w:t>https://renovatio.zaytuna.edu/article/the-fundamental-contradiction-of-islamic-feminism</w:t>
        </w:r>
      </w:hyperlink>
      <w:r w:rsidRPr="00FE62C8">
        <w:rPr>
          <w:rFonts w:ascii="Bookman Old Style" w:hAnsi="Bookman Old Style"/>
          <w:sz w:val="18"/>
          <w:szCs w:val="18"/>
        </w:rPr>
        <w:t>&gt; [accessed 30 November 2025].</w:t>
      </w:r>
      <w:r w:rsidRPr="00FE62C8">
        <w:rPr>
          <w:rFonts w:ascii="Bookman Old Style" w:hAnsi="Bookman Old Style"/>
          <w:sz w:val="18"/>
          <w:szCs w:val="18"/>
        </w:rPr>
        <w:t xml:space="preserve"> </w:t>
      </w:r>
    </w:p>
  </w:footnote>
  <w:footnote w:id="10">
    <w:p w14:paraId="5CD01011" w14:textId="13A5AD64" w:rsidR="008F4242" w:rsidRPr="008F4242" w:rsidRDefault="008F4242">
      <w:pPr>
        <w:pStyle w:val="FootnoteText"/>
        <w:rPr>
          <w:rFonts w:ascii="Bookman Old Style" w:hAnsi="Bookman Old Style"/>
          <w:sz w:val="18"/>
          <w:szCs w:val="18"/>
          <w:lang w:val="en-US"/>
        </w:rPr>
      </w:pPr>
      <w:r w:rsidRPr="008F4242">
        <w:rPr>
          <w:rStyle w:val="FootnoteReference"/>
          <w:rFonts w:ascii="Bookman Old Style" w:hAnsi="Bookman Old Style"/>
          <w:sz w:val="18"/>
          <w:szCs w:val="18"/>
        </w:rPr>
        <w:footnoteRef/>
      </w:r>
      <w:r w:rsidRPr="008F4242">
        <w:rPr>
          <w:rFonts w:ascii="Bookman Old Style" w:hAnsi="Bookman Old Style"/>
          <w:sz w:val="18"/>
          <w:szCs w:val="18"/>
        </w:rPr>
        <w:t xml:space="preserve"> </w:t>
      </w:r>
      <w:r w:rsidRPr="008F4242">
        <w:rPr>
          <w:rFonts w:ascii="Bookman Old Style" w:hAnsi="Bookman Old Style"/>
          <w:sz w:val="18"/>
          <w:szCs w:val="18"/>
        </w:rPr>
        <w:t xml:space="preserve">Riffat Hassan, ‘Equal Before Allah?’, in </w:t>
      </w:r>
      <w:r w:rsidRPr="008F4242">
        <w:rPr>
          <w:rFonts w:ascii="Bookman Old Style" w:hAnsi="Bookman Old Style"/>
          <w:i/>
          <w:iCs/>
          <w:sz w:val="18"/>
          <w:szCs w:val="18"/>
        </w:rPr>
        <w:t>Women in the Muslim World</w:t>
      </w:r>
      <w:r w:rsidRPr="008F4242">
        <w:rPr>
          <w:rFonts w:ascii="Bookman Old Style" w:hAnsi="Bookman Old Style"/>
          <w:sz w:val="18"/>
          <w:szCs w:val="18"/>
        </w:rPr>
        <w:t>, ed. by Lois Beck and Nikki Keddie (Cambridge, MA: Harvard University Press, 1985), pp. 66–88.</w:t>
      </w:r>
    </w:p>
  </w:footnote>
  <w:footnote w:id="11">
    <w:p w14:paraId="41CFEE58" w14:textId="68E1DA9F" w:rsidR="008F4242" w:rsidRPr="008F4242" w:rsidRDefault="008F4242">
      <w:pPr>
        <w:pStyle w:val="FootnoteText"/>
        <w:rPr>
          <w:rFonts w:ascii="Bookman Old Style" w:hAnsi="Bookman Old Style"/>
          <w:sz w:val="18"/>
          <w:szCs w:val="18"/>
          <w:lang w:val="en-US"/>
        </w:rPr>
      </w:pPr>
      <w:r w:rsidRPr="008F4242">
        <w:rPr>
          <w:rStyle w:val="FootnoteReference"/>
          <w:rFonts w:ascii="Bookman Old Style" w:hAnsi="Bookman Old Style"/>
          <w:sz w:val="18"/>
          <w:szCs w:val="18"/>
        </w:rPr>
        <w:footnoteRef/>
      </w:r>
      <w:r w:rsidRPr="008F4242">
        <w:rPr>
          <w:rFonts w:ascii="Bookman Old Style" w:hAnsi="Bookman Old Style"/>
          <w:sz w:val="18"/>
          <w:szCs w:val="18"/>
        </w:rPr>
        <w:t xml:space="preserve"> </w:t>
      </w:r>
      <w:r w:rsidRPr="008F4242">
        <w:rPr>
          <w:rFonts w:ascii="Bookman Old Style" w:hAnsi="Bookman Old Style"/>
          <w:sz w:val="18"/>
          <w:szCs w:val="18"/>
        </w:rPr>
        <w:t xml:space="preserve">Hassan, ‘The Issue of Woman–Man Equality in the Islamic Tradition’, </w:t>
      </w:r>
      <w:r w:rsidRPr="008F4242">
        <w:rPr>
          <w:rFonts w:ascii="Bookman Old Style" w:hAnsi="Bookman Old Style"/>
          <w:i/>
          <w:iCs/>
          <w:sz w:val="18"/>
          <w:szCs w:val="18"/>
        </w:rPr>
        <w:t>WLUML Dossier</w:t>
      </w:r>
      <w:r w:rsidRPr="008F4242">
        <w:rPr>
          <w:rFonts w:ascii="Bookman Old Style" w:hAnsi="Bookman Old Style"/>
          <w:sz w:val="18"/>
          <w:szCs w:val="18"/>
        </w:rPr>
        <w:t>, 3 (1987), 7–18.</w:t>
      </w:r>
    </w:p>
  </w:footnote>
  <w:footnote w:id="12">
    <w:p w14:paraId="250E0E4F" w14:textId="357CAD75" w:rsidR="008F4242" w:rsidRPr="008F4242" w:rsidRDefault="008F4242">
      <w:pPr>
        <w:pStyle w:val="FootnoteText"/>
        <w:rPr>
          <w:rFonts w:ascii="Bookman Old Style" w:hAnsi="Bookman Old Style"/>
          <w:sz w:val="18"/>
          <w:szCs w:val="18"/>
          <w:lang w:val="en-US"/>
        </w:rPr>
      </w:pPr>
      <w:r w:rsidRPr="008F4242">
        <w:rPr>
          <w:rStyle w:val="FootnoteReference"/>
          <w:rFonts w:ascii="Bookman Old Style" w:hAnsi="Bookman Old Style"/>
          <w:sz w:val="18"/>
          <w:szCs w:val="18"/>
        </w:rPr>
        <w:footnoteRef/>
      </w:r>
      <w:r w:rsidRPr="008F4242">
        <w:rPr>
          <w:rFonts w:ascii="Bookman Old Style" w:hAnsi="Bookman Old Style"/>
          <w:sz w:val="18"/>
          <w:szCs w:val="18"/>
        </w:rPr>
        <w:t xml:space="preserve"> </w:t>
      </w:r>
      <w:r w:rsidRPr="008F4242">
        <w:rPr>
          <w:rFonts w:ascii="Bookman Old Style" w:hAnsi="Bookman Old Style"/>
          <w:sz w:val="18"/>
          <w:szCs w:val="18"/>
        </w:rPr>
        <w:t xml:space="preserve">Hassan, ‘An Islamic Perspective on Women and the Feminist Movement’, </w:t>
      </w:r>
      <w:r w:rsidRPr="008F4242">
        <w:rPr>
          <w:rFonts w:ascii="Bookman Old Style" w:hAnsi="Bookman Old Style"/>
          <w:i/>
          <w:iCs/>
          <w:sz w:val="18"/>
          <w:szCs w:val="18"/>
        </w:rPr>
        <w:t>Harvard Divinity Bulletin</w:t>
      </w:r>
      <w:r w:rsidRPr="008F4242">
        <w:rPr>
          <w:rFonts w:ascii="Bookman Old Style" w:hAnsi="Bookman Old Style"/>
          <w:sz w:val="18"/>
          <w:szCs w:val="18"/>
        </w:rPr>
        <w:t>, 17.2 (1987), 2–6.</w:t>
      </w:r>
    </w:p>
  </w:footnote>
  <w:footnote w:id="13">
    <w:p w14:paraId="02F28F63" w14:textId="0BAA6CDD" w:rsidR="008F4242" w:rsidRPr="008F4242" w:rsidRDefault="008F4242">
      <w:pPr>
        <w:pStyle w:val="FootnoteText"/>
        <w:rPr>
          <w:rFonts w:ascii="Bookman Old Style" w:hAnsi="Bookman Old Style"/>
          <w:sz w:val="18"/>
          <w:szCs w:val="18"/>
          <w:lang w:val="en-US"/>
        </w:rPr>
      </w:pPr>
      <w:r w:rsidRPr="008F4242">
        <w:rPr>
          <w:rStyle w:val="FootnoteReference"/>
          <w:rFonts w:ascii="Bookman Old Style" w:hAnsi="Bookman Old Style"/>
          <w:sz w:val="18"/>
          <w:szCs w:val="18"/>
        </w:rPr>
        <w:footnoteRef/>
      </w:r>
      <w:r w:rsidRPr="008F4242">
        <w:rPr>
          <w:rFonts w:ascii="Bookman Old Style" w:hAnsi="Bookman Old Style"/>
          <w:sz w:val="18"/>
          <w:szCs w:val="18"/>
        </w:rPr>
        <w:t xml:space="preserve"> </w:t>
      </w:r>
      <w:r w:rsidRPr="008F4242">
        <w:rPr>
          <w:rFonts w:ascii="Bookman Old Style" w:hAnsi="Bookman Old Style"/>
          <w:sz w:val="18"/>
          <w:szCs w:val="18"/>
        </w:rPr>
        <w:t xml:space="preserve">Barbara Stowasser, </w:t>
      </w:r>
      <w:r w:rsidRPr="008F4242">
        <w:rPr>
          <w:rFonts w:ascii="Bookman Old Style" w:hAnsi="Bookman Old Style"/>
          <w:i/>
          <w:iCs/>
          <w:sz w:val="18"/>
          <w:szCs w:val="18"/>
        </w:rPr>
        <w:t>Women in the Qur’an, Traditions, and Interpretation</w:t>
      </w:r>
      <w:r w:rsidRPr="008F4242">
        <w:rPr>
          <w:rFonts w:ascii="Bookman Old Style" w:hAnsi="Bookman Old Style"/>
          <w:sz w:val="18"/>
          <w:szCs w:val="18"/>
        </w:rPr>
        <w:t xml:space="preserve"> (Oxford: Oxford University Press, 1994), pp. 26–33.</w:t>
      </w:r>
    </w:p>
  </w:footnote>
  <w:footnote w:id="14">
    <w:p w14:paraId="1FBDDAD7" w14:textId="6DAE2162" w:rsidR="008F4242" w:rsidRPr="008F4242" w:rsidRDefault="008F4242">
      <w:pPr>
        <w:pStyle w:val="FootnoteText"/>
        <w:rPr>
          <w:rFonts w:ascii="Bookman Old Style" w:hAnsi="Bookman Old Style"/>
          <w:sz w:val="18"/>
          <w:szCs w:val="18"/>
          <w:lang w:val="en-US"/>
        </w:rPr>
      </w:pPr>
      <w:r w:rsidRPr="008F4242">
        <w:rPr>
          <w:rStyle w:val="FootnoteReference"/>
          <w:rFonts w:ascii="Bookman Old Style" w:hAnsi="Bookman Old Style"/>
          <w:sz w:val="18"/>
          <w:szCs w:val="18"/>
        </w:rPr>
        <w:footnoteRef/>
      </w:r>
      <w:r w:rsidRPr="008F4242">
        <w:rPr>
          <w:rFonts w:ascii="Bookman Old Style" w:hAnsi="Bookman Old Style"/>
          <w:sz w:val="18"/>
          <w:szCs w:val="18"/>
        </w:rPr>
        <w:t xml:space="preserve"> </w:t>
      </w:r>
      <w:r w:rsidRPr="008F4242">
        <w:rPr>
          <w:rFonts w:ascii="Bookman Old Style" w:hAnsi="Bookman Old Style"/>
          <w:sz w:val="18"/>
          <w:szCs w:val="18"/>
        </w:rPr>
        <w:t xml:space="preserve">Hassan, ‘Made from Adam’s Rib?’, in </w:t>
      </w:r>
      <w:r w:rsidRPr="008F4242">
        <w:rPr>
          <w:rFonts w:ascii="Bookman Old Style" w:hAnsi="Bookman Old Style"/>
          <w:i/>
          <w:iCs/>
          <w:sz w:val="18"/>
          <w:szCs w:val="18"/>
        </w:rPr>
        <w:t>Islamic Reformation Today</w:t>
      </w:r>
      <w:r w:rsidRPr="008F4242">
        <w:rPr>
          <w:rFonts w:ascii="Bookman Old Style" w:hAnsi="Bookman Old Style"/>
          <w:sz w:val="18"/>
          <w:szCs w:val="18"/>
        </w:rPr>
        <w:t>, ed. by Ali Asani (Cambridge, MA: Harvard University Press, 2001), pp. 79–96.</w:t>
      </w:r>
    </w:p>
  </w:footnote>
  <w:footnote w:id="15">
    <w:p w14:paraId="34A9812D" w14:textId="2ECACE11" w:rsidR="008F4242" w:rsidRPr="008F4242" w:rsidRDefault="008F4242">
      <w:pPr>
        <w:pStyle w:val="FootnoteText"/>
        <w:rPr>
          <w:rFonts w:ascii="Bookman Old Style" w:hAnsi="Bookman Old Style"/>
          <w:sz w:val="18"/>
          <w:szCs w:val="18"/>
          <w:lang w:val="en-US"/>
        </w:rPr>
      </w:pPr>
      <w:r w:rsidRPr="008F4242">
        <w:rPr>
          <w:rStyle w:val="FootnoteReference"/>
          <w:rFonts w:ascii="Bookman Old Style" w:hAnsi="Bookman Old Style"/>
          <w:sz w:val="18"/>
          <w:szCs w:val="18"/>
        </w:rPr>
        <w:footnoteRef/>
      </w:r>
      <w:r w:rsidRPr="008F4242">
        <w:rPr>
          <w:rFonts w:ascii="Bookman Old Style" w:hAnsi="Bookman Old Style"/>
          <w:sz w:val="18"/>
          <w:szCs w:val="18"/>
        </w:rPr>
        <w:t xml:space="preserve"> </w:t>
      </w:r>
      <w:r w:rsidRPr="008F4242">
        <w:rPr>
          <w:rFonts w:ascii="Bookman Old Style" w:hAnsi="Bookman Old Style"/>
          <w:sz w:val="18"/>
          <w:szCs w:val="18"/>
        </w:rPr>
        <w:t>Qur’an 2:36; 7:20–23.</w:t>
      </w:r>
    </w:p>
  </w:footnote>
  <w:footnote w:id="16">
    <w:p w14:paraId="64B6F675" w14:textId="0C2533C7" w:rsidR="008F4242" w:rsidRPr="008F4242" w:rsidRDefault="008F4242">
      <w:pPr>
        <w:pStyle w:val="FootnoteText"/>
        <w:rPr>
          <w:rFonts w:ascii="Bookman Old Style" w:hAnsi="Bookman Old Style"/>
          <w:sz w:val="18"/>
          <w:szCs w:val="18"/>
          <w:lang w:val="en-US"/>
        </w:rPr>
      </w:pPr>
      <w:r w:rsidRPr="008F4242">
        <w:rPr>
          <w:rStyle w:val="FootnoteReference"/>
          <w:rFonts w:ascii="Bookman Old Style" w:hAnsi="Bookman Old Style"/>
          <w:sz w:val="18"/>
          <w:szCs w:val="18"/>
        </w:rPr>
        <w:footnoteRef/>
      </w:r>
      <w:r w:rsidRPr="008F4242">
        <w:rPr>
          <w:rFonts w:ascii="Bookman Old Style" w:hAnsi="Bookman Old Style"/>
          <w:sz w:val="18"/>
          <w:szCs w:val="18"/>
        </w:rPr>
        <w:t xml:space="preserve"> </w:t>
      </w:r>
      <w:bookmarkStart w:id="0" w:name="_Hlk215420710"/>
      <w:r w:rsidRPr="008F4242">
        <w:rPr>
          <w:rFonts w:ascii="Bookman Old Style" w:hAnsi="Bookman Old Style"/>
          <w:sz w:val="18"/>
          <w:szCs w:val="18"/>
        </w:rPr>
        <w:t xml:space="preserve">Ayesha </w:t>
      </w:r>
      <w:bookmarkStart w:id="1" w:name="_Hlk215420303"/>
      <w:r w:rsidRPr="008F4242">
        <w:rPr>
          <w:rFonts w:ascii="Bookman Old Style" w:hAnsi="Bookman Old Style"/>
          <w:sz w:val="18"/>
          <w:szCs w:val="18"/>
        </w:rPr>
        <w:t>Hidayatullah</w:t>
      </w:r>
      <w:bookmarkEnd w:id="0"/>
      <w:r w:rsidRPr="008F4242">
        <w:rPr>
          <w:rFonts w:ascii="Bookman Old Style" w:hAnsi="Bookman Old Style"/>
          <w:sz w:val="18"/>
          <w:szCs w:val="18"/>
        </w:rPr>
        <w:t xml:space="preserve">, </w:t>
      </w:r>
      <w:r w:rsidRPr="008F4242">
        <w:rPr>
          <w:rFonts w:ascii="Bookman Old Style" w:hAnsi="Bookman Old Style"/>
          <w:i/>
          <w:iCs/>
          <w:sz w:val="18"/>
          <w:szCs w:val="18"/>
        </w:rPr>
        <w:t>Feminist Edges of the Qur’an</w:t>
      </w:r>
      <w:r w:rsidRPr="008F4242">
        <w:rPr>
          <w:rFonts w:ascii="Bookman Old Style" w:hAnsi="Bookman Old Style"/>
          <w:sz w:val="18"/>
          <w:szCs w:val="18"/>
        </w:rPr>
        <w:t xml:space="preserve"> </w:t>
      </w:r>
      <w:bookmarkEnd w:id="1"/>
      <w:r w:rsidRPr="008F4242">
        <w:rPr>
          <w:rFonts w:ascii="Bookman Old Style" w:hAnsi="Bookman Old Style"/>
          <w:sz w:val="18"/>
          <w:szCs w:val="18"/>
        </w:rPr>
        <w:t>(Oxford: Oxford University Press, 2014), pp. 72–96.</w:t>
      </w:r>
    </w:p>
  </w:footnote>
  <w:footnote w:id="17">
    <w:p w14:paraId="00453A42" w14:textId="05FFCB60" w:rsidR="008F4242" w:rsidRPr="008F4242" w:rsidRDefault="008F4242">
      <w:pPr>
        <w:pStyle w:val="FootnoteText"/>
        <w:rPr>
          <w:rFonts w:ascii="Bookman Old Style" w:hAnsi="Bookman Old Style"/>
          <w:sz w:val="18"/>
          <w:szCs w:val="18"/>
          <w:lang w:val="en-US"/>
        </w:rPr>
      </w:pPr>
      <w:r w:rsidRPr="008F4242">
        <w:rPr>
          <w:rStyle w:val="FootnoteReference"/>
          <w:rFonts w:ascii="Bookman Old Style" w:hAnsi="Bookman Old Style"/>
          <w:sz w:val="18"/>
          <w:szCs w:val="18"/>
        </w:rPr>
        <w:footnoteRef/>
      </w:r>
      <w:r w:rsidRPr="008F4242">
        <w:rPr>
          <w:rFonts w:ascii="Bookman Old Style" w:hAnsi="Bookman Old Style"/>
          <w:sz w:val="18"/>
          <w:szCs w:val="18"/>
        </w:rPr>
        <w:t xml:space="preserve"> </w:t>
      </w:r>
      <w:r w:rsidRPr="008F4242">
        <w:rPr>
          <w:rFonts w:ascii="Bookman Old Style" w:hAnsi="Bookman Old Style"/>
          <w:sz w:val="18"/>
          <w:szCs w:val="18"/>
        </w:rPr>
        <w:t xml:space="preserve">Hidayatullah, </w:t>
      </w:r>
      <w:r w:rsidRPr="008F4242">
        <w:rPr>
          <w:rFonts w:ascii="Bookman Old Style" w:hAnsi="Bookman Old Style"/>
          <w:i/>
          <w:iCs/>
          <w:sz w:val="18"/>
          <w:szCs w:val="18"/>
        </w:rPr>
        <w:t>Feminist Edges</w:t>
      </w:r>
      <w:r w:rsidRPr="008F4242">
        <w:rPr>
          <w:rFonts w:ascii="Bookman Old Style" w:hAnsi="Bookman Old Style"/>
          <w:sz w:val="18"/>
          <w:szCs w:val="18"/>
        </w:rPr>
        <w:t>, pp. 110–30</w:t>
      </w:r>
    </w:p>
  </w:footnote>
  <w:footnote w:id="18">
    <w:p w14:paraId="7D58D94E" w14:textId="18CA354C" w:rsidR="00B221E5" w:rsidRPr="00B221E5" w:rsidRDefault="00B221E5">
      <w:pPr>
        <w:pStyle w:val="FootnoteText"/>
      </w:pPr>
      <w:r>
        <w:rPr>
          <w:rStyle w:val="FootnoteReference"/>
        </w:rPr>
        <w:footnoteRef/>
      </w:r>
      <w:r>
        <w:t xml:space="preserve"> </w:t>
      </w:r>
      <w:r w:rsidRPr="008F4242">
        <w:rPr>
          <w:rFonts w:ascii="Bookman Old Style" w:hAnsi="Bookman Old Style"/>
          <w:sz w:val="18"/>
          <w:szCs w:val="18"/>
        </w:rPr>
        <w:t xml:space="preserve">Hidayatullah, </w:t>
      </w:r>
      <w:r w:rsidRPr="008F4242">
        <w:rPr>
          <w:rFonts w:ascii="Bookman Old Style" w:hAnsi="Bookman Old Style"/>
          <w:i/>
          <w:iCs/>
          <w:sz w:val="18"/>
          <w:szCs w:val="18"/>
        </w:rPr>
        <w:t>Feminist Edges of the Qur’an</w:t>
      </w:r>
      <w:r>
        <w:rPr>
          <w:rFonts w:ascii="Bookman Old Style" w:hAnsi="Bookman Old Style"/>
          <w:i/>
          <w:iCs/>
          <w:sz w:val="18"/>
          <w:szCs w:val="18"/>
        </w:rPr>
        <w:t xml:space="preserve">, </w:t>
      </w:r>
      <w:r>
        <w:rPr>
          <w:rFonts w:ascii="Bookman Old Style" w:hAnsi="Bookman Old Style"/>
          <w:sz w:val="18"/>
          <w:szCs w:val="18"/>
        </w:rPr>
        <w:t>2014</w:t>
      </w:r>
    </w:p>
  </w:footnote>
  <w:footnote w:id="19">
    <w:p w14:paraId="033707B7" w14:textId="518134DB" w:rsidR="008F4242" w:rsidRPr="008F4242" w:rsidRDefault="008F4242">
      <w:pPr>
        <w:pStyle w:val="FootnoteText"/>
        <w:rPr>
          <w:rFonts w:ascii="Bookman Old Style" w:hAnsi="Bookman Old Style"/>
          <w:sz w:val="18"/>
          <w:szCs w:val="18"/>
          <w:lang w:val="en-US"/>
        </w:rPr>
      </w:pPr>
      <w:r w:rsidRPr="008F4242">
        <w:rPr>
          <w:rStyle w:val="FootnoteReference"/>
          <w:rFonts w:ascii="Bookman Old Style" w:hAnsi="Bookman Old Style"/>
          <w:sz w:val="18"/>
          <w:szCs w:val="18"/>
        </w:rPr>
        <w:footnoteRef/>
      </w:r>
      <w:r w:rsidRPr="008F4242">
        <w:rPr>
          <w:rFonts w:ascii="Bookman Old Style" w:hAnsi="Bookman Old Style"/>
          <w:sz w:val="18"/>
          <w:szCs w:val="18"/>
        </w:rPr>
        <w:t xml:space="preserve"> </w:t>
      </w:r>
      <w:r w:rsidRPr="008F4242">
        <w:rPr>
          <w:rFonts w:ascii="Bookman Old Style" w:hAnsi="Bookman Old Style"/>
          <w:sz w:val="18"/>
          <w:szCs w:val="18"/>
        </w:rPr>
        <w:t xml:space="preserve">Kecia Ali, </w:t>
      </w:r>
      <w:r w:rsidRPr="008F4242">
        <w:rPr>
          <w:rFonts w:ascii="Bookman Old Style" w:hAnsi="Bookman Old Style"/>
          <w:i/>
          <w:iCs/>
          <w:sz w:val="18"/>
          <w:szCs w:val="18"/>
        </w:rPr>
        <w:t>The Ethics of Gender in Islam</w:t>
      </w:r>
      <w:r w:rsidRPr="008F4242">
        <w:rPr>
          <w:rFonts w:ascii="Bookman Old Style" w:hAnsi="Bookman Old Style"/>
          <w:sz w:val="18"/>
          <w:szCs w:val="18"/>
        </w:rPr>
        <w:t xml:space="preserve"> (Oxford: Oneworld, 2012), pp. 41–55.</w:t>
      </w:r>
    </w:p>
  </w:footnote>
  <w:footnote w:id="20">
    <w:p w14:paraId="37B34526" w14:textId="45C9B869" w:rsidR="008F4242" w:rsidRPr="008F4242" w:rsidRDefault="008F4242">
      <w:pPr>
        <w:pStyle w:val="FootnoteText"/>
        <w:rPr>
          <w:rFonts w:ascii="Bookman Old Style" w:hAnsi="Bookman Old Style"/>
          <w:sz w:val="18"/>
          <w:szCs w:val="18"/>
          <w:lang w:val="en-US"/>
        </w:rPr>
      </w:pPr>
      <w:r w:rsidRPr="008F4242">
        <w:rPr>
          <w:rStyle w:val="FootnoteReference"/>
          <w:rFonts w:ascii="Bookman Old Style" w:hAnsi="Bookman Old Style"/>
          <w:sz w:val="18"/>
          <w:szCs w:val="18"/>
        </w:rPr>
        <w:footnoteRef/>
      </w:r>
      <w:r w:rsidRPr="008F4242">
        <w:rPr>
          <w:rFonts w:ascii="Bookman Old Style" w:hAnsi="Bookman Old Style"/>
          <w:sz w:val="18"/>
          <w:szCs w:val="18"/>
        </w:rPr>
        <w:t xml:space="preserve"> </w:t>
      </w:r>
      <w:r w:rsidRPr="008F4242">
        <w:rPr>
          <w:rFonts w:ascii="Bookman Old Style" w:hAnsi="Bookman Old Style"/>
          <w:sz w:val="18"/>
          <w:szCs w:val="18"/>
        </w:rPr>
        <w:t xml:space="preserve">Stowasser, </w:t>
      </w:r>
      <w:r w:rsidRPr="008F4242">
        <w:rPr>
          <w:rFonts w:ascii="Bookman Old Style" w:hAnsi="Bookman Old Style"/>
          <w:i/>
          <w:iCs/>
          <w:sz w:val="18"/>
          <w:szCs w:val="18"/>
        </w:rPr>
        <w:t>Women in the Qur’an</w:t>
      </w:r>
      <w:r w:rsidRPr="008F4242">
        <w:rPr>
          <w:rFonts w:ascii="Bookman Old Style" w:hAnsi="Bookman Old Style"/>
          <w:sz w:val="18"/>
          <w:szCs w:val="18"/>
        </w:rPr>
        <w:t>, pp. 27–30.</w:t>
      </w:r>
    </w:p>
  </w:footnote>
  <w:footnote w:id="21">
    <w:p w14:paraId="7C9EFABE" w14:textId="6D0CA93D" w:rsidR="008F4242" w:rsidRPr="008F4242" w:rsidRDefault="008F4242">
      <w:pPr>
        <w:pStyle w:val="FootnoteText"/>
        <w:rPr>
          <w:rFonts w:ascii="Bookman Old Style" w:hAnsi="Bookman Old Style"/>
          <w:sz w:val="18"/>
          <w:szCs w:val="18"/>
          <w:lang w:val="en-US"/>
        </w:rPr>
      </w:pPr>
      <w:r w:rsidRPr="008F4242">
        <w:rPr>
          <w:rStyle w:val="FootnoteReference"/>
          <w:rFonts w:ascii="Bookman Old Style" w:hAnsi="Bookman Old Style"/>
          <w:sz w:val="18"/>
          <w:szCs w:val="18"/>
        </w:rPr>
        <w:footnoteRef/>
      </w:r>
      <w:r w:rsidRPr="008F4242">
        <w:rPr>
          <w:rFonts w:ascii="Bookman Old Style" w:hAnsi="Bookman Old Style"/>
          <w:sz w:val="18"/>
          <w:szCs w:val="18"/>
        </w:rPr>
        <w:t xml:space="preserve"> </w:t>
      </w:r>
      <w:r w:rsidRPr="008F4242">
        <w:rPr>
          <w:rFonts w:ascii="Bookman Old Style" w:hAnsi="Bookman Old Style"/>
          <w:sz w:val="18"/>
          <w:szCs w:val="18"/>
        </w:rPr>
        <w:t>Ibid.</w:t>
      </w:r>
    </w:p>
  </w:footnote>
  <w:footnote w:id="22">
    <w:p w14:paraId="5BFCC124" w14:textId="27165C5C" w:rsidR="008F4242" w:rsidRPr="008F4242" w:rsidRDefault="008F4242">
      <w:pPr>
        <w:pStyle w:val="FootnoteText"/>
        <w:rPr>
          <w:rFonts w:ascii="Bookman Old Style" w:hAnsi="Bookman Old Style"/>
          <w:sz w:val="18"/>
          <w:szCs w:val="18"/>
          <w:lang w:val="en-US"/>
        </w:rPr>
      </w:pPr>
      <w:r w:rsidRPr="008F4242">
        <w:rPr>
          <w:rStyle w:val="FootnoteReference"/>
          <w:rFonts w:ascii="Bookman Old Style" w:hAnsi="Bookman Old Style"/>
          <w:sz w:val="18"/>
          <w:szCs w:val="18"/>
        </w:rPr>
        <w:footnoteRef/>
      </w:r>
      <w:r w:rsidRPr="008F4242">
        <w:rPr>
          <w:rFonts w:ascii="Bookman Old Style" w:hAnsi="Bookman Old Style"/>
          <w:sz w:val="18"/>
          <w:szCs w:val="18"/>
        </w:rPr>
        <w:t xml:space="preserve"> </w:t>
      </w:r>
      <w:r w:rsidRPr="008F4242">
        <w:rPr>
          <w:rFonts w:ascii="Bookman Old Style" w:hAnsi="Bookman Old Style"/>
          <w:sz w:val="18"/>
          <w:szCs w:val="18"/>
        </w:rPr>
        <w:t xml:space="preserve">Ali, </w:t>
      </w:r>
      <w:r w:rsidRPr="008F4242">
        <w:rPr>
          <w:rFonts w:ascii="Bookman Old Style" w:hAnsi="Bookman Old Style"/>
          <w:i/>
          <w:iCs/>
          <w:sz w:val="18"/>
          <w:szCs w:val="18"/>
        </w:rPr>
        <w:t>The Ethics of Gender in Islam</w:t>
      </w:r>
      <w:r w:rsidRPr="008F4242">
        <w:rPr>
          <w:rFonts w:ascii="Bookman Old Style" w:hAnsi="Bookman Old Style"/>
          <w:sz w:val="18"/>
          <w:szCs w:val="18"/>
        </w:rPr>
        <w:t>, pp. 56–72.</w:t>
      </w:r>
    </w:p>
  </w:footnote>
  <w:footnote w:id="23">
    <w:p w14:paraId="33918271" w14:textId="6A7A56E8" w:rsidR="008F4242" w:rsidRPr="008F4242" w:rsidRDefault="008F4242">
      <w:pPr>
        <w:pStyle w:val="FootnoteText"/>
        <w:rPr>
          <w:rFonts w:ascii="Bookman Old Style" w:hAnsi="Bookman Old Style"/>
          <w:sz w:val="18"/>
          <w:szCs w:val="18"/>
          <w:lang w:val="en-US"/>
        </w:rPr>
      </w:pPr>
      <w:r w:rsidRPr="008F4242">
        <w:rPr>
          <w:rStyle w:val="FootnoteReference"/>
          <w:rFonts w:ascii="Bookman Old Style" w:hAnsi="Bookman Old Style"/>
          <w:sz w:val="18"/>
          <w:szCs w:val="18"/>
        </w:rPr>
        <w:footnoteRef/>
      </w:r>
      <w:r w:rsidRPr="008F4242">
        <w:rPr>
          <w:rFonts w:ascii="Bookman Old Style" w:hAnsi="Bookman Old Style"/>
          <w:sz w:val="18"/>
          <w:szCs w:val="18"/>
        </w:rPr>
        <w:t xml:space="preserve"> </w:t>
      </w:r>
      <w:r w:rsidRPr="008F4242">
        <w:rPr>
          <w:rFonts w:ascii="Bookman Old Style" w:hAnsi="Bookman Old Style"/>
          <w:sz w:val="18"/>
          <w:szCs w:val="18"/>
        </w:rPr>
        <w:t xml:space="preserve">Hidayatullah, </w:t>
      </w:r>
      <w:r w:rsidRPr="008F4242">
        <w:rPr>
          <w:rFonts w:ascii="Bookman Old Style" w:hAnsi="Bookman Old Style"/>
          <w:i/>
          <w:iCs/>
          <w:sz w:val="18"/>
          <w:szCs w:val="18"/>
        </w:rPr>
        <w:t>Feminist Edges</w:t>
      </w:r>
      <w:r w:rsidRPr="008F4242">
        <w:rPr>
          <w:rFonts w:ascii="Bookman Old Style" w:hAnsi="Bookman Old Style"/>
          <w:sz w:val="18"/>
          <w:szCs w:val="18"/>
        </w:rPr>
        <w:t>, pp. 137–55.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02B25"/>
    <w:multiLevelType w:val="hybridMultilevel"/>
    <w:tmpl w:val="E3D29F14"/>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 w15:restartNumberingAfterBreak="0">
    <w:nsid w:val="1AF31DB8"/>
    <w:multiLevelType w:val="hybridMultilevel"/>
    <w:tmpl w:val="9094F6DA"/>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 w15:restartNumberingAfterBreak="0">
    <w:nsid w:val="2F2A1B5E"/>
    <w:multiLevelType w:val="hybridMultilevel"/>
    <w:tmpl w:val="3D06807E"/>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3" w15:restartNumberingAfterBreak="0">
    <w:nsid w:val="392045D6"/>
    <w:multiLevelType w:val="hybridMultilevel"/>
    <w:tmpl w:val="EF981A06"/>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4" w15:restartNumberingAfterBreak="0">
    <w:nsid w:val="634C13EB"/>
    <w:multiLevelType w:val="hybridMultilevel"/>
    <w:tmpl w:val="B82AD588"/>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num w:numId="1" w16cid:durableId="479930010">
    <w:abstractNumId w:val="1"/>
  </w:num>
  <w:num w:numId="2" w16cid:durableId="500240982">
    <w:abstractNumId w:val="2"/>
  </w:num>
  <w:num w:numId="3" w16cid:durableId="1379861621">
    <w:abstractNumId w:val="3"/>
  </w:num>
  <w:num w:numId="4" w16cid:durableId="2091854883">
    <w:abstractNumId w:val="4"/>
  </w:num>
  <w:num w:numId="5" w16cid:durableId="1961671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3B8"/>
    <w:rsid w:val="00051C71"/>
    <w:rsid w:val="000D25D2"/>
    <w:rsid w:val="001204D6"/>
    <w:rsid w:val="00152AE2"/>
    <w:rsid w:val="001F5407"/>
    <w:rsid w:val="002223B8"/>
    <w:rsid w:val="00272648"/>
    <w:rsid w:val="002E10FF"/>
    <w:rsid w:val="002F04D8"/>
    <w:rsid w:val="0033685E"/>
    <w:rsid w:val="00347437"/>
    <w:rsid w:val="00397B3C"/>
    <w:rsid w:val="003A1BC1"/>
    <w:rsid w:val="003D4AAC"/>
    <w:rsid w:val="00443BC6"/>
    <w:rsid w:val="004627F1"/>
    <w:rsid w:val="00475512"/>
    <w:rsid w:val="004865B0"/>
    <w:rsid w:val="004B3CF5"/>
    <w:rsid w:val="004D2DD1"/>
    <w:rsid w:val="004E6FDE"/>
    <w:rsid w:val="004F4E30"/>
    <w:rsid w:val="005144A0"/>
    <w:rsid w:val="00540BE8"/>
    <w:rsid w:val="00586343"/>
    <w:rsid w:val="005924D4"/>
    <w:rsid w:val="005B13DF"/>
    <w:rsid w:val="00622331"/>
    <w:rsid w:val="006637D2"/>
    <w:rsid w:val="00673078"/>
    <w:rsid w:val="00684DCF"/>
    <w:rsid w:val="006B00F6"/>
    <w:rsid w:val="006B6803"/>
    <w:rsid w:val="0070200E"/>
    <w:rsid w:val="007116A1"/>
    <w:rsid w:val="00796181"/>
    <w:rsid w:val="007E274F"/>
    <w:rsid w:val="007E4BB6"/>
    <w:rsid w:val="00817557"/>
    <w:rsid w:val="00833928"/>
    <w:rsid w:val="00866E65"/>
    <w:rsid w:val="008A5C4B"/>
    <w:rsid w:val="008E6888"/>
    <w:rsid w:val="008F4242"/>
    <w:rsid w:val="00985689"/>
    <w:rsid w:val="009C7445"/>
    <w:rsid w:val="00A23C76"/>
    <w:rsid w:val="00A63CE4"/>
    <w:rsid w:val="00A67D29"/>
    <w:rsid w:val="00A749C3"/>
    <w:rsid w:val="00A857A1"/>
    <w:rsid w:val="00B221E5"/>
    <w:rsid w:val="00B274D3"/>
    <w:rsid w:val="00BE568F"/>
    <w:rsid w:val="00C05C32"/>
    <w:rsid w:val="00C1484B"/>
    <w:rsid w:val="00C26EE0"/>
    <w:rsid w:val="00C8222A"/>
    <w:rsid w:val="00D125B6"/>
    <w:rsid w:val="00D6385D"/>
    <w:rsid w:val="00DA016C"/>
    <w:rsid w:val="00DA7563"/>
    <w:rsid w:val="00DC332C"/>
    <w:rsid w:val="00DE5C55"/>
    <w:rsid w:val="00E15A1C"/>
    <w:rsid w:val="00E50161"/>
    <w:rsid w:val="00E83348"/>
    <w:rsid w:val="00EC4B87"/>
    <w:rsid w:val="00EC7846"/>
    <w:rsid w:val="00ED78E2"/>
    <w:rsid w:val="00F02128"/>
    <w:rsid w:val="00F92B01"/>
    <w:rsid w:val="00FB1008"/>
    <w:rsid w:val="00FE62C8"/>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8F48E2"/>
  <w15:chartTrackingRefBased/>
  <w15:docId w15:val="{E1BF9FAF-D44A-4CEF-9EB9-5218A9F6C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CA"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23B8"/>
    <w:rPr>
      <w:rFonts w:eastAsiaTheme="majorEastAsia" w:cstheme="majorBidi"/>
      <w:color w:val="272727" w:themeColor="text1" w:themeTint="D8"/>
    </w:rPr>
  </w:style>
  <w:style w:type="paragraph" w:styleId="Title">
    <w:name w:val="Title"/>
    <w:basedOn w:val="Normal"/>
    <w:next w:val="Normal"/>
    <w:link w:val="TitleChar"/>
    <w:uiPriority w:val="10"/>
    <w:qFormat/>
    <w:rsid w:val="0022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23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23B8"/>
    <w:pPr>
      <w:spacing w:before="160"/>
      <w:jc w:val="center"/>
    </w:pPr>
    <w:rPr>
      <w:i/>
      <w:iCs/>
      <w:color w:val="404040" w:themeColor="text1" w:themeTint="BF"/>
    </w:rPr>
  </w:style>
  <w:style w:type="character" w:customStyle="1" w:styleId="QuoteChar">
    <w:name w:val="Quote Char"/>
    <w:basedOn w:val="DefaultParagraphFont"/>
    <w:link w:val="Quote"/>
    <w:uiPriority w:val="29"/>
    <w:rsid w:val="002223B8"/>
    <w:rPr>
      <w:i/>
      <w:iCs/>
      <w:color w:val="404040" w:themeColor="text1" w:themeTint="BF"/>
    </w:rPr>
  </w:style>
  <w:style w:type="paragraph" w:styleId="ListParagraph">
    <w:name w:val="List Paragraph"/>
    <w:basedOn w:val="Normal"/>
    <w:uiPriority w:val="34"/>
    <w:qFormat/>
    <w:rsid w:val="002223B8"/>
    <w:pPr>
      <w:ind w:left="720"/>
      <w:contextualSpacing/>
    </w:pPr>
  </w:style>
  <w:style w:type="character" w:styleId="IntenseEmphasis">
    <w:name w:val="Intense Emphasis"/>
    <w:basedOn w:val="DefaultParagraphFont"/>
    <w:uiPriority w:val="21"/>
    <w:qFormat/>
    <w:rsid w:val="002223B8"/>
    <w:rPr>
      <w:i/>
      <w:iCs/>
      <w:color w:val="0F4761" w:themeColor="accent1" w:themeShade="BF"/>
    </w:rPr>
  </w:style>
  <w:style w:type="paragraph" w:styleId="IntenseQuote">
    <w:name w:val="Intense Quote"/>
    <w:basedOn w:val="Normal"/>
    <w:next w:val="Normal"/>
    <w:link w:val="IntenseQuoteChar"/>
    <w:uiPriority w:val="30"/>
    <w:qFormat/>
    <w:rsid w:val="0022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23B8"/>
    <w:rPr>
      <w:i/>
      <w:iCs/>
      <w:color w:val="0F4761" w:themeColor="accent1" w:themeShade="BF"/>
    </w:rPr>
  </w:style>
  <w:style w:type="character" w:styleId="IntenseReference">
    <w:name w:val="Intense Reference"/>
    <w:basedOn w:val="DefaultParagraphFont"/>
    <w:uiPriority w:val="32"/>
    <w:qFormat/>
    <w:rsid w:val="002223B8"/>
    <w:rPr>
      <w:b/>
      <w:bCs/>
      <w:smallCaps/>
      <w:color w:val="0F4761" w:themeColor="accent1" w:themeShade="BF"/>
      <w:spacing w:val="5"/>
    </w:rPr>
  </w:style>
  <w:style w:type="paragraph" w:styleId="FootnoteText">
    <w:name w:val="footnote text"/>
    <w:basedOn w:val="Normal"/>
    <w:link w:val="FootnoteTextChar"/>
    <w:uiPriority w:val="99"/>
    <w:semiHidden/>
    <w:unhideWhenUsed/>
    <w:rsid w:val="00684DC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84DCF"/>
    <w:rPr>
      <w:sz w:val="20"/>
      <w:szCs w:val="20"/>
    </w:rPr>
  </w:style>
  <w:style w:type="character" w:styleId="FootnoteReference">
    <w:name w:val="footnote reference"/>
    <w:basedOn w:val="DefaultParagraphFont"/>
    <w:uiPriority w:val="99"/>
    <w:semiHidden/>
    <w:unhideWhenUsed/>
    <w:rsid w:val="00684DCF"/>
    <w:rPr>
      <w:vertAlign w:val="superscript"/>
    </w:rPr>
  </w:style>
  <w:style w:type="character" w:styleId="Hyperlink">
    <w:name w:val="Hyperlink"/>
    <w:basedOn w:val="DefaultParagraphFont"/>
    <w:uiPriority w:val="99"/>
    <w:unhideWhenUsed/>
    <w:rsid w:val="00684DCF"/>
    <w:rPr>
      <w:color w:val="467886" w:themeColor="hyperlink"/>
      <w:u w:val="single"/>
    </w:rPr>
  </w:style>
  <w:style w:type="character" w:styleId="UnresolvedMention">
    <w:name w:val="Unresolved Mention"/>
    <w:basedOn w:val="DefaultParagraphFont"/>
    <w:uiPriority w:val="99"/>
    <w:semiHidden/>
    <w:unhideWhenUsed/>
    <w:rsid w:val="00684DCF"/>
    <w:rPr>
      <w:color w:val="605E5C"/>
      <w:shd w:val="clear" w:color="auto" w:fill="E1DFDD"/>
    </w:rPr>
  </w:style>
  <w:style w:type="paragraph" w:styleId="NormalWeb">
    <w:name w:val="Normal (Web)"/>
    <w:basedOn w:val="Normal"/>
    <w:uiPriority w:val="99"/>
    <w:semiHidden/>
    <w:unhideWhenUsed/>
    <w:rsid w:val="00DA016C"/>
    <w:pPr>
      <w:spacing w:before="100" w:beforeAutospacing="1" w:after="100" w:afterAutospacing="1" w:line="240" w:lineRule="auto"/>
    </w:pPr>
    <w:rPr>
      <w:rFonts w:ascii="Times New Roman" w:eastAsia="Times New Roman" w:hAnsi="Times New Roman" w:cs="Times New Roman"/>
      <w:kern w:val="0"/>
      <w:lang w:eastAsia="en-C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archive.wluml.org/ar/node/253" TargetMode="External"/><Relationship Id="rId2" Type="http://schemas.openxmlformats.org/officeDocument/2006/relationships/hyperlink" Target="https://www.bbc.co.uk/ethics/honourcrimes/crimesofhonour_1.shtml" TargetMode="External"/><Relationship Id="rId1" Type="http://schemas.openxmlformats.org/officeDocument/2006/relationships/hyperlink" Target="http://www.forpeoplewhothink.org/Topics/Adam's_Rib-The_Issue_Of_Woman's_Creation.html" TargetMode="External"/><Relationship Id="rId4" Type="http://schemas.openxmlformats.org/officeDocument/2006/relationships/hyperlink" Target="https://renovatio.zaytuna.edu/article/the-fundamental-contradiction-of-islamic-femin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3976A8-60B9-4579-BED7-1F67AC5BD7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2777</TotalTime>
  <Pages>14</Pages>
  <Words>3248</Words>
  <Characters>18520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Ania Kunicki</dc:creator>
  <cp:keywords/>
  <dc:description/>
  <cp:lastModifiedBy>Ania Kunicki</cp:lastModifiedBy>
  <cp:revision>16</cp:revision>
  <dcterms:created xsi:type="dcterms:W3CDTF">2025-11-28T15:06:00Z</dcterms:created>
  <dcterms:modified xsi:type="dcterms:W3CDTF">2025-12-01T00:53:00Z</dcterms:modified>
</cp:coreProperties>
</file>