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FEB9A" w14:textId="00C43BCE" w:rsidR="00EB25E0" w:rsidRDefault="00A60096">
      <w:r w:rsidRPr="00A406E5">
        <w:rPr>
          <w:rFonts w:ascii="Arial" w:hAnsi="Arial" w:cs="Arial"/>
          <w:noProof/>
        </w:rPr>
        <w:drawing>
          <wp:anchor distT="0" distB="0" distL="114300" distR="114300" simplePos="0" relativeHeight="251659264" behindDoc="0" locked="0" layoutInCell="1" allowOverlap="1" wp14:anchorId="31A6A17A" wp14:editId="6C5E2C76">
            <wp:simplePos x="0" y="0"/>
            <wp:positionH relativeFrom="column">
              <wp:posOffset>-571500</wp:posOffset>
            </wp:positionH>
            <wp:positionV relativeFrom="paragraph">
              <wp:posOffset>-548640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33705D0" w14:textId="70E6A3F9" w:rsidR="00A60096" w:rsidRPr="00A60096" w:rsidRDefault="00A60096" w:rsidP="00A60096"/>
    <w:p w14:paraId="5B2D81A0" w14:textId="7BD2B382" w:rsidR="00A60096" w:rsidRPr="00A60096" w:rsidRDefault="00A60096" w:rsidP="00A60096"/>
    <w:p w14:paraId="5D3D8101" w14:textId="1B8AEA18" w:rsidR="00A60096" w:rsidRDefault="00A60096" w:rsidP="00A60096"/>
    <w:p w14:paraId="3B434F52" w14:textId="14A1F7BF" w:rsidR="00A60096" w:rsidRPr="00A60096" w:rsidRDefault="00A60096" w:rsidP="00A60096">
      <w:pPr>
        <w:pStyle w:val="IntenseQuote"/>
        <w:rPr>
          <w:sz w:val="32"/>
          <w:szCs w:val="32"/>
        </w:rPr>
      </w:pPr>
    </w:p>
    <w:p w14:paraId="1043859F" w14:textId="47DA69F1" w:rsidR="00A60096" w:rsidRPr="00A60096" w:rsidRDefault="009D46BA" w:rsidP="00A60096">
      <w:pPr>
        <w:pStyle w:val="IntenseQuote"/>
        <w:rPr>
          <w:sz w:val="32"/>
          <w:szCs w:val="32"/>
        </w:rPr>
      </w:pPr>
      <w:r>
        <w:rPr>
          <w:sz w:val="32"/>
          <w:szCs w:val="32"/>
        </w:rPr>
        <w:t>PUBLIC SERVICES PORTFOLIO – CRIMINAL LAW</w:t>
      </w:r>
    </w:p>
    <w:p w14:paraId="2B33141A" w14:textId="526F72EC" w:rsidR="00A60096" w:rsidRDefault="009D46BA" w:rsidP="00A60096">
      <w:pPr>
        <w:pStyle w:val="IntenseQuote"/>
        <w:rPr>
          <w:sz w:val="32"/>
          <w:szCs w:val="32"/>
        </w:rPr>
      </w:pPr>
      <w:r w:rsidRPr="009D46BA">
        <w:rPr>
          <w:sz w:val="32"/>
          <w:szCs w:val="32"/>
        </w:rPr>
        <w:t>BMLW4005/BMPL4009</w:t>
      </w:r>
    </w:p>
    <w:p w14:paraId="5F1908D7" w14:textId="5E750FD2" w:rsidR="00A60096" w:rsidRDefault="00A60096" w:rsidP="00A60096"/>
    <w:p w14:paraId="4BECE4D3" w14:textId="5A133DF4" w:rsidR="00A60096" w:rsidRDefault="00A60096" w:rsidP="00A60096"/>
    <w:p w14:paraId="2F3CA889" w14:textId="451A6304" w:rsidR="00A60096" w:rsidRDefault="00A60096" w:rsidP="00A60096"/>
    <w:p w14:paraId="205562BA" w14:textId="06B93DFC" w:rsidR="00A60096" w:rsidRDefault="00A60096" w:rsidP="00A60096"/>
    <w:p w14:paraId="0B8B99CF" w14:textId="05984297" w:rsidR="00A60096" w:rsidRDefault="00A60096" w:rsidP="00A60096"/>
    <w:p w14:paraId="3D3F4AA9" w14:textId="40200AE3" w:rsidR="00A60096" w:rsidRDefault="00A60096" w:rsidP="00A60096"/>
    <w:p w14:paraId="284E89F9" w14:textId="680FD153" w:rsidR="00A60096" w:rsidRDefault="00A60096" w:rsidP="00A60096"/>
    <w:p w14:paraId="41DE3C03" w14:textId="05B11749" w:rsidR="00A60096" w:rsidRDefault="00A60096" w:rsidP="00A60096"/>
    <w:p w14:paraId="75D6F6FA" w14:textId="52CDBC25" w:rsidR="00A60096" w:rsidRDefault="00A60096" w:rsidP="00A60096"/>
    <w:p w14:paraId="39B7C3DD" w14:textId="59E1C8C1" w:rsidR="00A60096" w:rsidRDefault="00A60096" w:rsidP="00A60096"/>
    <w:p w14:paraId="45DF7B4A" w14:textId="2989A44B" w:rsidR="00A60096" w:rsidRDefault="00A60096" w:rsidP="00A60096"/>
    <w:p w14:paraId="2070A5FE" w14:textId="1C9CC576" w:rsidR="00A60096" w:rsidRDefault="00A60096" w:rsidP="00A60096"/>
    <w:p w14:paraId="454FFE95" w14:textId="28E6753E" w:rsidR="00A60096" w:rsidRDefault="00A60096" w:rsidP="00A60096"/>
    <w:p w14:paraId="2C2CA092" w14:textId="4718BABC" w:rsidR="00A60096" w:rsidRDefault="00A60096" w:rsidP="00A60096"/>
    <w:p w14:paraId="1AC092E5" w14:textId="68D01170" w:rsidR="00A60096" w:rsidRDefault="00A60096" w:rsidP="00A60096"/>
    <w:p w14:paraId="49AF4D45" w14:textId="1898A2B4" w:rsidR="00A765A2" w:rsidRDefault="00A765A2" w:rsidP="00C30F2C"/>
    <w:p w14:paraId="32A68B23" w14:textId="343ABE32" w:rsidR="009D46BA" w:rsidRDefault="009D46BA" w:rsidP="00C30F2C"/>
    <w:p w14:paraId="4BA2DA00" w14:textId="77777777" w:rsidR="00997591" w:rsidRDefault="00997591" w:rsidP="00997591">
      <w:pPr>
        <w:ind w:firstLine="720"/>
        <w:jc w:val="both"/>
      </w:pPr>
      <w:r>
        <w:lastRenderedPageBreak/>
        <w:t>In this paper, I will examine the case of Polly and Mohammed, describing Polly's offences and potential defences. Polly and Mohammed have been together for ten years. This is a condensed summary of the case. Polly suffers from Schizophrenia. Polly becomes paranoid after observing Mohammed flirt with Roxanne at a local pub. Polly is outraged by what she has witnessed, so she approaches Roxanne, labels her a "bitch," and gives her the middle finger. Polly is kicked out of the tavern.</w:t>
      </w:r>
    </w:p>
    <w:p w14:paraId="419204F2" w14:textId="77777777" w:rsidR="00997591" w:rsidRDefault="00997591" w:rsidP="00997591">
      <w:pPr>
        <w:ind w:firstLine="720"/>
        <w:jc w:val="both"/>
      </w:pPr>
      <w:r>
        <w:t>Polly observes Roxanne's moped in the parking lot and uses fractured glass to sever the brake cables. Finally, Mohammed follows her home on foot. Polly's disruption of the neighbourhood pub has enraged and humiliated him.</w:t>
      </w:r>
    </w:p>
    <w:p w14:paraId="19D494AE" w14:textId="5C0CFC72" w:rsidR="00997591" w:rsidRDefault="00997591" w:rsidP="00997591">
      <w:pPr>
        <w:ind w:firstLine="720"/>
        <w:jc w:val="both"/>
      </w:pPr>
      <w:r>
        <w:t xml:space="preserve">Inside their residence, Polly accuses Mohammed of having romantic feelings for Roxanne. Mohammed assures Polly that this is not the case, but Polly becomes enraged and continues to query Mohammed about Roxanne, implying that Mohammed finds her more attractive than she is. Mohammed loses his temper and exclaims, "Yes, I've been having an affair with Roxanne for the past nine months, I love Roxanne, and we're </w:t>
      </w:r>
      <w:r w:rsidR="009A53E7">
        <w:t>going to be together</w:t>
      </w:r>
      <w:r>
        <w:t xml:space="preserve">!" Polly bursts into tears, turns away, and observes </w:t>
      </w:r>
      <w:r w:rsidR="009A53E7">
        <w:t>a glass</w:t>
      </w:r>
      <w:r>
        <w:t xml:space="preserve"> ashtray, which she uses to strike Mohammed on the head. Mohammed </w:t>
      </w:r>
      <w:r w:rsidR="009A53E7">
        <w:t>collapses and dies instantly from hit</w:t>
      </w:r>
      <w:r>
        <w:t>.</w:t>
      </w:r>
    </w:p>
    <w:p w14:paraId="17E61448" w14:textId="77777777" w:rsidR="00997591" w:rsidRPr="001058B2" w:rsidRDefault="00997591" w:rsidP="00997591">
      <w:pPr>
        <w:ind w:firstLine="720"/>
        <w:jc w:val="both"/>
        <w:rPr>
          <w:b/>
          <w:bCs/>
        </w:rPr>
      </w:pPr>
      <w:r>
        <w:t xml:space="preserve">Polly can and will be charged with the following crimes based on the information provided: </w:t>
      </w:r>
      <w:r w:rsidRPr="001058B2">
        <w:rPr>
          <w:b/>
          <w:bCs/>
        </w:rPr>
        <w:t>Public Order, Intentional Harassment Alarm or Distress under section 4a of the Public Order Act 1986, Voluntary Manslaughter as per S2 Homicide Act 1957 (amended by the Coroners and Justice Act 2009</w:t>
      </w:r>
      <w:proofErr w:type="gramStart"/>
      <w:r w:rsidRPr="001058B2">
        <w:rPr>
          <w:b/>
          <w:bCs/>
        </w:rPr>
        <w:t>), and</w:t>
      </w:r>
      <w:proofErr w:type="gramEnd"/>
      <w:r w:rsidRPr="001058B2">
        <w:rPr>
          <w:b/>
          <w:bCs/>
        </w:rPr>
        <w:t xml:space="preserve"> Aggravated Criminal Damage as per S1(2) Criminal Damage Act 1971.</w:t>
      </w:r>
    </w:p>
    <w:p w14:paraId="0D57F69F" w14:textId="5E0F9C25" w:rsidR="00A51E05" w:rsidRPr="00A4321F" w:rsidRDefault="00A51E05" w:rsidP="00997591">
      <w:pPr>
        <w:jc w:val="both"/>
        <w:rPr>
          <w:b/>
          <w:bCs/>
          <w:u w:val="single"/>
        </w:rPr>
      </w:pPr>
      <w:r w:rsidRPr="00A4321F">
        <w:rPr>
          <w:b/>
          <w:bCs/>
          <w:u w:val="single"/>
        </w:rPr>
        <w:t>Liability regarding the offence of Public Order, Intentional Harassment Alarm or Distress</w:t>
      </w:r>
      <w:r w:rsidR="00F4358C">
        <w:rPr>
          <w:b/>
          <w:bCs/>
          <w:u w:val="single"/>
        </w:rPr>
        <w:t>, and Verbal Assault</w:t>
      </w:r>
    </w:p>
    <w:p w14:paraId="6A4DAC20" w14:textId="77777777" w:rsidR="00997591" w:rsidRDefault="00997591" w:rsidP="00997591">
      <w:pPr>
        <w:ind w:firstLine="720"/>
        <w:jc w:val="both"/>
      </w:pPr>
      <w:r>
        <w:t xml:space="preserve">One of the most frequently prosecuted felonies is </w:t>
      </w:r>
      <w:r w:rsidRPr="001058B2">
        <w:rPr>
          <w:b/>
          <w:bCs/>
        </w:rPr>
        <w:t>Section 4A of the Public Order Act of 1986</w:t>
      </w:r>
      <w:r>
        <w:t>, also known as intentional harassment, alarm, or distress. To establish an offence under section 4A, the Prosecution must prove that the accused intended to harass, alarm, or distress another person; used menacing, abusive, or insulting words or conduct; and caused another person to feel harassed, alarmed, or distressed.</w:t>
      </w:r>
    </w:p>
    <w:p w14:paraId="40D12BC4" w14:textId="77777777" w:rsidR="00997591" w:rsidRDefault="00997591" w:rsidP="00997591">
      <w:pPr>
        <w:ind w:firstLine="720"/>
        <w:jc w:val="both"/>
      </w:pPr>
      <w:r>
        <w:t xml:space="preserve">According to </w:t>
      </w:r>
      <w:r w:rsidRPr="001058B2">
        <w:rPr>
          <w:b/>
          <w:bCs/>
        </w:rPr>
        <w:t>Fagan v. MPC [1969],</w:t>
      </w:r>
      <w:r>
        <w:t xml:space="preserve"> assault occurs when a defendant "causes the victim to apprehend immediate unlawful personal violence, either intentionally or recklessly."</w:t>
      </w:r>
    </w:p>
    <w:p w14:paraId="2718FC8B" w14:textId="2558FE36" w:rsidR="00997591" w:rsidRDefault="00997591" w:rsidP="00997591">
      <w:pPr>
        <w:ind w:firstLine="720"/>
        <w:jc w:val="both"/>
      </w:pPr>
      <w:r>
        <w:t xml:space="preserve">Assault starts when the victim "apprehends," which does not require fear </w:t>
      </w:r>
      <w:r w:rsidRPr="001058B2">
        <w:rPr>
          <w:b/>
          <w:bCs/>
        </w:rPr>
        <w:t>(R v. Lamb, 1967).</w:t>
      </w:r>
      <w:r>
        <w:t xml:space="preserve"> Second, the violence must be immediate rather than a threat for the future, but the court interprets immediacy with flexibility </w:t>
      </w:r>
      <w:r w:rsidRPr="001058B2">
        <w:rPr>
          <w:b/>
          <w:bCs/>
        </w:rPr>
        <w:t>(Virgo, 1997; R v Constanza [1997]).</w:t>
      </w:r>
      <w:r>
        <w:t xml:space="preserve"> Thirdly, there must be a reasonable dread of unlawful personal violence, defined as any non-consensual contact </w:t>
      </w:r>
      <w:r w:rsidRPr="001058B2">
        <w:rPr>
          <w:b/>
          <w:bCs/>
        </w:rPr>
        <w:t>(R v. Ireland [1998]),</w:t>
      </w:r>
      <w:r>
        <w:t xml:space="preserve"> regardless of severity. </w:t>
      </w:r>
      <w:r w:rsidRPr="001058B2">
        <w:rPr>
          <w:b/>
          <w:bCs/>
        </w:rPr>
        <w:t>Actus reus</w:t>
      </w:r>
      <w:r>
        <w:t xml:space="preserve"> can be satisfied by words alone, as in </w:t>
      </w:r>
      <w:r w:rsidRPr="001058B2">
        <w:rPr>
          <w:b/>
          <w:bCs/>
        </w:rPr>
        <w:t>R v. Constanza [1997]</w:t>
      </w:r>
      <w:r>
        <w:t xml:space="preserve"> or negated by words, as in </w:t>
      </w:r>
      <w:r w:rsidRPr="001058B2">
        <w:rPr>
          <w:b/>
          <w:bCs/>
        </w:rPr>
        <w:t>Tuberville v. Savage [1669],</w:t>
      </w:r>
      <w:r>
        <w:t xml:space="preserve"> where the defendant's attack was nullified by the statement "if it were not assize-time, I would not take such language from you."</w:t>
      </w:r>
    </w:p>
    <w:p w14:paraId="1F47CFC6" w14:textId="3F5574F8" w:rsidR="00997591" w:rsidRDefault="00997591" w:rsidP="00997591">
      <w:pPr>
        <w:ind w:firstLine="720"/>
        <w:jc w:val="both"/>
      </w:pPr>
      <w:r>
        <w:t xml:space="preserve">Polly insults Roxanne in this instance and gives her the middle finger </w:t>
      </w:r>
      <w:r w:rsidRPr="001058B2">
        <w:rPr>
          <w:b/>
          <w:bCs/>
        </w:rPr>
        <w:t>(R v Constanza, 1997)</w:t>
      </w:r>
      <w:r>
        <w:t xml:space="preserve">. Polly is escorted outside following the incident in the tavern, where, upon seeing Roxanne's moped located in the parking lot, she uses broken glass to cut the moped's brake cable, endangering Roxanne's </w:t>
      </w:r>
      <w:r>
        <w:lastRenderedPageBreak/>
        <w:t xml:space="preserve">life. Polly is </w:t>
      </w:r>
      <w:r w:rsidR="001058B2">
        <w:t>liable</w:t>
      </w:r>
      <w:r>
        <w:t xml:space="preserve"> of </w:t>
      </w:r>
      <w:r w:rsidRPr="001058B2">
        <w:rPr>
          <w:b/>
          <w:bCs/>
        </w:rPr>
        <w:t>Aggravated Criminal Damage</w:t>
      </w:r>
      <w:r>
        <w:t xml:space="preserve"> in accordance with </w:t>
      </w:r>
      <w:r w:rsidRPr="001058B2">
        <w:rPr>
          <w:b/>
          <w:bCs/>
        </w:rPr>
        <w:t>Section 1(2) of the Criminal Damage Act of 1971,</w:t>
      </w:r>
      <w:r>
        <w:t xml:space="preserve"> which I will explain in greater detail below.</w:t>
      </w:r>
    </w:p>
    <w:p w14:paraId="5CC2F421" w14:textId="3472482E" w:rsidR="00C84139" w:rsidRPr="00C84139" w:rsidRDefault="00C84139" w:rsidP="00997591">
      <w:pPr>
        <w:jc w:val="both"/>
        <w:rPr>
          <w:b/>
          <w:bCs/>
          <w:u w:val="single"/>
        </w:rPr>
      </w:pPr>
      <w:r w:rsidRPr="00C84139">
        <w:rPr>
          <w:b/>
          <w:bCs/>
          <w:u w:val="single"/>
        </w:rPr>
        <w:t>Liability regarding the offence of Aggravated Criminal Damage</w:t>
      </w:r>
    </w:p>
    <w:p w14:paraId="70FE8203" w14:textId="7CEB8675" w:rsidR="00997591" w:rsidRDefault="00997591" w:rsidP="00997591">
      <w:pPr>
        <w:ind w:firstLine="720"/>
        <w:jc w:val="both"/>
      </w:pPr>
      <w:r>
        <w:t xml:space="preserve">In cases of </w:t>
      </w:r>
      <w:r w:rsidRPr="001058B2">
        <w:rPr>
          <w:b/>
          <w:bCs/>
        </w:rPr>
        <w:t>Aggravated Criminal Property Damage</w:t>
      </w:r>
      <w:r>
        <w:t>, the peril of human life caused by the destruction or damage of property is an aggravating factor.</w:t>
      </w:r>
      <w:r>
        <w:t xml:space="preserve"> </w:t>
      </w:r>
      <w:r>
        <w:t xml:space="preserve">Destruction or damage of property without justification constitutes the Actus Reus of the offence. According to </w:t>
      </w:r>
      <w:r w:rsidRPr="001058B2">
        <w:rPr>
          <w:b/>
          <w:bCs/>
        </w:rPr>
        <w:t>R v. Merrick (1995)</w:t>
      </w:r>
      <w:r>
        <w:t>, a defendant can commit the crime by damaging his own property.</w:t>
      </w:r>
    </w:p>
    <w:p w14:paraId="6ECEA1C0" w14:textId="77777777" w:rsidR="00997591" w:rsidRDefault="00997591" w:rsidP="00997591">
      <w:pPr>
        <w:ind w:firstLine="720"/>
        <w:jc w:val="both"/>
      </w:pPr>
      <w:r>
        <w:t xml:space="preserve">As was the case in </w:t>
      </w:r>
      <w:r w:rsidRPr="001058B2">
        <w:rPr>
          <w:b/>
          <w:bCs/>
        </w:rPr>
        <w:t>R v. Sangha (1988)</w:t>
      </w:r>
      <w:r>
        <w:t>, in which the accused set fire to an unoccupied flat, it is not necessary to demonstrate that the damage or destruction poses a genuine risk to the lives of others. The appeal was dismissed. The standard for determining whether setting something on fire constituted a risk to human life was whether an innocent, prudent bystander would have recognised that human life was in danger.</w:t>
      </w:r>
    </w:p>
    <w:p w14:paraId="08203BEA" w14:textId="4725279D" w:rsidR="00997591" w:rsidRDefault="00997591" w:rsidP="00997591">
      <w:pPr>
        <w:ind w:firstLine="720"/>
        <w:jc w:val="both"/>
      </w:pPr>
      <w:r w:rsidRPr="001058B2">
        <w:rPr>
          <w:b/>
          <w:bCs/>
        </w:rPr>
        <w:t xml:space="preserve">Mens Rea </w:t>
      </w:r>
      <w:r>
        <w:t xml:space="preserve">consists of two elements: first, that the defendant intended to destroy or damage the property or was negligent regardless of whether he or she did so; and second, that the defendant intended or was negligent </w:t>
      </w:r>
      <w:r w:rsidR="00D251C4">
        <w:t>regarding</w:t>
      </w:r>
      <w:r>
        <w:t xml:space="preserve"> the endangerment of life </w:t>
      </w:r>
      <w:r w:rsidR="00D251C4">
        <w:t>because of</w:t>
      </w:r>
      <w:r>
        <w:t xml:space="preserve"> the criminal damage. As established in </w:t>
      </w:r>
      <w:r w:rsidRPr="001058B2">
        <w:rPr>
          <w:b/>
          <w:bCs/>
        </w:rPr>
        <w:t>R v. Steer (1988)</w:t>
      </w:r>
      <w:r>
        <w:t>, it must be emphasised that the endangerment of life must result from the illicit damage.</w:t>
      </w:r>
    </w:p>
    <w:p w14:paraId="57A7288B" w14:textId="77777777" w:rsidR="00997591" w:rsidRDefault="00997591" w:rsidP="00997591">
      <w:pPr>
        <w:ind w:firstLine="720"/>
        <w:jc w:val="both"/>
      </w:pPr>
      <w:r>
        <w:t>Polly, upon being escorted outside and discovering Roxanne's moped parked in the parking lot, uses the shattered glass to cut the moped's brake cable, endangering Roxanne's life and rendering the moped inoperable.</w:t>
      </w:r>
    </w:p>
    <w:p w14:paraId="0A585F6C" w14:textId="77777777" w:rsidR="00997591" w:rsidRDefault="00997591" w:rsidP="00997591">
      <w:pPr>
        <w:ind w:firstLine="720"/>
        <w:jc w:val="both"/>
      </w:pPr>
      <w:r>
        <w:t>According to the Magistrate's Court Sentencing Guidelines, the maximum sentence for criminal damage in cases where the amount of damage is less than £5,000 is six months in jail. When the quantity of damage exceeds £5,000, the maximum term of imprisonment is ten years. The maximum available sentence for criminal damage offences committed with the intent to imperil life, whether intentionally or recklessly, is life in prison.</w:t>
      </w:r>
    </w:p>
    <w:p w14:paraId="22743024" w14:textId="0A7A2133" w:rsidR="00C24323" w:rsidRPr="004702C8" w:rsidRDefault="00C24323" w:rsidP="00997591">
      <w:pPr>
        <w:jc w:val="both"/>
        <w:rPr>
          <w:b/>
          <w:bCs/>
          <w:u w:val="single"/>
        </w:rPr>
      </w:pPr>
      <w:r w:rsidRPr="004702C8">
        <w:rPr>
          <w:b/>
          <w:bCs/>
          <w:u w:val="single"/>
        </w:rPr>
        <w:t xml:space="preserve">Liability regarding the offence of </w:t>
      </w:r>
      <w:r w:rsidR="00CD365F">
        <w:rPr>
          <w:b/>
          <w:bCs/>
          <w:u w:val="single"/>
        </w:rPr>
        <w:t>Manslaughter, Aggravated Assault and Murder</w:t>
      </w:r>
    </w:p>
    <w:p w14:paraId="6D63739D" w14:textId="77777777" w:rsidR="00997591" w:rsidRDefault="00997591" w:rsidP="00997591">
      <w:pPr>
        <w:ind w:firstLine="720"/>
        <w:jc w:val="both"/>
      </w:pPr>
      <w:r>
        <w:t>Under English law, there are three primary categories of murder-related offences. In many cases, the difference between these crimes depends on whether the victim's death was caused intentionally, recklessly, or – in extremely rare cases – 'inadvertently', with limited error on the part of the offender.</w:t>
      </w:r>
    </w:p>
    <w:p w14:paraId="1B57465F" w14:textId="331B0D85" w:rsidR="00997591" w:rsidRDefault="00997591" w:rsidP="00997591">
      <w:pPr>
        <w:ind w:firstLine="720"/>
        <w:jc w:val="both"/>
      </w:pPr>
      <w:r w:rsidRPr="001058B2">
        <w:rPr>
          <w:b/>
          <w:bCs/>
        </w:rPr>
        <w:t xml:space="preserve">Murder </w:t>
      </w:r>
      <w:r>
        <w:t xml:space="preserve">and </w:t>
      </w:r>
      <w:r w:rsidRPr="001058B2">
        <w:rPr>
          <w:b/>
          <w:bCs/>
        </w:rPr>
        <w:t>Manslaughter</w:t>
      </w:r>
      <w:r>
        <w:t xml:space="preserve"> are the two most prevalent crimes that result in death, followed by </w:t>
      </w:r>
      <w:r w:rsidRPr="001058B2">
        <w:rPr>
          <w:b/>
          <w:bCs/>
        </w:rPr>
        <w:t>Aggravated Assault</w:t>
      </w:r>
      <w:r>
        <w:t>.  Both manslaughter and murder result in the demise of a victim. Murder is the most serious crime involving the killing of one or more persons. Common law, not statute, governs the situation.</w:t>
      </w:r>
    </w:p>
    <w:p w14:paraId="7E33798F" w14:textId="238C3623" w:rsidR="00997591" w:rsidRDefault="00997591" w:rsidP="00997591">
      <w:pPr>
        <w:ind w:firstLine="720"/>
        <w:jc w:val="both"/>
      </w:pPr>
      <w:r>
        <w:t xml:space="preserve">The </w:t>
      </w:r>
      <w:r w:rsidRPr="001058B2">
        <w:rPr>
          <w:b/>
          <w:bCs/>
        </w:rPr>
        <w:t>Actus Reus</w:t>
      </w:r>
      <w:r>
        <w:t xml:space="preserve"> of murder is the unjustified death of a person. </w:t>
      </w:r>
      <w:r w:rsidR="001058B2">
        <w:t xml:space="preserve">The </w:t>
      </w:r>
      <w:r w:rsidRPr="001058B2">
        <w:rPr>
          <w:b/>
          <w:bCs/>
        </w:rPr>
        <w:t>Mens</w:t>
      </w:r>
      <w:r w:rsidR="001058B2" w:rsidRPr="001058B2">
        <w:rPr>
          <w:b/>
          <w:bCs/>
        </w:rPr>
        <w:t xml:space="preserve"> Rea</w:t>
      </w:r>
      <w:r>
        <w:t xml:space="preserve"> </w:t>
      </w:r>
      <w:r w:rsidR="001058B2">
        <w:t>would be t</w:t>
      </w:r>
      <w:r>
        <w:t>he mental state required for murder</w:t>
      </w:r>
      <w:r w:rsidR="001058B2">
        <w:t xml:space="preserve"> -</w:t>
      </w:r>
      <w:r>
        <w:t xml:space="preserve"> malice aforethought</w:t>
      </w:r>
      <w:r w:rsidR="001058B2">
        <w:t xml:space="preserve">. </w:t>
      </w:r>
      <w:r>
        <w:t xml:space="preserve">However, </w:t>
      </w:r>
      <w:r w:rsidR="001058B2">
        <w:t>the accused</w:t>
      </w:r>
      <w:r>
        <w:t xml:space="preserve"> will be charged with murder if he is alleged to have intended to cause great bodily injury with malice and the victim dies </w:t>
      </w:r>
      <w:r w:rsidR="00D251C4">
        <w:t>because of</w:t>
      </w:r>
      <w:r>
        <w:t xml:space="preserve"> the assault.</w:t>
      </w:r>
    </w:p>
    <w:p w14:paraId="17CB54FE" w14:textId="77777777" w:rsidR="00997591" w:rsidRDefault="00997591" w:rsidP="00997591">
      <w:pPr>
        <w:ind w:firstLine="720"/>
        <w:jc w:val="both"/>
      </w:pPr>
      <w:r w:rsidRPr="001058B2">
        <w:rPr>
          <w:b/>
          <w:bCs/>
        </w:rPr>
        <w:lastRenderedPageBreak/>
        <w:t>Manslaughter</w:t>
      </w:r>
      <w:r>
        <w:t xml:space="preserve"> is a complicated crime that can be defined in two distinct ways: </w:t>
      </w:r>
      <w:r w:rsidRPr="001058B2">
        <w:rPr>
          <w:b/>
          <w:bCs/>
        </w:rPr>
        <w:t>voluntarily</w:t>
      </w:r>
      <w:r>
        <w:t xml:space="preserve"> and </w:t>
      </w:r>
      <w:r w:rsidRPr="001058B2">
        <w:rPr>
          <w:b/>
          <w:bCs/>
        </w:rPr>
        <w:t>involuntarily</w:t>
      </w:r>
      <w:r>
        <w:t xml:space="preserve">. If the defendant killed with the intent to murder, he or she is culpable of voluntary manslaughter, but a partial defence applies. The partial defence, if successful, reduces the offence from murder to </w:t>
      </w:r>
      <w:r w:rsidRPr="001058B2">
        <w:rPr>
          <w:b/>
          <w:bCs/>
        </w:rPr>
        <w:t>manslaughter</w:t>
      </w:r>
      <w:r>
        <w:t>.</w:t>
      </w:r>
    </w:p>
    <w:p w14:paraId="6E88596E" w14:textId="62FBD4A9" w:rsidR="00997591" w:rsidRDefault="00997591" w:rsidP="00997591">
      <w:pPr>
        <w:ind w:firstLine="720"/>
        <w:jc w:val="both"/>
      </w:pPr>
      <w:r>
        <w:t xml:space="preserve">Polly, incensed by Mohammed's words, grabs a glass </w:t>
      </w:r>
      <w:r w:rsidR="00D251C4">
        <w:t>ashtray,</w:t>
      </w:r>
      <w:r>
        <w:t xml:space="preserve"> and uses it to hit Mohammed over the head. Mohammed succumbs instantly to the head injury, which constitutes intentional homicide because she intended to strike him.</w:t>
      </w:r>
    </w:p>
    <w:p w14:paraId="7FDBC3E6" w14:textId="2FE26EB9" w:rsidR="00997591" w:rsidRDefault="00997591" w:rsidP="00997591">
      <w:pPr>
        <w:ind w:firstLine="720"/>
        <w:jc w:val="both"/>
      </w:pPr>
      <w:r>
        <w:t xml:space="preserve">Under UK law, </w:t>
      </w:r>
      <w:r w:rsidRPr="001058B2">
        <w:rPr>
          <w:b/>
          <w:bCs/>
        </w:rPr>
        <w:t>manslaughter</w:t>
      </w:r>
      <w:r>
        <w:t xml:space="preserve"> is punishable by a prison sentence ranging from 2 to 10 years, a suspended term of imprisonment (the sentence may be suspended for up to two years and the offender is given the opportunity to complete up to 12 court-ordered conditions), and community service.</w:t>
      </w:r>
    </w:p>
    <w:p w14:paraId="1CBE8D05" w14:textId="77777777" w:rsidR="009A53E7" w:rsidRDefault="009A53E7" w:rsidP="00997591">
      <w:pPr>
        <w:ind w:firstLine="720"/>
        <w:jc w:val="both"/>
      </w:pPr>
    </w:p>
    <w:p w14:paraId="034B6130" w14:textId="09DCACC6" w:rsidR="00997591" w:rsidRDefault="00997591" w:rsidP="00997591">
      <w:pPr>
        <w:ind w:firstLine="720"/>
        <w:jc w:val="both"/>
      </w:pPr>
      <w:r>
        <w:t xml:space="preserve">There are three partial defences that could reduce a murder charge to manslaughter: </w:t>
      </w:r>
      <w:r w:rsidRPr="001058B2">
        <w:rPr>
          <w:b/>
          <w:bCs/>
        </w:rPr>
        <w:t>Diminished Responsibility, Provocation/Loss of Control</w:t>
      </w:r>
      <w:r>
        <w:t>, and</w:t>
      </w:r>
      <w:r w:rsidR="009A53E7">
        <w:t xml:space="preserve"> lastly the</w:t>
      </w:r>
      <w:r>
        <w:t xml:space="preserve"> </w:t>
      </w:r>
      <w:r w:rsidRPr="001058B2">
        <w:rPr>
          <w:b/>
          <w:bCs/>
        </w:rPr>
        <w:t>Suicide</w:t>
      </w:r>
      <w:r>
        <w:t xml:space="preserve"> </w:t>
      </w:r>
      <w:r w:rsidRPr="001058B2">
        <w:rPr>
          <w:b/>
          <w:bCs/>
        </w:rPr>
        <w:t>Pact</w:t>
      </w:r>
      <w:r>
        <w:t xml:space="preserve">, which </w:t>
      </w:r>
      <w:r w:rsidR="009A53E7">
        <w:t xml:space="preserve">does not </w:t>
      </w:r>
      <w:r>
        <w:t>apply to Polly's case.</w:t>
      </w:r>
    </w:p>
    <w:p w14:paraId="56798583" w14:textId="24845205" w:rsidR="0013035B" w:rsidRPr="00842897" w:rsidRDefault="0013035B" w:rsidP="00980421">
      <w:pPr>
        <w:jc w:val="both"/>
        <w:rPr>
          <w:b/>
          <w:bCs/>
          <w:u w:val="single"/>
        </w:rPr>
      </w:pPr>
      <w:r w:rsidRPr="00842897">
        <w:rPr>
          <w:b/>
          <w:bCs/>
          <w:u w:val="single"/>
        </w:rPr>
        <w:t>Diminished Responsibility Defence</w:t>
      </w:r>
    </w:p>
    <w:p w14:paraId="223E7305" w14:textId="1C3C57AB" w:rsidR="00997591" w:rsidRDefault="00997591" w:rsidP="00980421">
      <w:pPr>
        <w:ind w:firstLine="720"/>
        <w:jc w:val="both"/>
      </w:pPr>
      <w:r>
        <w:t xml:space="preserve">When the Diminished Responsibility Defence is successful, it reduces the murder conviction by eradicating malice aforethought, i.e., the defendant has diminished responsibility due to mental illness, which explains their act. </w:t>
      </w:r>
      <w:r w:rsidR="00D251C4" w:rsidRPr="00D251C4">
        <w:t xml:space="preserve">The rule in section </w:t>
      </w:r>
      <w:r w:rsidR="00D251C4" w:rsidRPr="001058B2">
        <w:rPr>
          <w:b/>
          <w:bCs/>
        </w:rPr>
        <w:t>2(2) of the Homicide Act of 1957</w:t>
      </w:r>
      <w:r w:rsidR="00D251C4" w:rsidRPr="00D251C4">
        <w:t xml:space="preserve"> that places the burden of establishing diminished responsibility on the defendant is not incompatible with Article 6(2)'s presumption of innocence</w:t>
      </w:r>
      <w:r w:rsidR="00D251C4">
        <w:t xml:space="preserve"> </w:t>
      </w:r>
      <w:r w:rsidR="00D251C4" w:rsidRPr="001058B2">
        <w:rPr>
          <w:b/>
          <w:bCs/>
        </w:rPr>
        <w:t>R v Foye [2013].</w:t>
      </w:r>
    </w:p>
    <w:p w14:paraId="0BF07D85" w14:textId="67D3D1AC" w:rsidR="00997591" w:rsidRDefault="00997591" w:rsidP="00980421">
      <w:pPr>
        <w:ind w:firstLine="720"/>
        <w:jc w:val="both"/>
      </w:pPr>
      <w:r>
        <w:t xml:space="preserve">To establish whether a defendant is suffering from an abnormality of mental functioning, medical evidence will be presented in court; however, the jury will decide whether the defendant is suffering from an abnormality of mental functioning and whether the diminished responsibility defence should be successful; they are not required to accept the expert testimony </w:t>
      </w:r>
      <w:r w:rsidRPr="001058B2">
        <w:rPr>
          <w:b/>
          <w:bCs/>
        </w:rPr>
        <w:t>(R v. Sanders (1991))</w:t>
      </w:r>
      <w:r>
        <w:t xml:space="preserve">. Nevertheless, if there is uncontested medical evidence of diminished responsibility and no other evidence to refute the defence, the judge must dismiss the murder charge </w:t>
      </w:r>
      <w:r w:rsidRPr="001058B2">
        <w:rPr>
          <w:b/>
          <w:bCs/>
        </w:rPr>
        <w:t>(R v. Brennan, 2014).</w:t>
      </w:r>
    </w:p>
    <w:p w14:paraId="441FADEB" w14:textId="725781CF" w:rsidR="001058B2" w:rsidRDefault="001058B2" w:rsidP="00980421">
      <w:pPr>
        <w:ind w:firstLine="720"/>
        <w:jc w:val="both"/>
      </w:pPr>
      <w:r>
        <w:t xml:space="preserve">Polly </w:t>
      </w:r>
      <w:r w:rsidR="002C3AC6">
        <w:t>is a diagnosed schizophrenic; in a grip of a psychotic episode, she lashes upon her partner, Mohammed, and violently hits him with an ashtray in the head, thus causing his death</w:t>
      </w:r>
      <w:r w:rsidR="002C3AC6" w:rsidRPr="002C3AC6">
        <w:t xml:space="preserve">. </w:t>
      </w:r>
      <w:r w:rsidR="002C3AC6">
        <w:t xml:space="preserve">The accused can rely </w:t>
      </w:r>
      <w:r w:rsidR="002C3AC6" w:rsidRPr="002C3AC6">
        <w:t xml:space="preserve">on the partial defence of diminished responsibility, pursuant to section 2(1) of the Homicide Act 1957, as amended, contending that at the time of the </w:t>
      </w:r>
      <w:r w:rsidR="002C3AC6">
        <w:t>attack</w:t>
      </w:r>
      <w:r w:rsidR="002C3AC6" w:rsidRPr="002C3AC6">
        <w:t xml:space="preserve"> </w:t>
      </w:r>
      <w:r w:rsidR="002C3AC6">
        <w:t>s</w:t>
      </w:r>
      <w:r w:rsidR="002C3AC6" w:rsidRPr="002C3AC6">
        <w:t>he had been suffering from an abnormality of mental functioning which arose from a recognised medical condition, namely schizophrenia</w:t>
      </w:r>
      <w:r w:rsidR="002C3AC6">
        <w:t xml:space="preserve"> (</w:t>
      </w:r>
      <w:r w:rsidR="002C3AC6" w:rsidRPr="009A53E7">
        <w:rPr>
          <w:b/>
          <w:bCs/>
        </w:rPr>
        <w:t>R v Stewart (James) [2009]</w:t>
      </w:r>
      <w:r w:rsidR="002C3AC6" w:rsidRPr="009A53E7">
        <w:rPr>
          <w:b/>
          <w:bCs/>
        </w:rPr>
        <w:t xml:space="preserve">; </w:t>
      </w:r>
      <w:r w:rsidR="002C3AC6" w:rsidRPr="009A53E7">
        <w:rPr>
          <w:b/>
          <w:bCs/>
        </w:rPr>
        <w:t>R v Joyce and Kay [2017]</w:t>
      </w:r>
      <w:r w:rsidR="002C3AC6">
        <w:t>).</w:t>
      </w:r>
    </w:p>
    <w:p w14:paraId="5399FC3F" w14:textId="3AF60A28" w:rsidR="004B32A1" w:rsidRPr="004B32A1" w:rsidRDefault="004B32A1" w:rsidP="00980421">
      <w:pPr>
        <w:jc w:val="both"/>
        <w:rPr>
          <w:b/>
          <w:bCs/>
          <w:u w:val="single"/>
        </w:rPr>
      </w:pPr>
      <w:r w:rsidRPr="004B32A1">
        <w:rPr>
          <w:b/>
          <w:bCs/>
          <w:u w:val="single"/>
        </w:rPr>
        <w:t>Provocation/Loss of Control Defence</w:t>
      </w:r>
    </w:p>
    <w:p w14:paraId="6E638ED7" w14:textId="5B1D9C43" w:rsidR="00997591" w:rsidRDefault="00997591" w:rsidP="00980421">
      <w:pPr>
        <w:ind w:firstLine="720"/>
        <w:jc w:val="both"/>
      </w:pPr>
      <w:r w:rsidRPr="00997591">
        <w:t xml:space="preserve">The Provocation/Loss of Control defence is available when there is evidence that an act immediately preceding the crime was sufficient to cause a "reasonable man" to lose self-control and behave as the defendant did. The loss of control must be proportional to the offence and cannot be seen as revenge or retaliation. At the time the act was committed, the accused's behaviour must have </w:t>
      </w:r>
      <w:r w:rsidRPr="00997591">
        <w:lastRenderedPageBreak/>
        <w:t>been triggered by circumstances that the law defines as being of "extremely grave character and having caused a justifiable sense of having been seriously wronged."</w:t>
      </w:r>
    </w:p>
    <w:p w14:paraId="1A00A8C2" w14:textId="3FE88151" w:rsidR="00983365" w:rsidRDefault="00983365" w:rsidP="00980421">
      <w:pPr>
        <w:ind w:firstLine="720"/>
        <w:jc w:val="both"/>
        <w:rPr>
          <w:b/>
          <w:bCs/>
        </w:rPr>
      </w:pPr>
      <w:r>
        <w:t>Sexual infidelity cannot be used as a qualifying trigger on its own, but its existence does not preclude the use of the defence when other qualifying triggers exist.</w:t>
      </w:r>
      <w:r>
        <w:t xml:space="preserve"> </w:t>
      </w:r>
      <w:r w:rsidRPr="009A53E7">
        <w:rPr>
          <w:b/>
          <w:bCs/>
        </w:rPr>
        <w:t>Under s.55(4) of the Coroners and Justice Act of 2009</w:t>
      </w:r>
      <w:r>
        <w:t>, sexual infidelity may be considered when determining whether certain actions or statements constituted a circumstance of an extremely grievous nature and gave D a justifiable sense of having been wronged.</w:t>
      </w:r>
      <w:r>
        <w:t xml:space="preserve"> </w:t>
      </w:r>
      <w:r>
        <w:t>Under section 54(1)(c), sexual infidelity may be considered as the third element of the defence when examining the circumstances of the defendant</w:t>
      </w:r>
      <w:r>
        <w:t xml:space="preserve"> (</w:t>
      </w:r>
      <w:r w:rsidRPr="009A53E7">
        <w:rPr>
          <w:b/>
          <w:bCs/>
        </w:rPr>
        <w:t>R v Clinton [2012]</w:t>
      </w:r>
      <w:r w:rsidRPr="009A53E7">
        <w:rPr>
          <w:b/>
          <w:bCs/>
        </w:rPr>
        <w:t>)</w:t>
      </w:r>
      <w:r w:rsidRPr="009A53E7">
        <w:rPr>
          <w:b/>
          <w:bCs/>
        </w:rPr>
        <w:t>.</w:t>
      </w:r>
    </w:p>
    <w:p w14:paraId="677C571A" w14:textId="5DA92A08" w:rsidR="005B00AC" w:rsidRDefault="005B00AC" w:rsidP="00980421">
      <w:pPr>
        <w:ind w:firstLine="720"/>
        <w:jc w:val="both"/>
      </w:pPr>
      <w:r>
        <w:t>I</w:t>
      </w:r>
      <w:r w:rsidRPr="005B00AC">
        <w:t>n the heat of the argument, when Polly accuses Mohamed of infidelity, he lashes out at her and yells that he loves Roxanne, that he has been having an affair with her for the past nine months, and that he was going to abandon her for Roxanne. His presumably prolonged sexual infidelity with Roxanne, as well as the fact that he stated he would abandon Polly for Roxanne, may qualify as causes of Polly's dire circumstances in this instance</w:t>
      </w:r>
      <w:r>
        <w:t>.</w:t>
      </w:r>
    </w:p>
    <w:p w14:paraId="3DBE6AC5" w14:textId="4D12D6B1" w:rsidR="005B00AC" w:rsidRDefault="005B00AC" w:rsidP="005B00AC">
      <w:pPr>
        <w:ind w:firstLine="720"/>
      </w:pPr>
    </w:p>
    <w:p w14:paraId="201AEE04" w14:textId="208B7EB3" w:rsidR="00980421" w:rsidRDefault="005B00AC" w:rsidP="00980421">
      <w:pPr>
        <w:ind w:firstLine="720"/>
      </w:pPr>
      <w:r>
        <w:t>To conclude</w:t>
      </w:r>
      <w:r w:rsidR="00980421">
        <w:t xml:space="preserve">, Polly can be accused of Murder, Aggravated Criminal Damage and Assault, however the charges of </w:t>
      </w:r>
      <w:r w:rsidR="00980421">
        <w:t>Aggravated Criminal Damage and Assault</w:t>
      </w:r>
      <w:r w:rsidR="00980421">
        <w:t xml:space="preserve"> could be dropped based on Polly’s medical condition, while the charge of Murder could be reduced </w:t>
      </w:r>
      <w:r w:rsidR="00980421" w:rsidRPr="00980421">
        <w:t>to manslaughter</w:t>
      </w:r>
      <w:r w:rsidR="00980421">
        <w:t xml:space="preserve"> based of the defences of </w:t>
      </w:r>
      <w:r w:rsidR="00980421" w:rsidRPr="00980421">
        <w:t>Diminished Responsibility</w:t>
      </w:r>
      <w:r w:rsidR="00980421">
        <w:t xml:space="preserve"> and </w:t>
      </w:r>
      <w:r w:rsidR="00980421" w:rsidRPr="00980421">
        <w:t>Provocation/Loss of Control</w:t>
      </w:r>
      <w:r w:rsidR="00980421">
        <w:t>.</w:t>
      </w:r>
    </w:p>
    <w:p w14:paraId="228869BA" w14:textId="664CD019" w:rsidR="00980421" w:rsidRDefault="00980421" w:rsidP="00980421">
      <w:pPr>
        <w:ind w:firstLine="720"/>
      </w:pPr>
    </w:p>
    <w:p w14:paraId="2BD82C85" w14:textId="1F30B133" w:rsidR="00980421" w:rsidRDefault="00980421" w:rsidP="00980421">
      <w:pPr>
        <w:ind w:firstLine="720"/>
      </w:pPr>
    </w:p>
    <w:p w14:paraId="2A0AC4ED" w14:textId="77777777" w:rsidR="00980421" w:rsidRDefault="00980421" w:rsidP="00980421">
      <w:pPr>
        <w:ind w:firstLine="720"/>
      </w:pPr>
    </w:p>
    <w:p w14:paraId="1BADE455" w14:textId="7F169339" w:rsidR="00842897" w:rsidRPr="00842897" w:rsidRDefault="00980421" w:rsidP="00980421">
      <w:pPr>
        <w:ind w:firstLine="720"/>
        <w:rPr>
          <w:b/>
          <w:bCs/>
          <w:u w:val="single"/>
        </w:rPr>
      </w:pPr>
      <w:r w:rsidRPr="00980421">
        <w:t xml:space="preserve"> </w:t>
      </w:r>
      <w:r w:rsidR="00842897" w:rsidRPr="00842897">
        <w:rPr>
          <w:b/>
          <w:bCs/>
          <w:u w:val="single"/>
        </w:rPr>
        <w:t>References</w:t>
      </w:r>
    </w:p>
    <w:p w14:paraId="7B8A13AB" w14:textId="77777777" w:rsidR="00980421" w:rsidRDefault="00980421" w:rsidP="00980421">
      <w:pPr>
        <w:tabs>
          <w:tab w:val="left" w:pos="3870"/>
        </w:tabs>
      </w:pPr>
      <w:r>
        <w:t>Fagan v MPC [1969] 1 QB 439</w:t>
      </w:r>
    </w:p>
    <w:p w14:paraId="10511351" w14:textId="336FAF18" w:rsidR="00907D20" w:rsidRDefault="00907D20" w:rsidP="004B7782">
      <w:proofErr w:type="spellStart"/>
      <w:r w:rsidRPr="00907D20">
        <w:t>LawTeacher</w:t>
      </w:r>
      <w:proofErr w:type="spellEnd"/>
      <w:r w:rsidRPr="00907D20">
        <w:t xml:space="preserve">. November 2013. Involuntary Manslaughter Case Summaries. [online]. Available from: </w:t>
      </w:r>
      <w:hyperlink r:id="rId7" w:history="1">
        <w:r w:rsidR="00833425" w:rsidRPr="009138B8">
          <w:rPr>
            <w:rStyle w:val="Hyperlink"/>
          </w:rPr>
          <w:t>https://www.lawteacher.net/cases/invol-mans-cases.php?vref=1</w:t>
        </w:r>
      </w:hyperlink>
      <w:r w:rsidR="00833425">
        <w:t xml:space="preserve"> </w:t>
      </w:r>
      <w:r w:rsidRPr="00907D20">
        <w:t xml:space="preserve">[Accessed </w:t>
      </w:r>
      <w:r w:rsidR="00824646">
        <w:t>01</w:t>
      </w:r>
      <w:r w:rsidRPr="00907D20">
        <w:t xml:space="preserve"> May 2023].</w:t>
      </w:r>
    </w:p>
    <w:p w14:paraId="07D38EDF" w14:textId="3F4820F1" w:rsidR="00980421" w:rsidRDefault="00980421" w:rsidP="00980421">
      <w:pPr>
        <w:tabs>
          <w:tab w:val="left" w:pos="3870"/>
        </w:tabs>
      </w:pPr>
      <w:r>
        <w:t xml:space="preserve">Legislation.gov.uk (1986) Public Order Act 1986. Available at: </w:t>
      </w:r>
      <w:hyperlink r:id="rId8" w:history="1">
        <w:r w:rsidRPr="009138B8">
          <w:rPr>
            <w:rStyle w:val="Hyperlink"/>
          </w:rPr>
          <w:t>https://www.legislation.gov.uk/ukpga/1986/6</w:t>
        </w:r>
      </w:hyperlink>
      <w:r>
        <w:t xml:space="preserve"> </w:t>
      </w:r>
      <w:r w:rsidR="00824646" w:rsidRPr="00907D20">
        <w:t xml:space="preserve">[Accessed </w:t>
      </w:r>
      <w:r w:rsidR="00824646">
        <w:t>01</w:t>
      </w:r>
      <w:r w:rsidR="00824646" w:rsidRPr="00907D20">
        <w:t xml:space="preserve"> May 2023]</w:t>
      </w:r>
      <w:r>
        <w:t xml:space="preserve">. </w:t>
      </w:r>
    </w:p>
    <w:p w14:paraId="5A1CB7A2" w14:textId="703249FC" w:rsidR="00980421" w:rsidRDefault="00980421" w:rsidP="00980421">
      <w:pPr>
        <w:tabs>
          <w:tab w:val="left" w:pos="3870"/>
        </w:tabs>
      </w:pPr>
      <w:r>
        <w:t xml:space="preserve">Legislation.gov.uk (2009) Coroners and Justice Act 2009. Statute Law Database. Available at: </w:t>
      </w:r>
      <w:hyperlink r:id="rId9" w:history="1">
        <w:r w:rsidRPr="009138B8">
          <w:rPr>
            <w:rStyle w:val="Hyperlink"/>
          </w:rPr>
          <w:t>https://www.legislation.gov.uk/ukpga/2009/25/contents</w:t>
        </w:r>
      </w:hyperlink>
      <w:r>
        <w:t xml:space="preserve"> </w:t>
      </w:r>
      <w:r w:rsidR="00824646" w:rsidRPr="00907D20">
        <w:t xml:space="preserve">[Accessed </w:t>
      </w:r>
      <w:r w:rsidR="00824646">
        <w:t>01</w:t>
      </w:r>
      <w:r w:rsidR="00824646" w:rsidRPr="00907D20">
        <w:t xml:space="preserve"> May 2023]</w:t>
      </w:r>
      <w:r w:rsidR="00824646">
        <w:t>.</w:t>
      </w:r>
    </w:p>
    <w:p w14:paraId="425667A9" w14:textId="5D52804A" w:rsidR="00980421" w:rsidRDefault="00980421" w:rsidP="00980421">
      <w:pPr>
        <w:tabs>
          <w:tab w:val="left" w:pos="3870"/>
        </w:tabs>
      </w:pPr>
      <w:r>
        <w:t xml:space="preserve">Legislation.gov.uk (1957) Homicide Act 1957. Available at: </w:t>
      </w:r>
      <w:hyperlink r:id="rId10" w:history="1">
        <w:r w:rsidRPr="009138B8">
          <w:rPr>
            <w:rStyle w:val="Hyperlink"/>
          </w:rPr>
          <w:t>https://www.legislation.gov.uk/ukpga/Eliz2/5-6/11/enacted#:~:text=(1)Where%20a%20person%20kills,or%20furtherance%20of%20another%20offence</w:t>
        </w:r>
      </w:hyperlink>
      <w:r>
        <w:t xml:space="preserve">  </w:t>
      </w:r>
      <w:r w:rsidR="00824646" w:rsidRPr="00907D20">
        <w:t xml:space="preserve">[Accessed </w:t>
      </w:r>
      <w:r w:rsidR="00824646">
        <w:t>01</w:t>
      </w:r>
      <w:r w:rsidR="00824646" w:rsidRPr="00907D20">
        <w:t xml:space="preserve"> May 2023]</w:t>
      </w:r>
      <w:r w:rsidR="00824646">
        <w:t>.</w:t>
      </w:r>
    </w:p>
    <w:p w14:paraId="293D928A" w14:textId="3070677B" w:rsidR="00980421" w:rsidRDefault="00B363AA" w:rsidP="004B7782">
      <w:r w:rsidRPr="00842897">
        <w:t>Office of Justice Programs</w:t>
      </w:r>
      <w:r>
        <w:t xml:space="preserve">, </w:t>
      </w:r>
      <w:r w:rsidR="00842897" w:rsidRPr="00B363AA">
        <w:rPr>
          <w:i/>
          <w:iCs/>
        </w:rPr>
        <w:t>Diminished Responsibility as a Defence to Murder</w:t>
      </w:r>
      <w:r w:rsidR="00842897" w:rsidRPr="00842897">
        <w:t xml:space="preserve">. Available at: </w:t>
      </w:r>
      <w:hyperlink r:id="rId11" w:history="1">
        <w:r w:rsidR="00833425" w:rsidRPr="009138B8">
          <w:rPr>
            <w:rStyle w:val="Hyperlink"/>
          </w:rPr>
          <w:t>https://www.ojp.gov/ncjrs/virtual-library/abstracts/diminished-responsibility-defence-murder</w:t>
        </w:r>
      </w:hyperlink>
      <w:r w:rsidR="00833425">
        <w:t xml:space="preserve"> </w:t>
      </w:r>
      <w:r w:rsidR="00824646" w:rsidRPr="00907D20">
        <w:t xml:space="preserve">[Accessed </w:t>
      </w:r>
      <w:r w:rsidR="00824646">
        <w:t>01</w:t>
      </w:r>
      <w:r w:rsidR="00824646" w:rsidRPr="00907D20">
        <w:t xml:space="preserve"> May 2023]</w:t>
      </w:r>
    </w:p>
    <w:p w14:paraId="46E75BE1" w14:textId="77777777" w:rsidR="00980421" w:rsidRDefault="00980421" w:rsidP="00980421">
      <w:pPr>
        <w:tabs>
          <w:tab w:val="left" w:pos="3870"/>
        </w:tabs>
      </w:pPr>
      <w:r w:rsidRPr="001F16EB">
        <w:lastRenderedPageBreak/>
        <w:t>R v Brennan [2014] EWCA Crim 2387</w:t>
      </w:r>
    </w:p>
    <w:p w14:paraId="71F71C84" w14:textId="77777777" w:rsidR="00980421" w:rsidRDefault="00980421" w:rsidP="00980421">
      <w:pPr>
        <w:tabs>
          <w:tab w:val="left" w:pos="3870"/>
        </w:tabs>
      </w:pPr>
      <w:r>
        <w:t>R v Clinton [2012] EWCA Crim 2 (Court of Appeal)</w:t>
      </w:r>
    </w:p>
    <w:p w14:paraId="45F5A215" w14:textId="77777777" w:rsidR="00980421" w:rsidRDefault="00980421" w:rsidP="00980421">
      <w:pPr>
        <w:tabs>
          <w:tab w:val="left" w:pos="3870"/>
        </w:tabs>
      </w:pPr>
      <w:r>
        <w:t>R v Constanza [1997] Crim LR 576</w:t>
      </w:r>
    </w:p>
    <w:p w14:paraId="034AA387" w14:textId="77777777" w:rsidR="00980421" w:rsidRDefault="00980421" w:rsidP="00980421">
      <w:pPr>
        <w:tabs>
          <w:tab w:val="left" w:pos="3870"/>
        </w:tabs>
      </w:pPr>
      <w:r w:rsidRPr="00D251C4">
        <w:t>R v Foye [2013] EWCA Crim 475, [2013] MHLO 40</w:t>
      </w:r>
    </w:p>
    <w:p w14:paraId="23E98D30" w14:textId="77777777" w:rsidR="00980421" w:rsidRDefault="00980421" w:rsidP="00980421">
      <w:pPr>
        <w:tabs>
          <w:tab w:val="left" w:pos="3870"/>
        </w:tabs>
      </w:pPr>
      <w:r>
        <w:t>R v Ireland [1998] AC 147</w:t>
      </w:r>
    </w:p>
    <w:p w14:paraId="37C30B4B" w14:textId="77777777" w:rsidR="00980421" w:rsidRDefault="00980421" w:rsidP="00980421">
      <w:pPr>
        <w:tabs>
          <w:tab w:val="left" w:pos="3870"/>
        </w:tabs>
      </w:pPr>
      <w:r w:rsidRPr="002C3AC6">
        <w:t>R v Joyce and Kay [2017] EWCA Crim 647</w:t>
      </w:r>
    </w:p>
    <w:p w14:paraId="009191C8" w14:textId="77777777" w:rsidR="00980421" w:rsidRDefault="00980421" w:rsidP="00980421">
      <w:pPr>
        <w:tabs>
          <w:tab w:val="left" w:pos="3870"/>
        </w:tabs>
      </w:pPr>
      <w:r>
        <w:t>R v Lamb [1967] 2 QB 981</w:t>
      </w:r>
    </w:p>
    <w:p w14:paraId="3B87D309" w14:textId="77777777" w:rsidR="00980421" w:rsidRDefault="00980421" w:rsidP="004B7782">
      <w:r w:rsidRPr="001F16EB">
        <w:t>R</w:t>
      </w:r>
      <w:r>
        <w:t xml:space="preserve"> v </w:t>
      </w:r>
      <w:r w:rsidRPr="001F16EB">
        <w:t xml:space="preserve">Sanders </w:t>
      </w:r>
      <w:r>
        <w:t>[</w:t>
      </w:r>
      <w:r w:rsidRPr="001F16EB">
        <w:t>1991</w:t>
      </w:r>
      <w:r>
        <w:t>]</w:t>
      </w:r>
      <w:r w:rsidRPr="001F16EB">
        <w:t xml:space="preserve"> 93 Cr. App. R. 246</w:t>
      </w:r>
    </w:p>
    <w:p w14:paraId="690ED74B" w14:textId="31FC6A53" w:rsidR="001F16EB" w:rsidRDefault="001F16EB" w:rsidP="004B7782">
      <w:r w:rsidRPr="001F16EB">
        <w:t xml:space="preserve">R </w:t>
      </w:r>
      <w:r w:rsidR="00B363AA">
        <w:t>v</w:t>
      </w:r>
      <w:r w:rsidRPr="001F16EB">
        <w:t xml:space="preserve"> </w:t>
      </w:r>
      <w:r w:rsidR="00B363AA">
        <w:t>Sangha</w:t>
      </w:r>
      <w:r w:rsidRPr="001F16EB">
        <w:t xml:space="preserve"> [1988] 2 ALL ER 385</w:t>
      </w:r>
    </w:p>
    <w:p w14:paraId="165AC174" w14:textId="64B7D4C9" w:rsidR="009908C8" w:rsidRDefault="001F16EB" w:rsidP="00980421">
      <w:r w:rsidRPr="001F16EB">
        <w:t xml:space="preserve">R </w:t>
      </w:r>
      <w:r w:rsidR="00B363AA">
        <w:t>v Steer</w:t>
      </w:r>
      <w:r w:rsidRPr="001F16EB">
        <w:t xml:space="preserve"> [1988] 1 AC 111</w:t>
      </w:r>
      <w:r>
        <w:tab/>
      </w:r>
    </w:p>
    <w:p w14:paraId="1B141FE7" w14:textId="77777777" w:rsidR="00980421" w:rsidRDefault="00980421" w:rsidP="00980421">
      <w:pPr>
        <w:tabs>
          <w:tab w:val="left" w:pos="3870"/>
        </w:tabs>
      </w:pPr>
      <w:r w:rsidRPr="002C3AC6">
        <w:t>R v Stewart (James) [2009] 1 WLR 2507B, CA applied.</w:t>
      </w:r>
    </w:p>
    <w:p w14:paraId="7A5FD9E6" w14:textId="42F5B65A" w:rsidR="00980421" w:rsidRDefault="00980421" w:rsidP="00980421">
      <w:pPr>
        <w:tabs>
          <w:tab w:val="left" w:pos="3870"/>
        </w:tabs>
      </w:pPr>
      <w:r>
        <w:t>Tuberville v Savage [1669] 1 Mood Rep 3</w:t>
      </w:r>
    </w:p>
    <w:p w14:paraId="1F3F4EC6" w14:textId="77777777" w:rsidR="00980421" w:rsidRDefault="00980421" w:rsidP="00980421">
      <w:pPr>
        <w:tabs>
          <w:tab w:val="left" w:pos="3870"/>
        </w:tabs>
      </w:pPr>
      <w:r>
        <w:t>Virgo, G., [1997[ Offences Against the Person – Do-It-Yourself Law Reform CLJ 56 251</w:t>
      </w:r>
    </w:p>
    <w:p w14:paraId="55211D7B" w14:textId="633EAEBA" w:rsidR="009908C8" w:rsidRDefault="009908C8" w:rsidP="004B7782"/>
    <w:sectPr w:rsidR="00990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175DC2"/>
    <w:multiLevelType w:val="hybridMultilevel"/>
    <w:tmpl w:val="F384B44E"/>
    <w:lvl w:ilvl="0" w:tplc="67800A50">
      <w:start w:val="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2101292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96"/>
    <w:rsid w:val="000B4B60"/>
    <w:rsid w:val="000D083B"/>
    <w:rsid w:val="000D721B"/>
    <w:rsid w:val="001058B2"/>
    <w:rsid w:val="00130266"/>
    <w:rsid w:val="0013035B"/>
    <w:rsid w:val="00131522"/>
    <w:rsid w:val="0016223D"/>
    <w:rsid w:val="001C1C9C"/>
    <w:rsid w:val="001D312E"/>
    <w:rsid w:val="001F16EB"/>
    <w:rsid w:val="00281742"/>
    <w:rsid w:val="002C3AC6"/>
    <w:rsid w:val="002D0C22"/>
    <w:rsid w:val="003137D6"/>
    <w:rsid w:val="0039009C"/>
    <w:rsid w:val="003A782E"/>
    <w:rsid w:val="003E33D8"/>
    <w:rsid w:val="004003D7"/>
    <w:rsid w:val="00407DFB"/>
    <w:rsid w:val="004702C8"/>
    <w:rsid w:val="004B32A1"/>
    <w:rsid w:val="004B7782"/>
    <w:rsid w:val="004E641D"/>
    <w:rsid w:val="005A2919"/>
    <w:rsid w:val="005B00AC"/>
    <w:rsid w:val="00613C86"/>
    <w:rsid w:val="006A2653"/>
    <w:rsid w:val="006D7EBF"/>
    <w:rsid w:val="006F3753"/>
    <w:rsid w:val="00700EAC"/>
    <w:rsid w:val="00785736"/>
    <w:rsid w:val="007C3E49"/>
    <w:rsid w:val="00824646"/>
    <w:rsid w:val="00833425"/>
    <w:rsid w:val="00842897"/>
    <w:rsid w:val="00877898"/>
    <w:rsid w:val="008C78CA"/>
    <w:rsid w:val="008F1CC1"/>
    <w:rsid w:val="008F5CB9"/>
    <w:rsid w:val="00907D20"/>
    <w:rsid w:val="0092492A"/>
    <w:rsid w:val="00980421"/>
    <w:rsid w:val="00983365"/>
    <w:rsid w:val="009908C8"/>
    <w:rsid w:val="00997591"/>
    <w:rsid w:val="009A3BEE"/>
    <w:rsid w:val="009A53E7"/>
    <w:rsid w:val="009D46BA"/>
    <w:rsid w:val="009F53F4"/>
    <w:rsid w:val="00A4321F"/>
    <w:rsid w:val="00A51E05"/>
    <w:rsid w:val="00A60096"/>
    <w:rsid w:val="00A72F89"/>
    <w:rsid w:val="00A765A2"/>
    <w:rsid w:val="00AA16D1"/>
    <w:rsid w:val="00B353FB"/>
    <w:rsid w:val="00B363AA"/>
    <w:rsid w:val="00B825AE"/>
    <w:rsid w:val="00BD241F"/>
    <w:rsid w:val="00BE74D6"/>
    <w:rsid w:val="00BF5FA1"/>
    <w:rsid w:val="00C04E90"/>
    <w:rsid w:val="00C24323"/>
    <w:rsid w:val="00C30F2C"/>
    <w:rsid w:val="00C84139"/>
    <w:rsid w:val="00CD365F"/>
    <w:rsid w:val="00D138A0"/>
    <w:rsid w:val="00D237A5"/>
    <w:rsid w:val="00D251C4"/>
    <w:rsid w:val="00DC6012"/>
    <w:rsid w:val="00DE47C4"/>
    <w:rsid w:val="00E1191F"/>
    <w:rsid w:val="00E32362"/>
    <w:rsid w:val="00E34D58"/>
    <w:rsid w:val="00E4263F"/>
    <w:rsid w:val="00E55AD9"/>
    <w:rsid w:val="00E834EF"/>
    <w:rsid w:val="00E8413E"/>
    <w:rsid w:val="00EC2E3F"/>
    <w:rsid w:val="00EE2A7C"/>
    <w:rsid w:val="00EF6923"/>
    <w:rsid w:val="00F10EBF"/>
    <w:rsid w:val="00F4358C"/>
    <w:rsid w:val="00F71457"/>
    <w:rsid w:val="00F75220"/>
    <w:rsid w:val="00FD5989"/>
    <w:rsid w:val="00FD66C1"/>
    <w:rsid w:val="00FE7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4F99D"/>
  <w15:chartTrackingRefBased/>
  <w15:docId w15:val="{0F1AB652-6F10-42F5-9321-2D5269411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6009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60096"/>
    <w:rPr>
      <w:i/>
      <w:iCs/>
      <w:color w:val="4F81BD" w:themeColor="accent1"/>
    </w:rPr>
  </w:style>
  <w:style w:type="character" w:styleId="Hyperlink">
    <w:name w:val="Hyperlink"/>
    <w:basedOn w:val="DefaultParagraphFont"/>
    <w:uiPriority w:val="99"/>
    <w:unhideWhenUsed/>
    <w:rsid w:val="00A765A2"/>
    <w:rPr>
      <w:color w:val="0000FF" w:themeColor="hyperlink"/>
      <w:u w:val="single"/>
    </w:rPr>
  </w:style>
  <w:style w:type="character" w:styleId="UnresolvedMention">
    <w:name w:val="Unresolved Mention"/>
    <w:basedOn w:val="DefaultParagraphFont"/>
    <w:uiPriority w:val="99"/>
    <w:semiHidden/>
    <w:unhideWhenUsed/>
    <w:rsid w:val="00A765A2"/>
    <w:rPr>
      <w:color w:val="605E5C"/>
      <w:shd w:val="clear" w:color="auto" w:fill="E1DFDD"/>
    </w:rPr>
  </w:style>
  <w:style w:type="paragraph" w:styleId="ListParagraph">
    <w:name w:val="List Paragraph"/>
    <w:basedOn w:val="Normal"/>
    <w:uiPriority w:val="34"/>
    <w:qFormat/>
    <w:rsid w:val="003137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21181">
      <w:bodyDiv w:val="1"/>
      <w:marLeft w:val="0"/>
      <w:marRight w:val="0"/>
      <w:marTop w:val="0"/>
      <w:marBottom w:val="0"/>
      <w:divBdr>
        <w:top w:val="none" w:sz="0" w:space="0" w:color="auto"/>
        <w:left w:val="none" w:sz="0" w:space="0" w:color="auto"/>
        <w:bottom w:val="none" w:sz="0" w:space="0" w:color="auto"/>
        <w:right w:val="none" w:sz="0" w:space="0" w:color="auto"/>
      </w:divBdr>
      <w:divsChild>
        <w:div w:id="905916295">
          <w:marLeft w:val="0"/>
          <w:marRight w:val="0"/>
          <w:marTop w:val="0"/>
          <w:marBottom w:val="0"/>
          <w:divBdr>
            <w:top w:val="none" w:sz="0" w:space="0" w:color="auto"/>
            <w:left w:val="none" w:sz="0" w:space="0" w:color="auto"/>
            <w:bottom w:val="none" w:sz="0" w:space="0" w:color="auto"/>
            <w:right w:val="none" w:sz="0" w:space="0" w:color="auto"/>
          </w:divBdr>
        </w:div>
      </w:divsChild>
    </w:div>
    <w:div w:id="195041295">
      <w:bodyDiv w:val="1"/>
      <w:marLeft w:val="0"/>
      <w:marRight w:val="0"/>
      <w:marTop w:val="0"/>
      <w:marBottom w:val="0"/>
      <w:divBdr>
        <w:top w:val="none" w:sz="0" w:space="0" w:color="auto"/>
        <w:left w:val="none" w:sz="0" w:space="0" w:color="auto"/>
        <w:bottom w:val="none" w:sz="0" w:space="0" w:color="auto"/>
        <w:right w:val="none" w:sz="0" w:space="0" w:color="auto"/>
      </w:divBdr>
    </w:div>
    <w:div w:id="283002465">
      <w:bodyDiv w:val="1"/>
      <w:marLeft w:val="0"/>
      <w:marRight w:val="0"/>
      <w:marTop w:val="0"/>
      <w:marBottom w:val="0"/>
      <w:divBdr>
        <w:top w:val="none" w:sz="0" w:space="0" w:color="auto"/>
        <w:left w:val="none" w:sz="0" w:space="0" w:color="auto"/>
        <w:bottom w:val="none" w:sz="0" w:space="0" w:color="auto"/>
        <w:right w:val="none" w:sz="0" w:space="0" w:color="auto"/>
      </w:divBdr>
    </w:div>
    <w:div w:id="1225221290">
      <w:bodyDiv w:val="1"/>
      <w:marLeft w:val="0"/>
      <w:marRight w:val="0"/>
      <w:marTop w:val="0"/>
      <w:marBottom w:val="0"/>
      <w:divBdr>
        <w:top w:val="none" w:sz="0" w:space="0" w:color="auto"/>
        <w:left w:val="none" w:sz="0" w:space="0" w:color="auto"/>
        <w:bottom w:val="none" w:sz="0" w:space="0" w:color="auto"/>
        <w:right w:val="none" w:sz="0" w:space="0" w:color="auto"/>
      </w:divBdr>
    </w:div>
    <w:div w:id="1605697637">
      <w:bodyDiv w:val="1"/>
      <w:marLeft w:val="0"/>
      <w:marRight w:val="0"/>
      <w:marTop w:val="0"/>
      <w:marBottom w:val="0"/>
      <w:divBdr>
        <w:top w:val="none" w:sz="0" w:space="0" w:color="auto"/>
        <w:left w:val="none" w:sz="0" w:space="0" w:color="auto"/>
        <w:bottom w:val="none" w:sz="0" w:space="0" w:color="auto"/>
        <w:right w:val="none" w:sz="0" w:space="0" w:color="auto"/>
      </w:divBdr>
    </w:div>
    <w:div w:id="1784688356">
      <w:bodyDiv w:val="1"/>
      <w:marLeft w:val="0"/>
      <w:marRight w:val="0"/>
      <w:marTop w:val="0"/>
      <w:marBottom w:val="0"/>
      <w:divBdr>
        <w:top w:val="none" w:sz="0" w:space="0" w:color="auto"/>
        <w:left w:val="none" w:sz="0" w:space="0" w:color="auto"/>
        <w:bottom w:val="none" w:sz="0" w:space="0" w:color="auto"/>
        <w:right w:val="none" w:sz="0" w:space="0" w:color="auto"/>
      </w:divBdr>
    </w:div>
    <w:div w:id="209728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6/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awteacher.net/cases/invol-mans-cases.php?vref=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ojp.gov/ncjrs/virtual-library/abstracts/diminished-responsibility-defence-murder" TargetMode="External"/><Relationship Id="rId5" Type="http://schemas.openxmlformats.org/officeDocument/2006/relationships/image" Target="media/image1.png"/><Relationship Id="rId10" Type="http://schemas.openxmlformats.org/officeDocument/2006/relationships/hyperlink" Target="https://www.legislation.gov.uk/ukpga/Eliz2/5-6/11/enacted#:~:text=(1)Where%20a%20person%20kills,or%20furtherance%20of%20another%20offence" TargetMode="External"/><Relationship Id="rId4" Type="http://schemas.openxmlformats.org/officeDocument/2006/relationships/webSettings" Target="webSettings.xml"/><Relationship Id="rId9" Type="http://schemas.openxmlformats.org/officeDocument/2006/relationships/hyperlink" Target="https://www.legislation.gov.uk/ukpga/2009/2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940</TotalTime>
  <Pages>6</Pages>
  <Words>1947</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Unipart Powertrain Applications</Company>
  <LinksUpToDate>false</LinksUpToDate>
  <CharactersWithSpaces>13019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Matei</dc:creator>
  <cp:keywords/>
  <dc:description/>
  <cp:lastModifiedBy>Alina Matei</cp:lastModifiedBy>
  <cp:revision>11</cp:revision>
  <dcterms:created xsi:type="dcterms:W3CDTF">2023-05-02T15:25:00Z</dcterms:created>
  <dcterms:modified xsi:type="dcterms:W3CDTF">2023-05-05T12:15:00Z</dcterms:modified>
</cp:coreProperties>
</file>