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12C74" w14:textId="685DF3A6" w:rsidR="00B7623B" w:rsidRDefault="00B7623B">
      <w:r>
        <w:rPr>
          <w:noProof/>
        </w:rPr>
        <w:drawing>
          <wp:anchor distT="0" distB="0" distL="114300" distR="114300" simplePos="0" relativeHeight="251659264" behindDoc="1" locked="0" layoutInCell="1" allowOverlap="1" wp14:anchorId="48B4C60C" wp14:editId="009A385F">
            <wp:simplePos x="0" y="0"/>
            <wp:positionH relativeFrom="column">
              <wp:posOffset>1879600</wp:posOffset>
            </wp:positionH>
            <wp:positionV relativeFrom="paragraph">
              <wp:posOffset>0</wp:posOffset>
            </wp:positionV>
            <wp:extent cx="1739265" cy="774700"/>
            <wp:effectExtent l="0" t="0" r="0" b="6350"/>
            <wp:wrapThrough wrapText="bothSides">
              <wp:wrapPolygon edited="0">
                <wp:start x="0" y="0"/>
                <wp:lineTo x="0" y="21246"/>
                <wp:lineTo x="21292" y="21246"/>
                <wp:lineTo x="21292" y="0"/>
                <wp:lineTo x="0" y="0"/>
              </wp:wrapPolygon>
            </wp:wrapThrough>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39265" cy="774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652346" w14:textId="77777777" w:rsidR="00B7623B" w:rsidRDefault="00B7623B"/>
    <w:p w14:paraId="41DEC23F" w14:textId="77777777" w:rsidR="00B7623B" w:rsidRDefault="00B7623B"/>
    <w:tbl>
      <w:tblPr>
        <w:tblStyle w:val="GridTable4-Accent1"/>
        <w:tblpPr w:leftFromText="180" w:rightFromText="180" w:vertAnchor="text" w:horzAnchor="margin" w:tblpY="523"/>
        <w:tblW w:w="0" w:type="auto"/>
        <w:tblLook w:val="04A0" w:firstRow="1" w:lastRow="0" w:firstColumn="1" w:lastColumn="0" w:noHBand="0" w:noVBand="1"/>
      </w:tblPr>
      <w:tblGrid>
        <w:gridCol w:w="2405"/>
        <w:gridCol w:w="6611"/>
      </w:tblGrid>
      <w:tr w:rsidR="00B7623B" w14:paraId="7076CE38" w14:textId="77777777" w:rsidTr="00B762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94EC8B3" w14:textId="77777777" w:rsidR="00B7623B" w:rsidRPr="00AE4E62" w:rsidRDefault="00B7623B" w:rsidP="00C87A48">
            <w:pPr>
              <w:rPr>
                <w:rFonts w:cs="Arial"/>
                <w:sz w:val="28"/>
                <w:szCs w:val="28"/>
              </w:rPr>
            </w:pPr>
            <w:bookmarkStart w:id="0" w:name="_Hlk192789062"/>
            <w:r w:rsidRPr="00AE4E62">
              <w:t>Programme:</w:t>
            </w:r>
          </w:p>
        </w:tc>
        <w:tc>
          <w:tcPr>
            <w:tcW w:w="6611" w:type="dxa"/>
          </w:tcPr>
          <w:p w14:paraId="0E766E6C" w14:textId="77777777" w:rsidR="00B7623B" w:rsidRDefault="00B7623B" w:rsidP="00C87A48">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B7623B" w14:paraId="3A198A82" w14:textId="77777777" w:rsidTr="00B762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8D221E6" w14:textId="77777777" w:rsidR="00B7623B" w:rsidRPr="003B11AB" w:rsidRDefault="00B7623B" w:rsidP="00C87A48">
            <w:pPr>
              <w:rPr>
                <w:rFonts w:cs="Arial"/>
                <w:b w:val="0"/>
                <w:bCs w:val="0"/>
                <w:sz w:val="28"/>
                <w:szCs w:val="28"/>
              </w:rPr>
            </w:pPr>
            <w:r w:rsidRPr="003B11AB">
              <w:rPr>
                <w:b w:val="0"/>
                <w:bCs w:val="0"/>
              </w:rPr>
              <w:t>Module:</w:t>
            </w:r>
          </w:p>
        </w:tc>
        <w:tc>
          <w:tcPr>
            <w:tcW w:w="6611" w:type="dxa"/>
          </w:tcPr>
          <w:p w14:paraId="506B293B" w14:textId="77777777" w:rsidR="00B7623B" w:rsidRDefault="00B7623B" w:rsidP="00C87A48">
            <w:pPr>
              <w:cnfStyle w:val="000000100000" w:firstRow="0" w:lastRow="0" w:firstColumn="0" w:lastColumn="0" w:oddVBand="0" w:evenVBand="0" w:oddHBand="1" w:evenHBand="0" w:firstRowFirstColumn="0" w:firstRowLastColumn="0" w:lastRowFirstColumn="0" w:lastRowLastColumn="0"/>
            </w:pPr>
            <w:r w:rsidRPr="008A74B8">
              <w:t>Practice-Based Research</w:t>
            </w:r>
          </w:p>
        </w:tc>
      </w:tr>
      <w:tr w:rsidR="00B7623B" w14:paraId="13F8AB23" w14:textId="77777777" w:rsidTr="00B7623B">
        <w:tc>
          <w:tcPr>
            <w:cnfStyle w:val="001000000000" w:firstRow="0" w:lastRow="0" w:firstColumn="1" w:lastColumn="0" w:oddVBand="0" w:evenVBand="0" w:oddHBand="0" w:evenHBand="0" w:firstRowFirstColumn="0" w:firstRowLastColumn="0" w:lastRowFirstColumn="0" w:lastRowLastColumn="0"/>
            <w:tcW w:w="2405" w:type="dxa"/>
          </w:tcPr>
          <w:p w14:paraId="00E38169" w14:textId="77777777" w:rsidR="00B7623B" w:rsidRPr="003B11AB" w:rsidRDefault="00B7623B" w:rsidP="00C87A48">
            <w:pPr>
              <w:rPr>
                <w:rFonts w:cs="Arial"/>
                <w:b w:val="0"/>
                <w:bCs w:val="0"/>
                <w:sz w:val="28"/>
                <w:szCs w:val="28"/>
              </w:rPr>
            </w:pPr>
            <w:r w:rsidRPr="003B11AB">
              <w:rPr>
                <w:b w:val="0"/>
                <w:bCs w:val="0"/>
              </w:rPr>
              <w:t>Module code:</w:t>
            </w:r>
          </w:p>
        </w:tc>
        <w:tc>
          <w:tcPr>
            <w:tcW w:w="6611" w:type="dxa"/>
          </w:tcPr>
          <w:p w14:paraId="32E84700" w14:textId="77777777" w:rsidR="00B7623B" w:rsidRDefault="00B7623B" w:rsidP="00C87A48">
            <w:pPr>
              <w:cnfStyle w:val="000000000000" w:firstRow="0" w:lastRow="0" w:firstColumn="0" w:lastColumn="0" w:oddVBand="0" w:evenVBand="0" w:oddHBand="0" w:evenHBand="0" w:firstRowFirstColumn="0" w:firstRowLastColumn="0" w:lastRowFirstColumn="0" w:lastRowLastColumn="0"/>
            </w:pPr>
            <w:r w:rsidRPr="008A74B8">
              <w:t>LCHS7008</w:t>
            </w:r>
          </w:p>
        </w:tc>
      </w:tr>
      <w:tr w:rsidR="00B7623B" w14:paraId="0E0F956F" w14:textId="77777777" w:rsidTr="00B762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5CA1E6A" w14:textId="77777777" w:rsidR="00B7623B" w:rsidRPr="003B11AB" w:rsidRDefault="00B7623B" w:rsidP="00C87A48">
            <w:pPr>
              <w:rPr>
                <w:rFonts w:cs="Arial"/>
                <w:b w:val="0"/>
                <w:bCs w:val="0"/>
                <w:sz w:val="28"/>
                <w:szCs w:val="28"/>
              </w:rPr>
            </w:pPr>
            <w:r w:rsidRPr="003B11AB">
              <w:rPr>
                <w:b w:val="0"/>
                <w:bCs w:val="0"/>
              </w:rPr>
              <w:t>Assignment Title:</w:t>
            </w:r>
          </w:p>
        </w:tc>
        <w:tc>
          <w:tcPr>
            <w:tcW w:w="6611" w:type="dxa"/>
          </w:tcPr>
          <w:p w14:paraId="75FDAFA5" w14:textId="77777777" w:rsidR="00B7623B" w:rsidRDefault="00B7623B" w:rsidP="00C87A48">
            <w:pPr>
              <w:jc w:val="left"/>
              <w:cnfStyle w:val="000000100000" w:firstRow="0" w:lastRow="0" w:firstColumn="0" w:lastColumn="0" w:oddVBand="0" w:evenVBand="0" w:oddHBand="1" w:evenHBand="0" w:firstRowFirstColumn="0" w:firstRowLastColumn="0" w:lastRowFirstColumn="0" w:lastRowLastColumn="0"/>
            </w:pPr>
            <w:r>
              <w:t xml:space="preserve">Component 2 </w:t>
            </w:r>
          </w:p>
          <w:p w14:paraId="20483B17" w14:textId="77777777" w:rsidR="00B7623B" w:rsidRDefault="00B7623B" w:rsidP="00C87A48">
            <w:pPr>
              <w:jc w:val="left"/>
              <w:cnfStyle w:val="000000100000" w:firstRow="0" w:lastRow="0" w:firstColumn="0" w:lastColumn="0" w:oddVBand="0" w:evenVBand="0" w:oddHBand="1" w:evenHBand="0" w:firstRowFirstColumn="0" w:firstRowLastColumn="0" w:lastRowFirstColumn="0" w:lastRowLastColumn="0"/>
            </w:pPr>
            <w:r>
              <w:t>Written Research Proposal</w:t>
            </w:r>
          </w:p>
        </w:tc>
      </w:tr>
      <w:tr w:rsidR="00D872D5" w14:paraId="00AA30C2" w14:textId="77777777" w:rsidTr="00B7623B">
        <w:tc>
          <w:tcPr>
            <w:cnfStyle w:val="001000000000" w:firstRow="0" w:lastRow="0" w:firstColumn="1" w:lastColumn="0" w:oddVBand="0" w:evenVBand="0" w:oddHBand="0" w:evenHBand="0" w:firstRowFirstColumn="0" w:firstRowLastColumn="0" w:lastRowFirstColumn="0" w:lastRowLastColumn="0"/>
            <w:tcW w:w="2405" w:type="dxa"/>
          </w:tcPr>
          <w:p w14:paraId="51BCA269" w14:textId="5C3939E6" w:rsidR="00D872D5" w:rsidRPr="00D872D5" w:rsidRDefault="00D872D5" w:rsidP="00C87A48">
            <w:pPr>
              <w:rPr>
                <w:b w:val="0"/>
                <w:bCs w:val="0"/>
              </w:rPr>
            </w:pPr>
            <w:r w:rsidRPr="00D872D5">
              <w:rPr>
                <w:b w:val="0"/>
                <w:bCs w:val="0"/>
              </w:rPr>
              <w:t>Supervisor Name:</w:t>
            </w:r>
          </w:p>
        </w:tc>
        <w:tc>
          <w:tcPr>
            <w:tcW w:w="6611" w:type="dxa"/>
          </w:tcPr>
          <w:p w14:paraId="4CAF6B0A" w14:textId="08B6C556" w:rsidR="00D872D5" w:rsidRDefault="00D872D5" w:rsidP="00C87A48">
            <w:pPr>
              <w:jc w:val="left"/>
              <w:cnfStyle w:val="000000000000" w:firstRow="0" w:lastRow="0" w:firstColumn="0" w:lastColumn="0" w:oddVBand="0" w:evenVBand="0" w:oddHBand="0" w:evenHBand="0" w:firstRowFirstColumn="0" w:firstRowLastColumn="0" w:lastRowFirstColumn="0" w:lastRowLastColumn="0"/>
            </w:pPr>
            <w:r w:rsidRPr="00D872D5">
              <w:t>Odette Jack</w:t>
            </w:r>
          </w:p>
        </w:tc>
      </w:tr>
      <w:tr w:rsidR="00B7623B" w14:paraId="1B94A249" w14:textId="77777777" w:rsidTr="00B762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2153E8C" w14:textId="77777777" w:rsidR="00B7623B" w:rsidRPr="003B11AB" w:rsidRDefault="00B7623B" w:rsidP="00C87A48">
            <w:pPr>
              <w:rPr>
                <w:b w:val="0"/>
                <w:bCs w:val="0"/>
              </w:rPr>
            </w:pPr>
            <w:r w:rsidRPr="003B11AB">
              <w:rPr>
                <w:b w:val="0"/>
                <w:bCs w:val="0"/>
              </w:rPr>
              <w:t>Student Name:</w:t>
            </w:r>
          </w:p>
        </w:tc>
        <w:tc>
          <w:tcPr>
            <w:tcW w:w="6611" w:type="dxa"/>
          </w:tcPr>
          <w:p w14:paraId="540D4172" w14:textId="5D8156E7" w:rsidR="00B7623B" w:rsidRDefault="0024718A" w:rsidP="00C87A48">
            <w:pPr>
              <w:cnfStyle w:val="000000100000" w:firstRow="0" w:lastRow="0" w:firstColumn="0" w:lastColumn="0" w:oddVBand="0" w:evenVBand="0" w:oddHBand="1" w:evenHBand="0" w:firstRowFirstColumn="0" w:firstRowLastColumn="0" w:lastRowFirstColumn="0" w:lastRowLastColumn="0"/>
            </w:pPr>
            <w:proofErr w:type="spellStart"/>
            <w:r w:rsidRPr="0024718A">
              <w:t>Mst</w:t>
            </w:r>
            <w:proofErr w:type="spellEnd"/>
            <w:r w:rsidRPr="0024718A">
              <w:t xml:space="preserve">. </w:t>
            </w:r>
            <w:proofErr w:type="spellStart"/>
            <w:r w:rsidRPr="0024718A">
              <w:t>Sima</w:t>
            </w:r>
            <w:proofErr w:type="spellEnd"/>
            <w:r w:rsidRPr="0024718A">
              <w:t xml:space="preserve"> Begum  </w:t>
            </w:r>
          </w:p>
        </w:tc>
      </w:tr>
      <w:tr w:rsidR="00B7623B" w14:paraId="5CDDDC7B" w14:textId="77777777" w:rsidTr="00B7623B">
        <w:tc>
          <w:tcPr>
            <w:cnfStyle w:val="001000000000" w:firstRow="0" w:lastRow="0" w:firstColumn="1" w:lastColumn="0" w:oddVBand="0" w:evenVBand="0" w:oddHBand="0" w:evenHBand="0" w:firstRowFirstColumn="0" w:firstRowLastColumn="0" w:lastRowFirstColumn="0" w:lastRowLastColumn="0"/>
            <w:tcW w:w="2405" w:type="dxa"/>
          </w:tcPr>
          <w:p w14:paraId="30228544" w14:textId="77777777" w:rsidR="00B7623B" w:rsidRPr="003B11AB" w:rsidRDefault="00B7623B" w:rsidP="00C87A48">
            <w:pPr>
              <w:rPr>
                <w:b w:val="0"/>
                <w:bCs w:val="0"/>
              </w:rPr>
            </w:pPr>
            <w:r w:rsidRPr="003B11AB">
              <w:rPr>
                <w:b w:val="0"/>
                <w:bCs w:val="0"/>
              </w:rPr>
              <w:t>Student ID:</w:t>
            </w:r>
          </w:p>
        </w:tc>
        <w:tc>
          <w:tcPr>
            <w:tcW w:w="6611" w:type="dxa"/>
          </w:tcPr>
          <w:p w14:paraId="375F44C4" w14:textId="6BEB7ACD" w:rsidR="00B7623B" w:rsidRDefault="0024718A" w:rsidP="00C87A48">
            <w:pPr>
              <w:cnfStyle w:val="000000000000" w:firstRow="0" w:lastRow="0" w:firstColumn="0" w:lastColumn="0" w:oddVBand="0" w:evenVBand="0" w:oddHBand="0" w:evenHBand="0" w:firstRowFirstColumn="0" w:firstRowLastColumn="0" w:lastRowFirstColumn="0" w:lastRowLastColumn="0"/>
            </w:pPr>
            <w:r w:rsidRPr="0024718A">
              <w:t>2433426</w:t>
            </w:r>
          </w:p>
        </w:tc>
      </w:tr>
      <w:bookmarkEnd w:id="0"/>
    </w:tbl>
    <w:p w14:paraId="3F141C1E" w14:textId="636308A0" w:rsidR="00955F96" w:rsidRDefault="00955F96"/>
    <w:p w14:paraId="434AC800" w14:textId="58E39819" w:rsidR="00B7623B" w:rsidRDefault="00B7623B"/>
    <w:p w14:paraId="73B745E0" w14:textId="77777777" w:rsidR="00735471" w:rsidRDefault="00735471" w:rsidP="00735471">
      <w:pPr>
        <w:jc w:val="center"/>
        <w:rPr>
          <w:b/>
          <w:bCs/>
          <w:sz w:val="24"/>
          <w:szCs w:val="24"/>
        </w:rPr>
      </w:pPr>
      <w:r w:rsidRPr="00B7623B">
        <w:rPr>
          <w:b/>
          <w:bCs/>
          <w:sz w:val="24"/>
          <w:szCs w:val="24"/>
        </w:rPr>
        <w:t>Title:</w:t>
      </w:r>
    </w:p>
    <w:p w14:paraId="2180B619" w14:textId="66EB80C0" w:rsidR="00735471" w:rsidRDefault="00735471" w:rsidP="00735471">
      <w:pPr>
        <w:jc w:val="center"/>
        <w:rPr>
          <w:b/>
          <w:bCs/>
          <w:sz w:val="24"/>
          <w:szCs w:val="24"/>
        </w:rPr>
      </w:pPr>
      <w:r>
        <w:rPr>
          <w:b/>
          <w:bCs/>
          <w:sz w:val="24"/>
          <w:szCs w:val="24"/>
        </w:rPr>
        <w:t>“</w:t>
      </w:r>
      <w:r w:rsidRPr="00B7623B">
        <w:rPr>
          <w:b/>
          <w:bCs/>
          <w:sz w:val="24"/>
          <w:szCs w:val="24"/>
        </w:rPr>
        <w:t>Management and Diagnostic Strategies for Acute Respiratory Tract Infections among the Adult Population in the United Kingdom: A Systematic Review</w:t>
      </w:r>
      <w:r>
        <w:rPr>
          <w:b/>
          <w:bCs/>
          <w:sz w:val="24"/>
          <w:szCs w:val="24"/>
        </w:rPr>
        <w:t>”</w:t>
      </w:r>
    </w:p>
    <w:p w14:paraId="2E4ED651" w14:textId="77777777" w:rsidR="00735471" w:rsidRDefault="00735471"/>
    <w:p w14:paraId="5A5E2A20" w14:textId="6982F420" w:rsidR="00B7623B" w:rsidRDefault="00B7623B" w:rsidP="00735471">
      <w:r>
        <w:br w:type="page"/>
      </w:r>
    </w:p>
    <w:sdt>
      <w:sdtPr>
        <w:rPr>
          <w:rFonts w:ascii="Arial" w:eastAsiaTheme="minorHAnsi" w:hAnsi="Arial" w:cstheme="minorBidi"/>
          <w:color w:val="auto"/>
          <w:sz w:val="22"/>
          <w:szCs w:val="22"/>
          <w:lang w:val="en-GB"/>
        </w:rPr>
        <w:id w:val="1816061061"/>
        <w:docPartObj>
          <w:docPartGallery w:val="Table of Contents"/>
          <w:docPartUnique/>
        </w:docPartObj>
      </w:sdtPr>
      <w:sdtEndPr>
        <w:rPr>
          <w:b/>
          <w:bCs/>
          <w:noProof/>
        </w:rPr>
      </w:sdtEndPr>
      <w:sdtContent>
        <w:p w14:paraId="2A1AD305" w14:textId="226EE54B" w:rsidR="00242D5A" w:rsidRDefault="00242D5A">
          <w:pPr>
            <w:pStyle w:val="TOCHeading"/>
          </w:pPr>
          <w:r>
            <w:t>Table of Contents</w:t>
          </w:r>
        </w:p>
        <w:p w14:paraId="1D282405" w14:textId="75765A33" w:rsidR="00D74484" w:rsidRDefault="00242D5A">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6330379" w:history="1">
            <w:r w:rsidR="00D74484" w:rsidRPr="00CB2B42">
              <w:rPr>
                <w:rStyle w:val="Hyperlink"/>
                <w:noProof/>
              </w:rPr>
              <w:t>Prevalence of the Problem</w:t>
            </w:r>
            <w:r w:rsidR="00D74484">
              <w:rPr>
                <w:noProof/>
                <w:webHidden/>
              </w:rPr>
              <w:tab/>
            </w:r>
            <w:r w:rsidR="00D74484">
              <w:rPr>
                <w:noProof/>
                <w:webHidden/>
              </w:rPr>
              <w:fldChar w:fldCharType="begin"/>
            </w:r>
            <w:r w:rsidR="00D74484">
              <w:rPr>
                <w:noProof/>
                <w:webHidden/>
              </w:rPr>
              <w:instrText xml:space="preserve"> PAGEREF _Toc226330379 \h </w:instrText>
            </w:r>
            <w:r w:rsidR="00D74484">
              <w:rPr>
                <w:noProof/>
                <w:webHidden/>
              </w:rPr>
            </w:r>
            <w:r w:rsidR="00D74484">
              <w:rPr>
                <w:noProof/>
                <w:webHidden/>
              </w:rPr>
              <w:fldChar w:fldCharType="separate"/>
            </w:r>
            <w:r w:rsidR="00D74484">
              <w:rPr>
                <w:noProof/>
                <w:webHidden/>
              </w:rPr>
              <w:t>3</w:t>
            </w:r>
            <w:r w:rsidR="00D74484">
              <w:rPr>
                <w:noProof/>
                <w:webHidden/>
              </w:rPr>
              <w:fldChar w:fldCharType="end"/>
            </w:r>
          </w:hyperlink>
        </w:p>
        <w:p w14:paraId="27FA82CC" w14:textId="1F601B41" w:rsidR="00D74484" w:rsidRDefault="009B0746">
          <w:pPr>
            <w:pStyle w:val="TOC1"/>
            <w:tabs>
              <w:tab w:val="right" w:leader="dot" w:pos="9016"/>
            </w:tabs>
            <w:rPr>
              <w:rFonts w:asciiTheme="minorHAnsi" w:eastAsiaTheme="minorEastAsia" w:hAnsiTheme="minorHAnsi"/>
              <w:noProof/>
              <w:lang w:eastAsia="en-GB"/>
            </w:rPr>
          </w:pPr>
          <w:hyperlink w:anchor="_Toc226330380" w:history="1">
            <w:r w:rsidR="00D74484" w:rsidRPr="00CB2B42">
              <w:rPr>
                <w:rStyle w:val="Hyperlink"/>
                <w:noProof/>
              </w:rPr>
              <w:t>Background to the Study and Literature Review</w:t>
            </w:r>
            <w:r w:rsidR="00D74484">
              <w:rPr>
                <w:noProof/>
                <w:webHidden/>
              </w:rPr>
              <w:tab/>
            </w:r>
            <w:r w:rsidR="00D74484">
              <w:rPr>
                <w:noProof/>
                <w:webHidden/>
              </w:rPr>
              <w:fldChar w:fldCharType="begin"/>
            </w:r>
            <w:r w:rsidR="00D74484">
              <w:rPr>
                <w:noProof/>
                <w:webHidden/>
              </w:rPr>
              <w:instrText xml:space="preserve"> PAGEREF _Toc226330380 \h </w:instrText>
            </w:r>
            <w:r w:rsidR="00D74484">
              <w:rPr>
                <w:noProof/>
                <w:webHidden/>
              </w:rPr>
            </w:r>
            <w:r w:rsidR="00D74484">
              <w:rPr>
                <w:noProof/>
                <w:webHidden/>
              </w:rPr>
              <w:fldChar w:fldCharType="separate"/>
            </w:r>
            <w:r w:rsidR="00D74484">
              <w:rPr>
                <w:noProof/>
                <w:webHidden/>
              </w:rPr>
              <w:t>4</w:t>
            </w:r>
            <w:r w:rsidR="00D74484">
              <w:rPr>
                <w:noProof/>
                <w:webHidden/>
              </w:rPr>
              <w:fldChar w:fldCharType="end"/>
            </w:r>
          </w:hyperlink>
        </w:p>
        <w:p w14:paraId="5078A1AD" w14:textId="41390DAC" w:rsidR="00D74484" w:rsidRDefault="009B0746">
          <w:pPr>
            <w:pStyle w:val="TOC2"/>
            <w:tabs>
              <w:tab w:val="right" w:leader="dot" w:pos="9016"/>
            </w:tabs>
            <w:rPr>
              <w:rFonts w:asciiTheme="minorHAnsi" w:eastAsiaTheme="minorEastAsia" w:hAnsiTheme="minorHAnsi"/>
              <w:noProof/>
              <w:lang w:eastAsia="en-GB"/>
            </w:rPr>
          </w:pPr>
          <w:hyperlink w:anchor="_Toc226330381" w:history="1">
            <w:r w:rsidR="00D74484" w:rsidRPr="00CB2B42">
              <w:rPr>
                <w:rStyle w:val="Hyperlink"/>
                <w:noProof/>
              </w:rPr>
              <w:t>The Evolution of Clinical Guidelines and Diagnostic Challenges</w:t>
            </w:r>
            <w:r w:rsidR="00D74484">
              <w:rPr>
                <w:noProof/>
                <w:webHidden/>
              </w:rPr>
              <w:tab/>
            </w:r>
            <w:r w:rsidR="00D74484">
              <w:rPr>
                <w:noProof/>
                <w:webHidden/>
              </w:rPr>
              <w:fldChar w:fldCharType="begin"/>
            </w:r>
            <w:r w:rsidR="00D74484">
              <w:rPr>
                <w:noProof/>
                <w:webHidden/>
              </w:rPr>
              <w:instrText xml:space="preserve"> PAGEREF _Toc226330381 \h </w:instrText>
            </w:r>
            <w:r w:rsidR="00D74484">
              <w:rPr>
                <w:noProof/>
                <w:webHidden/>
              </w:rPr>
            </w:r>
            <w:r w:rsidR="00D74484">
              <w:rPr>
                <w:noProof/>
                <w:webHidden/>
              </w:rPr>
              <w:fldChar w:fldCharType="separate"/>
            </w:r>
            <w:r w:rsidR="00D74484">
              <w:rPr>
                <w:noProof/>
                <w:webHidden/>
              </w:rPr>
              <w:t>4</w:t>
            </w:r>
            <w:r w:rsidR="00D74484">
              <w:rPr>
                <w:noProof/>
                <w:webHidden/>
              </w:rPr>
              <w:fldChar w:fldCharType="end"/>
            </w:r>
          </w:hyperlink>
        </w:p>
        <w:p w14:paraId="3EDF5452" w14:textId="0BECA3B6" w:rsidR="00D74484" w:rsidRDefault="009B0746">
          <w:pPr>
            <w:pStyle w:val="TOC2"/>
            <w:tabs>
              <w:tab w:val="right" w:leader="dot" w:pos="9016"/>
            </w:tabs>
            <w:rPr>
              <w:rFonts w:asciiTheme="minorHAnsi" w:eastAsiaTheme="minorEastAsia" w:hAnsiTheme="minorHAnsi"/>
              <w:noProof/>
              <w:lang w:eastAsia="en-GB"/>
            </w:rPr>
          </w:pPr>
          <w:hyperlink w:anchor="_Toc226330382" w:history="1">
            <w:r w:rsidR="00D74484" w:rsidRPr="00CB2B42">
              <w:rPr>
                <w:rStyle w:val="Hyperlink"/>
                <w:noProof/>
              </w:rPr>
              <w:t>Point-of-Care Testing: A Technological Solution with Implementation Barriers</w:t>
            </w:r>
            <w:r w:rsidR="00D74484">
              <w:rPr>
                <w:noProof/>
                <w:webHidden/>
              </w:rPr>
              <w:tab/>
            </w:r>
            <w:r w:rsidR="00D74484">
              <w:rPr>
                <w:noProof/>
                <w:webHidden/>
              </w:rPr>
              <w:fldChar w:fldCharType="begin"/>
            </w:r>
            <w:r w:rsidR="00D74484">
              <w:rPr>
                <w:noProof/>
                <w:webHidden/>
              </w:rPr>
              <w:instrText xml:space="preserve"> PAGEREF _Toc226330382 \h </w:instrText>
            </w:r>
            <w:r w:rsidR="00D74484">
              <w:rPr>
                <w:noProof/>
                <w:webHidden/>
              </w:rPr>
            </w:r>
            <w:r w:rsidR="00D74484">
              <w:rPr>
                <w:noProof/>
                <w:webHidden/>
              </w:rPr>
              <w:fldChar w:fldCharType="separate"/>
            </w:r>
            <w:r w:rsidR="00D74484">
              <w:rPr>
                <w:noProof/>
                <w:webHidden/>
              </w:rPr>
              <w:t>5</w:t>
            </w:r>
            <w:r w:rsidR="00D74484">
              <w:rPr>
                <w:noProof/>
                <w:webHidden/>
              </w:rPr>
              <w:fldChar w:fldCharType="end"/>
            </w:r>
          </w:hyperlink>
        </w:p>
        <w:p w14:paraId="18B2ABE7" w14:textId="79241751" w:rsidR="00D74484" w:rsidRDefault="009B0746">
          <w:pPr>
            <w:pStyle w:val="TOC2"/>
            <w:tabs>
              <w:tab w:val="right" w:leader="dot" w:pos="9016"/>
            </w:tabs>
            <w:rPr>
              <w:rFonts w:asciiTheme="minorHAnsi" w:eastAsiaTheme="minorEastAsia" w:hAnsiTheme="minorHAnsi"/>
              <w:noProof/>
              <w:lang w:eastAsia="en-GB"/>
            </w:rPr>
          </w:pPr>
          <w:hyperlink w:anchor="_Toc226330383" w:history="1">
            <w:r w:rsidR="00D74484" w:rsidRPr="00CB2B42">
              <w:rPr>
                <w:rStyle w:val="Hyperlink"/>
                <w:noProof/>
              </w:rPr>
              <w:t>Management Strategies: Shared Decision-Making and Delayed Prescribing</w:t>
            </w:r>
            <w:r w:rsidR="00D74484">
              <w:rPr>
                <w:noProof/>
                <w:webHidden/>
              </w:rPr>
              <w:tab/>
            </w:r>
            <w:r w:rsidR="00D74484">
              <w:rPr>
                <w:noProof/>
                <w:webHidden/>
              </w:rPr>
              <w:fldChar w:fldCharType="begin"/>
            </w:r>
            <w:r w:rsidR="00D74484">
              <w:rPr>
                <w:noProof/>
                <w:webHidden/>
              </w:rPr>
              <w:instrText xml:space="preserve"> PAGEREF _Toc226330383 \h </w:instrText>
            </w:r>
            <w:r w:rsidR="00D74484">
              <w:rPr>
                <w:noProof/>
                <w:webHidden/>
              </w:rPr>
            </w:r>
            <w:r w:rsidR="00D74484">
              <w:rPr>
                <w:noProof/>
                <w:webHidden/>
              </w:rPr>
              <w:fldChar w:fldCharType="separate"/>
            </w:r>
            <w:r w:rsidR="00D74484">
              <w:rPr>
                <w:noProof/>
                <w:webHidden/>
              </w:rPr>
              <w:t>5</w:t>
            </w:r>
            <w:r w:rsidR="00D74484">
              <w:rPr>
                <w:noProof/>
                <w:webHidden/>
              </w:rPr>
              <w:fldChar w:fldCharType="end"/>
            </w:r>
          </w:hyperlink>
        </w:p>
        <w:p w14:paraId="197975CB" w14:textId="4ED733FD" w:rsidR="00D74484" w:rsidRDefault="009B0746">
          <w:pPr>
            <w:pStyle w:val="TOC2"/>
            <w:tabs>
              <w:tab w:val="right" w:leader="dot" w:pos="9016"/>
            </w:tabs>
            <w:rPr>
              <w:rFonts w:asciiTheme="minorHAnsi" w:eastAsiaTheme="minorEastAsia" w:hAnsiTheme="minorHAnsi"/>
              <w:noProof/>
              <w:lang w:eastAsia="en-GB"/>
            </w:rPr>
          </w:pPr>
          <w:hyperlink w:anchor="_Toc226330384" w:history="1">
            <w:r w:rsidR="00D74484" w:rsidRPr="00CB2B42">
              <w:rPr>
                <w:rStyle w:val="Hyperlink"/>
                <w:noProof/>
              </w:rPr>
              <w:t>The Medicalisation Hypothesis and Primary Care Demand</w:t>
            </w:r>
            <w:r w:rsidR="00D74484">
              <w:rPr>
                <w:noProof/>
                <w:webHidden/>
              </w:rPr>
              <w:tab/>
            </w:r>
            <w:r w:rsidR="00D74484">
              <w:rPr>
                <w:noProof/>
                <w:webHidden/>
              </w:rPr>
              <w:fldChar w:fldCharType="begin"/>
            </w:r>
            <w:r w:rsidR="00D74484">
              <w:rPr>
                <w:noProof/>
                <w:webHidden/>
              </w:rPr>
              <w:instrText xml:space="preserve"> PAGEREF _Toc226330384 \h </w:instrText>
            </w:r>
            <w:r w:rsidR="00D74484">
              <w:rPr>
                <w:noProof/>
                <w:webHidden/>
              </w:rPr>
            </w:r>
            <w:r w:rsidR="00D74484">
              <w:rPr>
                <w:noProof/>
                <w:webHidden/>
              </w:rPr>
              <w:fldChar w:fldCharType="separate"/>
            </w:r>
            <w:r w:rsidR="00D74484">
              <w:rPr>
                <w:noProof/>
                <w:webHidden/>
              </w:rPr>
              <w:t>5</w:t>
            </w:r>
            <w:r w:rsidR="00D74484">
              <w:rPr>
                <w:noProof/>
                <w:webHidden/>
              </w:rPr>
              <w:fldChar w:fldCharType="end"/>
            </w:r>
          </w:hyperlink>
        </w:p>
        <w:p w14:paraId="63A89B0D" w14:textId="24818D3A" w:rsidR="00D74484" w:rsidRDefault="009B0746">
          <w:pPr>
            <w:pStyle w:val="TOC2"/>
            <w:tabs>
              <w:tab w:val="right" w:leader="dot" w:pos="9016"/>
            </w:tabs>
            <w:rPr>
              <w:rFonts w:asciiTheme="minorHAnsi" w:eastAsiaTheme="minorEastAsia" w:hAnsiTheme="minorHAnsi"/>
              <w:noProof/>
              <w:lang w:eastAsia="en-GB"/>
            </w:rPr>
          </w:pPr>
          <w:hyperlink w:anchor="_Toc226330385" w:history="1">
            <w:r w:rsidR="00D74484" w:rsidRPr="00CB2B42">
              <w:rPr>
                <w:rStyle w:val="Hyperlink"/>
                <w:noProof/>
              </w:rPr>
              <w:t>Geographical and Socioeconomic Influences on Management</w:t>
            </w:r>
            <w:r w:rsidR="00D74484">
              <w:rPr>
                <w:noProof/>
                <w:webHidden/>
              </w:rPr>
              <w:tab/>
            </w:r>
            <w:r w:rsidR="00D74484">
              <w:rPr>
                <w:noProof/>
                <w:webHidden/>
              </w:rPr>
              <w:fldChar w:fldCharType="begin"/>
            </w:r>
            <w:r w:rsidR="00D74484">
              <w:rPr>
                <w:noProof/>
                <w:webHidden/>
              </w:rPr>
              <w:instrText xml:space="preserve"> PAGEREF _Toc226330385 \h </w:instrText>
            </w:r>
            <w:r w:rsidR="00D74484">
              <w:rPr>
                <w:noProof/>
                <w:webHidden/>
              </w:rPr>
            </w:r>
            <w:r w:rsidR="00D74484">
              <w:rPr>
                <w:noProof/>
                <w:webHidden/>
              </w:rPr>
              <w:fldChar w:fldCharType="separate"/>
            </w:r>
            <w:r w:rsidR="00D74484">
              <w:rPr>
                <w:noProof/>
                <w:webHidden/>
              </w:rPr>
              <w:t>6</w:t>
            </w:r>
            <w:r w:rsidR="00D74484">
              <w:rPr>
                <w:noProof/>
                <w:webHidden/>
              </w:rPr>
              <w:fldChar w:fldCharType="end"/>
            </w:r>
          </w:hyperlink>
        </w:p>
        <w:p w14:paraId="5651254D" w14:textId="7697DCB0" w:rsidR="00D74484" w:rsidRDefault="009B0746">
          <w:pPr>
            <w:pStyle w:val="TOC1"/>
            <w:tabs>
              <w:tab w:val="right" w:leader="dot" w:pos="9016"/>
            </w:tabs>
            <w:rPr>
              <w:rFonts w:asciiTheme="minorHAnsi" w:eastAsiaTheme="minorEastAsia" w:hAnsiTheme="minorHAnsi"/>
              <w:noProof/>
              <w:lang w:eastAsia="en-GB"/>
            </w:rPr>
          </w:pPr>
          <w:hyperlink w:anchor="_Toc226330386" w:history="1">
            <w:r w:rsidR="00D74484" w:rsidRPr="00CB2B42">
              <w:rPr>
                <w:rStyle w:val="Hyperlink"/>
                <w:noProof/>
              </w:rPr>
              <w:t>Rationale of the Research</w:t>
            </w:r>
            <w:r w:rsidR="00D74484">
              <w:rPr>
                <w:noProof/>
                <w:webHidden/>
              </w:rPr>
              <w:tab/>
            </w:r>
            <w:r w:rsidR="00D74484">
              <w:rPr>
                <w:noProof/>
                <w:webHidden/>
              </w:rPr>
              <w:fldChar w:fldCharType="begin"/>
            </w:r>
            <w:r w:rsidR="00D74484">
              <w:rPr>
                <w:noProof/>
                <w:webHidden/>
              </w:rPr>
              <w:instrText xml:space="preserve"> PAGEREF _Toc226330386 \h </w:instrText>
            </w:r>
            <w:r w:rsidR="00D74484">
              <w:rPr>
                <w:noProof/>
                <w:webHidden/>
              </w:rPr>
            </w:r>
            <w:r w:rsidR="00D74484">
              <w:rPr>
                <w:noProof/>
                <w:webHidden/>
              </w:rPr>
              <w:fldChar w:fldCharType="separate"/>
            </w:r>
            <w:r w:rsidR="00D74484">
              <w:rPr>
                <w:noProof/>
                <w:webHidden/>
              </w:rPr>
              <w:t>6</w:t>
            </w:r>
            <w:r w:rsidR="00D74484">
              <w:rPr>
                <w:noProof/>
                <w:webHidden/>
              </w:rPr>
              <w:fldChar w:fldCharType="end"/>
            </w:r>
          </w:hyperlink>
        </w:p>
        <w:p w14:paraId="0210E42D" w14:textId="7C274F3C" w:rsidR="00D74484" w:rsidRDefault="009B0746">
          <w:pPr>
            <w:pStyle w:val="TOC2"/>
            <w:tabs>
              <w:tab w:val="right" w:leader="dot" w:pos="9016"/>
            </w:tabs>
            <w:rPr>
              <w:rFonts w:asciiTheme="minorHAnsi" w:eastAsiaTheme="minorEastAsia" w:hAnsiTheme="minorHAnsi"/>
              <w:noProof/>
              <w:lang w:eastAsia="en-GB"/>
            </w:rPr>
          </w:pPr>
          <w:hyperlink w:anchor="_Toc226330387" w:history="1">
            <w:r w:rsidR="00D74484" w:rsidRPr="00CB2B42">
              <w:rPr>
                <w:rStyle w:val="Hyperlink"/>
                <w:noProof/>
              </w:rPr>
              <w:t>Research Question</w:t>
            </w:r>
            <w:r w:rsidR="00D74484">
              <w:rPr>
                <w:noProof/>
                <w:webHidden/>
              </w:rPr>
              <w:tab/>
            </w:r>
            <w:r w:rsidR="00D74484">
              <w:rPr>
                <w:noProof/>
                <w:webHidden/>
              </w:rPr>
              <w:fldChar w:fldCharType="begin"/>
            </w:r>
            <w:r w:rsidR="00D74484">
              <w:rPr>
                <w:noProof/>
                <w:webHidden/>
              </w:rPr>
              <w:instrText xml:space="preserve"> PAGEREF _Toc226330387 \h </w:instrText>
            </w:r>
            <w:r w:rsidR="00D74484">
              <w:rPr>
                <w:noProof/>
                <w:webHidden/>
              </w:rPr>
            </w:r>
            <w:r w:rsidR="00D74484">
              <w:rPr>
                <w:noProof/>
                <w:webHidden/>
              </w:rPr>
              <w:fldChar w:fldCharType="separate"/>
            </w:r>
            <w:r w:rsidR="00D74484">
              <w:rPr>
                <w:noProof/>
                <w:webHidden/>
              </w:rPr>
              <w:t>7</w:t>
            </w:r>
            <w:r w:rsidR="00D74484">
              <w:rPr>
                <w:noProof/>
                <w:webHidden/>
              </w:rPr>
              <w:fldChar w:fldCharType="end"/>
            </w:r>
          </w:hyperlink>
        </w:p>
        <w:p w14:paraId="5D0E46B9" w14:textId="06143419" w:rsidR="00D74484" w:rsidRDefault="009B0746">
          <w:pPr>
            <w:pStyle w:val="TOC2"/>
            <w:tabs>
              <w:tab w:val="right" w:leader="dot" w:pos="9016"/>
            </w:tabs>
            <w:rPr>
              <w:rFonts w:asciiTheme="minorHAnsi" w:eastAsiaTheme="minorEastAsia" w:hAnsiTheme="minorHAnsi"/>
              <w:noProof/>
              <w:lang w:eastAsia="en-GB"/>
            </w:rPr>
          </w:pPr>
          <w:hyperlink w:anchor="_Toc226330388" w:history="1">
            <w:r w:rsidR="00D74484" w:rsidRPr="00CB2B42">
              <w:rPr>
                <w:rStyle w:val="Hyperlink"/>
                <w:noProof/>
              </w:rPr>
              <w:t>Aim and Objectives</w:t>
            </w:r>
            <w:r w:rsidR="00D74484">
              <w:rPr>
                <w:noProof/>
                <w:webHidden/>
              </w:rPr>
              <w:tab/>
            </w:r>
            <w:r w:rsidR="00D74484">
              <w:rPr>
                <w:noProof/>
                <w:webHidden/>
              </w:rPr>
              <w:fldChar w:fldCharType="begin"/>
            </w:r>
            <w:r w:rsidR="00D74484">
              <w:rPr>
                <w:noProof/>
                <w:webHidden/>
              </w:rPr>
              <w:instrText xml:space="preserve"> PAGEREF _Toc226330388 \h </w:instrText>
            </w:r>
            <w:r w:rsidR="00D74484">
              <w:rPr>
                <w:noProof/>
                <w:webHidden/>
              </w:rPr>
            </w:r>
            <w:r w:rsidR="00D74484">
              <w:rPr>
                <w:noProof/>
                <w:webHidden/>
              </w:rPr>
              <w:fldChar w:fldCharType="separate"/>
            </w:r>
            <w:r w:rsidR="00D74484">
              <w:rPr>
                <w:noProof/>
                <w:webHidden/>
              </w:rPr>
              <w:t>7</w:t>
            </w:r>
            <w:r w:rsidR="00D74484">
              <w:rPr>
                <w:noProof/>
                <w:webHidden/>
              </w:rPr>
              <w:fldChar w:fldCharType="end"/>
            </w:r>
          </w:hyperlink>
        </w:p>
        <w:p w14:paraId="07BBFFC7" w14:textId="21AB1843" w:rsidR="00D74484" w:rsidRDefault="009B0746">
          <w:pPr>
            <w:pStyle w:val="TOC1"/>
            <w:tabs>
              <w:tab w:val="right" w:leader="dot" w:pos="9016"/>
            </w:tabs>
            <w:rPr>
              <w:rFonts w:asciiTheme="minorHAnsi" w:eastAsiaTheme="minorEastAsia" w:hAnsiTheme="minorHAnsi"/>
              <w:noProof/>
              <w:lang w:eastAsia="en-GB"/>
            </w:rPr>
          </w:pPr>
          <w:hyperlink w:anchor="_Toc226330389" w:history="1">
            <w:r w:rsidR="00D74484" w:rsidRPr="00CB2B42">
              <w:rPr>
                <w:rStyle w:val="Hyperlink"/>
                <w:noProof/>
              </w:rPr>
              <w:t>Research Methodology</w:t>
            </w:r>
            <w:r w:rsidR="00D74484">
              <w:rPr>
                <w:noProof/>
                <w:webHidden/>
              </w:rPr>
              <w:tab/>
            </w:r>
            <w:r w:rsidR="00D74484">
              <w:rPr>
                <w:noProof/>
                <w:webHidden/>
              </w:rPr>
              <w:fldChar w:fldCharType="begin"/>
            </w:r>
            <w:r w:rsidR="00D74484">
              <w:rPr>
                <w:noProof/>
                <w:webHidden/>
              </w:rPr>
              <w:instrText xml:space="preserve"> PAGEREF _Toc226330389 \h </w:instrText>
            </w:r>
            <w:r w:rsidR="00D74484">
              <w:rPr>
                <w:noProof/>
                <w:webHidden/>
              </w:rPr>
            </w:r>
            <w:r w:rsidR="00D74484">
              <w:rPr>
                <w:noProof/>
                <w:webHidden/>
              </w:rPr>
              <w:fldChar w:fldCharType="separate"/>
            </w:r>
            <w:r w:rsidR="00D74484">
              <w:rPr>
                <w:noProof/>
                <w:webHidden/>
              </w:rPr>
              <w:t>7</w:t>
            </w:r>
            <w:r w:rsidR="00D74484">
              <w:rPr>
                <w:noProof/>
                <w:webHidden/>
              </w:rPr>
              <w:fldChar w:fldCharType="end"/>
            </w:r>
          </w:hyperlink>
        </w:p>
        <w:p w14:paraId="5250343B" w14:textId="5670DFD8" w:rsidR="00D74484" w:rsidRDefault="009B0746">
          <w:pPr>
            <w:pStyle w:val="TOC2"/>
            <w:tabs>
              <w:tab w:val="right" w:leader="dot" w:pos="9016"/>
            </w:tabs>
            <w:rPr>
              <w:rFonts w:asciiTheme="minorHAnsi" w:eastAsiaTheme="minorEastAsia" w:hAnsiTheme="minorHAnsi"/>
              <w:noProof/>
              <w:lang w:eastAsia="en-GB"/>
            </w:rPr>
          </w:pPr>
          <w:hyperlink w:anchor="_Toc226330390" w:history="1">
            <w:r w:rsidR="00D74484" w:rsidRPr="00CB2B42">
              <w:rPr>
                <w:rStyle w:val="Hyperlink"/>
                <w:noProof/>
              </w:rPr>
              <w:t>4.1 Research Design</w:t>
            </w:r>
            <w:r w:rsidR="00D74484">
              <w:rPr>
                <w:noProof/>
                <w:webHidden/>
              </w:rPr>
              <w:tab/>
            </w:r>
            <w:r w:rsidR="00D74484">
              <w:rPr>
                <w:noProof/>
                <w:webHidden/>
              </w:rPr>
              <w:fldChar w:fldCharType="begin"/>
            </w:r>
            <w:r w:rsidR="00D74484">
              <w:rPr>
                <w:noProof/>
                <w:webHidden/>
              </w:rPr>
              <w:instrText xml:space="preserve"> PAGEREF _Toc226330390 \h </w:instrText>
            </w:r>
            <w:r w:rsidR="00D74484">
              <w:rPr>
                <w:noProof/>
                <w:webHidden/>
              </w:rPr>
            </w:r>
            <w:r w:rsidR="00D74484">
              <w:rPr>
                <w:noProof/>
                <w:webHidden/>
              </w:rPr>
              <w:fldChar w:fldCharType="separate"/>
            </w:r>
            <w:r w:rsidR="00D74484">
              <w:rPr>
                <w:noProof/>
                <w:webHidden/>
              </w:rPr>
              <w:t>7</w:t>
            </w:r>
            <w:r w:rsidR="00D74484">
              <w:rPr>
                <w:noProof/>
                <w:webHidden/>
              </w:rPr>
              <w:fldChar w:fldCharType="end"/>
            </w:r>
          </w:hyperlink>
        </w:p>
        <w:p w14:paraId="69F0AB73" w14:textId="17FA4E99" w:rsidR="00D74484" w:rsidRDefault="009B0746">
          <w:pPr>
            <w:pStyle w:val="TOC2"/>
            <w:tabs>
              <w:tab w:val="right" w:leader="dot" w:pos="9016"/>
            </w:tabs>
            <w:rPr>
              <w:rFonts w:asciiTheme="minorHAnsi" w:eastAsiaTheme="minorEastAsia" w:hAnsiTheme="minorHAnsi"/>
              <w:noProof/>
              <w:lang w:eastAsia="en-GB"/>
            </w:rPr>
          </w:pPr>
          <w:hyperlink w:anchor="_Toc226330391" w:history="1">
            <w:r w:rsidR="00D74484" w:rsidRPr="00CB2B42">
              <w:rPr>
                <w:rStyle w:val="Hyperlink"/>
                <w:noProof/>
              </w:rPr>
              <w:t>4.2 Recruitment, Sampling &amp; Study Participants</w:t>
            </w:r>
            <w:r w:rsidR="00D74484">
              <w:rPr>
                <w:noProof/>
                <w:webHidden/>
              </w:rPr>
              <w:tab/>
            </w:r>
            <w:r w:rsidR="00D74484">
              <w:rPr>
                <w:noProof/>
                <w:webHidden/>
              </w:rPr>
              <w:fldChar w:fldCharType="begin"/>
            </w:r>
            <w:r w:rsidR="00D74484">
              <w:rPr>
                <w:noProof/>
                <w:webHidden/>
              </w:rPr>
              <w:instrText xml:space="preserve"> PAGEREF _Toc226330391 \h </w:instrText>
            </w:r>
            <w:r w:rsidR="00D74484">
              <w:rPr>
                <w:noProof/>
                <w:webHidden/>
              </w:rPr>
            </w:r>
            <w:r w:rsidR="00D74484">
              <w:rPr>
                <w:noProof/>
                <w:webHidden/>
              </w:rPr>
              <w:fldChar w:fldCharType="separate"/>
            </w:r>
            <w:r w:rsidR="00D74484">
              <w:rPr>
                <w:noProof/>
                <w:webHidden/>
              </w:rPr>
              <w:t>8</w:t>
            </w:r>
            <w:r w:rsidR="00D74484">
              <w:rPr>
                <w:noProof/>
                <w:webHidden/>
              </w:rPr>
              <w:fldChar w:fldCharType="end"/>
            </w:r>
          </w:hyperlink>
        </w:p>
        <w:p w14:paraId="50EE49D2" w14:textId="1851EFDE" w:rsidR="00D74484" w:rsidRDefault="009B0746">
          <w:pPr>
            <w:pStyle w:val="TOC2"/>
            <w:tabs>
              <w:tab w:val="right" w:leader="dot" w:pos="9016"/>
            </w:tabs>
            <w:rPr>
              <w:rFonts w:asciiTheme="minorHAnsi" w:eastAsiaTheme="minorEastAsia" w:hAnsiTheme="minorHAnsi"/>
              <w:noProof/>
              <w:lang w:eastAsia="en-GB"/>
            </w:rPr>
          </w:pPr>
          <w:hyperlink w:anchor="_Toc226330392" w:history="1">
            <w:r w:rsidR="00D74484" w:rsidRPr="00CB2B42">
              <w:rPr>
                <w:rStyle w:val="Hyperlink"/>
                <w:noProof/>
              </w:rPr>
              <w:t>4.3 Data Collection Method(s)/Procedure</w:t>
            </w:r>
            <w:r w:rsidR="00D74484">
              <w:rPr>
                <w:noProof/>
                <w:webHidden/>
              </w:rPr>
              <w:tab/>
            </w:r>
            <w:r w:rsidR="00D74484">
              <w:rPr>
                <w:noProof/>
                <w:webHidden/>
              </w:rPr>
              <w:fldChar w:fldCharType="begin"/>
            </w:r>
            <w:r w:rsidR="00D74484">
              <w:rPr>
                <w:noProof/>
                <w:webHidden/>
              </w:rPr>
              <w:instrText xml:space="preserve"> PAGEREF _Toc226330392 \h </w:instrText>
            </w:r>
            <w:r w:rsidR="00D74484">
              <w:rPr>
                <w:noProof/>
                <w:webHidden/>
              </w:rPr>
            </w:r>
            <w:r w:rsidR="00D74484">
              <w:rPr>
                <w:noProof/>
                <w:webHidden/>
              </w:rPr>
              <w:fldChar w:fldCharType="separate"/>
            </w:r>
            <w:r w:rsidR="00D74484">
              <w:rPr>
                <w:noProof/>
                <w:webHidden/>
              </w:rPr>
              <w:t>8</w:t>
            </w:r>
            <w:r w:rsidR="00D74484">
              <w:rPr>
                <w:noProof/>
                <w:webHidden/>
              </w:rPr>
              <w:fldChar w:fldCharType="end"/>
            </w:r>
          </w:hyperlink>
        </w:p>
        <w:p w14:paraId="6092DE78" w14:textId="1E63F41E" w:rsidR="00D74484" w:rsidRDefault="009B0746">
          <w:pPr>
            <w:pStyle w:val="TOC2"/>
            <w:tabs>
              <w:tab w:val="right" w:leader="dot" w:pos="9016"/>
            </w:tabs>
            <w:rPr>
              <w:rFonts w:asciiTheme="minorHAnsi" w:eastAsiaTheme="minorEastAsia" w:hAnsiTheme="minorHAnsi"/>
              <w:noProof/>
              <w:lang w:eastAsia="en-GB"/>
            </w:rPr>
          </w:pPr>
          <w:hyperlink w:anchor="_Toc226330393" w:history="1">
            <w:r w:rsidR="00D74484" w:rsidRPr="00CB2B42">
              <w:rPr>
                <w:rStyle w:val="Hyperlink"/>
                <w:noProof/>
              </w:rPr>
              <w:t>4.4 Proposed Data Analysis Technique (Thematic Analysis)</w:t>
            </w:r>
            <w:r w:rsidR="00D74484">
              <w:rPr>
                <w:noProof/>
                <w:webHidden/>
              </w:rPr>
              <w:tab/>
            </w:r>
            <w:r w:rsidR="00D74484">
              <w:rPr>
                <w:noProof/>
                <w:webHidden/>
              </w:rPr>
              <w:fldChar w:fldCharType="begin"/>
            </w:r>
            <w:r w:rsidR="00D74484">
              <w:rPr>
                <w:noProof/>
                <w:webHidden/>
              </w:rPr>
              <w:instrText xml:space="preserve"> PAGEREF _Toc226330393 \h </w:instrText>
            </w:r>
            <w:r w:rsidR="00D74484">
              <w:rPr>
                <w:noProof/>
                <w:webHidden/>
              </w:rPr>
            </w:r>
            <w:r w:rsidR="00D74484">
              <w:rPr>
                <w:noProof/>
                <w:webHidden/>
              </w:rPr>
              <w:fldChar w:fldCharType="separate"/>
            </w:r>
            <w:r w:rsidR="00D74484">
              <w:rPr>
                <w:noProof/>
                <w:webHidden/>
              </w:rPr>
              <w:t>9</w:t>
            </w:r>
            <w:r w:rsidR="00D74484">
              <w:rPr>
                <w:noProof/>
                <w:webHidden/>
              </w:rPr>
              <w:fldChar w:fldCharType="end"/>
            </w:r>
          </w:hyperlink>
        </w:p>
        <w:p w14:paraId="7D6D91FC" w14:textId="40138962" w:rsidR="00D74484" w:rsidRDefault="009B0746">
          <w:pPr>
            <w:pStyle w:val="TOC2"/>
            <w:tabs>
              <w:tab w:val="right" w:leader="dot" w:pos="9016"/>
            </w:tabs>
            <w:rPr>
              <w:rFonts w:asciiTheme="minorHAnsi" w:eastAsiaTheme="minorEastAsia" w:hAnsiTheme="minorHAnsi"/>
              <w:noProof/>
              <w:lang w:eastAsia="en-GB"/>
            </w:rPr>
          </w:pPr>
          <w:hyperlink w:anchor="_Toc226330394" w:history="1">
            <w:r w:rsidR="00D74484" w:rsidRPr="00CB2B42">
              <w:rPr>
                <w:rStyle w:val="Hyperlink"/>
                <w:noProof/>
              </w:rPr>
              <w:t>4.5 Ethical Considerations</w:t>
            </w:r>
            <w:r w:rsidR="00D74484">
              <w:rPr>
                <w:noProof/>
                <w:webHidden/>
              </w:rPr>
              <w:tab/>
            </w:r>
            <w:r w:rsidR="00D74484">
              <w:rPr>
                <w:noProof/>
                <w:webHidden/>
              </w:rPr>
              <w:fldChar w:fldCharType="begin"/>
            </w:r>
            <w:r w:rsidR="00D74484">
              <w:rPr>
                <w:noProof/>
                <w:webHidden/>
              </w:rPr>
              <w:instrText xml:space="preserve"> PAGEREF _Toc226330394 \h </w:instrText>
            </w:r>
            <w:r w:rsidR="00D74484">
              <w:rPr>
                <w:noProof/>
                <w:webHidden/>
              </w:rPr>
            </w:r>
            <w:r w:rsidR="00D74484">
              <w:rPr>
                <w:noProof/>
                <w:webHidden/>
              </w:rPr>
              <w:fldChar w:fldCharType="separate"/>
            </w:r>
            <w:r w:rsidR="00D74484">
              <w:rPr>
                <w:noProof/>
                <w:webHidden/>
              </w:rPr>
              <w:t>9</w:t>
            </w:r>
            <w:r w:rsidR="00D74484">
              <w:rPr>
                <w:noProof/>
                <w:webHidden/>
              </w:rPr>
              <w:fldChar w:fldCharType="end"/>
            </w:r>
          </w:hyperlink>
        </w:p>
        <w:p w14:paraId="6F865C11" w14:textId="3E97C48A" w:rsidR="00D74484" w:rsidRDefault="009B0746">
          <w:pPr>
            <w:pStyle w:val="TOC2"/>
            <w:tabs>
              <w:tab w:val="right" w:leader="dot" w:pos="9016"/>
            </w:tabs>
            <w:rPr>
              <w:rFonts w:asciiTheme="minorHAnsi" w:eastAsiaTheme="minorEastAsia" w:hAnsiTheme="minorHAnsi"/>
              <w:noProof/>
              <w:lang w:eastAsia="en-GB"/>
            </w:rPr>
          </w:pPr>
          <w:hyperlink w:anchor="_Toc226330395" w:history="1">
            <w:r w:rsidR="00D74484" w:rsidRPr="00CB2B42">
              <w:rPr>
                <w:rStyle w:val="Hyperlink"/>
                <w:noProof/>
              </w:rPr>
              <w:t>4.6 Implication of Research</w:t>
            </w:r>
            <w:r w:rsidR="00D74484">
              <w:rPr>
                <w:noProof/>
                <w:webHidden/>
              </w:rPr>
              <w:tab/>
            </w:r>
            <w:r w:rsidR="00D74484">
              <w:rPr>
                <w:noProof/>
                <w:webHidden/>
              </w:rPr>
              <w:fldChar w:fldCharType="begin"/>
            </w:r>
            <w:r w:rsidR="00D74484">
              <w:rPr>
                <w:noProof/>
                <w:webHidden/>
              </w:rPr>
              <w:instrText xml:space="preserve"> PAGEREF _Toc226330395 \h </w:instrText>
            </w:r>
            <w:r w:rsidR="00D74484">
              <w:rPr>
                <w:noProof/>
                <w:webHidden/>
              </w:rPr>
            </w:r>
            <w:r w:rsidR="00D74484">
              <w:rPr>
                <w:noProof/>
                <w:webHidden/>
              </w:rPr>
              <w:fldChar w:fldCharType="separate"/>
            </w:r>
            <w:r w:rsidR="00D74484">
              <w:rPr>
                <w:noProof/>
                <w:webHidden/>
              </w:rPr>
              <w:t>10</w:t>
            </w:r>
            <w:r w:rsidR="00D74484">
              <w:rPr>
                <w:noProof/>
                <w:webHidden/>
              </w:rPr>
              <w:fldChar w:fldCharType="end"/>
            </w:r>
          </w:hyperlink>
        </w:p>
        <w:p w14:paraId="1086EB32" w14:textId="3E49388A" w:rsidR="00D74484" w:rsidRDefault="009B0746">
          <w:pPr>
            <w:pStyle w:val="TOC2"/>
            <w:tabs>
              <w:tab w:val="right" w:leader="dot" w:pos="9016"/>
            </w:tabs>
            <w:rPr>
              <w:rFonts w:asciiTheme="minorHAnsi" w:eastAsiaTheme="minorEastAsia" w:hAnsiTheme="minorHAnsi"/>
              <w:noProof/>
              <w:lang w:eastAsia="en-GB"/>
            </w:rPr>
          </w:pPr>
          <w:hyperlink w:anchor="_Toc226330396" w:history="1">
            <w:r w:rsidR="00D74484" w:rsidRPr="00CB2B42">
              <w:rPr>
                <w:rStyle w:val="Hyperlink"/>
                <w:noProof/>
              </w:rPr>
              <w:t>4.7 Plan of Work and Time Schedule (Gantt Chart)</w:t>
            </w:r>
            <w:r w:rsidR="00D74484">
              <w:rPr>
                <w:noProof/>
                <w:webHidden/>
              </w:rPr>
              <w:tab/>
            </w:r>
            <w:r w:rsidR="00D74484">
              <w:rPr>
                <w:noProof/>
                <w:webHidden/>
              </w:rPr>
              <w:fldChar w:fldCharType="begin"/>
            </w:r>
            <w:r w:rsidR="00D74484">
              <w:rPr>
                <w:noProof/>
                <w:webHidden/>
              </w:rPr>
              <w:instrText xml:space="preserve"> PAGEREF _Toc226330396 \h </w:instrText>
            </w:r>
            <w:r w:rsidR="00D74484">
              <w:rPr>
                <w:noProof/>
                <w:webHidden/>
              </w:rPr>
            </w:r>
            <w:r w:rsidR="00D74484">
              <w:rPr>
                <w:noProof/>
                <w:webHidden/>
              </w:rPr>
              <w:fldChar w:fldCharType="separate"/>
            </w:r>
            <w:r w:rsidR="00D74484">
              <w:rPr>
                <w:noProof/>
                <w:webHidden/>
              </w:rPr>
              <w:t>11</w:t>
            </w:r>
            <w:r w:rsidR="00D74484">
              <w:rPr>
                <w:noProof/>
                <w:webHidden/>
              </w:rPr>
              <w:fldChar w:fldCharType="end"/>
            </w:r>
          </w:hyperlink>
        </w:p>
        <w:p w14:paraId="22F989C0" w14:textId="6FEAED8D" w:rsidR="00D74484" w:rsidRDefault="009B0746">
          <w:pPr>
            <w:pStyle w:val="TOC1"/>
            <w:tabs>
              <w:tab w:val="right" w:leader="dot" w:pos="9016"/>
            </w:tabs>
            <w:rPr>
              <w:rFonts w:asciiTheme="minorHAnsi" w:eastAsiaTheme="minorEastAsia" w:hAnsiTheme="minorHAnsi"/>
              <w:noProof/>
              <w:lang w:eastAsia="en-GB"/>
            </w:rPr>
          </w:pPr>
          <w:hyperlink w:anchor="_Toc226330397" w:history="1">
            <w:r w:rsidR="00D74484" w:rsidRPr="00CB2B42">
              <w:rPr>
                <w:rStyle w:val="Hyperlink"/>
                <w:noProof/>
              </w:rPr>
              <w:t>References</w:t>
            </w:r>
            <w:r w:rsidR="00D74484">
              <w:rPr>
                <w:noProof/>
                <w:webHidden/>
              </w:rPr>
              <w:tab/>
            </w:r>
            <w:r w:rsidR="00D74484">
              <w:rPr>
                <w:noProof/>
                <w:webHidden/>
              </w:rPr>
              <w:fldChar w:fldCharType="begin"/>
            </w:r>
            <w:r w:rsidR="00D74484">
              <w:rPr>
                <w:noProof/>
                <w:webHidden/>
              </w:rPr>
              <w:instrText xml:space="preserve"> PAGEREF _Toc226330397 \h </w:instrText>
            </w:r>
            <w:r w:rsidR="00D74484">
              <w:rPr>
                <w:noProof/>
                <w:webHidden/>
              </w:rPr>
            </w:r>
            <w:r w:rsidR="00D74484">
              <w:rPr>
                <w:noProof/>
                <w:webHidden/>
              </w:rPr>
              <w:fldChar w:fldCharType="separate"/>
            </w:r>
            <w:r w:rsidR="00D74484">
              <w:rPr>
                <w:noProof/>
                <w:webHidden/>
              </w:rPr>
              <w:t>12</w:t>
            </w:r>
            <w:r w:rsidR="00D74484">
              <w:rPr>
                <w:noProof/>
                <w:webHidden/>
              </w:rPr>
              <w:fldChar w:fldCharType="end"/>
            </w:r>
          </w:hyperlink>
        </w:p>
        <w:p w14:paraId="621E28C0" w14:textId="5A264126" w:rsidR="00242D5A" w:rsidRDefault="00242D5A">
          <w:r>
            <w:rPr>
              <w:b/>
              <w:bCs/>
              <w:noProof/>
            </w:rPr>
            <w:fldChar w:fldCharType="end"/>
          </w:r>
        </w:p>
      </w:sdtContent>
    </w:sdt>
    <w:p w14:paraId="629935B6" w14:textId="0B6C6822" w:rsidR="00FE24DB" w:rsidRPr="00735471" w:rsidRDefault="00B7623B" w:rsidP="00B7623B">
      <w:r>
        <w:br w:type="page"/>
      </w:r>
    </w:p>
    <w:p w14:paraId="24E2CFD2" w14:textId="08F4894D" w:rsidR="00FE24DB" w:rsidRPr="001D11C0" w:rsidRDefault="00FE24DB" w:rsidP="001D11C0">
      <w:pPr>
        <w:pStyle w:val="Heading1"/>
      </w:pPr>
      <w:bookmarkStart w:id="1" w:name="_Toc226330379"/>
      <w:r w:rsidRPr="00FE24DB">
        <w:lastRenderedPageBreak/>
        <w:t>Prevalence of the Problem</w:t>
      </w:r>
      <w:bookmarkEnd w:id="1"/>
    </w:p>
    <w:p w14:paraId="1F44C963" w14:textId="05474623" w:rsidR="001D11C0" w:rsidRDefault="001D11C0" w:rsidP="001D11C0">
      <w:r>
        <w:t>Acute respiratory tract infections (ARTIs) are a complex issue in the health and social care environment of the United Kingdom, presenting a twofold strain on the primary care frontline service and acute secondary care services. The magnitude of the issue can be best explained with a detailed look at the latest surveillance information that shows that the tendency toward respiratory morbidity is high and is on the increase after the COVID-19 pandemic stabilization</w:t>
      </w:r>
      <w:r w:rsidR="00242D5A">
        <w:t xml:space="preserve"> </w:t>
      </w:r>
      <w:r w:rsidR="00242D5A" w:rsidRPr="00242D5A">
        <w:t>(Adamu et al., 2025)</w:t>
      </w:r>
      <w:r>
        <w:t>. The 2024 financial year has shown that the English general respiratory disease emergency admissions rate has risen by 7% over the last financial year and the rate stands at 1,428 per 100,000 people</w:t>
      </w:r>
      <w:r w:rsidR="00242D5A">
        <w:t xml:space="preserve"> </w:t>
      </w:r>
      <w:r w:rsidR="00242D5A" w:rsidRPr="00242D5A">
        <w:t>(</w:t>
      </w:r>
      <w:proofErr w:type="spellStart"/>
      <w:r w:rsidR="00242D5A" w:rsidRPr="00242D5A">
        <w:t>Balea</w:t>
      </w:r>
      <w:proofErr w:type="spellEnd"/>
      <w:r w:rsidR="00242D5A" w:rsidRPr="00242D5A">
        <w:t xml:space="preserve"> et al., 2025)</w:t>
      </w:r>
      <w:r>
        <w:t>. This amounts to approximately 855,000 emergency hospitalisations indicating a significant load to NHS bed capacity and emergency department (ED) throughput</w:t>
      </w:r>
      <w:r w:rsidR="00242D5A">
        <w:t xml:space="preserve"> </w:t>
      </w:r>
      <w:r w:rsidR="00242D5A" w:rsidRPr="00242D5A">
        <w:t>(</w:t>
      </w:r>
      <w:proofErr w:type="spellStart"/>
      <w:r w:rsidR="00242D5A" w:rsidRPr="00242D5A">
        <w:t>Boiko</w:t>
      </w:r>
      <w:proofErr w:type="spellEnd"/>
      <w:r w:rsidR="00242D5A" w:rsidRPr="00242D5A">
        <w:t>, Gulliford and Burgess, 2020)</w:t>
      </w:r>
      <w:r w:rsidR="00242D5A">
        <w:t>.</w:t>
      </w:r>
    </w:p>
    <w:p w14:paraId="5870A47D" w14:textId="3B64108D" w:rsidR="001D11C0" w:rsidRDefault="001D11C0" w:rsidP="001D11C0">
      <w:r>
        <w:t>In the same period, pneumonia admission increased by 16</w:t>
      </w:r>
      <w:r w:rsidR="00242D5A">
        <w:t>%</w:t>
      </w:r>
      <w:r>
        <w:t xml:space="preserve"> and adult asthma-related emergency admissions increased by 17%</w:t>
      </w:r>
      <w:r w:rsidR="00242D5A">
        <w:t xml:space="preserve"> </w:t>
      </w:r>
      <w:r w:rsidR="00242D5A" w:rsidRPr="00242D5A">
        <w:t>(</w:t>
      </w:r>
      <w:proofErr w:type="spellStart"/>
      <w:r w:rsidR="00242D5A" w:rsidRPr="00242D5A">
        <w:t>Bou-Antoun</w:t>
      </w:r>
      <w:proofErr w:type="spellEnd"/>
      <w:r w:rsidR="00242D5A" w:rsidRPr="00242D5A">
        <w:t xml:space="preserve"> et al., 2026)</w:t>
      </w:r>
      <w:r>
        <w:t>.</w:t>
      </w:r>
    </w:p>
    <w:p w14:paraId="18220422" w14:textId="0B7970C8" w:rsidR="00A32B37" w:rsidRPr="00A32B37" w:rsidRDefault="00A32B37" w:rsidP="001D11C0">
      <w:pPr>
        <w:rPr>
          <w:i/>
          <w:iCs/>
        </w:rPr>
      </w:pPr>
      <w:r w:rsidRPr="00A32B37">
        <w:rPr>
          <w:i/>
          <w:iCs/>
        </w:rPr>
        <w:t>Table 1: Emergency Hospital Admissions for Respiratory Conditions in England (FY 2023/24) (GOV.UK, 2025)</w:t>
      </w:r>
    </w:p>
    <w:tbl>
      <w:tblPr>
        <w:tblW w:w="0" w:type="dxa"/>
        <w:tblCellMar>
          <w:left w:w="0" w:type="dxa"/>
          <w:right w:w="0" w:type="dxa"/>
        </w:tblCellMar>
        <w:tblLook w:val="04A0" w:firstRow="1" w:lastRow="0" w:firstColumn="1" w:lastColumn="0" w:noHBand="0" w:noVBand="1"/>
      </w:tblPr>
      <w:tblGrid>
        <w:gridCol w:w="2318"/>
        <w:gridCol w:w="2284"/>
        <w:gridCol w:w="2324"/>
        <w:gridCol w:w="2084"/>
      </w:tblGrid>
      <w:tr w:rsidR="00A32B37" w:rsidRPr="00A32B37" w14:paraId="7836D576" w14:textId="77777777" w:rsidTr="00A32B37">
        <w:trPr>
          <w:trHeight w:val="315"/>
        </w:trPr>
        <w:tc>
          <w:tcPr>
            <w:tcW w:w="0" w:type="auto"/>
            <w:tcBorders>
              <w:top w:val="single" w:sz="6" w:space="0" w:color="284E3F"/>
              <w:left w:val="single" w:sz="6" w:space="0" w:color="284E3F"/>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20BE465B" w14:textId="77777777" w:rsidR="00A32B37" w:rsidRPr="006C219E" w:rsidRDefault="00A32B37" w:rsidP="006C219E">
            <w:pPr>
              <w:spacing w:after="0"/>
              <w:jc w:val="left"/>
              <w:rPr>
                <w:rFonts w:eastAsia="Times New Roman" w:cs="Arial"/>
                <w:color w:val="FFFFFF"/>
                <w:lang w:eastAsia="en-GB"/>
              </w:rPr>
            </w:pPr>
            <w:r w:rsidRPr="006C219E">
              <w:rPr>
                <w:rFonts w:eastAsia="Times New Roman" w:cs="Arial"/>
                <w:color w:val="FFFFFF"/>
                <w:lang w:eastAsia="en-GB"/>
              </w:rPr>
              <w:t>Condition Category</w:t>
            </w: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3E9DD47F" w14:textId="77777777" w:rsidR="00A32B37" w:rsidRPr="006C219E" w:rsidRDefault="00A32B37" w:rsidP="006C219E">
            <w:pPr>
              <w:spacing w:after="0"/>
              <w:jc w:val="left"/>
              <w:rPr>
                <w:rFonts w:eastAsia="Times New Roman" w:cs="Arial"/>
                <w:color w:val="FFFFFF"/>
                <w:lang w:eastAsia="en-GB"/>
              </w:rPr>
            </w:pPr>
            <w:r w:rsidRPr="006C219E">
              <w:rPr>
                <w:rFonts w:eastAsia="Times New Roman" w:cs="Arial"/>
                <w:color w:val="FFFFFF"/>
                <w:lang w:eastAsia="en-GB"/>
              </w:rPr>
              <w:t>Total Number of Admissions</w:t>
            </w: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47EDD1E5" w14:textId="77777777" w:rsidR="00A32B37" w:rsidRPr="006C219E" w:rsidRDefault="00A32B37" w:rsidP="006C219E">
            <w:pPr>
              <w:spacing w:after="0"/>
              <w:jc w:val="left"/>
              <w:rPr>
                <w:rFonts w:eastAsia="Times New Roman" w:cs="Arial"/>
                <w:color w:val="FFFFFF"/>
                <w:lang w:eastAsia="en-GB"/>
              </w:rPr>
            </w:pPr>
            <w:r w:rsidRPr="006C219E">
              <w:rPr>
                <w:rFonts w:eastAsia="Times New Roman" w:cs="Arial"/>
                <w:color w:val="FFFFFF"/>
                <w:lang w:eastAsia="en-GB"/>
              </w:rPr>
              <w:t>Admission Rate (per 100,000)</w:t>
            </w: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099A1C28" w14:textId="77777777" w:rsidR="00A32B37" w:rsidRPr="006C219E" w:rsidRDefault="00A32B37" w:rsidP="006C219E">
            <w:pPr>
              <w:spacing w:after="0"/>
              <w:jc w:val="left"/>
              <w:rPr>
                <w:rFonts w:eastAsia="Times New Roman" w:cs="Arial"/>
                <w:color w:val="FFFFFF"/>
                <w:lang w:eastAsia="en-GB"/>
              </w:rPr>
            </w:pPr>
            <w:r w:rsidRPr="006C219E">
              <w:rPr>
                <w:rFonts w:eastAsia="Times New Roman" w:cs="Arial"/>
                <w:color w:val="FFFFFF"/>
                <w:lang w:eastAsia="en-GB"/>
              </w:rPr>
              <w:t>Year-on-Year Increase (%)</w:t>
            </w:r>
          </w:p>
        </w:tc>
      </w:tr>
      <w:tr w:rsidR="00A32B37" w:rsidRPr="00A32B37" w14:paraId="1D032986" w14:textId="77777777" w:rsidTr="00A32B37">
        <w:trPr>
          <w:trHeight w:val="315"/>
        </w:trPr>
        <w:tc>
          <w:tcPr>
            <w:tcW w:w="0" w:type="auto"/>
            <w:tcBorders>
              <w:top w:val="single" w:sz="6" w:space="0" w:color="CCCCCC"/>
              <w:left w:val="single" w:sz="6" w:space="0" w:color="284E3F"/>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6AA81324" w14:textId="77777777" w:rsidR="00A32B37" w:rsidRPr="006C219E" w:rsidRDefault="00A32B37" w:rsidP="006C219E">
            <w:pPr>
              <w:spacing w:after="0"/>
              <w:jc w:val="left"/>
              <w:rPr>
                <w:rFonts w:eastAsia="Times New Roman" w:cs="Arial"/>
                <w:color w:val="434343"/>
                <w:lang w:eastAsia="en-GB"/>
              </w:rPr>
            </w:pPr>
            <w:r w:rsidRPr="006C219E">
              <w:rPr>
                <w:rFonts w:eastAsia="Times New Roman" w:cs="Arial"/>
                <w:color w:val="434343"/>
                <w:lang w:eastAsia="en-GB"/>
              </w:rPr>
              <w:t>General Respiratory Disease</w:t>
            </w: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4CF32EE8" w14:textId="77777777" w:rsidR="00A32B37" w:rsidRPr="006C219E" w:rsidRDefault="00A32B37" w:rsidP="006C219E">
            <w:pPr>
              <w:spacing w:after="0"/>
              <w:jc w:val="right"/>
              <w:rPr>
                <w:rFonts w:eastAsia="Times New Roman" w:cs="Arial"/>
                <w:color w:val="434343"/>
                <w:lang w:eastAsia="en-GB"/>
              </w:rPr>
            </w:pPr>
            <w:r w:rsidRPr="006C219E">
              <w:rPr>
                <w:rFonts w:eastAsia="Times New Roman" w:cs="Arial"/>
                <w:color w:val="434343"/>
                <w:lang w:eastAsia="en-GB"/>
              </w:rPr>
              <w:t>854,922</w:t>
            </w: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285B6A87" w14:textId="77777777" w:rsidR="00A32B37" w:rsidRPr="006C219E" w:rsidRDefault="00A32B37" w:rsidP="006C219E">
            <w:pPr>
              <w:spacing w:after="0"/>
              <w:jc w:val="right"/>
              <w:rPr>
                <w:rFonts w:eastAsia="Times New Roman" w:cs="Arial"/>
                <w:color w:val="434343"/>
                <w:lang w:eastAsia="en-GB"/>
              </w:rPr>
            </w:pPr>
            <w:r w:rsidRPr="006C219E">
              <w:rPr>
                <w:rFonts w:eastAsia="Times New Roman" w:cs="Arial"/>
                <w:color w:val="434343"/>
                <w:lang w:eastAsia="en-GB"/>
              </w:rPr>
              <w:t>1,428</w:t>
            </w:r>
          </w:p>
        </w:tc>
        <w:tc>
          <w:tcPr>
            <w:tcW w:w="0" w:type="auto"/>
            <w:tcBorders>
              <w:top w:val="single" w:sz="6" w:space="0" w:color="CCCCCC"/>
              <w:left w:val="single" w:sz="6" w:space="0" w:color="CCCCCC"/>
              <w:bottom w:val="single" w:sz="6" w:space="0" w:color="D9D9D9"/>
              <w:right w:val="single" w:sz="6" w:space="0" w:color="284E3F"/>
            </w:tcBorders>
            <w:shd w:val="clear" w:color="auto" w:fill="FFFFFF"/>
            <w:tcMar>
              <w:top w:w="30" w:type="dxa"/>
              <w:left w:w="120" w:type="dxa"/>
              <w:bottom w:w="30" w:type="dxa"/>
              <w:right w:w="120" w:type="dxa"/>
            </w:tcMar>
            <w:vAlign w:val="center"/>
            <w:hideMark/>
          </w:tcPr>
          <w:p w14:paraId="56127444" w14:textId="77777777" w:rsidR="00A32B37" w:rsidRPr="006C219E" w:rsidRDefault="00A32B37" w:rsidP="006C219E">
            <w:pPr>
              <w:spacing w:after="0"/>
              <w:jc w:val="right"/>
              <w:rPr>
                <w:rFonts w:eastAsia="Times New Roman" w:cs="Arial"/>
                <w:color w:val="434343"/>
                <w:lang w:eastAsia="en-GB"/>
              </w:rPr>
            </w:pPr>
            <w:r w:rsidRPr="006C219E">
              <w:rPr>
                <w:rFonts w:eastAsia="Times New Roman" w:cs="Arial"/>
                <w:color w:val="434343"/>
                <w:lang w:eastAsia="en-GB"/>
              </w:rPr>
              <w:t>7%</w:t>
            </w:r>
          </w:p>
        </w:tc>
      </w:tr>
      <w:tr w:rsidR="00A32B37" w:rsidRPr="00A32B37" w14:paraId="0A329CF6" w14:textId="77777777" w:rsidTr="00A32B37">
        <w:trPr>
          <w:trHeight w:val="315"/>
        </w:trPr>
        <w:tc>
          <w:tcPr>
            <w:tcW w:w="0" w:type="auto"/>
            <w:tcBorders>
              <w:top w:val="single" w:sz="6" w:space="0" w:color="CCCCCC"/>
              <w:left w:val="single" w:sz="6" w:space="0" w:color="284E3F"/>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1D5CC4D6" w14:textId="77777777" w:rsidR="00A32B37" w:rsidRPr="006C219E" w:rsidRDefault="00A32B37" w:rsidP="006C219E">
            <w:pPr>
              <w:spacing w:after="0"/>
              <w:jc w:val="left"/>
              <w:rPr>
                <w:rFonts w:eastAsia="Times New Roman" w:cs="Arial"/>
                <w:color w:val="434343"/>
                <w:lang w:eastAsia="en-GB"/>
              </w:rPr>
            </w:pPr>
            <w:r w:rsidRPr="006C219E">
              <w:rPr>
                <w:rFonts w:eastAsia="Times New Roman" w:cs="Arial"/>
                <w:color w:val="434343"/>
                <w:lang w:eastAsia="en-GB"/>
              </w:rPr>
              <w:t>Pneumonia (All Ages)</w:t>
            </w: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0AF80057" w14:textId="77777777" w:rsidR="00A32B37" w:rsidRPr="006C219E" w:rsidRDefault="00A32B37" w:rsidP="006C219E">
            <w:pPr>
              <w:spacing w:after="0"/>
              <w:jc w:val="right"/>
              <w:rPr>
                <w:rFonts w:eastAsia="Times New Roman" w:cs="Arial"/>
                <w:color w:val="434343"/>
                <w:lang w:eastAsia="en-GB"/>
              </w:rPr>
            </w:pPr>
            <w:r w:rsidRPr="006C219E">
              <w:rPr>
                <w:rFonts w:eastAsia="Times New Roman" w:cs="Arial"/>
                <w:color w:val="434343"/>
                <w:lang w:eastAsia="en-GB"/>
              </w:rPr>
              <w:t>252,912</w:t>
            </w: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6731BEBA" w14:textId="77777777" w:rsidR="00A32B37" w:rsidRPr="006C219E" w:rsidRDefault="00A32B37" w:rsidP="006C219E">
            <w:pPr>
              <w:spacing w:after="0"/>
              <w:jc w:val="right"/>
              <w:rPr>
                <w:rFonts w:eastAsia="Times New Roman" w:cs="Arial"/>
                <w:color w:val="434343"/>
                <w:lang w:eastAsia="en-GB"/>
              </w:rPr>
            </w:pPr>
            <w:r w:rsidRPr="006C219E">
              <w:rPr>
                <w:rFonts w:eastAsia="Times New Roman" w:cs="Arial"/>
                <w:color w:val="434343"/>
                <w:lang w:eastAsia="en-GB"/>
              </w:rPr>
              <w:t>430</w:t>
            </w:r>
          </w:p>
        </w:tc>
        <w:tc>
          <w:tcPr>
            <w:tcW w:w="0" w:type="auto"/>
            <w:tcBorders>
              <w:top w:val="single" w:sz="6" w:space="0" w:color="CCCCCC"/>
              <w:left w:val="single" w:sz="6" w:space="0" w:color="CCCCCC"/>
              <w:bottom w:val="single" w:sz="6" w:space="0" w:color="D9D9D9"/>
              <w:right w:val="single" w:sz="6" w:space="0" w:color="284E3F"/>
            </w:tcBorders>
            <w:shd w:val="clear" w:color="auto" w:fill="F6F8F9"/>
            <w:tcMar>
              <w:top w:w="30" w:type="dxa"/>
              <w:left w:w="120" w:type="dxa"/>
              <w:bottom w:w="30" w:type="dxa"/>
              <w:right w:w="120" w:type="dxa"/>
            </w:tcMar>
            <w:vAlign w:val="center"/>
            <w:hideMark/>
          </w:tcPr>
          <w:p w14:paraId="7A6EDD74" w14:textId="77777777" w:rsidR="00A32B37" w:rsidRPr="006C219E" w:rsidRDefault="00A32B37" w:rsidP="006C219E">
            <w:pPr>
              <w:spacing w:after="0"/>
              <w:jc w:val="right"/>
              <w:rPr>
                <w:rFonts w:eastAsia="Times New Roman" w:cs="Arial"/>
                <w:color w:val="434343"/>
                <w:lang w:eastAsia="en-GB"/>
              </w:rPr>
            </w:pPr>
            <w:r w:rsidRPr="006C219E">
              <w:rPr>
                <w:rFonts w:eastAsia="Times New Roman" w:cs="Arial"/>
                <w:color w:val="434343"/>
                <w:lang w:eastAsia="en-GB"/>
              </w:rPr>
              <w:t>16%</w:t>
            </w:r>
          </w:p>
        </w:tc>
      </w:tr>
      <w:tr w:rsidR="00A32B37" w:rsidRPr="00A32B37" w14:paraId="0BD7DECF" w14:textId="77777777" w:rsidTr="00A32B37">
        <w:trPr>
          <w:trHeight w:val="315"/>
        </w:trPr>
        <w:tc>
          <w:tcPr>
            <w:tcW w:w="0" w:type="auto"/>
            <w:tcBorders>
              <w:top w:val="single" w:sz="6" w:space="0" w:color="CCCCCC"/>
              <w:left w:val="single" w:sz="6" w:space="0" w:color="284E3F"/>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52BC398C" w14:textId="77777777" w:rsidR="00A32B37" w:rsidRPr="006C219E" w:rsidRDefault="00A32B37" w:rsidP="006C219E">
            <w:pPr>
              <w:spacing w:after="0"/>
              <w:jc w:val="left"/>
              <w:rPr>
                <w:rFonts w:eastAsia="Times New Roman" w:cs="Arial"/>
                <w:color w:val="434343"/>
                <w:lang w:eastAsia="en-GB"/>
              </w:rPr>
            </w:pPr>
            <w:r w:rsidRPr="006C219E">
              <w:rPr>
                <w:rFonts w:eastAsia="Times New Roman" w:cs="Arial"/>
                <w:color w:val="434343"/>
                <w:lang w:eastAsia="en-GB"/>
              </w:rPr>
              <w:t>Adult Asthma (Aged 19+)</w:t>
            </w: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19F881D5" w14:textId="77777777" w:rsidR="00A32B37" w:rsidRPr="006C219E" w:rsidRDefault="00A32B37" w:rsidP="006C219E">
            <w:pPr>
              <w:spacing w:after="0"/>
              <w:jc w:val="right"/>
              <w:rPr>
                <w:rFonts w:eastAsia="Times New Roman" w:cs="Arial"/>
                <w:color w:val="434343"/>
                <w:lang w:eastAsia="en-GB"/>
              </w:rPr>
            </w:pPr>
            <w:r w:rsidRPr="006C219E">
              <w:rPr>
                <w:rFonts w:eastAsia="Times New Roman" w:cs="Arial"/>
                <w:color w:val="434343"/>
                <w:lang w:eastAsia="en-GB"/>
              </w:rPr>
              <w:t>41,367</w:t>
            </w: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6D999747" w14:textId="77777777" w:rsidR="00A32B37" w:rsidRPr="006C219E" w:rsidRDefault="00A32B37" w:rsidP="006C219E">
            <w:pPr>
              <w:spacing w:after="0"/>
              <w:jc w:val="right"/>
              <w:rPr>
                <w:rFonts w:eastAsia="Times New Roman" w:cs="Arial"/>
                <w:color w:val="434343"/>
                <w:lang w:eastAsia="en-GB"/>
              </w:rPr>
            </w:pPr>
            <w:r w:rsidRPr="006C219E">
              <w:rPr>
                <w:rFonts w:eastAsia="Times New Roman" w:cs="Arial"/>
                <w:color w:val="434343"/>
                <w:lang w:eastAsia="en-GB"/>
              </w:rPr>
              <w:t>85</w:t>
            </w:r>
          </w:p>
        </w:tc>
        <w:tc>
          <w:tcPr>
            <w:tcW w:w="0" w:type="auto"/>
            <w:tcBorders>
              <w:top w:val="single" w:sz="6" w:space="0" w:color="CCCCCC"/>
              <w:left w:val="single" w:sz="6" w:space="0" w:color="CCCCCC"/>
              <w:bottom w:val="single" w:sz="6" w:space="0" w:color="D9D9D9"/>
              <w:right w:val="single" w:sz="6" w:space="0" w:color="284E3F"/>
            </w:tcBorders>
            <w:shd w:val="clear" w:color="auto" w:fill="FFFFFF"/>
            <w:tcMar>
              <w:top w:w="30" w:type="dxa"/>
              <w:left w:w="120" w:type="dxa"/>
              <w:bottom w:w="30" w:type="dxa"/>
              <w:right w:w="120" w:type="dxa"/>
            </w:tcMar>
            <w:vAlign w:val="center"/>
            <w:hideMark/>
          </w:tcPr>
          <w:p w14:paraId="384D62E6" w14:textId="77777777" w:rsidR="00A32B37" w:rsidRPr="006C219E" w:rsidRDefault="00A32B37" w:rsidP="006C219E">
            <w:pPr>
              <w:spacing w:after="0"/>
              <w:jc w:val="right"/>
              <w:rPr>
                <w:rFonts w:eastAsia="Times New Roman" w:cs="Arial"/>
                <w:color w:val="434343"/>
                <w:lang w:eastAsia="en-GB"/>
              </w:rPr>
            </w:pPr>
            <w:r w:rsidRPr="006C219E">
              <w:rPr>
                <w:rFonts w:eastAsia="Times New Roman" w:cs="Arial"/>
                <w:color w:val="434343"/>
                <w:lang w:eastAsia="en-GB"/>
              </w:rPr>
              <w:t>17%</w:t>
            </w:r>
          </w:p>
        </w:tc>
      </w:tr>
      <w:tr w:rsidR="00A32B37" w:rsidRPr="00A32B37" w14:paraId="73EF8F1D" w14:textId="77777777" w:rsidTr="00A32B37">
        <w:trPr>
          <w:trHeight w:val="315"/>
        </w:trPr>
        <w:tc>
          <w:tcPr>
            <w:tcW w:w="0" w:type="auto"/>
            <w:tcBorders>
              <w:top w:val="single" w:sz="6" w:space="0" w:color="CCCCCC"/>
              <w:left w:val="single" w:sz="6" w:space="0" w:color="284E3F"/>
              <w:bottom w:val="single" w:sz="6" w:space="0" w:color="284E3F"/>
              <w:right w:val="single" w:sz="6" w:space="0" w:color="D9D9D9"/>
            </w:tcBorders>
            <w:shd w:val="clear" w:color="auto" w:fill="F6F8F9"/>
            <w:tcMar>
              <w:top w:w="30" w:type="dxa"/>
              <w:left w:w="120" w:type="dxa"/>
              <w:bottom w:w="30" w:type="dxa"/>
              <w:right w:w="120" w:type="dxa"/>
            </w:tcMar>
            <w:vAlign w:val="center"/>
            <w:hideMark/>
          </w:tcPr>
          <w:p w14:paraId="738B6916" w14:textId="77777777" w:rsidR="00A32B37" w:rsidRPr="006C219E" w:rsidRDefault="00A32B37" w:rsidP="006C219E">
            <w:pPr>
              <w:spacing w:after="0"/>
              <w:jc w:val="left"/>
              <w:rPr>
                <w:rFonts w:eastAsia="Times New Roman" w:cs="Arial"/>
                <w:color w:val="434343"/>
                <w:lang w:eastAsia="en-GB"/>
              </w:rPr>
            </w:pPr>
            <w:r w:rsidRPr="006C219E">
              <w:rPr>
                <w:rFonts w:eastAsia="Times New Roman" w:cs="Arial"/>
                <w:color w:val="434343"/>
                <w:lang w:eastAsia="en-GB"/>
              </w:rPr>
              <w:t>COPD (All Ages)</w:t>
            </w:r>
          </w:p>
        </w:tc>
        <w:tc>
          <w:tcPr>
            <w:tcW w:w="0" w:type="auto"/>
            <w:tcBorders>
              <w:top w:val="single" w:sz="6" w:space="0" w:color="CCCCCC"/>
              <w:left w:val="single" w:sz="6" w:space="0" w:color="CCCCCC"/>
              <w:bottom w:val="single" w:sz="6" w:space="0" w:color="284E3F"/>
              <w:right w:val="single" w:sz="6" w:space="0" w:color="D9D9D9"/>
            </w:tcBorders>
            <w:shd w:val="clear" w:color="auto" w:fill="F6F8F9"/>
            <w:tcMar>
              <w:top w:w="30" w:type="dxa"/>
              <w:left w:w="120" w:type="dxa"/>
              <w:bottom w:w="30" w:type="dxa"/>
              <w:right w:w="120" w:type="dxa"/>
            </w:tcMar>
            <w:vAlign w:val="center"/>
            <w:hideMark/>
          </w:tcPr>
          <w:p w14:paraId="464B728B" w14:textId="77777777" w:rsidR="00A32B37" w:rsidRPr="006C219E" w:rsidRDefault="00A32B37" w:rsidP="006C219E">
            <w:pPr>
              <w:spacing w:after="0"/>
              <w:jc w:val="right"/>
              <w:rPr>
                <w:rFonts w:eastAsia="Times New Roman" w:cs="Arial"/>
                <w:color w:val="434343"/>
                <w:lang w:eastAsia="en-GB"/>
              </w:rPr>
            </w:pPr>
            <w:r w:rsidRPr="006C219E">
              <w:rPr>
                <w:rFonts w:eastAsia="Times New Roman" w:cs="Arial"/>
                <w:color w:val="434343"/>
                <w:lang w:eastAsia="en-GB"/>
              </w:rPr>
              <w:t>121,129</w:t>
            </w:r>
          </w:p>
        </w:tc>
        <w:tc>
          <w:tcPr>
            <w:tcW w:w="0" w:type="auto"/>
            <w:tcBorders>
              <w:top w:val="single" w:sz="6" w:space="0" w:color="CCCCCC"/>
              <w:left w:val="single" w:sz="6" w:space="0" w:color="CCCCCC"/>
              <w:bottom w:val="single" w:sz="6" w:space="0" w:color="284E3F"/>
              <w:right w:val="single" w:sz="6" w:space="0" w:color="D9D9D9"/>
            </w:tcBorders>
            <w:shd w:val="clear" w:color="auto" w:fill="F6F8F9"/>
            <w:tcMar>
              <w:top w:w="30" w:type="dxa"/>
              <w:left w:w="120" w:type="dxa"/>
              <w:bottom w:w="30" w:type="dxa"/>
              <w:right w:w="120" w:type="dxa"/>
            </w:tcMar>
            <w:vAlign w:val="center"/>
            <w:hideMark/>
          </w:tcPr>
          <w:p w14:paraId="57761A95" w14:textId="77777777" w:rsidR="00A32B37" w:rsidRPr="006C219E" w:rsidRDefault="00A32B37" w:rsidP="006C219E">
            <w:pPr>
              <w:spacing w:after="0"/>
              <w:jc w:val="right"/>
              <w:rPr>
                <w:rFonts w:eastAsia="Times New Roman" w:cs="Arial"/>
                <w:color w:val="434343"/>
                <w:lang w:eastAsia="en-GB"/>
              </w:rPr>
            </w:pPr>
            <w:r w:rsidRPr="006C219E">
              <w:rPr>
                <w:rFonts w:eastAsia="Times New Roman" w:cs="Arial"/>
                <w:color w:val="434343"/>
                <w:lang w:eastAsia="en-GB"/>
              </w:rPr>
              <w:t>208</w:t>
            </w:r>
          </w:p>
        </w:tc>
        <w:tc>
          <w:tcPr>
            <w:tcW w:w="0" w:type="auto"/>
            <w:tcBorders>
              <w:top w:val="single" w:sz="6" w:space="0" w:color="CCCCCC"/>
              <w:left w:val="single" w:sz="6" w:space="0" w:color="CCCCCC"/>
              <w:bottom w:val="single" w:sz="6" w:space="0" w:color="284E3F"/>
              <w:right w:val="single" w:sz="6" w:space="0" w:color="284E3F"/>
            </w:tcBorders>
            <w:shd w:val="clear" w:color="auto" w:fill="F6F8F9"/>
            <w:tcMar>
              <w:top w:w="30" w:type="dxa"/>
              <w:left w:w="120" w:type="dxa"/>
              <w:bottom w:w="30" w:type="dxa"/>
              <w:right w:w="120" w:type="dxa"/>
            </w:tcMar>
            <w:vAlign w:val="center"/>
            <w:hideMark/>
          </w:tcPr>
          <w:p w14:paraId="68E6A908" w14:textId="77777777" w:rsidR="00A32B37" w:rsidRPr="006C219E" w:rsidRDefault="00A32B37" w:rsidP="006C219E">
            <w:pPr>
              <w:spacing w:after="0"/>
              <w:jc w:val="right"/>
              <w:rPr>
                <w:rFonts w:eastAsia="Times New Roman" w:cs="Arial"/>
                <w:color w:val="434343"/>
                <w:lang w:eastAsia="en-GB"/>
              </w:rPr>
            </w:pPr>
            <w:r w:rsidRPr="006C219E">
              <w:rPr>
                <w:rFonts w:eastAsia="Times New Roman" w:cs="Arial"/>
                <w:color w:val="434343"/>
                <w:lang w:eastAsia="en-GB"/>
              </w:rPr>
              <w:t>9%</w:t>
            </w:r>
          </w:p>
        </w:tc>
      </w:tr>
    </w:tbl>
    <w:p w14:paraId="1C6FD49E" w14:textId="77777777" w:rsidR="00A32B37" w:rsidRDefault="00A32B37" w:rsidP="001D11C0"/>
    <w:p w14:paraId="0408EE1F" w14:textId="318D2654" w:rsidR="00B7623B" w:rsidRDefault="001D11C0">
      <w:r>
        <w:t>The general occurrence of the issue is directly connected to the socioeconomic determinants of health. In 2024, the gap in health inequalities is very wide; the hospital admission rate in infectious diseases, such as ARTIs, is nearly twice in the 20% most deprived regions as in the least deprived regions</w:t>
      </w:r>
      <w:r w:rsidR="00242D5A">
        <w:t xml:space="preserve"> </w:t>
      </w:r>
      <w:r w:rsidR="00242D5A" w:rsidRPr="00242D5A">
        <w:t>(</w:t>
      </w:r>
      <w:proofErr w:type="spellStart"/>
      <w:r w:rsidR="00242D5A" w:rsidRPr="00242D5A">
        <w:t>Roleston</w:t>
      </w:r>
      <w:proofErr w:type="spellEnd"/>
      <w:r w:rsidR="00242D5A" w:rsidRPr="00242D5A">
        <w:t xml:space="preserve"> et al., 2025; Clarke et al., 2025)</w:t>
      </w:r>
      <w:r>
        <w:t>. Environmental factors, common within urban deprived communities, including low standard of housing, contact with work-related dust and chemicals, and much greater rates of smoking and air pollution exposure, contribute to this difference</w:t>
      </w:r>
      <w:r w:rsidR="00242D5A">
        <w:t xml:space="preserve"> </w:t>
      </w:r>
      <w:r w:rsidR="00242D5A" w:rsidRPr="00242D5A">
        <w:t>(</w:t>
      </w:r>
      <w:proofErr w:type="spellStart"/>
      <w:r w:rsidR="00242D5A" w:rsidRPr="00242D5A">
        <w:t>Eley</w:t>
      </w:r>
      <w:proofErr w:type="spellEnd"/>
      <w:r w:rsidR="00242D5A" w:rsidRPr="00242D5A">
        <w:t xml:space="preserve"> et al., 2018)</w:t>
      </w:r>
      <w:r>
        <w:t xml:space="preserve">. The cost of ARTIs in the United Kingdom is enormous economically, and the direct cost to the NHS is lung diseases costing </w:t>
      </w:r>
      <w:r>
        <w:lastRenderedPageBreak/>
        <w:t>the United Kingdom about 11 billion a year. In the bigger picture of the entire society the expenses would be increased through loss of productivity</w:t>
      </w:r>
      <w:r w:rsidR="00242D5A">
        <w:t xml:space="preserve"> </w:t>
      </w:r>
      <w:r w:rsidR="00242D5A" w:rsidRPr="00242D5A">
        <w:t xml:space="preserve">(Daniels, Tarek El </w:t>
      </w:r>
      <w:proofErr w:type="spellStart"/>
      <w:r w:rsidR="00242D5A" w:rsidRPr="00242D5A">
        <w:t>Omda</w:t>
      </w:r>
      <w:proofErr w:type="spellEnd"/>
      <w:r w:rsidR="00242D5A" w:rsidRPr="00242D5A">
        <w:t xml:space="preserve"> and </w:t>
      </w:r>
      <w:proofErr w:type="spellStart"/>
      <w:r w:rsidR="00242D5A" w:rsidRPr="00242D5A">
        <w:t>Kinan</w:t>
      </w:r>
      <w:proofErr w:type="spellEnd"/>
      <w:r w:rsidR="00242D5A" w:rsidRPr="00242D5A">
        <w:t xml:space="preserve"> </w:t>
      </w:r>
      <w:proofErr w:type="spellStart"/>
      <w:r w:rsidR="00242D5A" w:rsidRPr="00242D5A">
        <w:t>Mokbel</w:t>
      </w:r>
      <w:proofErr w:type="spellEnd"/>
      <w:r w:rsidR="00242D5A" w:rsidRPr="00242D5A">
        <w:t>, 2024)</w:t>
      </w:r>
      <w:r>
        <w:t>.</w:t>
      </w:r>
    </w:p>
    <w:p w14:paraId="2EF1777E" w14:textId="3237743D" w:rsidR="00B7623B" w:rsidRDefault="00A32B37" w:rsidP="00A32B37">
      <w:pPr>
        <w:pStyle w:val="Heading1"/>
      </w:pPr>
      <w:bookmarkStart w:id="2" w:name="_Toc226330380"/>
      <w:r w:rsidRPr="00A32B37">
        <w:t>Background to the Study and Literature Review</w:t>
      </w:r>
      <w:bookmarkEnd w:id="2"/>
    </w:p>
    <w:p w14:paraId="14730A96" w14:textId="56303A3B" w:rsidR="00A32B37" w:rsidRDefault="00A32B37">
      <w:r w:rsidRPr="00A32B37">
        <w:t>Treatment of acute respiratory tract infection in the adult population of the United Kingdom holds a key place in the crossroads of care of the individual patient and the population health strategy.</w:t>
      </w:r>
    </w:p>
    <w:p w14:paraId="33718822" w14:textId="5E007FEE" w:rsidR="00A32B37" w:rsidRDefault="00A32B37" w:rsidP="00A32B37">
      <w:pPr>
        <w:pStyle w:val="Heading2"/>
      </w:pPr>
      <w:bookmarkStart w:id="3" w:name="_Toc226330381"/>
      <w:r w:rsidRPr="00A32B37">
        <w:t>The Evolution of Clinical Guidelines and Diagnostic Challenges</w:t>
      </w:r>
      <w:bookmarkEnd w:id="3"/>
    </w:p>
    <w:p w14:paraId="22EB79A7" w14:textId="7B0FBFC8" w:rsidR="00A32B37" w:rsidRDefault="00A32B37" w:rsidP="00A32B37">
      <w:r>
        <w:t xml:space="preserve">In the UK, the management of ARTI is based on the National Institute of Health and Care Excellence (NICE). </w:t>
      </w:r>
      <w:r w:rsidR="00735471">
        <w:t xml:space="preserve">According to </w:t>
      </w:r>
      <w:r w:rsidR="00735471" w:rsidRPr="00242D5A">
        <w:t>Foley et al.</w:t>
      </w:r>
      <w:r w:rsidR="00735471">
        <w:t xml:space="preserve"> (</w:t>
      </w:r>
      <w:r w:rsidR="00735471" w:rsidRPr="00242D5A">
        <w:t>2024)</w:t>
      </w:r>
      <w:r w:rsidR="00735471">
        <w:t xml:space="preserve"> </w:t>
      </w:r>
      <w:r>
        <w:t>Recently revised guideline, NG237 (Suspected acute respiratory infection in over 16s: assessment at first presentation and initial management), focuses on a patient-centred, holistic strategy which includes remote and in-person assessment</w:t>
      </w:r>
      <w:r w:rsidR="00735471">
        <w:t>.</w:t>
      </w:r>
    </w:p>
    <w:p w14:paraId="5438B3BD" w14:textId="689C87D1" w:rsidR="00A32B37" w:rsidRDefault="00735471" w:rsidP="00A32B37">
      <w:r>
        <w:t xml:space="preserve">According to </w:t>
      </w:r>
      <w:r w:rsidRPr="00242D5A">
        <w:t>Harrison et al.</w:t>
      </w:r>
      <w:r>
        <w:t xml:space="preserve"> (</w:t>
      </w:r>
      <w:r w:rsidRPr="00242D5A">
        <w:t>2025)</w:t>
      </w:r>
      <w:r>
        <w:t xml:space="preserve"> </w:t>
      </w:r>
      <w:r w:rsidR="00A32B37">
        <w:t>The concept of diagnostic strategies in primary care has been based on clinical prediction rules (CPRs) to compensate the lag in turnaround time of the traditional laboratory microbiology</w:t>
      </w:r>
      <w:r>
        <w:t xml:space="preserve">. </w:t>
      </w:r>
      <w:r w:rsidR="00A32B37">
        <w:t xml:space="preserve">In case of acute sore throat, </w:t>
      </w:r>
      <w:r w:rsidR="0077348B">
        <w:t>Fever PAIN</w:t>
      </w:r>
      <w:r w:rsidR="00A32B37">
        <w:t xml:space="preserve"> or Centor scores should be used, according to NICE</w:t>
      </w:r>
      <w:r w:rsidR="00242D5A">
        <w:t xml:space="preserve"> (2023)</w:t>
      </w:r>
      <w:r w:rsidR="00A32B37">
        <w:t xml:space="preserve">. Centor criteria are </w:t>
      </w:r>
      <w:r w:rsidR="0077348B">
        <w:t>cantered</w:t>
      </w:r>
      <w:r w:rsidR="00A32B37">
        <w:t xml:space="preserve"> on tonsillar exudate, tender cervical lymphadenopathy, previous fever and no cough with a score of 3 or 4 indicating a 32-56 percent probability of streptococcal infection. On the other hand, the </w:t>
      </w:r>
      <w:r w:rsidR="0077348B">
        <w:t>Fever PAIN</w:t>
      </w:r>
      <w:r w:rsidR="00A32B37">
        <w:t xml:space="preserve"> scale adds such criteria like purulence and timeliness (within 3 days), and a score above that corresponds to a probability of bacterial isolation up to 65%</w:t>
      </w:r>
      <w:r w:rsidR="00242D5A">
        <w:t xml:space="preserve"> </w:t>
      </w:r>
      <w:r w:rsidR="00242D5A" w:rsidRPr="00242D5A">
        <w:t>(Lynch, 2025)</w:t>
      </w:r>
      <w:r w:rsidR="00A32B37">
        <w:t>.</w:t>
      </w:r>
    </w:p>
    <w:p w14:paraId="5105A52E" w14:textId="1C60D631" w:rsidR="00A32B37" w:rsidRPr="000F2F5A" w:rsidRDefault="00A32B37" w:rsidP="00A32B37">
      <w:pPr>
        <w:rPr>
          <w:i/>
          <w:iCs/>
        </w:rPr>
      </w:pPr>
      <w:r w:rsidRPr="000F2F5A">
        <w:rPr>
          <w:i/>
          <w:iCs/>
        </w:rPr>
        <w:t xml:space="preserve">Table </w:t>
      </w:r>
      <w:r w:rsidR="000F2F5A" w:rsidRPr="000F2F5A">
        <w:rPr>
          <w:i/>
          <w:iCs/>
        </w:rPr>
        <w:t>2</w:t>
      </w:r>
      <w:r w:rsidRPr="000F2F5A">
        <w:rPr>
          <w:i/>
          <w:iCs/>
        </w:rPr>
        <w:t>: Comparison of Clinical Prediction Rules for Acute Sore Throat</w:t>
      </w:r>
    </w:p>
    <w:tbl>
      <w:tblPr>
        <w:tblStyle w:val="PlainTable1"/>
        <w:tblW w:w="0" w:type="dxa"/>
        <w:tblLook w:val="04A0" w:firstRow="1" w:lastRow="0" w:firstColumn="1" w:lastColumn="0" w:noHBand="0" w:noVBand="1"/>
      </w:tblPr>
      <w:tblGrid>
        <w:gridCol w:w="1280"/>
        <w:gridCol w:w="3468"/>
        <w:gridCol w:w="3188"/>
      </w:tblGrid>
      <w:tr w:rsidR="00A32B37" w14:paraId="0ADD1067" w14:textId="77777777" w:rsidTr="00242D5A">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779C628F" w14:textId="77777777" w:rsidR="00A32B37" w:rsidRPr="006C219E" w:rsidRDefault="00A32B37" w:rsidP="006C219E">
            <w:pPr>
              <w:jc w:val="left"/>
              <w:rPr>
                <w:rFonts w:cs="Arial"/>
              </w:rPr>
            </w:pPr>
            <w:r w:rsidRPr="006C219E">
              <w:rPr>
                <w:rFonts w:cs="Arial"/>
              </w:rPr>
              <w:t>Criterion</w:t>
            </w:r>
          </w:p>
        </w:tc>
        <w:tc>
          <w:tcPr>
            <w:tcW w:w="0" w:type="auto"/>
            <w:hideMark/>
          </w:tcPr>
          <w:p w14:paraId="457E0980" w14:textId="7C836611" w:rsidR="00A32B37" w:rsidRPr="006C219E" w:rsidRDefault="0077348B" w:rsidP="006C219E">
            <w:pPr>
              <w:cnfStyle w:val="100000000000" w:firstRow="1" w:lastRow="0" w:firstColumn="0" w:lastColumn="0" w:oddVBand="0" w:evenVBand="0" w:oddHBand="0" w:evenHBand="0" w:firstRowFirstColumn="0" w:firstRowLastColumn="0" w:lastRowFirstColumn="0" w:lastRowLastColumn="0"/>
              <w:rPr>
                <w:rFonts w:cs="Arial"/>
              </w:rPr>
            </w:pPr>
            <w:r w:rsidRPr="006C219E">
              <w:rPr>
                <w:rFonts w:cs="Arial"/>
              </w:rPr>
              <w:t>Fever PAIN</w:t>
            </w:r>
            <w:r w:rsidR="00A32B37" w:rsidRPr="006C219E">
              <w:rPr>
                <w:rFonts w:cs="Arial"/>
              </w:rPr>
              <w:t xml:space="preserve"> Score Components</w:t>
            </w:r>
          </w:p>
        </w:tc>
        <w:tc>
          <w:tcPr>
            <w:tcW w:w="0" w:type="auto"/>
            <w:hideMark/>
          </w:tcPr>
          <w:p w14:paraId="0F3F4F97" w14:textId="77777777" w:rsidR="00A32B37" w:rsidRPr="006C219E" w:rsidRDefault="00A32B37" w:rsidP="006C219E">
            <w:pPr>
              <w:cnfStyle w:val="100000000000" w:firstRow="1" w:lastRow="0" w:firstColumn="0" w:lastColumn="0" w:oddVBand="0" w:evenVBand="0" w:oddHBand="0" w:evenHBand="0" w:firstRowFirstColumn="0" w:firstRowLastColumn="0" w:lastRowFirstColumn="0" w:lastRowLastColumn="0"/>
              <w:rPr>
                <w:rFonts w:cs="Arial"/>
              </w:rPr>
            </w:pPr>
            <w:r w:rsidRPr="006C219E">
              <w:rPr>
                <w:rFonts w:cs="Arial"/>
              </w:rPr>
              <w:t>Centor Score Components</w:t>
            </w:r>
          </w:p>
        </w:tc>
      </w:tr>
      <w:tr w:rsidR="00A32B37" w14:paraId="1BE049BE" w14:textId="77777777" w:rsidTr="00242D5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5DCAE9E7" w14:textId="77777777" w:rsidR="00A32B37" w:rsidRPr="006C219E" w:rsidRDefault="00A32B37" w:rsidP="006C219E">
            <w:pPr>
              <w:rPr>
                <w:rFonts w:cs="Arial"/>
              </w:rPr>
            </w:pPr>
            <w:r w:rsidRPr="006C219E">
              <w:rPr>
                <w:rFonts w:cs="Arial"/>
              </w:rPr>
              <w:t>Fever</w:t>
            </w:r>
          </w:p>
        </w:tc>
        <w:tc>
          <w:tcPr>
            <w:tcW w:w="0" w:type="auto"/>
            <w:hideMark/>
          </w:tcPr>
          <w:p w14:paraId="4C7C1C62" w14:textId="77777777" w:rsidR="00A32B37" w:rsidRPr="006C219E" w:rsidRDefault="00A32B37" w:rsidP="006C219E">
            <w:pPr>
              <w:cnfStyle w:val="000000100000" w:firstRow="0" w:lastRow="0" w:firstColumn="0" w:lastColumn="0" w:oddVBand="0" w:evenVBand="0" w:oddHBand="1" w:evenHBand="0" w:firstRowFirstColumn="0" w:firstRowLastColumn="0" w:lastRowFirstColumn="0" w:lastRowLastColumn="0"/>
              <w:rPr>
                <w:rFonts w:cs="Arial"/>
              </w:rPr>
            </w:pPr>
            <w:r w:rsidRPr="006C219E">
              <w:rPr>
                <w:rFonts w:cs="Arial"/>
              </w:rPr>
              <w:t>Fever during previous 24 hours</w:t>
            </w:r>
          </w:p>
        </w:tc>
        <w:tc>
          <w:tcPr>
            <w:tcW w:w="0" w:type="auto"/>
            <w:hideMark/>
          </w:tcPr>
          <w:p w14:paraId="5059B0CB" w14:textId="77777777" w:rsidR="00A32B37" w:rsidRPr="006C219E" w:rsidRDefault="00A32B37" w:rsidP="006C219E">
            <w:pPr>
              <w:cnfStyle w:val="000000100000" w:firstRow="0" w:lastRow="0" w:firstColumn="0" w:lastColumn="0" w:oddVBand="0" w:evenVBand="0" w:oddHBand="1" w:evenHBand="0" w:firstRowFirstColumn="0" w:firstRowLastColumn="0" w:lastRowFirstColumn="0" w:lastRowLastColumn="0"/>
              <w:rPr>
                <w:rFonts w:cs="Arial"/>
              </w:rPr>
            </w:pPr>
            <w:r w:rsidRPr="006C219E">
              <w:rPr>
                <w:rFonts w:cs="Arial"/>
              </w:rPr>
              <w:t>History of fever (&gt;38.5°C)</w:t>
            </w:r>
          </w:p>
        </w:tc>
      </w:tr>
      <w:tr w:rsidR="00A32B37" w14:paraId="1CB1B66C" w14:textId="77777777" w:rsidTr="00242D5A">
        <w:trPr>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0679CA61" w14:textId="77777777" w:rsidR="00A32B37" w:rsidRPr="006C219E" w:rsidRDefault="00A32B37" w:rsidP="006C219E">
            <w:pPr>
              <w:rPr>
                <w:rFonts w:cs="Arial"/>
              </w:rPr>
            </w:pPr>
            <w:r w:rsidRPr="006C219E">
              <w:rPr>
                <w:rFonts w:cs="Arial"/>
              </w:rPr>
              <w:t>Tonsils</w:t>
            </w:r>
          </w:p>
        </w:tc>
        <w:tc>
          <w:tcPr>
            <w:tcW w:w="0" w:type="auto"/>
            <w:hideMark/>
          </w:tcPr>
          <w:p w14:paraId="0955A23D" w14:textId="77777777" w:rsidR="00A32B37" w:rsidRPr="006C219E" w:rsidRDefault="00A32B37" w:rsidP="006C219E">
            <w:pPr>
              <w:cnfStyle w:val="000000000000" w:firstRow="0" w:lastRow="0" w:firstColumn="0" w:lastColumn="0" w:oddVBand="0" w:evenVBand="0" w:oddHBand="0" w:evenHBand="0" w:firstRowFirstColumn="0" w:firstRowLastColumn="0" w:lastRowFirstColumn="0" w:lastRowLastColumn="0"/>
              <w:rPr>
                <w:rFonts w:cs="Arial"/>
              </w:rPr>
            </w:pPr>
            <w:r w:rsidRPr="006C219E">
              <w:rPr>
                <w:rFonts w:cs="Arial"/>
              </w:rPr>
              <w:t>Severely inflamed tonsils</w:t>
            </w:r>
          </w:p>
        </w:tc>
        <w:tc>
          <w:tcPr>
            <w:tcW w:w="0" w:type="auto"/>
            <w:hideMark/>
          </w:tcPr>
          <w:p w14:paraId="353DBE13" w14:textId="77777777" w:rsidR="00A32B37" w:rsidRPr="006C219E" w:rsidRDefault="00A32B37" w:rsidP="006C219E">
            <w:pPr>
              <w:cnfStyle w:val="000000000000" w:firstRow="0" w:lastRow="0" w:firstColumn="0" w:lastColumn="0" w:oddVBand="0" w:evenVBand="0" w:oddHBand="0" w:evenHBand="0" w:firstRowFirstColumn="0" w:firstRowLastColumn="0" w:lastRowFirstColumn="0" w:lastRowLastColumn="0"/>
              <w:rPr>
                <w:rFonts w:cs="Arial"/>
              </w:rPr>
            </w:pPr>
            <w:r w:rsidRPr="006C219E">
              <w:rPr>
                <w:rFonts w:cs="Arial"/>
              </w:rPr>
              <w:t>Tonsillar exudate</w:t>
            </w:r>
          </w:p>
        </w:tc>
      </w:tr>
      <w:tr w:rsidR="00A32B37" w14:paraId="08067F61" w14:textId="77777777" w:rsidTr="00242D5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68B006B4" w14:textId="77777777" w:rsidR="00A32B37" w:rsidRPr="006C219E" w:rsidRDefault="00A32B37" w:rsidP="006C219E">
            <w:pPr>
              <w:rPr>
                <w:rFonts w:cs="Arial"/>
              </w:rPr>
            </w:pPr>
            <w:r w:rsidRPr="006C219E">
              <w:rPr>
                <w:rFonts w:cs="Arial"/>
              </w:rPr>
              <w:t>Purulence</w:t>
            </w:r>
          </w:p>
        </w:tc>
        <w:tc>
          <w:tcPr>
            <w:tcW w:w="0" w:type="auto"/>
            <w:hideMark/>
          </w:tcPr>
          <w:p w14:paraId="43FE0D71" w14:textId="77777777" w:rsidR="00A32B37" w:rsidRPr="006C219E" w:rsidRDefault="00A32B37" w:rsidP="006C219E">
            <w:pPr>
              <w:cnfStyle w:val="000000100000" w:firstRow="0" w:lastRow="0" w:firstColumn="0" w:lastColumn="0" w:oddVBand="0" w:evenVBand="0" w:oddHBand="1" w:evenHBand="0" w:firstRowFirstColumn="0" w:firstRowLastColumn="0" w:lastRowFirstColumn="0" w:lastRowLastColumn="0"/>
              <w:rPr>
                <w:rFonts w:cs="Arial"/>
              </w:rPr>
            </w:pPr>
            <w:r w:rsidRPr="006C219E">
              <w:rPr>
                <w:rFonts w:cs="Arial"/>
              </w:rPr>
              <w:t>Pus on tonsils</w:t>
            </w:r>
          </w:p>
        </w:tc>
        <w:tc>
          <w:tcPr>
            <w:tcW w:w="0" w:type="auto"/>
            <w:hideMark/>
          </w:tcPr>
          <w:p w14:paraId="04569107" w14:textId="77777777" w:rsidR="00A32B37" w:rsidRPr="006C219E" w:rsidRDefault="00A32B37" w:rsidP="006C219E">
            <w:pPr>
              <w:cnfStyle w:val="000000100000" w:firstRow="0" w:lastRow="0" w:firstColumn="0" w:lastColumn="0" w:oddVBand="0" w:evenVBand="0" w:oddHBand="1" w:evenHBand="0" w:firstRowFirstColumn="0" w:firstRowLastColumn="0" w:lastRowFirstColumn="0" w:lastRowLastColumn="0"/>
              <w:rPr>
                <w:rFonts w:cs="Arial"/>
              </w:rPr>
            </w:pPr>
            <w:r w:rsidRPr="006C219E">
              <w:rPr>
                <w:rFonts w:cs="Arial"/>
              </w:rPr>
              <w:t>(Included in exudate)</w:t>
            </w:r>
          </w:p>
        </w:tc>
      </w:tr>
      <w:tr w:rsidR="00A32B37" w14:paraId="36842FED" w14:textId="77777777" w:rsidTr="00242D5A">
        <w:trPr>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7C516ACD" w14:textId="77777777" w:rsidR="00A32B37" w:rsidRPr="006C219E" w:rsidRDefault="00A32B37" w:rsidP="006C219E">
            <w:pPr>
              <w:rPr>
                <w:rFonts w:cs="Arial"/>
              </w:rPr>
            </w:pPr>
            <w:r w:rsidRPr="006C219E">
              <w:rPr>
                <w:rFonts w:cs="Arial"/>
              </w:rPr>
              <w:t>Cough</w:t>
            </w:r>
          </w:p>
        </w:tc>
        <w:tc>
          <w:tcPr>
            <w:tcW w:w="0" w:type="auto"/>
            <w:hideMark/>
          </w:tcPr>
          <w:p w14:paraId="5A7B2E03" w14:textId="77777777" w:rsidR="00A32B37" w:rsidRPr="006C219E" w:rsidRDefault="00A32B37" w:rsidP="006C219E">
            <w:pPr>
              <w:cnfStyle w:val="000000000000" w:firstRow="0" w:lastRow="0" w:firstColumn="0" w:lastColumn="0" w:oddVBand="0" w:evenVBand="0" w:oddHBand="0" w:evenHBand="0" w:firstRowFirstColumn="0" w:firstRowLastColumn="0" w:lastRowFirstColumn="0" w:lastRowLastColumn="0"/>
              <w:rPr>
                <w:rFonts w:cs="Arial"/>
              </w:rPr>
            </w:pPr>
            <w:r w:rsidRPr="006C219E">
              <w:rPr>
                <w:rFonts w:cs="Arial"/>
              </w:rPr>
              <w:t>Absence of cough or coryza</w:t>
            </w:r>
          </w:p>
        </w:tc>
        <w:tc>
          <w:tcPr>
            <w:tcW w:w="0" w:type="auto"/>
            <w:hideMark/>
          </w:tcPr>
          <w:p w14:paraId="42A10687" w14:textId="77777777" w:rsidR="00A32B37" w:rsidRPr="006C219E" w:rsidRDefault="00A32B37" w:rsidP="006C219E">
            <w:pPr>
              <w:cnfStyle w:val="000000000000" w:firstRow="0" w:lastRow="0" w:firstColumn="0" w:lastColumn="0" w:oddVBand="0" w:evenVBand="0" w:oddHBand="0" w:evenHBand="0" w:firstRowFirstColumn="0" w:firstRowLastColumn="0" w:lastRowFirstColumn="0" w:lastRowLastColumn="0"/>
              <w:rPr>
                <w:rFonts w:cs="Arial"/>
              </w:rPr>
            </w:pPr>
            <w:r w:rsidRPr="006C219E">
              <w:rPr>
                <w:rFonts w:cs="Arial"/>
              </w:rPr>
              <w:t>Absence of cough</w:t>
            </w:r>
          </w:p>
        </w:tc>
      </w:tr>
      <w:tr w:rsidR="00A32B37" w14:paraId="4982FED9" w14:textId="77777777" w:rsidTr="00242D5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082F6A7F" w14:textId="77777777" w:rsidR="00A32B37" w:rsidRPr="006C219E" w:rsidRDefault="00A32B37" w:rsidP="006C219E">
            <w:pPr>
              <w:rPr>
                <w:rFonts w:cs="Arial"/>
              </w:rPr>
            </w:pPr>
            <w:r w:rsidRPr="006C219E">
              <w:rPr>
                <w:rFonts w:cs="Arial"/>
              </w:rPr>
              <w:t>Timing</w:t>
            </w:r>
          </w:p>
        </w:tc>
        <w:tc>
          <w:tcPr>
            <w:tcW w:w="0" w:type="auto"/>
            <w:hideMark/>
          </w:tcPr>
          <w:p w14:paraId="1E1543FC" w14:textId="77777777" w:rsidR="00A32B37" w:rsidRPr="006C219E" w:rsidRDefault="00A32B37" w:rsidP="006C219E">
            <w:pPr>
              <w:cnfStyle w:val="000000100000" w:firstRow="0" w:lastRow="0" w:firstColumn="0" w:lastColumn="0" w:oddVBand="0" w:evenVBand="0" w:oddHBand="1" w:evenHBand="0" w:firstRowFirstColumn="0" w:firstRowLastColumn="0" w:lastRowFirstColumn="0" w:lastRowLastColumn="0"/>
              <w:rPr>
                <w:rFonts w:cs="Arial"/>
              </w:rPr>
            </w:pPr>
            <w:r w:rsidRPr="006C219E">
              <w:rPr>
                <w:rFonts w:cs="Arial"/>
              </w:rPr>
              <w:t>Attendance within 3 days</w:t>
            </w:r>
          </w:p>
        </w:tc>
        <w:tc>
          <w:tcPr>
            <w:tcW w:w="0" w:type="auto"/>
            <w:hideMark/>
          </w:tcPr>
          <w:p w14:paraId="30DDD6B7" w14:textId="77777777" w:rsidR="00A32B37" w:rsidRPr="006C219E" w:rsidRDefault="00A32B37" w:rsidP="006C219E">
            <w:pPr>
              <w:cnfStyle w:val="000000100000" w:firstRow="0" w:lastRow="0" w:firstColumn="0" w:lastColumn="0" w:oddVBand="0" w:evenVBand="0" w:oddHBand="1" w:evenHBand="0" w:firstRowFirstColumn="0" w:firstRowLastColumn="0" w:lastRowFirstColumn="0" w:lastRowLastColumn="0"/>
              <w:rPr>
                <w:rFonts w:cs="Arial"/>
              </w:rPr>
            </w:pPr>
            <w:r w:rsidRPr="006C219E">
              <w:rPr>
                <w:rFonts w:cs="Arial"/>
              </w:rPr>
              <w:t>(Not included)</w:t>
            </w:r>
          </w:p>
        </w:tc>
      </w:tr>
      <w:tr w:rsidR="00A32B37" w14:paraId="5A6A69B5" w14:textId="77777777" w:rsidTr="00242D5A">
        <w:trPr>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4177B8E7" w14:textId="77777777" w:rsidR="00A32B37" w:rsidRPr="006C219E" w:rsidRDefault="00A32B37" w:rsidP="006C219E">
            <w:pPr>
              <w:rPr>
                <w:rFonts w:cs="Arial"/>
              </w:rPr>
            </w:pPr>
            <w:r w:rsidRPr="006C219E">
              <w:rPr>
                <w:rFonts w:cs="Arial"/>
              </w:rPr>
              <w:t>Nodes</w:t>
            </w:r>
          </w:p>
        </w:tc>
        <w:tc>
          <w:tcPr>
            <w:tcW w:w="0" w:type="auto"/>
            <w:hideMark/>
          </w:tcPr>
          <w:p w14:paraId="28FD493D" w14:textId="77777777" w:rsidR="00A32B37" w:rsidRPr="006C219E" w:rsidRDefault="00A32B37" w:rsidP="006C219E">
            <w:pPr>
              <w:cnfStyle w:val="000000000000" w:firstRow="0" w:lastRow="0" w:firstColumn="0" w:lastColumn="0" w:oddVBand="0" w:evenVBand="0" w:oddHBand="0" w:evenHBand="0" w:firstRowFirstColumn="0" w:firstRowLastColumn="0" w:lastRowFirstColumn="0" w:lastRowLastColumn="0"/>
              <w:rPr>
                <w:rFonts w:cs="Arial"/>
              </w:rPr>
            </w:pPr>
            <w:r w:rsidRPr="006C219E">
              <w:rPr>
                <w:rFonts w:cs="Arial"/>
              </w:rPr>
              <w:t>(Not included)</w:t>
            </w:r>
          </w:p>
        </w:tc>
        <w:tc>
          <w:tcPr>
            <w:tcW w:w="0" w:type="auto"/>
            <w:hideMark/>
          </w:tcPr>
          <w:p w14:paraId="17EF8267" w14:textId="77777777" w:rsidR="00A32B37" w:rsidRPr="006C219E" w:rsidRDefault="00A32B37" w:rsidP="006C219E">
            <w:pPr>
              <w:cnfStyle w:val="000000000000" w:firstRow="0" w:lastRow="0" w:firstColumn="0" w:lastColumn="0" w:oddVBand="0" w:evenVBand="0" w:oddHBand="0" w:evenHBand="0" w:firstRowFirstColumn="0" w:firstRowLastColumn="0" w:lastRowFirstColumn="0" w:lastRowLastColumn="0"/>
              <w:rPr>
                <w:rFonts w:cs="Arial"/>
              </w:rPr>
            </w:pPr>
            <w:r w:rsidRPr="006C219E">
              <w:rPr>
                <w:rFonts w:cs="Arial"/>
              </w:rPr>
              <w:t>Tender anterior cervical nodes</w:t>
            </w:r>
          </w:p>
        </w:tc>
      </w:tr>
    </w:tbl>
    <w:p w14:paraId="02A97B57" w14:textId="41F72245" w:rsidR="00A32B37" w:rsidRDefault="00A32B37">
      <w:pPr>
        <w:spacing w:line="259" w:lineRule="auto"/>
        <w:jc w:val="left"/>
      </w:pPr>
    </w:p>
    <w:p w14:paraId="3EE118E2" w14:textId="5C8474E2" w:rsidR="00D50C25" w:rsidRDefault="00A32B37" w:rsidP="00D50C25">
      <w:pPr>
        <w:pStyle w:val="Heading2"/>
      </w:pPr>
      <w:bookmarkStart w:id="4" w:name="_Toc226330382"/>
      <w:r w:rsidRPr="00A32B37">
        <w:lastRenderedPageBreak/>
        <w:t>Point-of-Care Testing: A Technological Solution with Implementation Barriers</w:t>
      </w:r>
      <w:bookmarkEnd w:id="4"/>
    </w:p>
    <w:p w14:paraId="57B2DB5B" w14:textId="3127F6B2" w:rsidR="00A32B37" w:rsidRDefault="00A32B37" w:rsidP="00A32B37">
      <w:r>
        <w:t xml:space="preserve">The use of point-of-care testing (POCT) as a diagnostic aid has become a popular trend in the literature. The NICE </w:t>
      </w:r>
      <w:r w:rsidR="00242D5A">
        <w:t xml:space="preserve">(2023) </w:t>
      </w:r>
      <w:r>
        <w:t>recommends C-reactive protein (CRP) POCT to inform antibiotic choices in patients with lower respiratory tract infections (LRTIs) where the necessity to use antibiotics is uncertain following clinical evaluation.</w:t>
      </w:r>
    </w:p>
    <w:p w14:paraId="7A6C0B1F" w14:textId="16F51B99" w:rsidR="00A32B37" w:rsidRDefault="00A32B37" w:rsidP="00A32B37">
      <w:r>
        <w:t>Although quantitative trials indicate that CRP POCT can decrease the number of antibiotics prescribing up to 22% in certain locations, qualitative studies indicate that there are substantial implementation obstacles in the UK health system</w:t>
      </w:r>
      <w:r w:rsidR="00242D5A">
        <w:t xml:space="preserve"> </w:t>
      </w:r>
      <w:r w:rsidR="00242D5A" w:rsidRPr="00242D5A">
        <w:t>(Miller et al., 2025)</w:t>
      </w:r>
      <w:r>
        <w:t>. Clinicians emphasize that the extra time that is needed to conduct the test can be three to five minutes that are hard to digest in the usual 10-minute period</w:t>
      </w:r>
      <w:r w:rsidR="00242D5A">
        <w:t xml:space="preserve"> </w:t>
      </w:r>
      <w:r w:rsidR="00242D5A" w:rsidRPr="00242D5A">
        <w:t>(Mills, Akbar and Hernandez-Santiago, 2024)</w:t>
      </w:r>
      <w:r w:rsidR="00242D5A">
        <w:t>.</w:t>
      </w:r>
    </w:p>
    <w:p w14:paraId="24C5B672" w14:textId="38BCF148" w:rsidR="00C30F4E" w:rsidRDefault="00C30F4E" w:rsidP="00A32B37">
      <w:r w:rsidRPr="00C30F4E">
        <w:t>New molecular POCTs are more precise in their diagnosis, detecting the specific viral and bacterial pathogens within an hour and a half. Nonetheless, the PRUDENCE trial and related qualitative research point to the fact that diagnostic testing in itself is not always likely to alter prescribing behavior</w:t>
      </w:r>
      <w:r w:rsidR="00242D5A">
        <w:t xml:space="preserve"> </w:t>
      </w:r>
      <w:r w:rsidR="00242D5A" w:rsidRPr="00242D5A">
        <w:t>(NHS England, 2019)</w:t>
      </w:r>
      <w:r w:rsidRPr="00C30F4E">
        <w:t>.</w:t>
      </w:r>
      <w:r w:rsidR="00242D5A">
        <w:t xml:space="preserve"> </w:t>
      </w:r>
      <w:r w:rsidRPr="00C30F4E">
        <w:t>Clinicians usually experience cognitive dissonance when the test results contradict their clinical intuition or when the patient has the high expectations about antibiotics</w:t>
      </w:r>
      <w:r w:rsidR="00242D5A">
        <w:t xml:space="preserve"> </w:t>
      </w:r>
      <w:r w:rsidR="00242D5A" w:rsidRPr="00242D5A">
        <w:t>(O’Connor et al., 2018)</w:t>
      </w:r>
      <w:r w:rsidRPr="00C30F4E">
        <w:t>.</w:t>
      </w:r>
    </w:p>
    <w:p w14:paraId="1CFCC628" w14:textId="6CA734AA" w:rsidR="00D50C25" w:rsidRDefault="00D50C25" w:rsidP="00D50C25">
      <w:pPr>
        <w:pStyle w:val="Heading2"/>
      </w:pPr>
      <w:bookmarkStart w:id="5" w:name="_Toc226330383"/>
      <w:r>
        <w:t>Management Strategies: Shared Decision-Making and Delayed Prescribing</w:t>
      </w:r>
      <w:bookmarkEnd w:id="5"/>
    </w:p>
    <w:p w14:paraId="52CF340D" w14:textId="027A1010" w:rsidR="00D50C25" w:rsidRDefault="00D50C25" w:rsidP="00D50C25">
      <w:r>
        <w:t>One of the key pillars of the UK antimicrobial stewardship activities is the application of delayed prescribing (DP). With this strategy, a prescription is given but the patient is instructed to wait (e.g., 48 to 72 hours) before filling the prescription unless the symptoms substantially increase</w:t>
      </w:r>
      <w:r w:rsidR="00242D5A">
        <w:t xml:space="preserve"> </w:t>
      </w:r>
      <w:r w:rsidR="00242D5A" w:rsidRPr="00242D5A">
        <w:t>(O’Shea et al., 2025)</w:t>
      </w:r>
      <w:r>
        <w:t>. Systematic reviews of randomized controlled trials show that DP has similar clinical outcomes and symptom duration in comparison with immediate prescribing, and it causes a substantial decrease in overall antibiotic exposure</w:t>
      </w:r>
      <w:r w:rsidR="00242D5A">
        <w:t xml:space="preserve"> </w:t>
      </w:r>
      <w:r w:rsidR="00242D5A" w:rsidRPr="00242D5A">
        <w:t>(Peters et al., 2011)</w:t>
      </w:r>
      <w:r>
        <w:t>.</w:t>
      </w:r>
    </w:p>
    <w:p w14:paraId="78F9ED33" w14:textId="725D7E3E" w:rsidR="00D50C25" w:rsidRDefault="00D50C25" w:rsidP="00D50C25">
      <w:r>
        <w:t>A qualitative exploration of DP shows that there is a more complex picture. Even in cases where clinicians are sure that the infection is viral, they tend to employ DP to deal with patient expectations and protect the therapeutic relationship</w:t>
      </w:r>
      <w:r w:rsidR="00242D5A">
        <w:t xml:space="preserve"> </w:t>
      </w:r>
      <w:r w:rsidR="00242D5A" w:rsidRPr="00242D5A">
        <w:t>(Seeley et al., 2021)</w:t>
      </w:r>
      <w:r>
        <w:t>.</w:t>
      </w:r>
    </w:p>
    <w:p w14:paraId="73FAB583" w14:textId="304F4C28" w:rsidR="00A32B37" w:rsidRDefault="00A32B37" w:rsidP="00A32B37">
      <w:pPr>
        <w:pStyle w:val="Heading2"/>
      </w:pPr>
      <w:bookmarkStart w:id="6" w:name="_Toc226330384"/>
      <w:r w:rsidRPr="00A32B37">
        <w:t>The Medicalisation Hypothesis and Primary Care Demand</w:t>
      </w:r>
      <w:bookmarkEnd w:id="6"/>
    </w:p>
    <w:p w14:paraId="6D2975A4" w14:textId="1169E6D3" w:rsidR="00A32B37" w:rsidRDefault="00A32B37" w:rsidP="00A32B37">
      <w:r w:rsidRPr="00A32B37">
        <w:t xml:space="preserve">Another major new trend in ARTI management is the medicalisation hypothesis. This theory assumes that the act of prescribing antibiotics to self-limiting infections strengthens the beliefs of patients that antibiotics are the sole treatment option thus leading to an augmentation of </w:t>
      </w:r>
      <w:r w:rsidRPr="00A32B37">
        <w:lastRenderedPageBreak/>
        <w:t>further consultations on the same symptoms</w:t>
      </w:r>
      <w:r w:rsidR="00242D5A">
        <w:t xml:space="preserve"> </w:t>
      </w:r>
      <w:r w:rsidR="00242D5A" w:rsidRPr="00242D5A">
        <w:t>(Tang et al., 2026)</w:t>
      </w:r>
      <w:r w:rsidRPr="00A32B37">
        <w:t>. This effect is corroborated by recent meta-analyses that indicate patients who get antibiotics have higher chances of revisiting primary care in the future with another respiratory episode</w:t>
      </w:r>
      <w:r w:rsidR="00242D5A">
        <w:t xml:space="preserve"> </w:t>
      </w:r>
      <w:r w:rsidR="00242D5A" w:rsidRPr="00242D5A">
        <w:t>(</w:t>
      </w:r>
      <w:proofErr w:type="spellStart"/>
      <w:r w:rsidR="00242D5A" w:rsidRPr="00242D5A">
        <w:t>Thaulow</w:t>
      </w:r>
      <w:proofErr w:type="spellEnd"/>
      <w:r w:rsidR="00242D5A" w:rsidRPr="00242D5A">
        <w:t xml:space="preserve"> et al., 2025)</w:t>
      </w:r>
      <w:r w:rsidRPr="00A32B37">
        <w:t>.</w:t>
      </w:r>
    </w:p>
    <w:p w14:paraId="75862255" w14:textId="7A383B1F" w:rsidR="00D50C25" w:rsidRDefault="00D50C25" w:rsidP="00D50C25">
      <w:pPr>
        <w:pStyle w:val="Heading2"/>
      </w:pPr>
      <w:bookmarkStart w:id="7" w:name="_Toc226330385"/>
      <w:r>
        <w:t>Geographical and Socioeconomic Influences on Management</w:t>
      </w:r>
      <w:bookmarkEnd w:id="7"/>
    </w:p>
    <w:p w14:paraId="69BABB59" w14:textId="2087A178" w:rsidR="00D50C25" w:rsidRDefault="00D50C25" w:rsidP="00D50C25">
      <w:r>
        <w:t>Health literacy barriers and variations in perceptions of illness severity and treatment need may be experienced by patients in deprived urban areas</w:t>
      </w:r>
      <w:r w:rsidR="00242D5A">
        <w:t xml:space="preserve"> </w:t>
      </w:r>
      <w:r w:rsidR="00242D5A" w:rsidRPr="00242D5A">
        <w:t>(</w:t>
      </w:r>
      <w:proofErr w:type="spellStart"/>
      <w:r w:rsidR="00242D5A" w:rsidRPr="00242D5A">
        <w:t>Tjilos</w:t>
      </w:r>
      <w:proofErr w:type="spellEnd"/>
      <w:r w:rsidR="00242D5A" w:rsidRPr="00242D5A">
        <w:t xml:space="preserve"> et al., 2023)</w:t>
      </w:r>
      <w:r>
        <w:t>. In such settings, the clinicians might feel the increased pressure to prescribe because they are worried that the patient will not be in a position to resume following up in case of deterioration.</w:t>
      </w:r>
    </w:p>
    <w:p w14:paraId="37780B4E" w14:textId="2EAEB641" w:rsidR="00C30F4E" w:rsidRDefault="00C30F4E" w:rsidP="00C30F4E">
      <w:pPr>
        <w:pStyle w:val="Heading1"/>
      </w:pPr>
      <w:bookmarkStart w:id="8" w:name="_Toc226330386"/>
      <w:r w:rsidRPr="00C30F4E">
        <w:t>Rationale of the Research</w:t>
      </w:r>
      <w:bookmarkEnd w:id="8"/>
    </w:p>
    <w:p w14:paraId="792CDCC7" w14:textId="1040036F" w:rsidR="00C30F4E" w:rsidRDefault="00C30F4E" w:rsidP="00C30F4E">
      <w:r>
        <w:t xml:space="preserve">The rationale behind the systematic review lies in the pressing need in the public health to bridge the gap between clinical evidence and practice in the management of acute respiratory tract infections. Even after over 20 years of community-level health education and frequent revision of the NICE guidelines, ARTIs continue to be the main cause of improper antibiotic use in the United Kingdom. The UK government wants 5% of its human use of antibiotics to fall by 2029, so a thorough qualitative insight into why existing measures </w:t>
      </w:r>
      <w:r w:rsidR="00242D5A">
        <w:t>is</w:t>
      </w:r>
      <w:r>
        <w:t xml:space="preserve"> effective or not would be fundamental</w:t>
      </w:r>
      <w:r w:rsidR="00242D5A">
        <w:t xml:space="preserve"> </w:t>
      </w:r>
      <w:r w:rsidR="00242D5A" w:rsidRPr="00242D5A">
        <w:t>(Willis, 2025)</w:t>
      </w:r>
      <w:r w:rsidR="00242D5A">
        <w:t>.</w:t>
      </w:r>
    </w:p>
    <w:p w14:paraId="219BCD2B" w14:textId="05256E53" w:rsidR="00C30F4E" w:rsidRDefault="00C30F4E" w:rsidP="00C30F4E">
      <w:r>
        <w:t>National surveillance data indicate that although important progress has been achieved in cutting down on antibiotic use before 2019, things are now at a standstill and in certain regions, the rate of prescribing is going up to pre-pandemic levels</w:t>
      </w:r>
      <w:r w:rsidR="00242D5A">
        <w:t xml:space="preserve"> </w:t>
      </w:r>
      <w:r w:rsidR="00242D5A" w:rsidRPr="00242D5A">
        <w:t>(Adamu et al., 2025)</w:t>
      </w:r>
      <w:r>
        <w:t>. Recent data demonstrates that half of RTI consultations lead to an antibiotic prescription with a wide geographical difference</w:t>
      </w:r>
      <w:r w:rsidR="00242D5A">
        <w:t xml:space="preserve"> </w:t>
      </w:r>
      <w:r w:rsidR="00242D5A" w:rsidRPr="00242D5A">
        <w:t>(</w:t>
      </w:r>
      <w:proofErr w:type="spellStart"/>
      <w:r w:rsidR="00242D5A" w:rsidRPr="00242D5A">
        <w:t>Balea</w:t>
      </w:r>
      <w:proofErr w:type="spellEnd"/>
      <w:r w:rsidR="00242D5A" w:rsidRPr="00242D5A">
        <w:t xml:space="preserve"> et al., 2025)</w:t>
      </w:r>
      <w:r>
        <w:t>.</w:t>
      </w:r>
    </w:p>
    <w:p w14:paraId="298B4494" w14:textId="1DB38542" w:rsidR="00C30F4E" w:rsidRDefault="00C30F4E" w:rsidP="00C30F4E">
      <w:r>
        <w:t>The AMR threat has ceased being a far-away issue and is a current problem in the UK, which adds to more than 35,000 deaths a year</w:t>
      </w:r>
      <w:r w:rsidR="00242D5A">
        <w:t xml:space="preserve"> </w:t>
      </w:r>
      <w:r w:rsidR="00242D5A" w:rsidRPr="00242D5A">
        <w:t>(</w:t>
      </w:r>
      <w:proofErr w:type="spellStart"/>
      <w:r w:rsidR="00242D5A" w:rsidRPr="00242D5A">
        <w:t>Bou-Antoun</w:t>
      </w:r>
      <w:proofErr w:type="spellEnd"/>
      <w:r w:rsidR="00242D5A" w:rsidRPr="00242D5A">
        <w:t xml:space="preserve"> et al., 2026)</w:t>
      </w:r>
      <w:r>
        <w:t>. The greatest AMR-associated mortality is observed in adults aged 70 and above, which is a particularly susceptible age group to respiratory complications</w:t>
      </w:r>
      <w:r w:rsidR="00242D5A">
        <w:t xml:space="preserve"> </w:t>
      </w:r>
      <w:r w:rsidR="00242D5A" w:rsidRPr="00242D5A">
        <w:t xml:space="preserve">(C </w:t>
      </w:r>
      <w:proofErr w:type="spellStart"/>
      <w:r w:rsidR="00242D5A" w:rsidRPr="00242D5A">
        <w:t>Roleston</w:t>
      </w:r>
      <w:proofErr w:type="spellEnd"/>
      <w:r w:rsidR="00242D5A" w:rsidRPr="00242D5A">
        <w:t xml:space="preserve"> et al., 2025)</w:t>
      </w:r>
      <w:r>
        <w:t>. The need to determine the best diagnostic plans like the best utilization of CRP POCT and molecular diagnostics this study intends to offer a blueprint of how to reduce the practice of just-in-case prescribing without affecting patient safety.</w:t>
      </w:r>
    </w:p>
    <w:p w14:paraId="11A3AE40" w14:textId="36D8FA6B" w:rsidR="00C30F4E" w:rsidRDefault="00C30F4E" w:rsidP="00C30F4E">
      <w:r>
        <w:t>Although a number of quantitative reviews have been done on the effectiveness of a single intervention such as delayed prescribing or CRP testing, there are limited high-quality systematic syntheses to investigate the lived experiences of clinicians and patients in the context of the UK health system</w:t>
      </w:r>
      <w:r w:rsidR="00BE1B50">
        <w:t xml:space="preserve"> </w:t>
      </w:r>
      <w:r w:rsidR="00BE1B50" w:rsidRPr="00BE1B50">
        <w:t>(Clarke et al., 2025; Clarke et al., 2024)</w:t>
      </w:r>
      <w:r>
        <w:t xml:space="preserve">. Quantitative data may answer the question of what is going on, but only qualitative synthesis can answer the question of how and why high prescribing rates persist. To fill this gap, the review will use a </w:t>
      </w:r>
      <w:r>
        <w:lastRenderedPageBreak/>
        <w:t>thematic synthesis technique to offer profound understanding of the psychological and systemic drivers of ARTI management in the UK. This is essential for informing the next generation of NICE guidelines and supporting the 2024–2029 National Action Plan.</w:t>
      </w:r>
    </w:p>
    <w:p w14:paraId="7A812E47" w14:textId="77777777" w:rsidR="00D74484" w:rsidRDefault="00D74484" w:rsidP="00D74484">
      <w:pPr>
        <w:pStyle w:val="Heading2"/>
      </w:pPr>
      <w:bookmarkStart w:id="9" w:name="_Toc226330387"/>
      <w:r w:rsidRPr="00D74484">
        <w:t>Research Question</w:t>
      </w:r>
      <w:bookmarkEnd w:id="9"/>
    </w:p>
    <w:p w14:paraId="3D0BB9BB" w14:textId="48D94457" w:rsidR="00D74484" w:rsidRDefault="00D74484" w:rsidP="00C30F4E">
      <w:r w:rsidRPr="00D74484">
        <w:t>What diagnostic and management strategies are effective in improving outcomes and reducing unnecessary antibiotic prescribing for acute respiratory tract infections among adults in the UK?</w:t>
      </w:r>
    </w:p>
    <w:p w14:paraId="23917CA0" w14:textId="6EC6FB04" w:rsidR="00D74484" w:rsidRDefault="00D74484" w:rsidP="00D74484">
      <w:pPr>
        <w:pStyle w:val="Heading2"/>
      </w:pPr>
      <w:bookmarkStart w:id="10" w:name="_Toc226330388"/>
      <w:r>
        <w:t>Aim and Objectives</w:t>
      </w:r>
      <w:bookmarkEnd w:id="10"/>
    </w:p>
    <w:p w14:paraId="521FA2D5" w14:textId="3DD76588" w:rsidR="00D74484" w:rsidRDefault="00D74484" w:rsidP="00D74484">
      <w:r>
        <w:t>To systematically review and synthesise evidence on diagnostic and management strategies used for acute respiratory tract infections among adults in the UK, with a focus on patient outcomes and antibiotic stewardship.</w:t>
      </w:r>
    </w:p>
    <w:p w14:paraId="1C79D4B4" w14:textId="7887DA4C" w:rsidR="00D74484" w:rsidRPr="00D74484" w:rsidRDefault="00D74484" w:rsidP="00D74484">
      <w:pPr>
        <w:rPr>
          <w:b/>
          <w:bCs/>
        </w:rPr>
      </w:pPr>
      <w:r w:rsidRPr="00D74484">
        <w:rPr>
          <w:b/>
          <w:bCs/>
        </w:rPr>
        <w:t>Objectives</w:t>
      </w:r>
    </w:p>
    <w:p w14:paraId="59B1D3A0" w14:textId="0ECE81CF" w:rsidR="00D74484" w:rsidRDefault="00D74484" w:rsidP="00D74484">
      <w:pPr>
        <w:pStyle w:val="ListParagraph"/>
        <w:numPr>
          <w:ilvl w:val="0"/>
          <w:numId w:val="3"/>
        </w:numPr>
      </w:pPr>
      <w:r>
        <w:t>To identify diagnostic approaches used to differentiate viral and bacterial respiratory tract infections in adults within UK healthcare settings.</w:t>
      </w:r>
    </w:p>
    <w:p w14:paraId="1097EF6C" w14:textId="2356A0C4" w:rsidR="00D74484" w:rsidRDefault="00D74484" w:rsidP="00D74484">
      <w:pPr>
        <w:pStyle w:val="ListParagraph"/>
        <w:numPr>
          <w:ilvl w:val="0"/>
          <w:numId w:val="3"/>
        </w:numPr>
      </w:pPr>
      <w:r>
        <w:t>To examine the effectiveness of different management strategies (e.g., delayed prescribing, symptomatic treatment) on patient outcomes.</w:t>
      </w:r>
    </w:p>
    <w:p w14:paraId="45AA2DDA" w14:textId="4D624C61" w:rsidR="00D74484" w:rsidRDefault="00D74484" w:rsidP="00D74484">
      <w:pPr>
        <w:pStyle w:val="ListParagraph"/>
        <w:numPr>
          <w:ilvl w:val="0"/>
          <w:numId w:val="3"/>
        </w:numPr>
      </w:pPr>
      <w:r>
        <w:t>To explore how current UK clinical guidelines influence antibiotic prescribing practices for respiratory tract infections.</w:t>
      </w:r>
    </w:p>
    <w:p w14:paraId="0B5EDED6" w14:textId="2CADEA79" w:rsidR="00D74484" w:rsidRDefault="00D74484" w:rsidP="00D74484">
      <w:pPr>
        <w:pStyle w:val="ListParagraph"/>
        <w:numPr>
          <w:ilvl w:val="0"/>
          <w:numId w:val="3"/>
        </w:numPr>
      </w:pPr>
      <w:r>
        <w:t>To assess the implications of these strategies for antibiotic stewardship and antimicrobial resistance.</w:t>
      </w:r>
    </w:p>
    <w:p w14:paraId="141660EF" w14:textId="59268227" w:rsidR="00C30F4E" w:rsidRDefault="00C30F4E" w:rsidP="005D063B">
      <w:pPr>
        <w:pStyle w:val="Heading1"/>
      </w:pPr>
      <w:bookmarkStart w:id="11" w:name="_Toc226330389"/>
      <w:r w:rsidRPr="00C30F4E">
        <w:t>Research Methodology</w:t>
      </w:r>
      <w:bookmarkEnd w:id="11"/>
    </w:p>
    <w:p w14:paraId="355BF526" w14:textId="73FD696D" w:rsidR="00C30F4E" w:rsidRDefault="005D063B" w:rsidP="00C30F4E">
      <w:r w:rsidRPr="005D063B">
        <w:t>It will be a Systematic Literature Review because the design has the ability to synthesize divergent qualitative results rigorously to form a high-level, unified, and coherent understanding of complex clinical and social phenomena.</w:t>
      </w:r>
    </w:p>
    <w:p w14:paraId="36CFD427" w14:textId="0087DF8F" w:rsidR="005D063B" w:rsidRDefault="005D063B" w:rsidP="005D063B">
      <w:pPr>
        <w:pStyle w:val="Heading2"/>
      </w:pPr>
      <w:bookmarkStart w:id="12" w:name="_Toc226330390"/>
      <w:r w:rsidRPr="005D063B">
        <w:t>4.1 Research Design</w:t>
      </w:r>
      <w:bookmarkEnd w:id="12"/>
    </w:p>
    <w:p w14:paraId="779829AB" w14:textId="035A205A" w:rsidR="005D063B" w:rsidRDefault="005D063B" w:rsidP="00C30F4E">
      <w:r w:rsidRPr="005D063B">
        <w:t>The study design is grounded on the Thematic Synthesis model by Thomas and Harden (2008). This approach is considered to be a gold standard of synthesizing qualitative evidence in health research internationally. A systematic three step process will be used in the synthesis: Line-by-line coding of primary study results, creation of descriptive themes and creation of analytical themes</w:t>
      </w:r>
      <w:r w:rsidR="00BE1B50">
        <w:t xml:space="preserve"> </w:t>
      </w:r>
      <w:r w:rsidR="00BE1B50" w:rsidRPr="00BE1B50">
        <w:t>(PAPERPILE, 2024)</w:t>
      </w:r>
      <w:r w:rsidRPr="005D063B">
        <w:t>. This design will enable the researcher to be close to the original data and at the same time go beyond the data to formulate new explanations on why some ARTI management strategies are more effective than others.</w:t>
      </w:r>
      <w:r w:rsidR="00376FE4" w:rsidRPr="00376FE4">
        <w:t xml:space="preserve"> </w:t>
      </w:r>
      <w:r w:rsidR="00376FE4" w:rsidRPr="00376FE4">
        <w:t xml:space="preserve">To </w:t>
      </w:r>
      <w:r w:rsidR="00376FE4" w:rsidRPr="00376FE4">
        <w:lastRenderedPageBreak/>
        <w:t>be transparent and reproducible, the review will be done according to the guidelines of the Preferred Reporting Items of Systematic Reviews PRISMA.</w:t>
      </w:r>
    </w:p>
    <w:p w14:paraId="3BBC274F" w14:textId="1D8B5118" w:rsidR="005D063B" w:rsidRDefault="000F2F5A" w:rsidP="000F2F5A">
      <w:pPr>
        <w:pStyle w:val="Heading2"/>
      </w:pPr>
      <w:bookmarkStart w:id="13" w:name="_Toc226330391"/>
      <w:r w:rsidRPr="000F2F5A">
        <w:t>4.2 Recruitment, Sampling &amp; S</w:t>
      </w:r>
      <w:bookmarkEnd w:id="13"/>
      <w:r w:rsidR="0077348B">
        <w:t>earch Strategy</w:t>
      </w:r>
    </w:p>
    <w:p w14:paraId="70F5220B" w14:textId="7C4FBE5A" w:rsidR="000F2F5A" w:rsidRDefault="000F2F5A" w:rsidP="000F2F5A">
      <w:r>
        <w:t xml:space="preserve">Since it is a secondary systematic review, the term "recruitment" is understood as identification and selection of primary research articles based on existing academic databases. Sampling will be purposive and exhaustive over the specified period (2016-2026) to encompass the latest evidence, including the studies performed in the COVID-19 pandemic and the so-called </w:t>
      </w:r>
      <w:r w:rsidR="0077348B">
        <w:t>tripledemic</w:t>
      </w:r>
      <w:r>
        <w:t>.</w:t>
      </w:r>
      <w:r w:rsidR="00735471">
        <w:t xml:space="preserve"> </w:t>
      </w:r>
      <w:r>
        <w:t xml:space="preserve">The objective of the review is to have a final sample of 8-10 articles of high quality. </w:t>
      </w:r>
    </w:p>
    <w:p w14:paraId="7C33767C" w14:textId="17BC8C2D" w:rsidR="000F2F5A" w:rsidRPr="000F2F5A" w:rsidRDefault="000F2F5A" w:rsidP="000F2F5A">
      <w:pPr>
        <w:rPr>
          <w:b/>
          <w:bCs/>
        </w:rPr>
      </w:pPr>
      <w:r w:rsidRPr="000F2F5A">
        <w:rPr>
          <w:b/>
          <w:bCs/>
        </w:rPr>
        <w:t>Inclusion Criteria:</w:t>
      </w:r>
    </w:p>
    <w:p w14:paraId="2ED4D6CC" w14:textId="375A5AB6" w:rsidR="000F2F5A" w:rsidRDefault="000F2F5A" w:rsidP="000F2F5A">
      <w:pPr>
        <w:pStyle w:val="ListParagraph"/>
        <w:numPr>
          <w:ilvl w:val="0"/>
          <w:numId w:val="1"/>
        </w:numPr>
      </w:pPr>
      <w:r>
        <w:t>Primary qualitative or mixed-methods studies.</w:t>
      </w:r>
    </w:p>
    <w:p w14:paraId="797AE8E8" w14:textId="2056D315" w:rsidR="000F2F5A" w:rsidRDefault="000F2F5A" w:rsidP="000F2F5A">
      <w:pPr>
        <w:pStyle w:val="ListParagraph"/>
        <w:numPr>
          <w:ilvl w:val="0"/>
          <w:numId w:val="1"/>
        </w:numPr>
      </w:pPr>
      <w:r>
        <w:t>Conducted within the United Kingdom.</w:t>
      </w:r>
    </w:p>
    <w:p w14:paraId="4A6516B1" w14:textId="3DEC93BC" w:rsidR="000F2F5A" w:rsidRDefault="000F2F5A" w:rsidP="000F2F5A">
      <w:pPr>
        <w:pStyle w:val="ListParagraph"/>
        <w:numPr>
          <w:ilvl w:val="0"/>
          <w:numId w:val="1"/>
        </w:numPr>
      </w:pPr>
      <w:r>
        <w:t>Focusing on the adult population (18+).</w:t>
      </w:r>
    </w:p>
    <w:p w14:paraId="453C5CC0" w14:textId="37EC7B99" w:rsidR="000F2F5A" w:rsidRDefault="000F2F5A" w:rsidP="000F2F5A">
      <w:pPr>
        <w:pStyle w:val="ListParagraph"/>
        <w:numPr>
          <w:ilvl w:val="0"/>
          <w:numId w:val="1"/>
        </w:numPr>
      </w:pPr>
      <w:r>
        <w:t>Investigating diagnostic (CPRs, POCT) or management (prescribing, self-care) of ARTIs.</w:t>
      </w:r>
    </w:p>
    <w:p w14:paraId="371B324E" w14:textId="064E706E" w:rsidR="000F2F5A" w:rsidRDefault="000F2F5A" w:rsidP="000F2F5A">
      <w:pPr>
        <w:pStyle w:val="ListParagraph"/>
        <w:numPr>
          <w:ilvl w:val="0"/>
          <w:numId w:val="1"/>
        </w:numPr>
      </w:pPr>
      <w:r>
        <w:t>Published in peer-reviewed journals between January 2015 and April 2025.</w:t>
      </w:r>
    </w:p>
    <w:p w14:paraId="3BA18C55" w14:textId="0A3BE942" w:rsidR="000F2F5A" w:rsidRDefault="000F2F5A" w:rsidP="000F2F5A">
      <w:pPr>
        <w:pStyle w:val="ListParagraph"/>
        <w:numPr>
          <w:ilvl w:val="0"/>
          <w:numId w:val="1"/>
        </w:numPr>
      </w:pPr>
      <w:r>
        <w:t>Published in the English language.</w:t>
      </w:r>
    </w:p>
    <w:p w14:paraId="4AF9025C" w14:textId="37702C6B" w:rsidR="000F2F5A" w:rsidRPr="000F2F5A" w:rsidRDefault="000F2F5A" w:rsidP="000F2F5A">
      <w:pPr>
        <w:rPr>
          <w:b/>
          <w:bCs/>
        </w:rPr>
      </w:pPr>
      <w:r w:rsidRPr="000F2F5A">
        <w:rPr>
          <w:b/>
          <w:bCs/>
        </w:rPr>
        <w:t>Exclusion Criteria:</w:t>
      </w:r>
    </w:p>
    <w:p w14:paraId="1951AC42" w14:textId="79BC7BD8" w:rsidR="000F2F5A" w:rsidRDefault="000F2F5A" w:rsidP="000F2F5A">
      <w:pPr>
        <w:pStyle w:val="ListParagraph"/>
        <w:numPr>
          <w:ilvl w:val="0"/>
          <w:numId w:val="2"/>
        </w:numPr>
      </w:pPr>
      <w:r>
        <w:t>Studies focusing solely on paediatric populations (under 18).</w:t>
      </w:r>
    </w:p>
    <w:p w14:paraId="4DDEDA8E" w14:textId="5134F900" w:rsidR="000F2F5A" w:rsidRDefault="000F2F5A" w:rsidP="000F2F5A">
      <w:pPr>
        <w:pStyle w:val="ListParagraph"/>
        <w:numPr>
          <w:ilvl w:val="0"/>
          <w:numId w:val="2"/>
        </w:numPr>
      </w:pPr>
      <w:r>
        <w:t>Purely quantitative studies (e.g., clinical trials without a qualitative element).</w:t>
      </w:r>
    </w:p>
    <w:p w14:paraId="5706DD45" w14:textId="78414ACA" w:rsidR="000F2F5A" w:rsidRDefault="000F2F5A" w:rsidP="000F2F5A">
      <w:pPr>
        <w:pStyle w:val="ListParagraph"/>
        <w:numPr>
          <w:ilvl w:val="0"/>
          <w:numId w:val="2"/>
        </w:numPr>
      </w:pPr>
      <w:r>
        <w:t>Studies conducted outside the UK (due to different healthcare system structures).</w:t>
      </w:r>
    </w:p>
    <w:p w14:paraId="709BB5E9" w14:textId="7BDF26C2" w:rsidR="000F2F5A" w:rsidRDefault="000F2F5A" w:rsidP="000F2F5A">
      <w:pPr>
        <w:pStyle w:val="ListParagraph"/>
        <w:numPr>
          <w:ilvl w:val="0"/>
          <w:numId w:val="2"/>
        </w:numPr>
      </w:pPr>
      <w:r>
        <w:t>Opinion pieces, editorials, or conference abstracts lacking full methodology.</w:t>
      </w:r>
    </w:p>
    <w:p w14:paraId="3ADED896" w14:textId="1FFA9804" w:rsidR="000F2F5A" w:rsidRDefault="000F2F5A" w:rsidP="000F2F5A">
      <w:pPr>
        <w:pStyle w:val="Heading2"/>
      </w:pPr>
      <w:bookmarkStart w:id="14" w:name="_Toc226330392"/>
      <w:r w:rsidRPr="000F2F5A">
        <w:t>4.3 Data Collection Method(s)/Procedure</w:t>
      </w:r>
      <w:bookmarkEnd w:id="14"/>
    </w:p>
    <w:p w14:paraId="6BA6A718" w14:textId="4F77A610" w:rsidR="000F2F5A" w:rsidRDefault="000F2F5A" w:rsidP="000F2F5A">
      <w:r>
        <w:t>T</w:t>
      </w:r>
      <w:r w:rsidRPr="000F2F5A">
        <w:t xml:space="preserve">he systematic search will be performed in five large electronic databases, including PubMed, MEDLINE, CINAHL, </w:t>
      </w:r>
      <w:r>
        <w:t>Science Direct, Web of Science</w:t>
      </w:r>
      <w:r w:rsidRPr="000F2F5A">
        <w:t>, and Cochrane Library. A combination of Boolean operators (AND, OR) and Medical Subject Headings (</w:t>
      </w:r>
      <w:proofErr w:type="spellStart"/>
      <w:r w:rsidRPr="000F2F5A">
        <w:t>MeSH</w:t>
      </w:r>
      <w:proofErr w:type="spellEnd"/>
      <w:r w:rsidRPr="000F2F5A">
        <w:t>) will be used to achieve the maximum sensitivity and specificity of the search strategy.</w:t>
      </w:r>
    </w:p>
    <w:p w14:paraId="29683143" w14:textId="5F65A828" w:rsidR="000F2F5A" w:rsidRPr="000F2F5A" w:rsidRDefault="000F2F5A" w:rsidP="000F2F5A">
      <w:pPr>
        <w:rPr>
          <w:i/>
          <w:iCs/>
        </w:rPr>
      </w:pPr>
      <w:r w:rsidRPr="000F2F5A">
        <w:rPr>
          <w:i/>
          <w:iCs/>
        </w:rPr>
        <w:t xml:space="preserve">Table </w:t>
      </w:r>
      <w:r>
        <w:rPr>
          <w:i/>
          <w:iCs/>
        </w:rPr>
        <w:t>3</w:t>
      </w:r>
      <w:r w:rsidRPr="000F2F5A">
        <w:rPr>
          <w:i/>
          <w:iCs/>
        </w:rPr>
        <w:t>: Systematic Search Strategy and Keywords</w:t>
      </w:r>
    </w:p>
    <w:tbl>
      <w:tblPr>
        <w:tblW w:w="0" w:type="dxa"/>
        <w:tblCellMar>
          <w:left w:w="0" w:type="dxa"/>
          <w:right w:w="0" w:type="dxa"/>
        </w:tblCellMar>
        <w:tblLook w:val="04A0" w:firstRow="1" w:lastRow="0" w:firstColumn="1" w:lastColumn="0" w:noHBand="0" w:noVBand="1"/>
      </w:tblPr>
      <w:tblGrid>
        <w:gridCol w:w="1714"/>
        <w:gridCol w:w="7296"/>
      </w:tblGrid>
      <w:tr w:rsidR="000F2F5A" w:rsidRPr="000F2F5A" w14:paraId="216F56DE" w14:textId="77777777" w:rsidTr="000F2F5A">
        <w:trPr>
          <w:trHeight w:val="315"/>
        </w:trPr>
        <w:tc>
          <w:tcPr>
            <w:tcW w:w="0" w:type="auto"/>
            <w:tcBorders>
              <w:top w:val="single" w:sz="6" w:space="0" w:color="284E3F"/>
              <w:left w:val="single" w:sz="6" w:space="0" w:color="284E3F"/>
              <w:bottom w:val="single" w:sz="6" w:space="0" w:color="284E3F"/>
              <w:right w:val="single" w:sz="6" w:space="0" w:color="356854"/>
            </w:tcBorders>
            <w:shd w:val="clear" w:color="auto" w:fill="356854"/>
            <w:tcMar>
              <w:top w:w="30" w:type="dxa"/>
              <w:left w:w="120" w:type="dxa"/>
              <w:bottom w:w="30" w:type="dxa"/>
              <w:right w:w="120" w:type="dxa"/>
            </w:tcMar>
            <w:vAlign w:val="center"/>
            <w:hideMark/>
          </w:tcPr>
          <w:p w14:paraId="2064CA91" w14:textId="77777777" w:rsidR="000F2F5A" w:rsidRPr="006C219E" w:rsidRDefault="000F2F5A" w:rsidP="006C219E">
            <w:pPr>
              <w:spacing w:after="0"/>
              <w:jc w:val="left"/>
              <w:rPr>
                <w:rFonts w:eastAsia="Times New Roman" w:cs="Arial"/>
                <w:color w:val="FFFFFF"/>
                <w:lang w:eastAsia="en-GB"/>
              </w:rPr>
            </w:pPr>
            <w:r w:rsidRPr="006C219E">
              <w:rPr>
                <w:rFonts w:eastAsia="Times New Roman" w:cs="Arial"/>
                <w:color w:val="FFFFFF"/>
                <w:lang w:eastAsia="en-GB"/>
              </w:rPr>
              <w:t>Search Category</w:t>
            </w: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55BBD1E0" w14:textId="77777777" w:rsidR="000F2F5A" w:rsidRPr="006C219E" w:rsidRDefault="000F2F5A" w:rsidP="006C219E">
            <w:pPr>
              <w:spacing w:after="0"/>
              <w:jc w:val="left"/>
              <w:rPr>
                <w:rFonts w:eastAsia="Times New Roman" w:cs="Arial"/>
                <w:color w:val="FFFFFF"/>
                <w:lang w:eastAsia="en-GB"/>
              </w:rPr>
            </w:pPr>
            <w:r w:rsidRPr="006C219E">
              <w:rPr>
                <w:rFonts w:eastAsia="Times New Roman" w:cs="Arial"/>
                <w:color w:val="FFFFFF"/>
                <w:lang w:eastAsia="en-GB"/>
              </w:rPr>
              <w:t xml:space="preserve">Keywords / </w:t>
            </w:r>
            <w:proofErr w:type="spellStart"/>
            <w:r w:rsidRPr="006C219E">
              <w:rPr>
                <w:rFonts w:eastAsia="Times New Roman" w:cs="Arial"/>
                <w:color w:val="FFFFFF"/>
                <w:lang w:eastAsia="en-GB"/>
              </w:rPr>
              <w:t>MeSH</w:t>
            </w:r>
            <w:proofErr w:type="spellEnd"/>
            <w:r w:rsidRPr="006C219E">
              <w:rPr>
                <w:rFonts w:eastAsia="Times New Roman" w:cs="Arial"/>
                <w:color w:val="FFFFFF"/>
                <w:lang w:eastAsia="en-GB"/>
              </w:rPr>
              <w:t xml:space="preserve"> Terms</w:t>
            </w:r>
          </w:p>
        </w:tc>
      </w:tr>
      <w:tr w:rsidR="000F2F5A" w:rsidRPr="000F2F5A" w14:paraId="083C4907" w14:textId="77777777" w:rsidTr="000F2F5A">
        <w:trPr>
          <w:trHeight w:val="315"/>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476449FB" w14:textId="77777777" w:rsidR="000F2F5A" w:rsidRPr="006C219E" w:rsidRDefault="000F2F5A" w:rsidP="006C219E">
            <w:pPr>
              <w:spacing w:after="0"/>
              <w:jc w:val="left"/>
              <w:rPr>
                <w:rFonts w:eastAsia="Times New Roman" w:cs="Arial"/>
                <w:color w:val="434343"/>
                <w:lang w:eastAsia="en-GB"/>
              </w:rPr>
            </w:pPr>
            <w:r w:rsidRPr="006C219E">
              <w:rPr>
                <w:rFonts w:eastAsia="Times New Roman" w:cs="Arial"/>
                <w:color w:val="434343"/>
                <w:lang w:eastAsia="en-GB"/>
              </w:rPr>
              <w:t>Condition (ARTI)</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6D76F906" w14:textId="77777777" w:rsidR="000F2F5A" w:rsidRPr="006C219E" w:rsidRDefault="000F2F5A" w:rsidP="006C219E">
            <w:pPr>
              <w:spacing w:after="0"/>
              <w:jc w:val="left"/>
              <w:rPr>
                <w:rFonts w:eastAsia="Times New Roman" w:cs="Arial"/>
                <w:color w:val="434343"/>
                <w:lang w:eastAsia="en-GB"/>
              </w:rPr>
            </w:pPr>
            <w:r w:rsidRPr="006C219E">
              <w:rPr>
                <w:rFonts w:eastAsia="Times New Roman" w:cs="Arial"/>
                <w:color w:val="434343"/>
                <w:lang w:eastAsia="en-GB"/>
              </w:rPr>
              <w:t>"Acute Respiratory Tract Infection" OR "URTI" OR "LRTI" OR "Sore Throat" OR "Cough" OR "Sinusitis" OR "Pneumonia"</w:t>
            </w:r>
          </w:p>
        </w:tc>
      </w:tr>
      <w:tr w:rsidR="000F2F5A" w:rsidRPr="000F2F5A" w14:paraId="4509A69E" w14:textId="77777777" w:rsidTr="000F2F5A">
        <w:trPr>
          <w:trHeight w:val="315"/>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0BCA501D" w14:textId="77777777" w:rsidR="000F2F5A" w:rsidRPr="006C219E" w:rsidRDefault="000F2F5A" w:rsidP="006C219E">
            <w:pPr>
              <w:spacing w:after="0"/>
              <w:jc w:val="left"/>
              <w:rPr>
                <w:rFonts w:eastAsia="Times New Roman" w:cs="Arial"/>
                <w:color w:val="434343"/>
                <w:lang w:eastAsia="en-GB"/>
              </w:rPr>
            </w:pPr>
            <w:r w:rsidRPr="006C219E">
              <w:rPr>
                <w:rFonts w:eastAsia="Times New Roman" w:cs="Arial"/>
                <w:color w:val="434343"/>
                <w:lang w:eastAsia="en-GB"/>
              </w:rPr>
              <w:lastRenderedPageBreak/>
              <w:t>Population</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6B700F58" w14:textId="77777777" w:rsidR="000F2F5A" w:rsidRPr="006C219E" w:rsidRDefault="000F2F5A" w:rsidP="006C219E">
            <w:pPr>
              <w:spacing w:after="0"/>
              <w:jc w:val="left"/>
              <w:rPr>
                <w:rFonts w:eastAsia="Times New Roman" w:cs="Arial"/>
                <w:color w:val="434343"/>
                <w:lang w:eastAsia="en-GB"/>
              </w:rPr>
            </w:pPr>
            <w:r w:rsidRPr="006C219E">
              <w:rPr>
                <w:rFonts w:eastAsia="Times New Roman" w:cs="Arial"/>
                <w:color w:val="434343"/>
                <w:lang w:eastAsia="en-GB"/>
              </w:rPr>
              <w:t>"Adult" OR "Primary Care" OR "General Practice" OR "UK" OR "United Kingdom" OR "England"</w:t>
            </w:r>
          </w:p>
        </w:tc>
      </w:tr>
      <w:tr w:rsidR="000F2F5A" w:rsidRPr="000F2F5A" w14:paraId="4A189EAD" w14:textId="77777777" w:rsidTr="000F2F5A">
        <w:trPr>
          <w:trHeight w:val="315"/>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1E49DAC9" w14:textId="77777777" w:rsidR="000F2F5A" w:rsidRPr="006C219E" w:rsidRDefault="000F2F5A" w:rsidP="006C219E">
            <w:pPr>
              <w:spacing w:after="0"/>
              <w:jc w:val="left"/>
              <w:rPr>
                <w:rFonts w:eastAsia="Times New Roman" w:cs="Arial"/>
                <w:color w:val="434343"/>
                <w:lang w:eastAsia="en-GB"/>
              </w:rPr>
            </w:pPr>
            <w:r w:rsidRPr="006C219E">
              <w:rPr>
                <w:rFonts w:eastAsia="Times New Roman" w:cs="Arial"/>
                <w:color w:val="434343"/>
                <w:lang w:eastAsia="en-GB"/>
              </w:rPr>
              <w:t>Interventions</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125B0D44" w14:textId="77777777" w:rsidR="000F2F5A" w:rsidRPr="006C219E" w:rsidRDefault="000F2F5A" w:rsidP="006C219E">
            <w:pPr>
              <w:spacing w:after="0"/>
              <w:jc w:val="left"/>
              <w:rPr>
                <w:rFonts w:eastAsia="Times New Roman" w:cs="Arial"/>
                <w:color w:val="434343"/>
                <w:lang w:eastAsia="en-GB"/>
              </w:rPr>
            </w:pPr>
            <w:r w:rsidRPr="006C219E">
              <w:rPr>
                <w:rFonts w:eastAsia="Times New Roman" w:cs="Arial"/>
                <w:color w:val="434343"/>
                <w:lang w:eastAsia="en-GB"/>
              </w:rPr>
              <w:t>"Antibiotic Prescribing" OR "Antimicrobial Stewardship" OR "Delayed Prescribing" OR "CRP Testing" OR "POCT"</w:t>
            </w:r>
          </w:p>
        </w:tc>
      </w:tr>
      <w:tr w:rsidR="000F2F5A" w:rsidRPr="000F2F5A" w14:paraId="7A54818D" w14:textId="77777777" w:rsidTr="000F2F5A">
        <w:trPr>
          <w:trHeight w:val="315"/>
        </w:trPr>
        <w:tc>
          <w:tcPr>
            <w:tcW w:w="0" w:type="auto"/>
            <w:tcBorders>
              <w:top w:val="single" w:sz="6" w:space="0" w:color="CCCCCC"/>
              <w:left w:val="single" w:sz="6" w:space="0" w:color="284E3F"/>
              <w:bottom w:val="single" w:sz="6" w:space="0" w:color="284E3F"/>
              <w:right w:val="single" w:sz="6" w:space="0" w:color="F6F8F9"/>
            </w:tcBorders>
            <w:shd w:val="clear" w:color="auto" w:fill="F6F8F9"/>
            <w:tcMar>
              <w:top w:w="30" w:type="dxa"/>
              <w:left w:w="120" w:type="dxa"/>
              <w:bottom w:w="30" w:type="dxa"/>
              <w:right w:w="120" w:type="dxa"/>
            </w:tcMar>
            <w:vAlign w:val="center"/>
            <w:hideMark/>
          </w:tcPr>
          <w:p w14:paraId="2D8C3CCC" w14:textId="77777777" w:rsidR="000F2F5A" w:rsidRPr="006C219E" w:rsidRDefault="000F2F5A" w:rsidP="006C219E">
            <w:pPr>
              <w:spacing w:after="0"/>
              <w:jc w:val="left"/>
              <w:rPr>
                <w:rFonts w:eastAsia="Times New Roman" w:cs="Arial"/>
                <w:color w:val="434343"/>
                <w:lang w:eastAsia="en-GB"/>
              </w:rPr>
            </w:pPr>
            <w:r w:rsidRPr="006C219E">
              <w:rPr>
                <w:rFonts w:eastAsia="Times New Roman" w:cs="Arial"/>
                <w:color w:val="434343"/>
                <w:lang w:eastAsia="en-GB"/>
              </w:rPr>
              <w:t>Methods</w:t>
            </w:r>
          </w:p>
        </w:tc>
        <w:tc>
          <w:tcPr>
            <w:tcW w:w="0" w:type="auto"/>
            <w:tcBorders>
              <w:top w:val="single" w:sz="6" w:space="0" w:color="CCCCCC"/>
              <w:left w:val="single" w:sz="6" w:space="0" w:color="CCCCCC"/>
              <w:bottom w:val="single" w:sz="6" w:space="0" w:color="284E3F"/>
              <w:right w:val="single" w:sz="6" w:space="0" w:color="284E3F"/>
            </w:tcBorders>
            <w:shd w:val="clear" w:color="auto" w:fill="F6F8F9"/>
            <w:tcMar>
              <w:top w:w="30" w:type="dxa"/>
              <w:left w:w="120" w:type="dxa"/>
              <w:bottom w:w="30" w:type="dxa"/>
              <w:right w:w="120" w:type="dxa"/>
            </w:tcMar>
            <w:vAlign w:val="center"/>
            <w:hideMark/>
          </w:tcPr>
          <w:p w14:paraId="780531CD" w14:textId="77777777" w:rsidR="000F2F5A" w:rsidRPr="006C219E" w:rsidRDefault="000F2F5A" w:rsidP="006C219E">
            <w:pPr>
              <w:spacing w:after="0"/>
              <w:jc w:val="left"/>
              <w:rPr>
                <w:rFonts w:eastAsia="Times New Roman" w:cs="Arial"/>
                <w:color w:val="434343"/>
                <w:lang w:eastAsia="en-GB"/>
              </w:rPr>
            </w:pPr>
            <w:r w:rsidRPr="006C219E">
              <w:rPr>
                <w:rFonts w:eastAsia="Times New Roman" w:cs="Arial"/>
                <w:color w:val="434343"/>
                <w:lang w:eastAsia="en-GB"/>
              </w:rPr>
              <w:t>"Qualitative" OR "Interviews" OR "Focus Groups" OR "Thematic Analysis" OR "Lived Experience" OR "Perspectives"</w:t>
            </w:r>
          </w:p>
        </w:tc>
      </w:tr>
    </w:tbl>
    <w:p w14:paraId="7E671120" w14:textId="426F97C0" w:rsidR="000F2F5A" w:rsidRDefault="000F2F5A" w:rsidP="000F2F5A"/>
    <w:p w14:paraId="53D4F49D" w14:textId="04B2CD6E" w:rsidR="000F2F5A" w:rsidRDefault="000F2F5A" w:rsidP="000F2F5A">
      <w:r w:rsidRPr="000F2F5A">
        <w:t>The study selection process will be meticulously documented using a PRISMA (Preferred Reporting Items for Systematic Reviews) flow diagram:</w:t>
      </w:r>
    </w:p>
    <w:p w14:paraId="766C9AFB" w14:textId="7E175DA8" w:rsidR="000F2F5A" w:rsidRDefault="000F2F5A" w:rsidP="000F2F5A">
      <w:r w:rsidRPr="0069062C">
        <w:rPr>
          <w:b/>
          <w:bCs/>
        </w:rPr>
        <w:t>Identification Phase:</w:t>
      </w:r>
      <w:r w:rsidRPr="000F2F5A">
        <w:t xml:space="preserve"> Initial database searches and manual "snowball" searching of reference lists from key papers</w:t>
      </w:r>
      <w:r w:rsidR="00BE1B50">
        <w:t xml:space="preserve"> </w:t>
      </w:r>
      <w:r w:rsidR="00BE1B50" w:rsidRPr="00BE1B50">
        <w:t>(</w:t>
      </w:r>
      <w:proofErr w:type="spellStart"/>
      <w:r w:rsidR="00BE1B50" w:rsidRPr="00BE1B50">
        <w:t>Acampora</w:t>
      </w:r>
      <w:proofErr w:type="spellEnd"/>
      <w:r w:rsidR="00BE1B50" w:rsidRPr="00BE1B50">
        <w:t xml:space="preserve"> et al., 2022)</w:t>
      </w:r>
      <w:r w:rsidR="00BE1B50">
        <w:t>.</w:t>
      </w:r>
    </w:p>
    <w:p w14:paraId="0CE95021" w14:textId="77777777" w:rsidR="000F2F5A" w:rsidRDefault="000F2F5A" w:rsidP="000F2F5A">
      <w:r w:rsidRPr="0069062C">
        <w:rPr>
          <w:b/>
          <w:bCs/>
        </w:rPr>
        <w:t>Screening Phase:</w:t>
      </w:r>
      <w:r w:rsidRPr="000F2F5A">
        <w:t xml:space="preserve"> Removal of duplicates followed by screening of titles and abstracts against inclusion/exclusion criteria.</w:t>
      </w:r>
    </w:p>
    <w:p w14:paraId="7EC0D9B9" w14:textId="77777777" w:rsidR="0069062C" w:rsidRDefault="000F2F5A" w:rsidP="000F2F5A">
      <w:r w:rsidRPr="0069062C">
        <w:rPr>
          <w:b/>
          <w:bCs/>
        </w:rPr>
        <w:t>Eligibility Phase:</w:t>
      </w:r>
      <w:r w:rsidRPr="000F2F5A">
        <w:t xml:space="preserve"> Full-text review of shortlisted articles by the researcher.</w:t>
      </w:r>
    </w:p>
    <w:p w14:paraId="4E1D7318" w14:textId="7B4DD550" w:rsidR="000F2F5A" w:rsidRDefault="000F2F5A" w:rsidP="000F2F5A">
      <w:r w:rsidRPr="0069062C">
        <w:rPr>
          <w:b/>
          <w:bCs/>
        </w:rPr>
        <w:t>Inclusion Phase:</w:t>
      </w:r>
      <w:r w:rsidRPr="000F2F5A">
        <w:t xml:space="preserve"> Final selection of the</w:t>
      </w:r>
      <w:r w:rsidR="0077348B">
        <w:t xml:space="preserve"> </w:t>
      </w:r>
      <w:r w:rsidR="00376FE4">
        <w:t>8-</w:t>
      </w:r>
      <w:r w:rsidR="0077348B">
        <w:t>10</w:t>
      </w:r>
      <w:r w:rsidRPr="000F2F5A">
        <w:t xml:space="preserve"> studies for synthesis.</w:t>
      </w:r>
    </w:p>
    <w:p w14:paraId="50F76FB0" w14:textId="377CD924" w:rsidR="0069062C" w:rsidRDefault="0069062C" w:rsidP="000F2F5A">
      <w:r w:rsidRPr="0069062C">
        <w:t>Quality appraisal will be conducted using the Critical Appraisal Skills Programme (CASP) checklist for qualitative research</w:t>
      </w:r>
      <w:r w:rsidR="00BE1B50">
        <w:t xml:space="preserve"> </w:t>
      </w:r>
      <w:r w:rsidR="00BE1B50" w:rsidRPr="00BE1B50">
        <w:t>(</w:t>
      </w:r>
      <w:proofErr w:type="spellStart"/>
      <w:r w:rsidR="00BE1B50" w:rsidRPr="00BE1B50">
        <w:t>Andreini</w:t>
      </w:r>
      <w:proofErr w:type="spellEnd"/>
      <w:r w:rsidR="00BE1B50" w:rsidRPr="00BE1B50">
        <w:t xml:space="preserve"> and Bettinelli, 2017)</w:t>
      </w:r>
      <w:r w:rsidR="00BE1B50">
        <w:t>.</w:t>
      </w:r>
    </w:p>
    <w:p w14:paraId="1426F178" w14:textId="187C61DB" w:rsidR="0069062C" w:rsidRDefault="0069062C" w:rsidP="0069062C">
      <w:pPr>
        <w:pStyle w:val="Heading2"/>
      </w:pPr>
      <w:bookmarkStart w:id="15" w:name="_Toc226330393"/>
      <w:r w:rsidRPr="0069062C">
        <w:t>4.4 Proposed Data Analysis Technique (Thematic Analysis)</w:t>
      </w:r>
      <w:bookmarkEnd w:id="15"/>
    </w:p>
    <w:p w14:paraId="1459C5B3" w14:textId="7B8F733C" w:rsidR="0069062C" w:rsidRDefault="0069062C" w:rsidP="0069062C">
      <w:r w:rsidRPr="00BF1D40">
        <w:rPr>
          <w:b/>
          <w:bCs/>
        </w:rPr>
        <w:t>Stage 1: Familiarization and Line-by-Line Coding:</w:t>
      </w:r>
      <w:r>
        <w:t xml:space="preserve"> The researcher will immerse themselves in main study "Findings" parts. Each phrase or paragraph on an event, impediment, or observation will be coded.</w:t>
      </w:r>
    </w:p>
    <w:p w14:paraId="0B60C141" w14:textId="3AFFE34B" w:rsidR="0069062C" w:rsidRDefault="00BF1D40" w:rsidP="0069062C">
      <w:r w:rsidRPr="00BF1D40">
        <w:rPr>
          <w:b/>
          <w:bCs/>
        </w:rPr>
        <w:t>Stage 2: Developing Descriptive Themes:</w:t>
      </w:r>
      <w:r w:rsidRPr="00BF1D40">
        <w:t xml:space="preserve"> </w:t>
      </w:r>
      <w:r w:rsidR="0069062C">
        <w:t>Hierarchical codes will group related ideas into descriptive themes. This stage stays "close" to participants' remarks. Systemic Barriers to Standardised Management might include 10-minute slot, Waiting room pressure, and kit cost</w:t>
      </w:r>
      <w:r w:rsidR="00BE1B50">
        <w:t xml:space="preserve"> </w:t>
      </w:r>
      <w:r w:rsidR="00BE1B50" w:rsidRPr="00BE1B50">
        <w:t>(</w:t>
      </w:r>
      <w:proofErr w:type="spellStart"/>
      <w:r w:rsidR="00BE1B50" w:rsidRPr="00BE1B50">
        <w:t>Azarian</w:t>
      </w:r>
      <w:proofErr w:type="spellEnd"/>
      <w:r w:rsidR="00BE1B50" w:rsidRPr="00BE1B50">
        <w:t xml:space="preserve"> et al., 2023)</w:t>
      </w:r>
      <w:r w:rsidR="0069062C">
        <w:t>.</w:t>
      </w:r>
    </w:p>
    <w:p w14:paraId="76C2D2D1" w14:textId="03C252F4" w:rsidR="0069062C" w:rsidRDefault="0069062C" w:rsidP="0069062C">
      <w:r w:rsidRPr="00BF1D40">
        <w:rPr>
          <w:b/>
          <w:bCs/>
        </w:rPr>
        <w:t>Stage 3: Analytical Themes</w:t>
      </w:r>
      <w:r w:rsidR="00BF1D40" w:rsidRPr="00BF1D40">
        <w:rPr>
          <w:b/>
          <w:bCs/>
        </w:rPr>
        <w:t>:</w:t>
      </w:r>
      <w:r w:rsidR="00BF1D40">
        <w:t xml:space="preserve"> </w:t>
      </w:r>
      <w:r>
        <w:t>The most crucial step is an interpretative leap to answer the study question by finding linkages between descriptive topics. The "how" and "why" of Diagnostic Uncertainty and Patient Pressure driving the Medicalisation Cycle will be examined in this step</w:t>
      </w:r>
      <w:r w:rsidR="00BE1B50">
        <w:t xml:space="preserve"> </w:t>
      </w:r>
      <w:r w:rsidR="00BE1B50" w:rsidRPr="00BE1B50">
        <w:t>(Matos et al., 2023)</w:t>
      </w:r>
      <w:r w:rsidR="00BE1B50">
        <w:t>.</w:t>
      </w:r>
    </w:p>
    <w:p w14:paraId="072267A1" w14:textId="789F3969" w:rsidR="00BF1D40" w:rsidRDefault="00BF1D40" w:rsidP="00BF1D40">
      <w:pPr>
        <w:pStyle w:val="Heading2"/>
      </w:pPr>
      <w:bookmarkStart w:id="16" w:name="_Toc226330394"/>
      <w:r w:rsidRPr="00BF1D40">
        <w:lastRenderedPageBreak/>
        <w:t>4.5 Ethical Considerations</w:t>
      </w:r>
      <w:bookmarkEnd w:id="16"/>
    </w:p>
    <w:p w14:paraId="4A03439B" w14:textId="0F6A70FA" w:rsidR="00BF1D40" w:rsidRDefault="00BF1D40" w:rsidP="00BF1D40">
      <w:r>
        <w:t>This study is a systematic review of already available, anonymized, and published information, which means that it will not involve any direct contact with any human subject and, therefore, does not necessitate primary ethical approval by a university or NHS Research Ethics Committee (REC). Nevertheless, the following ethical principles will be followed by the researcher:</w:t>
      </w:r>
    </w:p>
    <w:p w14:paraId="058BBA76" w14:textId="30393D1C" w:rsidR="00BF1D40" w:rsidRDefault="00BF1D40" w:rsidP="00BF1D40">
      <w:r w:rsidRPr="00BF1D40">
        <w:rPr>
          <w:b/>
          <w:bCs/>
        </w:rPr>
        <w:t>Factual Reporting:</w:t>
      </w:r>
      <w:r>
        <w:t xml:space="preserve"> All will be done to present the findings of the primary study authors in their true form without cherry-picking data presented in a way that validates a priori hypothesis.</w:t>
      </w:r>
    </w:p>
    <w:p w14:paraId="63ADB2C1" w14:textId="412AAD32" w:rsidR="00BF1D40" w:rsidRDefault="00BF1D40" w:rsidP="00BF1D40">
      <w:r w:rsidRPr="00BF1D40">
        <w:rPr>
          <w:b/>
          <w:bCs/>
        </w:rPr>
        <w:t>Reflexivity:</w:t>
      </w:r>
      <w:r>
        <w:t xml:space="preserve"> To address the issue of the researcher having his own biases, the researcher will keep a reflexive journal in order to admit his own strong adherence to antimicrobial stewardship and to make sure that it will not affect the thematic coding too much.</w:t>
      </w:r>
    </w:p>
    <w:p w14:paraId="7ADB7815" w14:textId="40B27371" w:rsidR="00BF1D40" w:rsidRDefault="00BF1D40" w:rsidP="00BF1D40">
      <w:r w:rsidRPr="00BF1D40">
        <w:rPr>
          <w:b/>
          <w:bCs/>
        </w:rPr>
        <w:t>Intellectual Property:</w:t>
      </w:r>
      <w:r>
        <w:t xml:space="preserve"> No plagiarism of data will be done and all main authors will be duly cited.</w:t>
      </w:r>
    </w:p>
    <w:p w14:paraId="14857822" w14:textId="78C50934" w:rsidR="00BF1D40" w:rsidRDefault="00BF1D40" w:rsidP="00BF1D40">
      <w:r w:rsidRPr="00BF1D40">
        <w:rPr>
          <w:b/>
          <w:bCs/>
        </w:rPr>
        <w:t>Integrity:</w:t>
      </w:r>
      <w:r>
        <w:t xml:space="preserve"> The PRISMA guidelines will be adhered to in order to make the search and selection process transparent and replicable.</w:t>
      </w:r>
    </w:p>
    <w:p w14:paraId="39FEFE8F" w14:textId="1D1E6658" w:rsidR="00BF1D40" w:rsidRDefault="00BF1D40" w:rsidP="00BF1D40">
      <w:pPr>
        <w:pStyle w:val="Heading2"/>
      </w:pPr>
      <w:bookmarkStart w:id="17" w:name="_Toc226330395"/>
      <w:r w:rsidRPr="00BF1D40">
        <w:t>4.6 Implication of Research</w:t>
      </w:r>
      <w:bookmarkEnd w:id="17"/>
    </w:p>
    <w:p w14:paraId="0B19349F" w14:textId="2845F9EA" w:rsidR="00BF1D40" w:rsidRDefault="00BF1D40" w:rsidP="00BF1D40">
      <w:r>
        <w:t>It is anticipated that this systematic review will have significant clinical practice, health policy, and overall academic discourse implications on respiratory care in the UK.</w:t>
      </w:r>
    </w:p>
    <w:p w14:paraId="6120BAFB" w14:textId="4EA92AB2" w:rsidR="00BF1D40" w:rsidRDefault="00BF1D40" w:rsidP="00BF1D40">
      <w:r w:rsidRPr="00BF1D40">
        <w:rPr>
          <w:b/>
          <w:bCs/>
        </w:rPr>
        <w:t>Clinical Practice:</w:t>
      </w:r>
      <w:r>
        <w:t xml:space="preserve"> The review will equip GPs and nurse prescribers with evidence-based instruments to deal with patient expectations and minimize conflict in the consultation when antibiotics are not needed through synthesizing the most effective communication strategies. </w:t>
      </w:r>
    </w:p>
    <w:p w14:paraId="5C4207BD" w14:textId="4CB629E5" w:rsidR="00BF1D40" w:rsidRDefault="00BF1D40" w:rsidP="00BF1D40">
      <w:r w:rsidRPr="00BF1D40">
        <w:rPr>
          <w:b/>
          <w:bCs/>
        </w:rPr>
        <w:t>Policy and Guidelines:</w:t>
      </w:r>
      <w:r>
        <w:t xml:space="preserve"> The results will be directly applied to the current review of NICE guideline NG237. The research can help inform updates that would make these strategies more operationalizable to clinicians by determining the exact "qualitative failures" of delayed prescribing</w:t>
      </w:r>
      <w:r w:rsidR="00BE1B50">
        <w:t xml:space="preserve"> </w:t>
      </w:r>
      <w:r w:rsidR="00BE1B50" w:rsidRPr="00BE1B50">
        <w:t>(Willis, 2025)</w:t>
      </w:r>
      <w:r w:rsidR="00BE1B50">
        <w:t>.</w:t>
      </w:r>
    </w:p>
    <w:p w14:paraId="59B4FE01" w14:textId="646FF955" w:rsidR="00BF1D40" w:rsidRDefault="00BF1D40" w:rsidP="00BF1D40">
      <w:r w:rsidRPr="00BF1D40">
        <w:rPr>
          <w:b/>
          <w:bCs/>
        </w:rPr>
        <w:t>Antimicrobial Stewardship:</w:t>
      </w:r>
      <w:r>
        <w:t xml:space="preserve"> The research will complement the National Action Plan of the UK in 2024-2029 (the UK) on how the management strategies could be adapted to the most deprived populations, where AMR risk is </w:t>
      </w:r>
      <w:r w:rsidRPr="00BF1D40">
        <w:t>47.2% higher</w:t>
      </w:r>
      <w:r w:rsidR="00BE1B50" w:rsidRPr="00BE1B50">
        <w:t xml:space="preserve"> (Tang et al., 2026)</w:t>
      </w:r>
      <w:r w:rsidR="00BE1B50">
        <w:t>.</w:t>
      </w:r>
    </w:p>
    <w:p w14:paraId="32490C32" w14:textId="5773A0FA" w:rsidR="00BF1D40" w:rsidRDefault="00BF1D40" w:rsidP="00BF1D40">
      <w:r w:rsidRPr="00BF1D40">
        <w:rPr>
          <w:b/>
          <w:bCs/>
        </w:rPr>
        <w:t>Academic Contribution:</w:t>
      </w:r>
      <w:r>
        <w:t xml:space="preserve"> The study will contribute to the medicalization hypothesis by offering a synthesized UK-specific evidence base on the effects of prescribing </w:t>
      </w:r>
      <w:proofErr w:type="spellStart"/>
      <w:r>
        <w:t>behaviors</w:t>
      </w:r>
      <w:proofErr w:type="spellEnd"/>
      <w:r>
        <w:t xml:space="preserve"> on long-term health-seeking patterns.</w:t>
      </w:r>
    </w:p>
    <w:p w14:paraId="3F098EB2" w14:textId="3397DFC2" w:rsidR="00BF1D40" w:rsidRDefault="00BF1D40">
      <w:pPr>
        <w:spacing w:line="259" w:lineRule="auto"/>
        <w:jc w:val="left"/>
        <w:rPr>
          <w:rFonts w:eastAsiaTheme="majorEastAsia" w:cstheme="majorBidi"/>
          <w:color w:val="2F5496" w:themeColor="accent1" w:themeShade="BF"/>
          <w:sz w:val="28"/>
          <w:szCs w:val="26"/>
        </w:rPr>
      </w:pPr>
    </w:p>
    <w:p w14:paraId="632F4F18" w14:textId="5C04CBC1" w:rsidR="00BF1D40" w:rsidRDefault="00BF1D40" w:rsidP="00BF1D40">
      <w:pPr>
        <w:pStyle w:val="Heading2"/>
      </w:pPr>
      <w:bookmarkStart w:id="18" w:name="_Toc226330396"/>
      <w:r>
        <w:lastRenderedPageBreak/>
        <w:t>4.7 Plan of Work and Time Schedule (Gantt Chart)</w:t>
      </w:r>
      <w:bookmarkEnd w:id="18"/>
    </w:p>
    <w:p w14:paraId="7F22E556" w14:textId="1D58AA30" w:rsidR="00BF1D40" w:rsidRDefault="00BF1D40" w:rsidP="00BF1D40">
      <w:r>
        <w:t>The research project will be completed over 16 weeks, organized into four key phases: Preparation, Data Retrieval, Analysis, and Synthesis</w:t>
      </w:r>
      <w:r w:rsidR="00D74484">
        <w:t>.</w:t>
      </w:r>
    </w:p>
    <w:tbl>
      <w:tblPr>
        <w:tblW w:w="9010" w:type="dxa"/>
        <w:tblCellMar>
          <w:left w:w="0" w:type="dxa"/>
          <w:right w:w="0" w:type="dxa"/>
        </w:tblCellMar>
        <w:tblLook w:val="04A0" w:firstRow="1" w:lastRow="0" w:firstColumn="1" w:lastColumn="0" w:noHBand="0" w:noVBand="1"/>
      </w:tblPr>
      <w:tblGrid>
        <w:gridCol w:w="3684"/>
        <w:gridCol w:w="1101"/>
        <w:gridCol w:w="499"/>
        <w:gridCol w:w="499"/>
        <w:gridCol w:w="499"/>
        <w:gridCol w:w="21"/>
        <w:gridCol w:w="601"/>
        <w:gridCol w:w="702"/>
        <w:gridCol w:w="702"/>
        <w:gridCol w:w="702"/>
      </w:tblGrid>
      <w:tr w:rsidR="00D74484" w:rsidRPr="00BF1D40" w14:paraId="2B91EDDE" w14:textId="77777777" w:rsidTr="00D74484">
        <w:trPr>
          <w:trHeight w:val="315"/>
        </w:trPr>
        <w:tc>
          <w:tcPr>
            <w:tcW w:w="0" w:type="auto"/>
            <w:tcBorders>
              <w:top w:val="single" w:sz="6" w:space="0" w:color="284E3F"/>
              <w:left w:val="single" w:sz="6" w:space="0" w:color="284E3F"/>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2A05896E" w14:textId="77777777" w:rsidR="00D74484" w:rsidRPr="00BF1D40" w:rsidRDefault="00D74484" w:rsidP="00BF1D40">
            <w:pPr>
              <w:spacing w:after="0" w:line="240" w:lineRule="auto"/>
              <w:jc w:val="center"/>
              <w:rPr>
                <w:rFonts w:ascii="Roboto" w:eastAsia="Times New Roman" w:hAnsi="Roboto" w:cs="Arial"/>
                <w:color w:val="FFFFFF"/>
                <w:sz w:val="20"/>
                <w:szCs w:val="20"/>
                <w:lang w:eastAsia="en-GB"/>
              </w:rPr>
            </w:pPr>
            <w:r w:rsidRPr="00BF1D40">
              <w:rPr>
                <w:rFonts w:ascii="Roboto" w:eastAsia="Times New Roman" w:hAnsi="Roboto" w:cs="Arial"/>
                <w:color w:val="FFFFFF"/>
                <w:sz w:val="20"/>
                <w:szCs w:val="20"/>
                <w:lang w:eastAsia="en-GB"/>
              </w:rPr>
              <w:t>Task</w:t>
            </w: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31761269" w14:textId="77777777" w:rsidR="00D74484" w:rsidRPr="00BF1D40" w:rsidRDefault="00D74484" w:rsidP="00BF1D40">
            <w:pPr>
              <w:spacing w:after="0" w:line="240" w:lineRule="auto"/>
              <w:jc w:val="center"/>
              <w:rPr>
                <w:rFonts w:ascii="Roboto" w:eastAsia="Times New Roman" w:hAnsi="Roboto" w:cs="Arial"/>
                <w:color w:val="FFFFFF"/>
                <w:sz w:val="20"/>
                <w:szCs w:val="20"/>
                <w:lang w:eastAsia="en-GB"/>
              </w:rPr>
            </w:pPr>
            <w:r w:rsidRPr="00BF1D40">
              <w:rPr>
                <w:rFonts w:ascii="Roboto" w:eastAsia="Times New Roman" w:hAnsi="Roboto" w:cs="Arial"/>
                <w:color w:val="FFFFFF"/>
                <w:sz w:val="20"/>
                <w:szCs w:val="20"/>
                <w:lang w:eastAsia="en-GB"/>
              </w:rPr>
              <w:t>Weeks 1-2</w:t>
            </w: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19AD0AA2" w14:textId="77777777" w:rsidR="00D74484" w:rsidRPr="00BF1D40" w:rsidRDefault="00D74484" w:rsidP="00BF1D40">
            <w:pPr>
              <w:spacing w:after="0" w:line="240" w:lineRule="auto"/>
              <w:jc w:val="center"/>
              <w:rPr>
                <w:rFonts w:ascii="Roboto" w:eastAsia="Times New Roman" w:hAnsi="Roboto" w:cs="Arial"/>
                <w:color w:val="FFFFFF"/>
                <w:sz w:val="20"/>
                <w:szCs w:val="20"/>
                <w:lang w:eastAsia="en-GB"/>
              </w:rPr>
            </w:pPr>
            <w:r w:rsidRPr="00BF1D40">
              <w:rPr>
                <w:rFonts w:ascii="Roboto" w:eastAsia="Times New Roman" w:hAnsi="Roboto" w:cs="Arial"/>
                <w:color w:val="FFFFFF"/>
                <w:sz w:val="20"/>
                <w:szCs w:val="20"/>
                <w:lang w:eastAsia="en-GB"/>
              </w:rPr>
              <w:t>3-4</w:t>
            </w: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1E7D9D14" w14:textId="77777777" w:rsidR="00D74484" w:rsidRPr="00BF1D40" w:rsidRDefault="00D74484" w:rsidP="00BF1D40">
            <w:pPr>
              <w:spacing w:after="0" w:line="240" w:lineRule="auto"/>
              <w:jc w:val="center"/>
              <w:rPr>
                <w:rFonts w:ascii="Roboto" w:eastAsia="Times New Roman" w:hAnsi="Roboto" w:cs="Arial"/>
                <w:color w:val="FFFFFF"/>
                <w:sz w:val="20"/>
                <w:szCs w:val="20"/>
                <w:lang w:eastAsia="en-GB"/>
              </w:rPr>
            </w:pPr>
            <w:r w:rsidRPr="00BF1D40">
              <w:rPr>
                <w:rFonts w:ascii="Roboto" w:eastAsia="Times New Roman" w:hAnsi="Roboto" w:cs="Arial"/>
                <w:color w:val="FFFFFF"/>
                <w:sz w:val="20"/>
                <w:szCs w:val="20"/>
                <w:lang w:eastAsia="en-GB"/>
              </w:rPr>
              <w:t>5-6</w:t>
            </w: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53FFD2E5" w14:textId="77777777" w:rsidR="00D74484" w:rsidRPr="00BF1D40" w:rsidRDefault="00D74484" w:rsidP="00BF1D40">
            <w:pPr>
              <w:spacing w:after="0" w:line="240" w:lineRule="auto"/>
              <w:jc w:val="center"/>
              <w:rPr>
                <w:rFonts w:ascii="Roboto" w:eastAsia="Times New Roman" w:hAnsi="Roboto" w:cs="Arial"/>
                <w:color w:val="FFFFFF"/>
                <w:sz w:val="20"/>
                <w:szCs w:val="20"/>
                <w:lang w:eastAsia="en-GB"/>
              </w:rPr>
            </w:pPr>
            <w:r w:rsidRPr="00BF1D40">
              <w:rPr>
                <w:rFonts w:ascii="Roboto" w:eastAsia="Times New Roman" w:hAnsi="Roboto" w:cs="Arial"/>
                <w:color w:val="FFFFFF"/>
                <w:sz w:val="20"/>
                <w:szCs w:val="20"/>
                <w:lang w:eastAsia="en-GB"/>
              </w:rPr>
              <w:t>7-8</w:t>
            </w:r>
          </w:p>
        </w:tc>
        <w:tc>
          <w:tcPr>
            <w:tcW w:w="0" w:type="auto"/>
            <w:tcBorders>
              <w:top w:val="single" w:sz="6" w:space="0" w:color="284E3F"/>
              <w:left w:val="single" w:sz="6" w:space="0" w:color="CCCCCC"/>
              <w:bottom w:val="single" w:sz="6" w:space="0" w:color="284E3F"/>
              <w:right w:val="single" w:sz="6" w:space="0" w:color="CCCCCC"/>
            </w:tcBorders>
            <w:shd w:val="clear" w:color="auto" w:fill="356854"/>
          </w:tcPr>
          <w:p w14:paraId="3FBD6A11" w14:textId="77777777" w:rsidR="00D74484" w:rsidRPr="00BF1D40" w:rsidRDefault="00D74484" w:rsidP="00BF1D40">
            <w:pPr>
              <w:spacing w:after="0" w:line="240" w:lineRule="auto"/>
              <w:jc w:val="center"/>
              <w:rPr>
                <w:rFonts w:ascii="Roboto" w:eastAsia="Times New Roman" w:hAnsi="Roboto" w:cs="Arial"/>
                <w:color w:val="FFFFFF"/>
                <w:sz w:val="20"/>
                <w:szCs w:val="20"/>
                <w:lang w:eastAsia="en-GB"/>
              </w:rPr>
            </w:pP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184A71BD" w14:textId="3DA00A71" w:rsidR="00D74484" w:rsidRPr="00BF1D40" w:rsidRDefault="00D74484" w:rsidP="00BF1D40">
            <w:pPr>
              <w:spacing w:after="0" w:line="240" w:lineRule="auto"/>
              <w:jc w:val="center"/>
              <w:rPr>
                <w:rFonts w:ascii="Roboto" w:eastAsia="Times New Roman" w:hAnsi="Roboto" w:cs="Arial"/>
                <w:color w:val="FFFFFF"/>
                <w:sz w:val="20"/>
                <w:szCs w:val="20"/>
                <w:lang w:eastAsia="en-GB"/>
              </w:rPr>
            </w:pPr>
            <w:r w:rsidRPr="00BF1D40">
              <w:rPr>
                <w:rFonts w:ascii="Roboto" w:eastAsia="Times New Roman" w:hAnsi="Roboto" w:cs="Arial"/>
                <w:color w:val="FFFFFF"/>
                <w:sz w:val="20"/>
                <w:szCs w:val="20"/>
                <w:lang w:eastAsia="en-GB"/>
              </w:rPr>
              <w:t>9-10</w:t>
            </w: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7AFA0B44" w14:textId="77777777" w:rsidR="00D74484" w:rsidRPr="00BF1D40" w:rsidRDefault="00D74484" w:rsidP="00BF1D40">
            <w:pPr>
              <w:spacing w:after="0" w:line="240" w:lineRule="auto"/>
              <w:jc w:val="center"/>
              <w:rPr>
                <w:rFonts w:ascii="Roboto" w:eastAsia="Times New Roman" w:hAnsi="Roboto" w:cs="Arial"/>
                <w:color w:val="FFFFFF"/>
                <w:sz w:val="20"/>
                <w:szCs w:val="20"/>
                <w:lang w:eastAsia="en-GB"/>
              </w:rPr>
            </w:pPr>
            <w:r w:rsidRPr="00BF1D40">
              <w:rPr>
                <w:rFonts w:ascii="Roboto" w:eastAsia="Times New Roman" w:hAnsi="Roboto" w:cs="Arial"/>
                <w:color w:val="FFFFFF"/>
                <w:sz w:val="20"/>
                <w:szCs w:val="20"/>
                <w:lang w:eastAsia="en-GB"/>
              </w:rPr>
              <w:t>11-12</w:t>
            </w: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658F24F7" w14:textId="77777777" w:rsidR="00D74484" w:rsidRPr="00BF1D40" w:rsidRDefault="00D74484" w:rsidP="00BF1D40">
            <w:pPr>
              <w:spacing w:after="0" w:line="240" w:lineRule="auto"/>
              <w:jc w:val="center"/>
              <w:rPr>
                <w:rFonts w:ascii="Roboto" w:eastAsia="Times New Roman" w:hAnsi="Roboto" w:cs="Arial"/>
                <w:color w:val="FFFFFF"/>
                <w:sz w:val="20"/>
                <w:szCs w:val="20"/>
                <w:lang w:eastAsia="en-GB"/>
              </w:rPr>
            </w:pPr>
            <w:r w:rsidRPr="00BF1D40">
              <w:rPr>
                <w:rFonts w:ascii="Roboto" w:eastAsia="Times New Roman" w:hAnsi="Roboto" w:cs="Arial"/>
                <w:color w:val="FFFFFF"/>
                <w:sz w:val="20"/>
                <w:szCs w:val="20"/>
                <w:lang w:eastAsia="en-GB"/>
              </w:rPr>
              <w:t>13-14</w:t>
            </w: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3F89FBE9" w14:textId="77777777" w:rsidR="00D74484" w:rsidRPr="00BF1D40" w:rsidRDefault="00D74484" w:rsidP="00BF1D40">
            <w:pPr>
              <w:spacing w:after="0" w:line="240" w:lineRule="auto"/>
              <w:jc w:val="center"/>
              <w:rPr>
                <w:rFonts w:ascii="Roboto" w:eastAsia="Times New Roman" w:hAnsi="Roboto" w:cs="Arial"/>
                <w:color w:val="FFFFFF"/>
                <w:sz w:val="20"/>
                <w:szCs w:val="20"/>
                <w:lang w:eastAsia="en-GB"/>
              </w:rPr>
            </w:pPr>
            <w:r w:rsidRPr="00BF1D40">
              <w:rPr>
                <w:rFonts w:ascii="Roboto" w:eastAsia="Times New Roman" w:hAnsi="Roboto" w:cs="Arial"/>
                <w:color w:val="FFFFFF"/>
                <w:sz w:val="20"/>
                <w:szCs w:val="20"/>
                <w:lang w:eastAsia="en-GB"/>
              </w:rPr>
              <w:t>15-16</w:t>
            </w:r>
          </w:p>
        </w:tc>
      </w:tr>
      <w:tr w:rsidR="00D74484" w:rsidRPr="00BF1D40" w14:paraId="7F33C93C" w14:textId="77777777" w:rsidTr="00D74484">
        <w:trPr>
          <w:trHeight w:val="315"/>
        </w:trPr>
        <w:tc>
          <w:tcPr>
            <w:tcW w:w="0" w:type="auto"/>
            <w:tcBorders>
              <w:top w:val="single" w:sz="6" w:space="0" w:color="CCCCCC"/>
              <w:left w:val="single" w:sz="6" w:space="0" w:color="284E3F"/>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185F176C"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Protocol Development &amp; SPIDER Framework</w:t>
            </w: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13123F70"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X</w:t>
            </w: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3E185DD1"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47D3E242"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269BD4D2"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CCCCCC"/>
            </w:tcBorders>
            <w:shd w:val="clear" w:color="auto" w:fill="FFFFFF"/>
          </w:tcPr>
          <w:p w14:paraId="308D4118"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434043C5" w14:textId="609ADFEC"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1374C159"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012A3293"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284E3F"/>
            </w:tcBorders>
            <w:shd w:val="clear" w:color="auto" w:fill="FFFFFF"/>
            <w:tcMar>
              <w:top w:w="30" w:type="dxa"/>
              <w:left w:w="120" w:type="dxa"/>
              <w:bottom w:w="30" w:type="dxa"/>
              <w:right w:w="120" w:type="dxa"/>
            </w:tcMar>
            <w:vAlign w:val="center"/>
            <w:hideMark/>
          </w:tcPr>
          <w:p w14:paraId="4AE2F091"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r>
      <w:tr w:rsidR="00D74484" w:rsidRPr="00BF1D40" w14:paraId="1189C7B4" w14:textId="77777777" w:rsidTr="00D74484">
        <w:trPr>
          <w:trHeight w:val="315"/>
        </w:trPr>
        <w:tc>
          <w:tcPr>
            <w:tcW w:w="0" w:type="auto"/>
            <w:tcBorders>
              <w:top w:val="single" w:sz="6" w:space="0" w:color="CCCCCC"/>
              <w:left w:val="single" w:sz="6" w:space="0" w:color="284E3F"/>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00BBF0F2"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Database Searching &amp; Identification</w:t>
            </w: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451727FD"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2465F7F8"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X</w:t>
            </w: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76E6A8FA"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09ED6E64"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CCCCCC"/>
            </w:tcBorders>
            <w:shd w:val="clear" w:color="auto" w:fill="F6F8F9"/>
          </w:tcPr>
          <w:p w14:paraId="45910DC8"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74B0B7A2" w14:textId="3606FFD3"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3A81C2BB"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1F184399"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284E3F"/>
            </w:tcBorders>
            <w:shd w:val="clear" w:color="auto" w:fill="F6F8F9"/>
            <w:tcMar>
              <w:top w:w="30" w:type="dxa"/>
              <w:left w:w="120" w:type="dxa"/>
              <w:bottom w:w="30" w:type="dxa"/>
              <w:right w:w="120" w:type="dxa"/>
            </w:tcMar>
            <w:vAlign w:val="center"/>
            <w:hideMark/>
          </w:tcPr>
          <w:p w14:paraId="00E5F8E3"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r>
      <w:tr w:rsidR="00D74484" w:rsidRPr="00BF1D40" w14:paraId="10DE6670" w14:textId="77777777" w:rsidTr="00D74484">
        <w:trPr>
          <w:trHeight w:val="315"/>
        </w:trPr>
        <w:tc>
          <w:tcPr>
            <w:tcW w:w="0" w:type="auto"/>
            <w:tcBorders>
              <w:top w:val="single" w:sz="6" w:space="0" w:color="CCCCCC"/>
              <w:left w:val="single" w:sz="6" w:space="0" w:color="284E3F"/>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6DBEF072"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Screening Titles/Abstracts (PRISMA)</w:t>
            </w: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511B49A0"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1EE45944"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X</w:t>
            </w: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39414CE3"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X</w:t>
            </w: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192F695F"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p>
        </w:tc>
        <w:tc>
          <w:tcPr>
            <w:tcW w:w="0" w:type="auto"/>
            <w:tcBorders>
              <w:top w:val="single" w:sz="6" w:space="0" w:color="CCCCCC"/>
              <w:left w:val="single" w:sz="6" w:space="0" w:color="CCCCCC"/>
              <w:bottom w:val="single" w:sz="6" w:space="0" w:color="D9D9D9"/>
              <w:right w:val="single" w:sz="6" w:space="0" w:color="CCCCCC"/>
            </w:tcBorders>
            <w:shd w:val="clear" w:color="auto" w:fill="FFFFFF"/>
          </w:tcPr>
          <w:p w14:paraId="3ABB76D0"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4AEA313C" w14:textId="68CA7A1C"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156FAED4"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7892C14C"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284E3F"/>
            </w:tcBorders>
            <w:shd w:val="clear" w:color="auto" w:fill="FFFFFF"/>
            <w:tcMar>
              <w:top w:w="30" w:type="dxa"/>
              <w:left w:w="120" w:type="dxa"/>
              <w:bottom w:w="30" w:type="dxa"/>
              <w:right w:w="120" w:type="dxa"/>
            </w:tcMar>
            <w:vAlign w:val="center"/>
            <w:hideMark/>
          </w:tcPr>
          <w:p w14:paraId="310E68FC"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r>
      <w:tr w:rsidR="00D74484" w:rsidRPr="00BF1D40" w14:paraId="7EAEB786" w14:textId="77777777" w:rsidTr="00D74484">
        <w:trPr>
          <w:trHeight w:val="315"/>
        </w:trPr>
        <w:tc>
          <w:tcPr>
            <w:tcW w:w="0" w:type="auto"/>
            <w:tcBorders>
              <w:top w:val="single" w:sz="6" w:space="0" w:color="CCCCCC"/>
              <w:left w:val="single" w:sz="6" w:space="0" w:color="284E3F"/>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3F0C96D4"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Full-Text Review &amp; CASP Quality Appraisal</w:t>
            </w: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61030912"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4C7FF15F"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635BB0B0"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X</w:t>
            </w: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4F962E59"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X</w:t>
            </w:r>
          </w:p>
        </w:tc>
        <w:tc>
          <w:tcPr>
            <w:tcW w:w="0" w:type="auto"/>
            <w:tcBorders>
              <w:top w:val="single" w:sz="6" w:space="0" w:color="CCCCCC"/>
              <w:left w:val="single" w:sz="6" w:space="0" w:color="CCCCCC"/>
              <w:bottom w:val="single" w:sz="6" w:space="0" w:color="D9D9D9"/>
              <w:right w:val="single" w:sz="6" w:space="0" w:color="CCCCCC"/>
            </w:tcBorders>
            <w:shd w:val="clear" w:color="auto" w:fill="F6F8F9"/>
          </w:tcPr>
          <w:p w14:paraId="0FA17E0B"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4F7CE113" w14:textId="44C9DFF4" w:rsidR="00D74484" w:rsidRPr="00BF1D40" w:rsidRDefault="00D74484" w:rsidP="00BF1D40">
            <w:pPr>
              <w:spacing w:after="0" w:line="240" w:lineRule="auto"/>
              <w:jc w:val="center"/>
              <w:rPr>
                <w:rFonts w:ascii="Roboto" w:eastAsia="Times New Roman" w:hAnsi="Roboto" w:cs="Arial"/>
                <w:color w:val="434343"/>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04D38074"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40F3A0DB"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284E3F"/>
            </w:tcBorders>
            <w:shd w:val="clear" w:color="auto" w:fill="F6F8F9"/>
            <w:tcMar>
              <w:top w:w="30" w:type="dxa"/>
              <w:left w:w="120" w:type="dxa"/>
              <w:bottom w:w="30" w:type="dxa"/>
              <w:right w:w="120" w:type="dxa"/>
            </w:tcMar>
            <w:vAlign w:val="center"/>
            <w:hideMark/>
          </w:tcPr>
          <w:p w14:paraId="5D6ECCAC"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r>
      <w:tr w:rsidR="00D74484" w:rsidRPr="00BF1D40" w14:paraId="3C8EED1A" w14:textId="77777777" w:rsidTr="00D74484">
        <w:trPr>
          <w:trHeight w:val="315"/>
        </w:trPr>
        <w:tc>
          <w:tcPr>
            <w:tcW w:w="0" w:type="auto"/>
            <w:tcBorders>
              <w:top w:val="single" w:sz="6" w:space="0" w:color="CCCCCC"/>
              <w:left w:val="single" w:sz="6" w:space="0" w:color="284E3F"/>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0FC3961B"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Data Extraction &amp; Descriptive Theme Coding</w:t>
            </w: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5D623830"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1C1273FD"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0AF86FA1"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77DF283C"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CCCCCC"/>
            </w:tcBorders>
            <w:shd w:val="clear" w:color="auto" w:fill="FFFFFF"/>
          </w:tcPr>
          <w:p w14:paraId="11F5BB4A"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47178134" w14:textId="416D1CC6"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X</w:t>
            </w: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6BC48805"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6DA329BD"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284E3F"/>
            </w:tcBorders>
            <w:shd w:val="clear" w:color="auto" w:fill="FFFFFF"/>
            <w:tcMar>
              <w:top w:w="30" w:type="dxa"/>
              <w:left w:w="120" w:type="dxa"/>
              <w:bottom w:w="30" w:type="dxa"/>
              <w:right w:w="120" w:type="dxa"/>
            </w:tcMar>
            <w:vAlign w:val="center"/>
            <w:hideMark/>
          </w:tcPr>
          <w:p w14:paraId="278536AA"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r>
      <w:tr w:rsidR="00D74484" w:rsidRPr="00BF1D40" w14:paraId="07B41181" w14:textId="77777777" w:rsidTr="00D74484">
        <w:trPr>
          <w:trHeight w:val="315"/>
        </w:trPr>
        <w:tc>
          <w:tcPr>
            <w:tcW w:w="0" w:type="auto"/>
            <w:tcBorders>
              <w:top w:val="single" w:sz="6" w:space="0" w:color="CCCCCC"/>
              <w:left w:val="single" w:sz="6" w:space="0" w:color="284E3F"/>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522AD403"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Analytical Theme Development</w:t>
            </w: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50146190"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38EFAF6C"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5E29A177"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7E244D42"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CCCCCC"/>
            </w:tcBorders>
            <w:shd w:val="clear" w:color="auto" w:fill="F6F8F9"/>
          </w:tcPr>
          <w:p w14:paraId="03E519AB"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51B4E6EB" w14:textId="1B1EB3D1"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240BAEA6"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X</w:t>
            </w:r>
          </w:p>
        </w:tc>
        <w:tc>
          <w:tcPr>
            <w:tcW w:w="0" w:type="auto"/>
            <w:tcBorders>
              <w:top w:val="single" w:sz="6" w:space="0" w:color="CCCCCC"/>
              <w:left w:val="single" w:sz="6" w:space="0" w:color="CCCCCC"/>
              <w:bottom w:val="single" w:sz="6" w:space="0" w:color="D9D9D9"/>
              <w:right w:val="single" w:sz="6" w:space="0" w:color="D9D9D9"/>
            </w:tcBorders>
            <w:shd w:val="clear" w:color="auto" w:fill="F6F8F9"/>
            <w:tcMar>
              <w:top w:w="30" w:type="dxa"/>
              <w:left w:w="120" w:type="dxa"/>
              <w:bottom w:w="30" w:type="dxa"/>
              <w:right w:w="120" w:type="dxa"/>
            </w:tcMar>
            <w:vAlign w:val="center"/>
            <w:hideMark/>
          </w:tcPr>
          <w:p w14:paraId="6F37D1A5"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p>
        </w:tc>
        <w:tc>
          <w:tcPr>
            <w:tcW w:w="0" w:type="auto"/>
            <w:tcBorders>
              <w:top w:val="single" w:sz="6" w:space="0" w:color="CCCCCC"/>
              <w:left w:val="single" w:sz="6" w:space="0" w:color="CCCCCC"/>
              <w:bottom w:val="single" w:sz="6" w:space="0" w:color="D9D9D9"/>
              <w:right w:val="single" w:sz="6" w:space="0" w:color="284E3F"/>
            </w:tcBorders>
            <w:shd w:val="clear" w:color="auto" w:fill="F6F8F9"/>
            <w:tcMar>
              <w:top w:w="30" w:type="dxa"/>
              <w:left w:w="120" w:type="dxa"/>
              <w:bottom w:w="30" w:type="dxa"/>
              <w:right w:w="120" w:type="dxa"/>
            </w:tcMar>
            <w:vAlign w:val="center"/>
            <w:hideMark/>
          </w:tcPr>
          <w:p w14:paraId="4B72A1C0"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r>
      <w:tr w:rsidR="00D74484" w:rsidRPr="00BF1D40" w14:paraId="060527C5" w14:textId="77777777" w:rsidTr="00D74484">
        <w:trPr>
          <w:trHeight w:val="315"/>
        </w:trPr>
        <w:tc>
          <w:tcPr>
            <w:tcW w:w="0" w:type="auto"/>
            <w:tcBorders>
              <w:top w:val="single" w:sz="6" w:space="0" w:color="CCCCCC"/>
              <w:left w:val="single" w:sz="6" w:space="0" w:color="284E3F"/>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221031AB"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Drafting Findings and Discussion</w:t>
            </w: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624E429D"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6F5E648A"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1343E45E"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2E9CA2B8"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CCCCCC"/>
            </w:tcBorders>
            <w:shd w:val="clear" w:color="auto" w:fill="FFFFFF"/>
          </w:tcPr>
          <w:p w14:paraId="015B8B65"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4A1B4C01" w14:textId="07166634"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143F9011"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X</w:t>
            </w:r>
          </w:p>
        </w:tc>
        <w:tc>
          <w:tcPr>
            <w:tcW w:w="0" w:type="auto"/>
            <w:tcBorders>
              <w:top w:val="single" w:sz="6" w:space="0" w:color="CCCCCC"/>
              <w:left w:val="single" w:sz="6" w:space="0" w:color="CCCCCC"/>
              <w:bottom w:val="single" w:sz="6" w:space="0" w:color="D9D9D9"/>
              <w:right w:val="single" w:sz="6" w:space="0" w:color="D9D9D9"/>
            </w:tcBorders>
            <w:shd w:val="clear" w:color="auto" w:fill="FFFFFF"/>
            <w:tcMar>
              <w:top w:w="30" w:type="dxa"/>
              <w:left w:w="120" w:type="dxa"/>
              <w:bottom w:w="30" w:type="dxa"/>
              <w:right w:w="120" w:type="dxa"/>
            </w:tcMar>
            <w:vAlign w:val="center"/>
            <w:hideMark/>
          </w:tcPr>
          <w:p w14:paraId="65869D83"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X</w:t>
            </w:r>
          </w:p>
        </w:tc>
        <w:tc>
          <w:tcPr>
            <w:tcW w:w="0" w:type="auto"/>
            <w:tcBorders>
              <w:top w:val="single" w:sz="6" w:space="0" w:color="CCCCCC"/>
              <w:left w:val="single" w:sz="6" w:space="0" w:color="CCCCCC"/>
              <w:bottom w:val="single" w:sz="6" w:space="0" w:color="D9D9D9"/>
              <w:right w:val="single" w:sz="6" w:space="0" w:color="284E3F"/>
            </w:tcBorders>
            <w:shd w:val="clear" w:color="auto" w:fill="FFFFFF"/>
            <w:tcMar>
              <w:top w:w="30" w:type="dxa"/>
              <w:left w:w="120" w:type="dxa"/>
              <w:bottom w:w="30" w:type="dxa"/>
              <w:right w:w="120" w:type="dxa"/>
            </w:tcMar>
            <w:vAlign w:val="center"/>
            <w:hideMark/>
          </w:tcPr>
          <w:p w14:paraId="78559369"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p>
        </w:tc>
      </w:tr>
      <w:tr w:rsidR="00D74484" w:rsidRPr="00BF1D40" w14:paraId="21B161A8" w14:textId="77777777" w:rsidTr="00D74484">
        <w:trPr>
          <w:trHeight w:val="315"/>
        </w:trPr>
        <w:tc>
          <w:tcPr>
            <w:tcW w:w="0" w:type="auto"/>
            <w:tcBorders>
              <w:top w:val="single" w:sz="6" w:space="0" w:color="CCCCCC"/>
              <w:left w:val="single" w:sz="6" w:space="0" w:color="284E3F"/>
              <w:bottom w:val="single" w:sz="6" w:space="0" w:color="284E3F"/>
              <w:right w:val="single" w:sz="6" w:space="0" w:color="D9D9D9"/>
            </w:tcBorders>
            <w:shd w:val="clear" w:color="auto" w:fill="F6F8F9"/>
            <w:tcMar>
              <w:top w:w="30" w:type="dxa"/>
              <w:left w:w="120" w:type="dxa"/>
              <w:bottom w:w="30" w:type="dxa"/>
              <w:right w:w="120" w:type="dxa"/>
            </w:tcMar>
            <w:vAlign w:val="center"/>
            <w:hideMark/>
          </w:tcPr>
          <w:p w14:paraId="0ED37787"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Review, Revision, and Final Submission</w:t>
            </w:r>
          </w:p>
        </w:tc>
        <w:tc>
          <w:tcPr>
            <w:tcW w:w="0" w:type="auto"/>
            <w:tcBorders>
              <w:top w:val="single" w:sz="6" w:space="0" w:color="CCCCCC"/>
              <w:left w:val="single" w:sz="6" w:space="0" w:color="CCCCCC"/>
              <w:bottom w:val="single" w:sz="6" w:space="0" w:color="284E3F"/>
              <w:right w:val="single" w:sz="6" w:space="0" w:color="D9D9D9"/>
            </w:tcBorders>
            <w:shd w:val="clear" w:color="auto" w:fill="F6F8F9"/>
            <w:tcMar>
              <w:top w:w="30" w:type="dxa"/>
              <w:left w:w="120" w:type="dxa"/>
              <w:bottom w:w="30" w:type="dxa"/>
              <w:right w:w="120" w:type="dxa"/>
            </w:tcMar>
            <w:vAlign w:val="center"/>
            <w:hideMark/>
          </w:tcPr>
          <w:p w14:paraId="619D2A0B"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p>
        </w:tc>
        <w:tc>
          <w:tcPr>
            <w:tcW w:w="0" w:type="auto"/>
            <w:tcBorders>
              <w:top w:val="single" w:sz="6" w:space="0" w:color="CCCCCC"/>
              <w:left w:val="single" w:sz="6" w:space="0" w:color="CCCCCC"/>
              <w:bottom w:val="single" w:sz="6" w:space="0" w:color="284E3F"/>
              <w:right w:val="single" w:sz="6" w:space="0" w:color="D9D9D9"/>
            </w:tcBorders>
            <w:shd w:val="clear" w:color="auto" w:fill="F6F8F9"/>
            <w:tcMar>
              <w:top w:w="30" w:type="dxa"/>
              <w:left w:w="120" w:type="dxa"/>
              <w:bottom w:w="30" w:type="dxa"/>
              <w:right w:w="120" w:type="dxa"/>
            </w:tcMar>
            <w:vAlign w:val="center"/>
            <w:hideMark/>
          </w:tcPr>
          <w:p w14:paraId="6562C415"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284E3F"/>
              <w:right w:val="single" w:sz="6" w:space="0" w:color="D9D9D9"/>
            </w:tcBorders>
            <w:shd w:val="clear" w:color="auto" w:fill="F6F8F9"/>
            <w:tcMar>
              <w:top w:w="30" w:type="dxa"/>
              <w:left w:w="120" w:type="dxa"/>
              <w:bottom w:w="30" w:type="dxa"/>
              <w:right w:w="120" w:type="dxa"/>
            </w:tcMar>
            <w:vAlign w:val="center"/>
            <w:hideMark/>
          </w:tcPr>
          <w:p w14:paraId="19093C89"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284E3F"/>
              <w:right w:val="single" w:sz="6" w:space="0" w:color="D9D9D9"/>
            </w:tcBorders>
            <w:shd w:val="clear" w:color="auto" w:fill="F6F8F9"/>
            <w:tcMar>
              <w:top w:w="30" w:type="dxa"/>
              <w:left w:w="120" w:type="dxa"/>
              <w:bottom w:w="30" w:type="dxa"/>
              <w:right w:w="120" w:type="dxa"/>
            </w:tcMar>
            <w:vAlign w:val="center"/>
            <w:hideMark/>
          </w:tcPr>
          <w:p w14:paraId="1264249F"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284E3F"/>
              <w:right w:val="single" w:sz="6" w:space="0" w:color="CCCCCC"/>
            </w:tcBorders>
            <w:shd w:val="clear" w:color="auto" w:fill="F6F8F9"/>
          </w:tcPr>
          <w:p w14:paraId="73E5C819"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284E3F"/>
              <w:right w:val="single" w:sz="6" w:space="0" w:color="D9D9D9"/>
            </w:tcBorders>
            <w:shd w:val="clear" w:color="auto" w:fill="F6F8F9"/>
            <w:tcMar>
              <w:top w:w="30" w:type="dxa"/>
              <w:left w:w="120" w:type="dxa"/>
              <w:bottom w:w="30" w:type="dxa"/>
              <w:right w:w="120" w:type="dxa"/>
            </w:tcMar>
            <w:vAlign w:val="center"/>
            <w:hideMark/>
          </w:tcPr>
          <w:p w14:paraId="26DD9ADD" w14:textId="2FFF6581"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284E3F"/>
              <w:right w:val="single" w:sz="6" w:space="0" w:color="D9D9D9"/>
            </w:tcBorders>
            <w:shd w:val="clear" w:color="auto" w:fill="F6F8F9"/>
            <w:tcMar>
              <w:top w:w="30" w:type="dxa"/>
              <w:left w:w="120" w:type="dxa"/>
              <w:bottom w:w="30" w:type="dxa"/>
              <w:right w:w="120" w:type="dxa"/>
            </w:tcMar>
            <w:vAlign w:val="center"/>
            <w:hideMark/>
          </w:tcPr>
          <w:p w14:paraId="1E8AE57B"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284E3F"/>
              <w:right w:val="single" w:sz="6" w:space="0" w:color="D9D9D9"/>
            </w:tcBorders>
            <w:shd w:val="clear" w:color="auto" w:fill="F6F8F9"/>
            <w:tcMar>
              <w:top w:w="30" w:type="dxa"/>
              <w:left w:w="120" w:type="dxa"/>
              <w:bottom w:w="30" w:type="dxa"/>
              <w:right w:w="120" w:type="dxa"/>
            </w:tcMar>
            <w:vAlign w:val="center"/>
            <w:hideMark/>
          </w:tcPr>
          <w:p w14:paraId="51926750" w14:textId="77777777" w:rsidR="00D74484" w:rsidRPr="00BF1D40" w:rsidRDefault="00D74484" w:rsidP="00BF1D40">
            <w:pPr>
              <w:spacing w:after="0" w:line="240" w:lineRule="auto"/>
              <w:jc w:val="left"/>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284E3F"/>
              <w:right w:val="single" w:sz="6" w:space="0" w:color="284E3F"/>
            </w:tcBorders>
            <w:shd w:val="clear" w:color="auto" w:fill="F6F8F9"/>
            <w:tcMar>
              <w:top w:w="30" w:type="dxa"/>
              <w:left w:w="120" w:type="dxa"/>
              <w:bottom w:w="30" w:type="dxa"/>
              <w:right w:w="120" w:type="dxa"/>
            </w:tcMar>
            <w:vAlign w:val="center"/>
            <w:hideMark/>
          </w:tcPr>
          <w:p w14:paraId="78925AC6" w14:textId="77777777" w:rsidR="00D74484" w:rsidRPr="00BF1D40" w:rsidRDefault="00D74484" w:rsidP="00BF1D40">
            <w:pPr>
              <w:spacing w:after="0" w:line="240" w:lineRule="auto"/>
              <w:jc w:val="center"/>
              <w:rPr>
                <w:rFonts w:ascii="Roboto" w:eastAsia="Times New Roman" w:hAnsi="Roboto" w:cs="Arial"/>
                <w:color w:val="434343"/>
                <w:sz w:val="20"/>
                <w:szCs w:val="20"/>
                <w:lang w:eastAsia="en-GB"/>
              </w:rPr>
            </w:pPr>
            <w:r w:rsidRPr="00BF1D40">
              <w:rPr>
                <w:rFonts w:ascii="Roboto" w:eastAsia="Times New Roman" w:hAnsi="Roboto" w:cs="Arial"/>
                <w:color w:val="434343"/>
                <w:sz w:val="20"/>
                <w:szCs w:val="20"/>
                <w:lang w:eastAsia="en-GB"/>
              </w:rPr>
              <w:t>X</w:t>
            </w:r>
          </w:p>
        </w:tc>
      </w:tr>
    </w:tbl>
    <w:p w14:paraId="43B02476" w14:textId="2CFC2A19" w:rsidR="00BF1D40" w:rsidRDefault="00BF1D40" w:rsidP="00BF1D40"/>
    <w:p w14:paraId="60E7C02C" w14:textId="35C42F94" w:rsidR="00BF1D40" w:rsidRDefault="00BF1D40">
      <w:pPr>
        <w:spacing w:line="259" w:lineRule="auto"/>
        <w:jc w:val="left"/>
      </w:pPr>
      <w:r>
        <w:br w:type="page"/>
      </w:r>
    </w:p>
    <w:p w14:paraId="42620134" w14:textId="73834A19" w:rsidR="00BF1D40" w:rsidRDefault="00BF1D40" w:rsidP="00BF1D40">
      <w:pPr>
        <w:pStyle w:val="Heading1"/>
      </w:pPr>
      <w:bookmarkStart w:id="19" w:name="_Toc226330397"/>
      <w:r>
        <w:lastRenderedPageBreak/>
        <w:t>References</w:t>
      </w:r>
      <w:bookmarkEnd w:id="19"/>
    </w:p>
    <w:p w14:paraId="36FDD937" w14:textId="77777777" w:rsidR="00BE1B50" w:rsidRPr="00BE1B50" w:rsidRDefault="00BE1B50" w:rsidP="00BE1B50">
      <w:pPr>
        <w:rPr>
          <w:rFonts w:eastAsia="Times New Roman" w:cs="Arial"/>
          <w:lang w:eastAsia="en-GB"/>
        </w:rPr>
      </w:pPr>
      <w:proofErr w:type="spellStart"/>
      <w:r w:rsidRPr="00BE1B50">
        <w:rPr>
          <w:rFonts w:eastAsia="Times New Roman" w:cs="Arial"/>
          <w:lang w:eastAsia="en-GB"/>
        </w:rPr>
        <w:t>Acampora</w:t>
      </w:r>
      <w:proofErr w:type="spellEnd"/>
      <w:r w:rsidRPr="00BE1B50">
        <w:rPr>
          <w:rFonts w:eastAsia="Times New Roman" w:cs="Arial"/>
          <w:lang w:eastAsia="en-GB"/>
        </w:rPr>
        <w:t xml:space="preserve">, A., </w:t>
      </w:r>
      <w:proofErr w:type="spellStart"/>
      <w:r w:rsidRPr="00BE1B50">
        <w:rPr>
          <w:rFonts w:eastAsia="Times New Roman" w:cs="Arial"/>
          <w:lang w:eastAsia="en-GB"/>
        </w:rPr>
        <w:t>Lucchetti</w:t>
      </w:r>
      <w:proofErr w:type="spellEnd"/>
      <w:r w:rsidRPr="00BE1B50">
        <w:rPr>
          <w:rFonts w:eastAsia="Times New Roman" w:cs="Arial"/>
          <w:lang w:eastAsia="en-GB"/>
        </w:rPr>
        <w:t xml:space="preserve">, M.C., </w:t>
      </w:r>
      <w:proofErr w:type="spellStart"/>
      <w:r w:rsidRPr="00BE1B50">
        <w:rPr>
          <w:rFonts w:eastAsia="Times New Roman" w:cs="Arial"/>
          <w:lang w:eastAsia="en-GB"/>
        </w:rPr>
        <w:t>Merli</w:t>
      </w:r>
      <w:proofErr w:type="spellEnd"/>
      <w:r w:rsidRPr="00BE1B50">
        <w:rPr>
          <w:rFonts w:eastAsia="Times New Roman" w:cs="Arial"/>
          <w:lang w:eastAsia="en-GB"/>
        </w:rPr>
        <w:t xml:space="preserve">, R. and Ali, F. (2022). The theoretical development and research methodology in green hotels research: A systematic literature review. </w:t>
      </w:r>
      <w:r w:rsidRPr="00BE1B50">
        <w:rPr>
          <w:rFonts w:eastAsia="Times New Roman" w:cs="Arial"/>
          <w:i/>
          <w:iCs/>
          <w:lang w:eastAsia="en-GB"/>
        </w:rPr>
        <w:t>Journal of Hospitality and Tourism Management</w:t>
      </w:r>
      <w:r w:rsidRPr="00BE1B50">
        <w:rPr>
          <w:rFonts w:eastAsia="Times New Roman" w:cs="Arial"/>
          <w:lang w:eastAsia="en-GB"/>
        </w:rPr>
        <w:t>, 51, pp.512–528. doi: https://doi.org/10.1016/j.jhtm.2022.05.007.</w:t>
      </w:r>
    </w:p>
    <w:p w14:paraId="4382D12C" w14:textId="77777777" w:rsidR="00BE1B50" w:rsidRPr="00BE1B50" w:rsidRDefault="00BE1B50" w:rsidP="00BE1B50">
      <w:pPr>
        <w:rPr>
          <w:rFonts w:cs="Arial"/>
        </w:rPr>
      </w:pPr>
      <w:r w:rsidRPr="00BE1B50">
        <w:rPr>
          <w:rFonts w:cs="Arial"/>
        </w:rPr>
        <w:t xml:space="preserve">Adamu, I., Lambert, A., Bello, S., </w:t>
      </w:r>
      <w:proofErr w:type="spellStart"/>
      <w:r w:rsidRPr="00BE1B50">
        <w:rPr>
          <w:rFonts w:cs="Arial"/>
        </w:rPr>
        <w:t>Abdulmalik</w:t>
      </w:r>
      <w:proofErr w:type="spellEnd"/>
      <w:r w:rsidRPr="00BE1B50">
        <w:rPr>
          <w:rFonts w:cs="Arial"/>
        </w:rPr>
        <w:t>, F.A. and Marshall, T. (2025). The effects of antibiotic prescribing for respiratory tract infection on future consultations in primary care: a systematic review and meta-analysis. doi: https://doi.org/10.1101/2025.01.15.25320600.</w:t>
      </w:r>
    </w:p>
    <w:p w14:paraId="0C9F55B0" w14:textId="77777777" w:rsidR="00BE1B50" w:rsidRPr="00BE1B50" w:rsidRDefault="00BE1B50" w:rsidP="00BE1B50">
      <w:pPr>
        <w:rPr>
          <w:rFonts w:eastAsia="Times New Roman" w:cs="Arial"/>
          <w:lang w:eastAsia="en-GB"/>
        </w:rPr>
      </w:pPr>
      <w:proofErr w:type="spellStart"/>
      <w:r w:rsidRPr="00BE1B50">
        <w:rPr>
          <w:rFonts w:eastAsia="Times New Roman" w:cs="Arial"/>
          <w:lang w:eastAsia="en-GB"/>
        </w:rPr>
        <w:t>Andreini</w:t>
      </w:r>
      <w:proofErr w:type="spellEnd"/>
      <w:r w:rsidRPr="00BE1B50">
        <w:rPr>
          <w:rFonts w:eastAsia="Times New Roman" w:cs="Arial"/>
          <w:lang w:eastAsia="en-GB"/>
        </w:rPr>
        <w:t xml:space="preserve">, D. and Bettinelli, C. (2017). Systematic Literature Review. </w:t>
      </w:r>
      <w:r w:rsidRPr="00BE1B50">
        <w:rPr>
          <w:rFonts w:eastAsia="Times New Roman" w:cs="Arial"/>
          <w:i/>
          <w:iCs/>
          <w:lang w:eastAsia="en-GB"/>
        </w:rPr>
        <w:t>International series in advanced management studies (Online)</w:t>
      </w:r>
      <w:r w:rsidRPr="00BE1B50">
        <w:rPr>
          <w:rFonts w:eastAsia="Times New Roman" w:cs="Arial"/>
          <w:lang w:eastAsia="en-GB"/>
        </w:rPr>
        <w:t>, pp.1–23. doi: https://doi.org/10.1007/978-3-319-53351-3_1.</w:t>
      </w:r>
    </w:p>
    <w:p w14:paraId="57A6E61A" w14:textId="77777777" w:rsidR="00BE1B50" w:rsidRPr="00BE1B50" w:rsidRDefault="00BE1B50" w:rsidP="00BE1B50">
      <w:pPr>
        <w:rPr>
          <w:rFonts w:eastAsia="Times New Roman" w:cs="Arial"/>
          <w:lang w:eastAsia="en-GB"/>
        </w:rPr>
      </w:pPr>
      <w:proofErr w:type="spellStart"/>
      <w:r w:rsidRPr="00BE1B50">
        <w:rPr>
          <w:rFonts w:eastAsia="Times New Roman" w:cs="Arial"/>
          <w:lang w:eastAsia="en-GB"/>
        </w:rPr>
        <w:t>Azarian</w:t>
      </w:r>
      <w:proofErr w:type="spellEnd"/>
      <w:r w:rsidRPr="00BE1B50">
        <w:rPr>
          <w:rFonts w:eastAsia="Times New Roman" w:cs="Arial"/>
          <w:lang w:eastAsia="en-GB"/>
        </w:rPr>
        <w:t xml:space="preserve">, M., Yu, H., Shiferaw, A.T. and </w:t>
      </w:r>
      <w:proofErr w:type="spellStart"/>
      <w:r w:rsidRPr="00BE1B50">
        <w:rPr>
          <w:rFonts w:eastAsia="Times New Roman" w:cs="Arial"/>
          <w:lang w:eastAsia="en-GB"/>
        </w:rPr>
        <w:t>Stevik</w:t>
      </w:r>
      <w:proofErr w:type="spellEnd"/>
      <w:r w:rsidRPr="00BE1B50">
        <w:rPr>
          <w:rFonts w:eastAsia="Times New Roman" w:cs="Arial"/>
          <w:lang w:eastAsia="en-GB"/>
        </w:rPr>
        <w:t xml:space="preserve">, T.K. (2023). Do We Perform Systematic Literature Review Right? A Scientific Mapping and Methodological Assessment. </w:t>
      </w:r>
      <w:r w:rsidRPr="00BE1B50">
        <w:rPr>
          <w:rFonts w:eastAsia="Times New Roman" w:cs="Arial"/>
          <w:i/>
          <w:iCs/>
          <w:lang w:eastAsia="en-GB"/>
        </w:rPr>
        <w:t>Logistics</w:t>
      </w:r>
      <w:r w:rsidRPr="00BE1B50">
        <w:rPr>
          <w:rFonts w:eastAsia="Times New Roman" w:cs="Arial"/>
          <w:lang w:eastAsia="en-GB"/>
        </w:rPr>
        <w:t>, [online] 7(4), pp.1–32. doi: https://doi.org/10.3390/logistics7040089.</w:t>
      </w:r>
    </w:p>
    <w:p w14:paraId="38D650E2" w14:textId="77777777" w:rsidR="00BE1B50" w:rsidRPr="00BE1B50" w:rsidRDefault="00BE1B50" w:rsidP="00BE1B50">
      <w:pPr>
        <w:rPr>
          <w:rFonts w:cs="Arial"/>
        </w:rPr>
      </w:pPr>
      <w:proofErr w:type="spellStart"/>
      <w:r w:rsidRPr="00BE1B50">
        <w:rPr>
          <w:rFonts w:cs="Arial"/>
        </w:rPr>
        <w:t>Balea</w:t>
      </w:r>
      <w:proofErr w:type="spellEnd"/>
      <w:r w:rsidRPr="00BE1B50">
        <w:rPr>
          <w:rFonts w:cs="Arial"/>
        </w:rPr>
        <w:t xml:space="preserve">, L.B., Ragnhild J. A. </w:t>
      </w:r>
      <w:proofErr w:type="spellStart"/>
      <w:r w:rsidRPr="00BE1B50">
        <w:rPr>
          <w:rFonts w:cs="Arial"/>
        </w:rPr>
        <w:t>Gulestø</w:t>
      </w:r>
      <w:proofErr w:type="spellEnd"/>
      <w:r w:rsidRPr="00BE1B50">
        <w:rPr>
          <w:rFonts w:cs="Arial"/>
        </w:rPr>
        <w:t xml:space="preserve">, Xu, H. and </w:t>
      </w:r>
      <w:proofErr w:type="spellStart"/>
      <w:r w:rsidRPr="00BE1B50">
        <w:rPr>
          <w:rFonts w:cs="Arial"/>
        </w:rPr>
        <w:t>Stinne</w:t>
      </w:r>
      <w:proofErr w:type="spellEnd"/>
      <w:r w:rsidRPr="00BE1B50">
        <w:rPr>
          <w:rFonts w:cs="Arial"/>
        </w:rPr>
        <w:t xml:space="preserve"> </w:t>
      </w:r>
      <w:proofErr w:type="spellStart"/>
      <w:r w:rsidRPr="00BE1B50">
        <w:rPr>
          <w:rFonts w:cs="Arial"/>
        </w:rPr>
        <w:t>Glasdam</w:t>
      </w:r>
      <w:proofErr w:type="spellEnd"/>
      <w:r w:rsidRPr="00BE1B50">
        <w:rPr>
          <w:rFonts w:cs="Arial"/>
        </w:rPr>
        <w:t xml:space="preserve"> (2025). Physicians’, pharmacists’, and nurses’ education of patients about antibiotic use and antimicrobial resistance in primary care settings: a qualitative systematic literature review. </w:t>
      </w:r>
      <w:r w:rsidRPr="00BE1B50">
        <w:rPr>
          <w:rFonts w:cs="Arial"/>
          <w:i/>
          <w:iCs/>
        </w:rPr>
        <w:t>Frontiers in Antibiotics</w:t>
      </w:r>
      <w:r w:rsidRPr="00BE1B50">
        <w:rPr>
          <w:rFonts w:cs="Arial"/>
        </w:rPr>
        <w:t>, 3. doi: https://doi.org/10.3389/frabi.2024.1507868.</w:t>
      </w:r>
    </w:p>
    <w:p w14:paraId="10E9B4FD" w14:textId="77777777" w:rsidR="00BE1B50" w:rsidRPr="00BE1B50" w:rsidRDefault="00BE1B50" w:rsidP="00BE1B50">
      <w:pPr>
        <w:rPr>
          <w:rFonts w:cs="Arial"/>
        </w:rPr>
      </w:pPr>
      <w:proofErr w:type="spellStart"/>
      <w:r w:rsidRPr="00BE1B50">
        <w:rPr>
          <w:rFonts w:cs="Arial"/>
        </w:rPr>
        <w:t>Boiko</w:t>
      </w:r>
      <w:proofErr w:type="spellEnd"/>
      <w:r w:rsidRPr="00BE1B50">
        <w:rPr>
          <w:rFonts w:cs="Arial"/>
        </w:rPr>
        <w:t xml:space="preserve">, O., Gulliford, M.C. and Burgess, C. (2020). Revisiting patient expectations and experiences of antibiotics in an era of antimicrobial resistance: Qualitative study. </w:t>
      </w:r>
      <w:r w:rsidRPr="00BE1B50">
        <w:rPr>
          <w:rFonts w:cs="Arial"/>
          <w:i/>
          <w:iCs/>
        </w:rPr>
        <w:t>Health Expectations</w:t>
      </w:r>
      <w:r w:rsidRPr="00BE1B50">
        <w:rPr>
          <w:rFonts w:cs="Arial"/>
        </w:rPr>
        <w:t>, 23(5), pp.1250–1258. doi: https://doi.org/10.1111/hex.13102.</w:t>
      </w:r>
    </w:p>
    <w:p w14:paraId="70D0FAF0" w14:textId="77777777" w:rsidR="00BE1B50" w:rsidRPr="00BE1B50" w:rsidRDefault="00BE1B50" w:rsidP="00BE1B50">
      <w:pPr>
        <w:rPr>
          <w:rFonts w:cs="Arial"/>
        </w:rPr>
      </w:pPr>
      <w:proofErr w:type="spellStart"/>
      <w:r w:rsidRPr="00BE1B50">
        <w:rPr>
          <w:rFonts w:cs="Arial"/>
        </w:rPr>
        <w:t>Bou-Antoun</w:t>
      </w:r>
      <w:proofErr w:type="spellEnd"/>
      <w:r w:rsidRPr="00BE1B50">
        <w:rPr>
          <w:rFonts w:cs="Arial"/>
        </w:rPr>
        <w:t xml:space="preserve">, S., Beattie, A., Stevens, C., </w:t>
      </w:r>
      <w:proofErr w:type="spellStart"/>
      <w:r w:rsidRPr="00BE1B50">
        <w:rPr>
          <w:rFonts w:cs="Arial"/>
        </w:rPr>
        <w:t>Falola</w:t>
      </w:r>
      <w:proofErr w:type="spellEnd"/>
      <w:r w:rsidRPr="00BE1B50">
        <w:rPr>
          <w:rFonts w:cs="Arial"/>
        </w:rPr>
        <w:t xml:space="preserve">, A., </w:t>
      </w:r>
      <w:proofErr w:type="spellStart"/>
      <w:r w:rsidRPr="00BE1B50">
        <w:rPr>
          <w:rFonts w:cs="Arial"/>
        </w:rPr>
        <w:t>Oettle</w:t>
      </w:r>
      <w:proofErr w:type="spellEnd"/>
      <w:r w:rsidRPr="00BE1B50">
        <w:rPr>
          <w:rFonts w:cs="Arial"/>
        </w:rPr>
        <w:t>, R., Budd, E., Opoku, A., Brown, C., Hope, R., Muller-</w:t>
      </w:r>
      <w:proofErr w:type="spellStart"/>
      <w:r w:rsidRPr="00BE1B50">
        <w:rPr>
          <w:rFonts w:cs="Arial"/>
        </w:rPr>
        <w:t>Pebody</w:t>
      </w:r>
      <w:proofErr w:type="spellEnd"/>
      <w:r w:rsidRPr="00BE1B50">
        <w:rPr>
          <w:rFonts w:cs="Arial"/>
        </w:rPr>
        <w:t xml:space="preserve">, B. and </w:t>
      </w:r>
      <w:proofErr w:type="spellStart"/>
      <w:r w:rsidRPr="00BE1B50">
        <w:rPr>
          <w:rFonts w:cs="Arial"/>
        </w:rPr>
        <w:t>Demirjian</w:t>
      </w:r>
      <w:proofErr w:type="spellEnd"/>
      <w:r w:rsidRPr="00BE1B50">
        <w:rPr>
          <w:rFonts w:cs="Arial"/>
        </w:rPr>
        <w:t xml:space="preserve">, A. (2026). Antimicrobial Consumption in England, 2019 to 2024: ESPAUR Report 2024-25. </w:t>
      </w:r>
      <w:r w:rsidRPr="00BE1B50">
        <w:rPr>
          <w:rFonts w:cs="Arial"/>
          <w:i/>
          <w:iCs/>
        </w:rPr>
        <w:t>JAC-Antimicrobial Resistance</w:t>
      </w:r>
      <w:r w:rsidRPr="00BE1B50">
        <w:rPr>
          <w:rFonts w:cs="Arial"/>
        </w:rPr>
        <w:t>, [online] 8(Supplement_2). doi: https://doi.org/10.1093/jacamr/dlaf243.002.</w:t>
      </w:r>
    </w:p>
    <w:p w14:paraId="1C37CFC3" w14:textId="77777777" w:rsidR="00BE1B50" w:rsidRPr="00BE1B50" w:rsidRDefault="00BE1B50" w:rsidP="00BE1B50">
      <w:pPr>
        <w:rPr>
          <w:rFonts w:cs="Arial"/>
        </w:rPr>
      </w:pPr>
      <w:r w:rsidRPr="00BE1B50">
        <w:rPr>
          <w:rFonts w:cs="Arial"/>
        </w:rPr>
        <w:t xml:space="preserve">C </w:t>
      </w:r>
      <w:proofErr w:type="spellStart"/>
      <w:r w:rsidRPr="00BE1B50">
        <w:rPr>
          <w:rFonts w:cs="Arial"/>
        </w:rPr>
        <w:t>Roleston</w:t>
      </w:r>
      <w:proofErr w:type="spellEnd"/>
      <w:r w:rsidRPr="00BE1B50">
        <w:rPr>
          <w:rFonts w:cs="Arial"/>
        </w:rPr>
        <w:t xml:space="preserve">, </w:t>
      </w:r>
      <w:proofErr w:type="spellStart"/>
      <w:r w:rsidRPr="00BE1B50">
        <w:rPr>
          <w:rFonts w:cs="Arial"/>
        </w:rPr>
        <w:t>Wanat</w:t>
      </w:r>
      <w:proofErr w:type="spellEnd"/>
      <w:r w:rsidRPr="00BE1B50">
        <w:rPr>
          <w:rFonts w:cs="Arial"/>
        </w:rPr>
        <w:t>, M., Mowbray, F., Underhill, J., Wilcock, M., Jacklin, S., Amos, J., Bamford, K.B., Hughes, S., Marsh, N., S Tonkin-</w:t>
      </w:r>
      <w:proofErr w:type="spellStart"/>
      <w:r w:rsidRPr="00BE1B50">
        <w:rPr>
          <w:rFonts w:cs="Arial"/>
        </w:rPr>
        <w:t>Crine</w:t>
      </w:r>
      <w:proofErr w:type="spellEnd"/>
      <w:r w:rsidRPr="00BE1B50">
        <w:rPr>
          <w:rFonts w:cs="Arial"/>
        </w:rPr>
        <w:t xml:space="preserve"> and Powell, N. (2025). Patient and clinician views on inpatient antibiotic shared decision-making: a qualitative study. </w:t>
      </w:r>
      <w:r w:rsidRPr="00BE1B50">
        <w:rPr>
          <w:rFonts w:cs="Arial"/>
          <w:i/>
          <w:iCs/>
        </w:rPr>
        <w:t>JAC-Antimicrobial Resistance</w:t>
      </w:r>
      <w:r w:rsidRPr="00BE1B50">
        <w:rPr>
          <w:rFonts w:cs="Arial"/>
        </w:rPr>
        <w:t>, [online] 8(1). doi: https://doi.org/10.1093/jacamr/dlaf228.</w:t>
      </w:r>
    </w:p>
    <w:p w14:paraId="242A2802" w14:textId="77777777" w:rsidR="00BE1B50" w:rsidRPr="00BE1B50" w:rsidRDefault="00BE1B50" w:rsidP="00BE1B50">
      <w:pPr>
        <w:rPr>
          <w:rFonts w:cs="Arial"/>
        </w:rPr>
      </w:pPr>
      <w:r w:rsidRPr="00BE1B50">
        <w:rPr>
          <w:rFonts w:cs="Arial"/>
        </w:rPr>
        <w:t xml:space="preserve">Clarke, R., Brown, E., Hay, A.D., Mitchell, P., </w:t>
      </w:r>
      <w:proofErr w:type="spellStart"/>
      <w:r w:rsidRPr="00BE1B50">
        <w:rPr>
          <w:rFonts w:cs="Arial"/>
        </w:rPr>
        <w:t>Ridd</w:t>
      </w:r>
      <w:proofErr w:type="spellEnd"/>
      <w:r w:rsidRPr="00BE1B50">
        <w:rPr>
          <w:rFonts w:cs="Arial"/>
        </w:rPr>
        <w:t xml:space="preserve">, M.J., Zhu, L. and Yardley, L. (2025). Patient perceptions of primary care rapid respiratory microbiological point-of-care testing: a qualitative study. </w:t>
      </w:r>
      <w:r w:rsidRPr="00BE1B50">
        <w:rPr>
          <w:rFonts w:cs="Arial"/>
          <w:i/>
          <w:iCs/>
        </w:rPr>
        <w:t>BMJ Open</w:t>
      </w:r>
      <w:r w:rsidRPr="00BE1B50">
        <w:rPr>
          <w:rFonts w:cs="Arial"/>
        </w:rPr>
        <w:t>, [online] 15(6), p.e099666. doi: https://doi.org/10.1136/bmjopen-2025-099666.</w:t>
      </w:r>
    </w:p>
    <w:p w14:paraId="004DA91A" w14:textId="77777777" w:rsidR="00BE1B50" w:rsidRPr="00BE1B50" w:rsidRDefault="00BE1B50" w:rsidP="00BE1B50">
      <w:pPr>
        <w:rPr>
          <w:rFonts w:cs="Arial"/>
        </w:rPr>
      </w:pPr>
      <w:r w:rsidRPr="00BE1B50">
        <w:rPr>
          <w:rFonts w:cs="Arial"/>
        </w:rPr>
        <w:lastRenderedPageBreak/>
        <w:t xml:space="preserve">Clarke, R., Brown, E., Hay, A.D., Mitchell, P.M., </w:t>
      </w:r>
      <w:proofErr w:type="spellStart"/>
      <w:r w:rsidRPr="00BE1B50">
        <w:rPr>
          <w:rFonts w:cs="Arial"/>
        </w:rPr>
        <w:t>Ridd</w:t>
      </w:r>
      <w:proofErr w:type="spellEnd"/>
      <w:r w:rsidRPr="00BE1B50">
        <w:rPr>
          <w:rFonts w:cs="Arial"/>
        </w:rPr>
        <w:t xml:space="preserve">, M.J., Zhu, L. and Yardley, L. (2024). Rapid microbiological respiratory point-of-care-testing: a qualitative study with primary care clinicians. </w:t>
      </w:r>
      <w:r w:rsidRPr="00BE1B50">
        <w:rPr>
          <w:rFonts w:cs="Arial"/>
          <w:i/>
          <w:iCs/>
        </w:rPr>
        <w:t>British Journal of General Practice</w:t>
      </w:r>
      <w:r w:rsidRPr="00BE1B50">
        <w:rPr>
          <w:rFonts w:cs="Arial"/>
        </w:rPr>
        <w:t xml:space="preserve">, </w:t>
      </w:r>
      <w:proofErr w:type="gramStart"/>
      <w:r w:rsidRPr="00BE1B50">
        <w:rPr>
          <w:rFonts w:cs="Arial"/>
        </w:rPr>
        <w:t>pp.BJGP</w:t>
      </w:r>
      <w:proofErr w:type="gramEnd"/>
      <w:r w:rsidRPr="00BE1B50">
        <w:rPr>
          <w:rFonts w:cs="Arial"/>
        </w:rPr>
        <w:t>.2024.0413–BJGP.2024.0413. doi: https://doi.org/10.3399/bjgp.2024.0413.</w:t>
      </w:r>
    </w:p>
    <w:p w14:paraId="3E5CEBCA" w14:textId="77777777" w:rsidR="00BE1B50" w:rsidRPr="00BE1B50" w:rsidRDefault="00BE1B50" w:rsidP="00BE1B50">
      <w:pPr>
        <w:rPr>
          <w:rFonts w:cs="Arial"/>
        </w:rPr>
      </w:pPr>
      <w:r w:rsidRPr="00BE1B50">
        <w:rPr>
          <w:rFonts w:cs="Arial"/>
        </w:rPr>
        <w:t xml:space="preserve">Daniels, R., Tarek El </w:t>
      </w:r>
      <w:proofErr w:type="spellStart"/>
      <w:r w:rsidRPr="00BE1B50">
        <w:rPr>
          <w:rFonts w:cs="Arial"/>
        </w:rPr>
        <w:t>Omda</w:t>
      </w:r>
      <w:proofErr w:type="spellEnd"/>
      <w:r w:rsidRPr="00BE1B50">
        <w:rPr>
          <w:rFonts w:cs="Arial"/>
        </w:rPr>
        <w:t xml:space="preserve"> and </w:t>
      </w:r>
      <w:proofErr w:type="spellStart"/>
      <w:r w:rsidRPr="00BE1B50">
        <w:rPr>
          <w:rFonts w:cs="Arial"/>
        </w:rPr>
        <w:t>Kinan</w:t>
      </w:r>
      <w:proofErr w:type="spellEnd"/>
      <w:r w:rsidRPr="00BE1B50">
        <w:rPr>
          <w:rFonts w:cs="Arial"/>
        </w:rPr>
        <w:t xml:space="preserve"> </w:t>
      </w:r>
      <w:proofErr w:type="spellStart"/>
      <w:r w:rsidRPr="00BE1B50">
        <w:rPr>
          <w:rFonts w:cs="Arial"/>
        </w:rPr>
        <w:t>Mokbel</w:t>
      </w:r>
      <w:proofErr w:type="spellEnd"/>
      <w:r w:rsidRPr="00BE1B50">
        <w:rPr>
          <w:rFonts w:cs="Arial"/>
        </w:rPr>
        <w:t xml:space="preserve"> (2024). Improving Antimicrobial Stewardship in Acute Sore Throat: Comparison of </w:t>
      </w:r>
      <w:proofErr w:type="spellStart"/>
      <w:r w:rsidRPr="00BE1B50">
        <w:rPr>
          <w:rFonts w:cs="Arial"/>
        </w:rPr>
        <w:t>FeverPAIN</w:t>
      </w:r>
      <w:proofErr w:type="spellEnd"/>
      <w:r w:rsidRPr="00BE1B50">
        <w:rPr>
          <w:rFonts w:cs="Arial"/>
        </w:rPr>
        <w:t xml:space="preserve"> and McIsaac Scores with Molecular Point of Care Testing Using Abbott ID NOW. </w:t>
      </w:r>
      <w:r w:rsidRPr="00BE1B50">
        <w:rPr>
          <w:rFonts w:cs="Arial"/>
          <w:i/>
          <w:iCs/>
        </w:rPr>
        <w:t>Diagnostics</w:t>
      </w:r>
      <w:r w:rsidRPr="00BE1B50">
        <w:rPr>
          <w:rFonts w:cs="Arial"/>
        </w:rPr>
        <w:t>, 14(23), pp.2680–2680. doi: https://doi.org/10.3390/diagnostics14232680.</w:t>
      </w:r>
    </w:p>
    <w:p w14:paraId="0DCE77B5" w14:textId="77777777" w:rsidR="00BE1B50" w:rsidRPr="00BE1B50" w:rsidRDefault="00BE1B50" w:rsidP="00BE1B50">
      <w:pPr>
        <w:rPr>
          <w:rFonts w:cs="Arial"/>
        </w:rPr>
      </w:pPr>
      <w:proofErr w:type="spellStart"/>
      <w:r w:rsidRPr="00BE1B50">
        <w:rPr>
          <w:rFonts w:cs="Arial"/>
        </w:rPr>
        <w:t>Eley</w:t>
      </w:r>
      <w:proofErr w:type="spellEnd"/>
      <w:r w:rsidRPr="00BE1B50">
        <w:rPr>
          <w:rFonts w:cs="Arial"/>
        </w:rPr>
        <w:t xml:space="preserve">, C.V., Sharma, A., Lecky, D.M., Lee, H. and McNulty, C.A.M. (2018). Qualitative study to explore the views of general practice staff on the use of point-of-care C reactive protein testing for the management of lower respiratory tract infections in routine general practice in England. </w:t>
      </w:r>
      <w:r w:rsidRPr="00BE1B50">
        <w:rPr>
          <w:rFonts w:cs="Arial"/>
          <w:i/>
          <w:iCs/>
        </w:rPr>
        <w:t>BMJ Open</w:t>
      </w:r>
      <w:r w:rsidRPr="00BE1B50">
        <w:rPr>
          <w:rFonts w:cs="Arial"/>
        </w:rPr>
        <w:t>, 8(10), p.e023925. doi: https://doi.org/10.1136/bmjopen-2018-023925.</w:t>
      </w:r>
    </w:p>
    <w:p w14:paraId="44D31C04" w14:textId="77777777" w:rsidR="00BE1B50" w:rsidRPr="00BE1B50" w:rsidRDefault="00BE1B50" w:rsidP="00BE1B50">
      <w:pPr>
        <w:rPr>
          <w:rFonts w:cs="Arial"/>
        </w:rPr>
      </w:pPr>
      <w:r w:rsidRPr="00BE1B50">
        <w:rPr>
          <w:rFonts w:cs="Arial"/>
        </w:rPr>
        <w:t xml:space="preserve">Foley, K., Hargreaves, D., Miller, L., </w:t>
      </w:r>
      <w:proofErr w:type="spellStart"/>
      <w:r w:rsidRPr="00BE1B50">
        <w:rPr>
          <w:rFonts w:cs="Arial"/>
        </w:rPr>
        <w:t>Beaney</w:t>
      </w:r>
      <w:proofErr w:type="spellEnd"/>
      <w:r w:rsidRPr="00BE1B50">
        <w:rPr>
          <w:rFonts w:cs="Arial"/>
        </w:rPr>
        <w:t xml:space="preserve">, T., Quint, J., Bottle, A., Petersen, I., Majeed, A. and Saxena, S. (2024). 6698 Trends in antibiotic prescribing for respiratory infections in children under 5 years in England from 2016 to 2023. </w:t>
      </w:r>
      <w:r w:rsidRPr="00BE1B50">
        <w:rPr>
          <w:rFonts w:cs="Arial"/>
          <w:i/>
          <w:iCs/>
        </w:rPr>
        <w:t>British Association of Child and Adolescent Public Health</w:t>
      </w:r>
      <w:r w:rsidRPr="00BE1B50">
        <w:rPr>
          <w:rFonts w:cs="Arial"/>
        </w:rPr>
        <w:t xml:space="preserve">, [online] </w:t>
      </w:r>
      <w:proofErr w:type="gramStart"/>
      <w:r w:rsidRPr="00BE1B50">
        <w:rPr>
          <w:rFonts w:cs="Arial"/>
        </w:rPr>
        <w:t>pp.A</w:t>
      </w:r>
      <w:proofErr w:type="gramEnd"/>
      <w:r w:rsidRPr="00BE1B50">
        <w:rPr>
          <w:rFonts w:cs="Arial"/>
        </w:rPr>
        <w:t>87–A87. doi: https://doi.org/10.1136/archdischild-2024-rcpch.123.</w:t>
      </w:r>
    </w:p>
    <w:p w14:paraId="71E6A74F" w14:textId="77777777" w:rsidR="00BE1B50" w:rsidRPr="00BE1B50" w:rsidRDefault="00BE1B50" w:rsidP="00BE1B50">
      <w:pPr>
        <w:rPr>
          <w:rFonts w:eastAsia="Times New Roman" w:cs="Arial"/>
          <w:lang w:eastAsia="en-GB"/>
        </w:rPr>
      </w:pPr>
      <w:r w:rsidRPr="00BE1B50">
        <w:rPr>
          <w:rFonts w:eastAsia="Times New Roman" w:cs="Arial"/>
          <w:lang w:eastAsia="en-GB"/>
        </w:rPr>
        <w:t xml:space="preserve">GOV.UK (2025). </w:t>
      </w:r>
      <w:r w:rsidRPr="00BE1B50">
        <w:rPr>
          <w:rFonts w:eastAsia="Times New Roman" w:cs="Arial"/>
          <w:i/>
          <w:iCs/>
          <w:lang w:eastAsia="en-GB"/>
        </w:rPr>
        <w:t>Respiratory disease profile: statistical commentary, June 2025</w:t>
      </w:r>
      <w:r w:rsidRPr="00BE1B50">
        <w:rPr>
          <w:rFonts w:eastAsia="Times New Roman" w:cs="Arial"/>
          <w:lang w:eastAsia="en-GB"/>
        </w:rPr>
        <w:t>. [online] GOV.UK. Available at: https://www.gov.uk/government/statistics/update-of-indicators-in-the-respiratory-disease-profile-june-2025/respiratory-disease-profile-statistical-commentary-june-2025.</w:t>
      </w:r>
    </w:p>
    <w:p w14:paraId="38AD6415" w14:textId="77777777" w:rsidR="00BE1B50" w:rsidRPr="00BE1B50" w:rsidRDefault="00BE1B50" w:rsidP="00BE1B50">
      <w:pPr>
        <w:rPr>
          <w:rFonts w:cs="Arial"/>
        </w:rPr>
      </w:pPr>
      <w:r w:rsidRPr="00BE1B50">
        <w:rPr>
          <w:rFonts w:cs="Arial"/>
        </w:rPr>
        <w:t xml:space="preserve">Harrison, C., </w:t>
      </w:r>
      <w:proofErr w:type="spellStart"/>
      <w:r w:rsidRPr="00BE1B50">
        <w:rPr>
          <w:rFonts w:cs="Arial"/>
        </w:rPr>
        <w:t>Brassel</w:t>
      </w:r>
      <w:proofErr w:type="spellEnd"/>
      <w:r w:rsidRPr="00BE1B50">
        <w:rPr>
          <w:rFonts w:cs="Arial"/>
        </w:rPr>
        <w:t xml:space="preserve">, S., Chowdhury, S., Theakston, C., Napier, M., </w:t>
      </w:r>
      <w:proofErr w:type="spellStart"/>
      <w:r w:rsidRPr="00BE1B50">
        <w:rPr>
          <w:rFonts w:cs="Arial"/>
        </w:rPr>
        <w:t>Vietri</w:t>
      </w:r>
      <w:proofErr w:type="spellEnd"/>
      <w:r w:rsidRPr="00BE1B50">
        <w:rPr>
          <w:rFonts w:cs="Arial"/>
        </w:rPr>
        <w:t xml:space="preserve">, J., Mendes, D., Yang, J., Hu, T. and Lotte </w:t>
      </w:r>
      <w:proofErr w:type="spellStart"/>
      <w:r w:rsidRPr="00BE1B50">
        <w:rPr>
          <w:rFonts w:cs="Arial"/>
        </w:rPr>
        <w:t>Steuten</w:t>
      </w:r>
      <w:proofErr w:type="spellEnd"/>
      <w:r w:rsidRPr="00BE1B50">
        <w:rPr>
          <w:rFonts w:cs="Arial"/>
        </w:rPr>
        <w:t xml:space="preserve"> (2025). The broader socio-economic value of adult respiratory disease vaccinations in the UK – results from a benefit cost analysis. </w:t>
      </w:r>
      <w:r w:rsidRPr="00BE1B50">
        <w:rPr>
          <w:rFonts w:cs="Arial"/>
          <w:i/>
          <w:iCs/>
        </w:rPr>
        <w:t>Expert Review of Vaccines</w:t>
      </w:r>
      <w:r w:rsidRPr="00BE1B50">
        <w:rPr>
          <w:rFonts w:cs="Arial"/>
        </w:rPr>
        <w:t>. doi: https://doi.org/10.1080/14760584.2025.2536093.</w:t>
      </w:r>
    </w:p>
    <w:p w14:paraId="6EE54022" w14:textId="77777777" w:rsidR="00BE1B50" w:rsidRPr="00BE1B50" w:rsidRDefault="00BE1B50" w:rsidP="00BE1B50">
      <w:pPr>
        <w:rPr>
          <w:rFonts w:cs="Arial"/>
        </w:rPr>
      </w:pPr>
      <w:r w:rsidRPr="00BE1B50">
        <w:rPr>
          <w:rFonts w:cs="Arial"/>
        </w:rPr>
        <w:t xml:space="preserve">Lynch, C. (2025). Adherence to NICE Guidelines and Centor Criteria in Acute Sore Throat Management: An Audit Cycle. </w:t>
      </w:r>
      <w:proofErr w:type="spellStart"/>
      <w:r w:rsidRPr="00BE1B50">
        <w:rPr>
          <w:rFonts w:cs="Arial"/>
          <w:i/>
          <w:iCs/>
        </w:rPr>
        <w:t>Cureus</w:t>
      </w:r>
      <w:proofErr w:type="spellEnd"/>
      <w:r w:rsidRPr="00BE1B50">
        <w:rPr>
          <w:rFonts w:cs="Arial"/>
        </w:rPr>
        <w:t>. doi: https://doi.org/10.7759/cureus.92540.</w:t>
      </w:r>
    </w:p>
    <w:p w14:paraId="6BDA55A1" w14:textId="77777777" w:rsidR="00BE1B50" w:rsidRPr="00BE1B50" w:rsidRDefault="00BE1B50" w:rsidP="00BE1B50">
      <w:pPr>
        <w:rPr>
          <w:rFonts w:eastAsia="Times New Roman" w:cs="Arial"/>
          <w:lang w:eastAsia="en-GB"/>
        </w:rPr>
      </w:pPr>
      <w:r w:rsidRPr="00BE1B50">
        <w:rPr>
          <w:rFonts w:eastAsia="Times New Roman" w:cs="Arial"/>
          <w:lang w:eastAsia="en-GB"/>
        </w:rPr>
        <w:t xml:space="preserve">Matos, J.F., Piedade, J., Freitas, A., Pedro, N., </w:t>
      </w:r>
      <w:proofErr w:type="spellStart"/>
      <w:r w:rsidRPr="00BE1B50">
        <w:rPr>
          <w:rFonts w:eastAsia="Times New Roman" w:cs="Arial"/>
          <w:lang w:eastAsia="en-GB"/>
        </w:rPr>
        <w:t>Dorotea</w:t>
      </w:r>
      <w:proofErr w:type="spellEnd"/>
      <w:r w:rsidRPr="00BE1B50">
        <w:rPr>
          <w:rFonts w:eastAsia="Times New Roman" w:cs="Arial"/>
          <w:lang w:eastAsia="en-GB"/>
        </w:rPr>
        <w:t xml:space="preserve">, N., Pedro, A. and Galego, C. (2023). Teaching and Learning Research Methodologies in Education: A Systematic Literature Review. </w:t>
      </w:r>
      <w:r w:rsidRPr="00BE1B50">
        <w:rPr>
          <w:rFonts w:eastAsia="Times New Roman" w:cs="Arial"/>
          <w:i/>
          <w:iCs/>
          <w:lang w:eastAsia="en-GB"/>
        </w:rPr>
        <w:t>Education Sciences</w:t>
      </w:r>
      <w:r w:rsidRPr="00BE1B50">
        <w:rPr>
          <w:rFonts w:eastAsia="Times New Roman" w:cs="Arial"/>
          <w:lang w:eastAsia="en-GB"/>
        </w:rPr>
        <w:t>, [online] 13(2), p.173. doi: https://doi.org/10.3390/educsci13020173.</w:t>
      </w:r>
    </w:p>
    <w:p w14:paraId="3213F64D" w14:textId="77777777" w:rsidR="00BE1B50" w:rsidRPr="00BE1B50" w:rsidRDefault="00BE1B50" w:rsidP="00BE1B50">
      <w:pPr>
        <w:rPr>
          <w:rFonts w:cs="Arial"/>
        </w:rPr>
      </w:pPr>
      <w:r w:rsidRPr="00BE1B50">
        <w:rPr>
          <w:rFonts w:cs="Arial"/>
        </w:rPr>
        <w:t xml:space="preserve">Miller, L., </w:t>
      </w:r>
      <w:proofErr w:type="spellStart"/>
      <w:r w:rsidRPr="00BE1B50">
        <w:rPr>
          <w:rFonts w:cs="Arial"/>
        </w:rPr>
        <w:t>Beaney</w:t>
      </w:r>
      <w:proofErr w:type="spellEnd"/>
      <w:r w:rsidRPr="00BE1B50">
        <w:rPr>
          <w:rFonts w:cs="Arial"/>
        </w:rPr>
        <w:t xml:space="preserve">, T., Hope, R., Cunningham, M., </w:t>
      </w:r>
      <w:proofErr w:type="spellStart"/>
      <w:r w:rsidRPr="00BE1B50">
        <w:rPr>
          <w:rFonts w:cs="Arial"/>
        </w:rPr>
        <w:t>Robotham</w:t>
      </w:r>
      <w:proofErr w:type="spellEnd"/>
      <w:r w:rsidRPr="00BE1B50">
        <w:rPr>
          <w:rFonts w:cs="Arial"/>
        </w:rPr>
        <w:t xml:space="preserve">, J.V., </w:t>
      </w:r>
      <w:proofErr w:type="spellStart"/>
      <w:r w:rsidRPr="00BE1B50">
        <w:rPr>
          <w:rFonts w:cs="Arial"/>
        </w:rPr>
        <w:t>Pouwels</w:t>
      </w:r>
      <w:proofErr w:type="spellEnd"/>
      <w:r w:rsidRPr="00BE1B50">
        <w:rPr>
          <w:rFonts w:cs="Arial"/>
        </w:rPr>
        <w:t xml:space="preserve">, K.B. and </w:t>
      </w:r>
      <w:proofErr w:type="spellStart"/>
      <w:r w:rsidRPr="00BE1B50">
        <w:rPr>
          <w:rFonts w:cs="Arial"/>
        </w:rPr>
        <w:t>Costelloe</w:t>
      </w:r>
      <w:proofErr w:type="spellEnd"/>
      <w:r w:rsidRPr="00BE1B50">
        <w:rPr>
          <w:rFonts w:cs="Arial"/>
        </w:rPr>
        <w:t xml:space="preserve">, C.E. (2025). General practice antibiotic prescriptions attributable to respiratory </w:t>
      </w:r>
      <w:r w:rsidRPr="00BE1B50">
        <w:rPr>
          <w:rFonts w:cs="Arial"/>
        </w:rPr>
        <w:lastRenderedPageBreak/>
        <w:t xml:space="preserve">syncytial virus by age and antibiotic class: an ecological analysis of the English population. </w:t>
      </w:r>
      <w:r w:rsidRPr="00BE1B50">
        <w:rPr>
          <w:rFonts w:cs="Arial"/>
          <w:i/>
          <w:iCs/>
        </w:rPr>
        <w:t>Journal of Antimicrobial Chemotherapy</w:t>
      </w:r>
      <w:r w:rsidRPr="00BE1B50">
        <w:rPr>
          <w:rFonts w:cs="Arial"/>
        </w:rPr>
        <w:t>, [online] 80(4), pp.1116–1126. doi: https://doi.org/10.1093/jac/dkaf043.</w:t>
      </w:r>
    </w:p>
    <w:p w14:paraId="42DCC8B5" w14:textId="77777777" w:rsidR="00BE1B50" w:rsidRPr="00BE1B50" w:rsidRDefault="00BE1B50" w:rsidP="00BE1B50">
      <w:pPr>
        <w:rPr>
          <w:rFonts w:cs="Arial"/>
        </w:rPr>
      </w:pPr>
      <w:r w:rsidRPr="00BE1B50">
        <w:rPr>
          <w:rFonts w:cs="Arial"/>
        </w:rPr>
        <w:t xml:space="preserve">Mills, S.E., Akbar, S.B. and Hernandez-Santiago, V. (2024). Barriers, enablers, benefits, and Drawbacks to point-of-care testing: a Survey of the General Practice out-of-hours Service in Scotland. </w:t>
      </w:r>
      <w:r w:rsidRPr="00BE1B50">
        <w:rPr>
          <w:rFonts w:cs="Arial"/>
          <w:i/>
          <w:iCs/>
        </w:rPr>
        <w:t>BJGP Open</w:t>
      </w:r>
      <w:r w:rsidRPr="00BE1B50">
        <w:rPr>
          <w:rFonts w:cs="Arial"/>
        </w:rPr>
        <w:t>, [online] 8(2). doi: https://doi.org/10.3399/BJGPO.2023.0094.</w:t>
      </w:r>
    </w:p>
    <w:p w14:paraId="2B0C8E57" w14:textId="77777777" w:rsidR="00BE1B50" w:rsidRPr="00BE1B50" w:rsidRDefault="00BE1B50" w:rsidP="00BE1B50">
      <w:pPr>
        <w:rPr>
          <w:rFonts w:cs="Arial"/>
        </w:rPr>
      </w:pPr>
      <w:r w:rsidRPr="00BE1B50">
        <w:rPr>
          <w:rFonts w:cs="Arial"/>
        </w:rPr>
        <w:t xml:space="preserve">NHS England (2019). </w:t>
      </w:r>
      <w:r w:rsidRPr="00BE1B50">
        <w:rPr>
          <w:rFonts w:cs="Arial"/>
          <w:i/>
          <w:iCs/>
        </w:rPr>
        <w:t>NHS England Respiratory Disease</w:t>
      </w:r>
      <w:r w:rsidRPr="00BE1B50">
        <w:rPr>
          <w:rFonts w:cs="Arial"/>
        </w:rPr>
        <w:t>. [online] NHS England. Available at: https://www.england.nhs.uk/ourwork/clinical-policy/respiratory-disease/.</w:t>
      </w:r>
    </w:p>
    <w:p w14:paraId="1BBD5721" w14:textId="77777777" w:rsidR="00BE1B50" w:rsidRPr="00BE1B50" w:rsidRDefault="00BE1B50" w:rsidP="00BE1B50">
      <w:pPr>
        <w:rPr>
          <w:rFonts w:cs="Arial"/>
        </w:rPr>
      </w:pPr>
      <w:r w:rsidRPr="00BE1B50">
        <w:rPr>
          <w:rFonts w:cs="Arial"/>
        </w:rPr>
        <w:t xml:space="preserve">NICE (2023). </w:t>
      </w:r>
      <w:r w:rsidRPr="00BE1B50">
        <w:rPr>
          <w:rFonts w:cs="Arial"/>
          <w:i/>
          <w:iCs/>
        </w:rPr>
        <w:t>Evidence reviews – October 2023 | Suspected acute respiratory infection in over 16s: assessment at first presentation and initial management | Guidance | NICE</w:t>
      </w:r>
      <w:r w:rsidRPr="00BE1B50">
        <w:rPr>
          <w:rFonts w:cs="Arial"/>
        </w:rPr>
        <w:t>. [online] Nice.org.uk. Available at: https://www.nice.org.uk/guidance/ng237/evidence/evidence-reviews-october-2023-13197117421?tab=evidence [Accessed 4 Apr. 2026].</w:t>
      </w:r>
    </w:p>
    <w:p w14:paraId="49C45751" w14:textId="77777777" w:rsidR="00BE1B50" w:rsidRPr="00BE1B50" w:rsidRDefault="00BE1B50" w:rsidP="00BE1B50">
      <w:pPr>
        <w:rPr>
          <w:rFonts w:cs="Arial"/>
        </w:rPr>
      </w:pPr>
      <w:r w:rsidRPr="00BE1B50">
        <w:rPr>
          <w:rFonts w:cs="Arial"/>
        </w:rPr>
        <w:t xml:space="preserve">O’Connor, R., </w:t>
      </w:r>
      <w:proofErr w:type="spellStart"/>
      <w:r w:rsidRPr="00BE1B50">
        <w:rPr>
          <w:rFonts w:cs="Arial"/>
        </w:rPr>
        <w:t>O’Doherty</w:t>
      </w:r>
      <w:proofErr w:type="spellEnd"/>
      <w:r w:rsidRPr="00BE1B50">
        <w:rPr>
          <w:rFonts w:cs="Arial"/>
        </w:rPr>
        <w:t xml:space="preserve">, J., </w:t>
      </w:r>
      <w:proofErr w:type="spellStart"/>
      <w:r w:rsidRPr="00BE1B50">
        <w:rPr>
          <w:rFonts w:cs="Arial"/>
        </w:rPr>
        <w:t>O’Regan</w:t>
      </w:r>
      <w:proofErr w:type="spellEnd"/>
      <w:r w:rsidRPr="00BE1B50">
        <w:rPr>
          <w:rFonts w:cs="Arial"/>
        </w:rPr>
        <w:t xml:space="preserve">, A. and Dunne, C. (2018). Antibiotic use for acute respiratory tract infections (ARTI) in primary care; what factors affect prescribing and why is it important? A narrative review. </w:t>
      </w:r>
      <w:r w:rsidRPr="00BE1B50">
        <w:rPr>
          <w:rFonts w:cs="Arial"/>
          <w:i/>
          <w:iCs/>
        </w:rPr>
        <w:t>Irish Journal of Medical Science (1971 -)</w:t>
      </w:r>
      <w:r w:rsidRPr="00BE1B50">
        <w:rPr>
          <w:rFonts w:cs="Arial"/>
        </w:rPr>
        <w:t>, [online] 187(4), pp.969–986. doi: https://doi.org/10.1007/s11845-018-1774-5.</w:t>
      </w:r>
    </w:p>
    <w:p w14:paraId="0C569F76" w14:textId="77777777" w:rsidR="00BE1B50" w:rsidRPr="00BE1B50" w:rsidRDefault="00BE1B50" w:rsidP="00BE1B50">
      <w:pPr>
        <w:rPr>
          <w:rFonts w:cs="Arial"/>
        </w:rPr>
      </w:pPr>
      <w:r w:rsidRPr="00BE1B50">
        <w:rPr>
          <w:rFonts w:cs="Arial"/>
        </w:rPr>
        <w:t>O’Shea, J., Hughes, C., Molloy, G.J., Cadogan, C., Vellinga, A., Fahey, T. and Ryan, C. (2025). Point-of-</w:t>
      </w:r>
      <w:proofErr w:type="spellStart"/>
      <w:r w:rsidRPr="00BE1B50">
        <w:rPr>
          <w:rFonts w:cs="Arial"/>
        </w:rPr>
        <w:t>caRE</w:t>
      </w:r>
      <w:proofErr w:type="spellEnd"/>
      <w:r w:rsidRPr="00BE1B50">
        <w:rPr>
          <w:rFonts w:cs="Arial"/>
        </w:rPr>
        <w:t xml:space="preserve"> </w:t>
      </w:r>
      <w:proofErr w:type="spellStart"/>
      <w:r w:rsidRPr="00BE1B50">
        <w:rPr>
          <w:rFonts w:cs="Arial"/>
        </w:rPr>
        <w:t>DiagnostICs</w:t>
      </w:r>
      <w:proofErr w:type="spellEnd"/>
      <w:r w:rsidRPr="00BE1B50">
        <w:rPr>
          <w:rFonts w:cs="Arial"/>
        </w:rPr>
        <w:t xml:space="preserve"> for </w:t>
      </w:r>
      <w:proofErr w:type="spellStart"/>
      <w:r w:rsidRPr="00BE1B50">
        <w:rPr>
          <w:rFonts w:cs="Arial"/>
        </w:rPr>
        <w:t>respiraTOry</w:t>
      </w:r>
      <w:proofErr w:type="spellEnd"/>
      <w:r w:rsidRPr="00BE1B50">
        <w:rPr>
          <w:rFonts w:cs="Arial"/>
        </w:rPr>
        <w:t xml:space="preserve"> </w:t>
      </w:r>
      <w:proofErr w:type="spellStart"/>
      <w:r w:rsidRPr="00BE1B50">
        <w:rPr>
          <w:rFonts w:cs="Arial"/>
        </w:rPr>
        <w:t>tRact</w:t>
      </w:r>
      <w:proofErr w:type="spellEnd"/>
      <w:r w:rsidRPr="00BE1B50">
        <w:rPr>
          <w:rFonts w:cs="Arial"/>
        </w:rPr>
        <w:t xml:space="preserve"> </w:t>
      </w:r>
      <w:proofErr w:type="spellStart"/>
      <w:r w:rsidRPr="00BE1B50">
        <w:rPr>
          <w:rFonts w:cs="Arial"/>
        </w:rPr>
        <w:t>infectionS</w:t>
      </w:r>
      <w:proofErr w:type="spellEnd"/>
      <w:r w:rsidRPr="00BE1B50">
        <w:rPr>
          <w:rFonts w:cs="Arial"/>
        </w:rPr>
        <w:t xml:space="preserve"> (PREDICTORS) study: developing guidance for using C-reactive protein point-of-care tests in the management of lower respiratory tract infections in primary care using a Delphi consensus technique. </w:t>
      </w:r>
      <w:r w:rsidRPr="00BE1B50">
        <w:rPr>
          <w:rFonts w:cs="Arial"/>
          <w:i/>
          <w:iCs/>
        </w:rPr>
        <w:t>BMJ Open</w:t>
      </w:r>
      <w:r w:rsidRPr="00BE1B50">
        <w:rPr>
          <w:rFonts w:cs="Arial"/>
        </w:rPr>
        <w:t xml:space="preserve">, [online] 15(5), </w:t>
      </w:r>
      <w:proofErr w:type="gramStart"/>
      <w:r w:rsidRPr="00BE1B50">
        <w:rPr>
          <w:rFonts w:cs="Arial"/>
        </w:rPr>
        <w:t>pp.e</w:t>
      </w:r>
      <w:proofErr w:type="gramEnd"/>
      <w:r w:rsidRPr="00BE1B50">
        <w:rPr>
          <w:rFonts w:cs="Arial"/>
        </w:rPr>
        <w:t>101438–e101438. doi: https://doi.org/10.1136/bmjopen-2025-101438.</w:t>
      </w:r>
    </w:p>
    <w:p w14:paraId="72302DF5" w14:textId="77777777" w:rsidR="00BE1B50" w:rsidRPr="00BE1B50" w:rsidRDefault="00BE1B50" w:rsidP="00BE1B50">
      <w:pPr>
        <w:rPr>
          <w:rFonts w:cs="Arial"/>
        </w:rPr>
      </w:pPr>
      <w:r w:rsidRPr="00BE1B50">
        <w:rPr>
          <w:rFonts w:cs="Arial"/>
        </w:rPr>
        <w:t xml:space="preserve">PAPERPILE (2024). </w:t>
      </w:r>
      <w:r w:rsidRPr="00BE1B50">
        <w:rPr>
          <w:rFonts w:cs="Arial"/>
          <w:i/>
          <w:iCs/>
        </w:rPr>
        <w:t>How to do a thematic analysis</w:t>
      </w:r>
      <w:r w:rsidRPr="00BE1B50">
        <w:rPr>
          <w:rFonts w:cs="Arial"/>
        </w:rPr>
        <w:t xml:space="preserve">. [online] </w:t>
      </w:r>
      <w:proofErr w:type="spellStart"/>
      <w:r w:rsidRPr="00BE1B50">
        <w:rPr>
          <w:rFonts w:cs="Arial"/>
        </w:rPr>
        <w:t>Paperpile</w:t>
      </w:r>
      <w:proofErr w:type="spellEnd"/>
      <w:r w:rsidRPr="00BE1B50">
        <w:rPr>
          <w:rFonts w:cs="Arial"/>
        </w:rPr>
        <w:t>. Available at: https://paperpile.com/g/thematic-analysis/.</w:t>
      </w:r>
    </w:p>
    <w:p w14:paraId="3D6003C5" w14:textId="77777777" w:rsidR="00BE1B50" w:rsidRPr="00BE1B50" w:rsidRDefault="00BE1B50" w:rsidP="00BE1B50">
      <w:pPr>
        <w:rPr>
          <w:rFonts w:cs="Arial"/>
        </w:rPr>
      </w:pPr>
      <w:r w:rsidRPr="00BE1B50">
        <w:rPr>
          <w:rFonts w:cs="Arial"/>
        </w:rPr>
        <w:t xml:space="preserve">Peters, S., </w:t>
      </w:r>
      <w:proofErr w:type="spellStart"/>
      <w:r w:rsidRPr="00BE1B50">
        <w:rPr>
          <w:rFonts w:cs="Arial"/>
        </w:rPr>
        <w:t>Rowbotham</w:t>
      </w:r>
      <w:proofErr w:type="spellEnd"/>
      <w:r w:rsidRPr="00BE1B50">
        <w:rPr>
          <w:rFonts w:cs="Arial"/>
        </w:rPr>
        <w:t xml:space="preserve">, S., Chisholm, A., </w:t>
      </w:r>
      <w:proofErr w:type="spellStart"/>
      <w:r w:rsidRPr="00BE1B50">
        <w:rPr>
          <w:rFonts w:cs="Arial"/>
        </w:rPr>
        <w:t>Wearden</w:t>
      </w:r>
      <w:proofErr w:type="spellEnd"/>
      <w:r w:rsidRPr="00BE1B50">
        <w:rPr>
          <w:rFonts w:cs="Arial"/>
        </w:rPr>
        <w:t xml:space="preserve">, A., </w:t>
      </w:r>
      <w:proofErr w:type="spellStart"/>
      <w:r w:rsidRPr="00BE1B50">
        <w:rPr>
          <w:rFonts w:cs="Arial"/>
        </w:rPr>
        <w:t>Moschogianis</w:t>
      </w:r>
      <w:proofErr w:type="spellEnd"/>
      <w:r w:rsidRPr="00BE1B50">
        <w:rPr>
          <w:rFonts w:cs="Arial"/>
        </w:rPr>
        <w:t xml:space="preserve">, S., </w:t>
      </w:r>
      <w:proofErr w:type="spellStart"/>
      <w:r w:rsidRPr="00BE1B50">
        <w:rPr>
          <w:rFonts w:cs="Arial"/>
        </w:rPr>
        <w:t>Cordingley</w:t>
      </w:r>
      <w:proofErr w:type="spellEnd"/>
      <w:r w:rsidRPr="00BE1B50">
        <w:rPr>
          <w:rFonts w:cs="Arial"/>
        </w:rPr>
        <w:t xml:space="preserve">, L., Baker, D., Hyde, C. and Chew-Graham, C. (2011). Managing self-limiting respiratory tract infections: a qualitative study of the usefulness of the delayed prescribing strategy. </w:t>
      </w:r>
      <w:r w:rsidRPr="00BE1B50">
        <w:rPr>
          <w:rFonts w:cs="Arial"/>
          <w:i/>
          <w:iCs/>
        </w:rPr>
        <w:t>British Journal of General Practice</w:t>
      </w:r>
      <w:r w:rsidRPr="00BE1B50">
        <w:rPr>
          <w:rFonts w:cs="Arial"/>
        </w:rPr>
        <w:t xml:space="preserve">, 61(590), </w:t>
      </w:r>
      <w:proofErr w:type="gramStart"/>
      <w:r w:rsidRPr="00BE1B50">
        <w:rPr>
          <w:rFonts w:cs="Arial"/>
        </w:rPr>
        <w:t>pp.e</w:t>
      </w:r>
      <w:proofErr w:type="gramEnd"/>
      <w:r w:rsidRPr="00BE1B50">
        <w:rPr>
          <w:rFonts w:cs="Arial"/>
        </w:rPr>
        <w:t>579–e589. doi: https://doi.org/10.3399/bjgp11x593866.</w:t>
      </w:r>
    </w:p>
    <w:p w14:paraId="277D6878" w14:textId="77777777" w:rsidR="00BE1B50" w:rsidRPr="00BE1B50" w:rsidRDefault="00BE1B50" w:rsidP="00BE1B50">
      <w:pPr>
        <w:rPr>
          <w:rFonts w:cs="Arial"/>
        </w:rPr>
      </w:pPr>
      <w:r w:rsidRPr="00BE1B50">
        <w:rPr>
          <w:rFonts w:cs="Arial"/>
        </w:rPr>
        <w:t xml:space="preserve">Seeley, A., Fanshawe, T., </w:t>
      </w:r>
      <w:proofErr w:type="spellStart"/>
      <w:r w:rsidRPr="00BE1B50">
        <w:rPr>
          <w:rFonts w:cs="Arial"/>
        </w:rPr>
        <w:t>Voysey</w:t>
      </w:r>
      <w:proofErr w:type="spellEnd"/>
      <w:r w:rsidRPr="00BE1B50">
        <w:rPr>
          <w:rFonts w:cs="Arial"/>
        </w:rPr>
        <w:t xml:space="preserve">, M., Hay, A., Moore, M. and Hayward, G. (2021). Diagnostic Accuracy of FEVER-Pain and Centor Criteria for Bacterial Throat Infection in Adults with Sore throat: a Secondary Analysis of a Randomised Controlled Trial. </w:t>
      </w:r>
      <w:r w:rsidRPr="00BE1B50">
        <w:rPr>
          <w:rFonts w:cs="Arial"/>
          <w:i/>
          <w:iCs/>
        </w:rPr>
        <w:t>BJGP Open</w:t>
      </w:r>
      <w:r w:rsidRPr="00BE1B50">
        <w:rPr>
          <w:rFonts w:cs="Arial"/>
        </w:rPr>
        <w:t xml:space="preserve">, [online] 5(6), </w:t>
      </w:r>
      <w:proofErr w:type="gramStart"/>
      <w:r w:rsidRPr="00BE1B50">
        <w:rPr>
          <w:rFonts w:cs="Arial"/>
        </w:rPr>
        <w:t>p.BJGPO</w:t>
      </w:r>
      <w:proofErr w:type="gramEnd"/>
      <w:r w:rsidRPr="00BE1B50">
        <w:rPr>
          <w:rFonts w:cs="Arial"/>
        </w:rPr>
        <w:t>.2021.0122. doi: https://doi.org/10.3399/bjgpo.2021.0122.</w:t>
      </w:r>
    </w:p>
    <w:p w14:paraId="111D9D83" w14:textId="77777777" w:rsidR="00BE1B50" w:rsidRPr="00BE1B50" w:rsidRDefault="00BE1B50" w:rsidP="00BE1B50">
      <w:pPr>
        <w:rPr>
          <w:rFonts w:cs="Arial"/>
        </w:rPr>
      </w:pPr>
      <w:r w:rsidRPr="00BE1B50">
        <w:rPr>
          <w:rFonts w:cs="Arial"/>
        </w:rPr>
        <w:lastRenderedPageBreak/>
        <w:t xml:space="preserve">Tang, E.L., Berry, R., Clayton, L., Budd, E., Lecky, D. and </w:t>
      </w:r>
      <w:proofErr w:type="spellStart"/>
      <w:r w:rsidRPr="00BE1B50">
        <w:rPr>
          <w:rFonts w:cs="Arial"/>
        </w:rPr>
        <w:t>Ashiru-Oredope</w:t>
      </w:r>
      <w:proofErr w:type="spellEnd"/>
      <w:r w:rsidRPr="00BE1B50">
        <w:rPr>
          <w:rFonts w:cs="Arial"/>
        </w:rPr>
        <w:t xml:space="preserve">, D. (2026). Antimicrobial Stewardship Activities across Primary and Secondary Care Sectors in England: ESPAUR report 2024-25. </w:t>
      </w:r>
      <w:r w:rsidRPr="00BE1B50">
        <w:rPr>
          <w:rFonts w:cs="Arial"/>
          <w:i/>
          <w:iCs/>
        </w:rPr>
        <w:t>JAC-Antimicrobial Resistance</w:t>
      </w:r>
      <w:r w:rsidRPr="00BE1B50">
        <w:rPr>
          <w:rFonts w:cs="Arial"/>
        </w:rPr>
        <w:t>, 8(Supplement_2). doi: https://doi.org/10.1093/jacamr/dlaf243.003.</w:t>
      </w:r>
    </w:p>
    <w:p w14:paraId="38305CDE" w14:textId="77777777" w:rsidR="00BE1B50" w:rsidRPr="00BE1B50" w:rsidRDefault="00BE1B50" w:rsidP="00BE1B50">
      <w:pPr>
        <w:rPr>
          <w:rFonts w:cs="Arial"/>
        </w:rPr>
      </w:pPr>
      <w:proofErr w:type="spellStart"/>
      <w:r w:rsidRPr="00BE1B50">
        <w:rPr>
          <w:rFonts w:cs="Arial"/>
        </w:rPr>
        <w:t>Thaulow</w:t>
      </w:r>
      <w:proofErr w:type="spellEnd"/>
      <w:r w:rsidRPr="00BE1B50">
        <w:rPr>
          <w:rFonts w:cs="Arial"/>
        </w:rPr>
        <w:t xml:space="preserve">, J., Eide, T.B., </w:t>
      </w:r>
      <w:proofErr w:type="spellStart"/>
      <w:r w:rsidRPr="00BE1B50">
        <w:rPr>
          <w:rFonts w:cs="Arial"/>
        </w:rPr>
        <w:t>Høye</w:t>
      </w:r>
      <w:proofErr w:type="spellEnd"/>
      <w:r w:rsidRPr="00BE1B50">
        <w:rPr>
          <w:rFonts w:cs="Arial"/>
        </w:rPr>
        <w:t xml:space="preserve">, S. and </w:t>
      </w:r>
      <w:proofErr w:type="spellStart"/>
      <w:r w:rsidRPr="00BE1B50">
        <w:rPr>
          <w:rFonts w:cs="Arial"/>
        </w:rPr>
        <w:t>Skjeie</w:t>
      </w:r>
      <w:proofErr w:type="spellEnd"/>
      <w:r w:rsidRPr="00BE1B50">
        <w:rPr>
          <w:rFonts w:cs="Arial"/>
        </w:rPr>
        <w:t xml:space="preserve">, H. (2025). Patients’ perspectives regarding antibiotic treatment for acute sinusitis in Norwegian general practice. A qualitative interview </w:t>
      </w:r>
      <w:proofErr w:type="gramStart"/>
      <w:r w:rsidRPr="00BE1B50">
        <w:rPr>
          <w:rFonts w:cs="Arial"/>
        </w:rPr>
        <w:t>study</w:t>
      </w:r>
      <w:proofErr w:type="gramEnd"/>
      <w:r w:rsidRPr="00BE1B50">
        <w:rPr>
          <w:rFonts w:cs="Arial"/>
        </w:rPr>
        <w:t xml:space="preserve">. </w:t>
      </w:r>
      <w:r w:rsidRPr="00BE1B50">
        <w:rPr>
          <w:rFonts w:cs="Arial"/>
          <w:i/>
          <w:iCs/>
        </w:rPr>
        <w:t>Scandinavian Journal of Primary Health Care</w:t>
      </w:r>
      <w:r w:rsidRPr="00BE1B50">
        <w:rPr>
          <w:rFonts w:cs="Arial"/>
        </w:rPr>
        <w:t>, pp.1–9. doi: https://doi.org/10.1080/02813432.2025.2498510.</w:t>
      </w:r>
    </w:p>
    <w:p w14:paraId="326785EB" w14:textId="77777777" w:rsidR="00BE1B50" w:rsidRPr="00BE1B50" w:rsidRDefault="00BE1B50" w:rsidP="00BE1B50">
      <w:pPr>
        <w:rPr>
          <w:rFonts w:cs="Arial"/>
        </w:rPr>
      </w:pPr>
      <w:r w:rsidRPr="00BE1B50">
        <w:rPr>
          <w:rFonts w:cs="Arial"/>
        </w:rPr>
        <w:t xml:space="preserve">Thomas, J. and Harden, A. (2008). Methods for the Thematic Synthesis of Qualitative Research in Systematic Reviews. </w:t>
      </w:r>
      <w:r w:rsidRPr="00BE1B50">
        <w:rPr>
          <w:rFonts w:cs="Arial"/>
          <w:i/>
          <w:iCs/>
        </w:rPr>
        <w:t>BMC Medical Research Methodology</w:t>
      </w:r>
      <w:r w:rsidRPr="00BE1B50">
        <w:rPr>
          <w:rFonts w:cs="Arial"/>
        </w:rPr>
        <w:t>, 8(1), pp.1–10. doi: https://doi.org/10.1186/1471-2288-8-45.</w:t>
      </w:r>
    </w:p>
    <w:p w14:paraId="488956F8" w14:textId="77777777" w:rsidR="00BE1B50" w:rsidRPr="00BE1B50" w:rsidRDefault="00BE1B50" w:rsidP="00BE1B50">
      <w:pPr>
        <w:rPr>
          <w:rFonts w:cs="Arial"/>
        </w:rPr>
      </w:pPr>
      <w:proofErr w:type="spellStart"/>
      <w:r w:rsidRPr="00BE1B50">
        <w:rPr>
          <w:rFonts w:cs="Arial"/>
        </w:rPr>
        <w:t>Tjilos</w:t>
      </w:r>
      <w:proofErr w:type="spellEnd"/>
      <w:r w:rsidRPr="00BE1B50">
        <w:rPr>
          <w:rFonts w:cs="Arial"/>
        </w:rPr>
        <w:t xml:space="preserve">, M., Mari-Lynn </w:t>
      </w:r>
      <w:proofErr w:type="spellStart"/>
      <w:r w:rsidRPr="00BE1B50">
        <w:rPr>
          <w:rFonts w:cs="Arial"/>
        </w:rPr>
        <w:t>Drainoni</w:t>
      </w:r>
      <w:proofErr w:type="spellEnd"/>
      <w:r w:rsidRPr="00BE1B50">
        <w:rPr>
          <w:rFonts w:cs="Arial"/>
        </w:rPr>
        <w:t xml:space="preserve">, Shana, Butler, J.M., Damschroder, L.J., Goetz, M.B., </w:t>
      </w:r>
      <w:proofErr w:type="spellStart"/>
      <w:r w:rsidRPr="00BE1B50">
        <w:rPr>
          <w:rFonts w:cs="Arial"/>
        </w:rPr>
        <w:t>Madaras</w:t>
      </w:r>
      <w:proofErr w:type="spellEnd"/>
      <w:r w:rsidRPr="00BE1B50">
        <w:rPr>
          <w:rFonts w:cs="Arial"/>
        </w:rPr>
        <w:t xml:space="preserve">-Kelly, K., Reardon, C.M., </w:t>
      </w:r>
      <w:proofErr w:type="spellStart"/>
      <w:r w:rsidRPr="00BE1B50">
        <w:rPr>
          <w:rFonts w:cs="Arial"/>
        </w:rPr>
        <w:t>Samore</w:t>
      </w:r>
      <w:proofErr w:type="spellEnd"/>
      <w:r w:rsidRPr="00BE1B50">
        <w:rPr>
          <w:rFonts w:cs="Arial"/>
        </w:rPr>
        <w:t xml:space="preserve">, M.H., Shen, J., </w:t>
      </w:r>
      <w:proofErr w:type="spellStart"/>
      <w:r w:rsidRPr="00BE1B50">
        <w:rPr>
          <w:rFonts w:cs="Arial"/>
        </w:rPr>
        <w:t>Stenehjem</w:t>
      </w:r>
      <w:proofErr w:type="spellEnd"/>
      <w:r w:rsidRPr="00BE1B50">
        <w:rPr>
          <w:rFonts w:cs="Arial"/>
        </w:rPr>
        <w:t xml:space="preserve">, E.A., Zhang, Y. and </w:t>
      </w:r>
      <w:proofErr w:type="spellStart"/>
      <w:r w:rsidRPr="00BE1B50">
        <w:rPr>
          <w:rFonts w:cs="Arial"/>
        </w:rPr>
        <w:t>Barlam</w:t>
      </w:r>
      <w:proofErr w:type="spellEnd"/>
      <w:r w:rsidRPr="00BE1B50">
        <w:rPr>
          <w:rFonts w:cs="Arial"/>
        </w:rPr>
        <w:t xml:space="preserve">, T.F. (2023). A qualitative evaluation of frontline clinician perspectives toward antibiotic stewardship programs. </w:t>
      </w:r>
      <w:r w:rsidRPr="00BE1B50">
        <w:rPr>
          <w:rFonts w:cs="Arial"/>
          <w:i/>
          <w:iCs/>
        </w:rPr>
        <w:t>Infection Control and Hospital Epidemiology</w:t>
      </w:r>
      <w:r w:rsidRPr="00BE1B50">
        <w:rPr>
          <w:rFonts w:cs="Arial"/>
        </w:rPr>
        <w:t>, [online] 44(12), pp.1995–2001. doi: https://doi.org/10.1017/ice.2023.35.</w:t>
      </w:r>
    </w:p>
    <w:p w14:paraId="57DA56B0" w14:textId="77777777" w:rsidR="00BE1B50" w:rsidRPr="00BE1B50" w:rsidRDefault="00BE1B50" w:rsidP="00BE1B50">
      <w:pPr>
        <w:rPr>
          <w:rFonts w:cs="Arial"/>
        </w:rPr>
      </w:pPr>
      <w:r w:rsidRPr="00BE1B50">
        <w:rPr>
          <w:rFonts w:cs="Arial"/>
        </w:rPr>
        <w:t xml:space="preserve">Willis, S. (2025). </w:t>
      </w:r>
      <w:r w:rsidRPr="00BE1B50">
        <w:rPr>
          <w:rFonts w:cs="Arial"/>
          <w:i/>
          <w:iCs/>
        </w:rPr>
        <w:t>Pharmacy First data included in AMR report for first time</w:t>
      </w:r>
      <w:r w:rsidRPr="00BE1B50">
        <w:rPr>
          <w:rFonts w:cs="Arial"/>
        </w:rPr>
        <w:t>. [online] The Pharmaceutical Journal. Available at: https://pharmaceutical-journal.com/article/news/pharmacy-first-data-included-in-amr-report-for-first-time [Accessed 4 Apr. 2026].</w:t>
      </w:r>
    </w:p>
    <w:p w14:paraId="3103F4F0" w14:textId="12C4267A" w:rsidR="00BF1D40" w:rsidRDefault="00BF1D40" w:rsidP="00BE1B50">
      <w:pPr>
        <w:spacing w:line="259" w:lineRule="auto"/>
        <w:jc w:val="left"/>
      </w:pPr>
    </w:p>
    <w:sectPr w:rsidR="00BF1D4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CCB5C" w14:textId="77777777" w:rsidR="009B0746" w:rsidRDefault="009B0746" w:rsidP="00BE1B50">
      <w:pPr>
        <w:spacing w:after="0" w:line="240" w:lineRule="auto"/>
      </w:pPr>
      <w:r>
        <w:separator/>
      </w:r>
    </w:p>
  </w:endnote>
  <w:endnote w:type="continuationSeparator" w:id="0">
    <w:p w14:paraId="5C0F9C76" w14:textId="77777777" w:rsidR="009B0746" w:rsidRDefault="009B0746" w:rsidP="00BE1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856772"/>
      <w:docPartObj>
        <w:docPartGallery w:val="Page Numbers (Bottom of Page)"/>
        <w:docPartUnique/>
      </w:docPartObj>
    </w:sdtPr>
    <w:sdtEndPr>
      <w:rPr>
        <w:noProof/>
      </w:rPr>
    </w:sdtEndPr>
    <w:sdtContent>
      <w:p w14:paraId="6CAAEC0D" w14:textId="3AC370D5" w:rsidR="00BE1B50" w:rsidRDefault="00BE1B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DCE7F7" w14:textId="77777777" w:rsidR="00BE1B50" w:rsidRDefault="00BE1B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B6A40" w14:textId="77777777" w:rsidR="009B0746" w:rsidRDefault="009B0746" w:rsidP="00BE1B50">
      <w:pPr>
        <w:spacing w:after="0" w:line="240" w:lineRule="auto"/>
      </w:pPr>
      <w:r>
        <w:separator/>
      </w:r>
    </w:p>
  </w:footnote>
  <w:footnote w:type="continuationSeparator" w:id="0">
    <w:p w14:paraId="0B4B65BA" w14:textId="77777777" w:rsidR="009B0746" w:rsidRDefault="009B0746" w:rsidP="00BE1B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C77D1F"/>
    <w:multiLevelType w:val="hybridMultilevel"/>
    <w:tmpl w:val="DAE04A76"/>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8D6880"/>
    <w:multiLevelType w:val="hybridMultilevel"/>
    <w:tmpl w:val="89FCFD9A"/>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F00815"/>
    <w:multiLevelType w:val="hybridMultilevel"/>
    <w:tmpl w:val="7F485DD0"/>
    <w:lvl w:ilvl="0" w:tplc="4C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23B"/>
    <w:rsid w:val="00094325"/>
    <w:rsid w:val="000F2F5A"/>
    <w:rsid w:val="001D11C0"/>
    <w:rsid w:val="00242D5A"/>
    <w:rsid w:val="0024718A"/>
    <w:rsid w:val="00376FE4"/>
    <w:rsid w:val="00397CC4"/>
    <w:rsid w:val="003F618B"/>
    <w:rsid w:val="004E7958"/>
    <w:rsid w:val="005D063B"/>
    <w:rsid w:val="0069062C"/>
    <w:rsid w:val="006C219E"/>
    <w:rsid w:val="00735471"/>
    <w:rsid w:val="0077348B"/>
    <w:rsid w:val="007B15E0"/>
    <w:rsid w:val="009109B0"/>
    <w:rsid w:val="00955F96"/>
    <w:rsid w:val="009B0746"/>
    <w:rsid w:val="00A1738C"/>
    <w:rsid w:val="00A32B37"/>
    <w:rsid w:val="00A60A9C"/>
    <w:rsid w:val="00AC5939"/>
    <w:rsid w:val="00B7623B"/>
    <w:rsid w:val="00BC7E0C"/>
    <w:rsid w:val="00BE1B50"/>
    <w:rsid w:val="00BF1D40"/>
    <w:rsid w:val="00C12E49"/>
    <w:rsid w:val="00C30F4E"/>
    <w:rsid w:val="00D50C25"/>
    <w:rsid w:val="00D74484"/>
    <w:rsid w:val="00D872D5"/>
    <w:rsid w:val="00E80783"/>
    <w:rsid w:val="00FE2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89490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23B"/>
    <w:pPr>
      <w:spacing w:line="360" w:lineRule="auto"/>
      <w:jc w:val="both"/>
    </w:pPr>
    <w:rPr>
      <w:rFonts w:ascii="Arial" w:hAnsi="Arial"/>
    </w:rPr>
  </w:style>
  <w:style w:type="paragraph" w:styleId="Heading1">
    <w:name w:val="heading 1"/>
    <w:basedOn w:val="Normal"/>
    <w:next w:val="Normal"/>
    <w:link w:val="Heading1Char"/>
    <w:autoRedefine/>
    <w:uiPriority w:val="9"/>
    <w:qFormat/>
    <w:rsid w:val="00B7623B"/>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B7623B"/>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7623B"/>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B7623B"/>
    <w:rPr>
      <w:rFonts w:ascii="Arial" w:eastAsiaTheme="majorEastAsia" w:hAnsi="Arial" w:cstheme="majorBidi"/>
      <w:color w:val="2F5496" w:themeColor="accent1" w:themeShade="BF"/>
      <w:sz w:val="32"/>
      <w:szCs w:val="32"/>
    </w:rPr>
  </w:style>
  <w:style w:type="table" w:styleId="GridTable4">
    <w:name w:val="Grid Table 4"/>
    <w:basedOn w:val="TableNormal"/>
    <w:uiPriority w:val="49"/>
    <w:rsid w:val="00B7623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B7623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0F2F5A"/>
    <w:pPr>
      <w:ind w:left="720"/>
      <w:contextualSpacing/>
    </w:pPr>
  </w:style>
  <w:style w:type="paragraph" w:styleId="NormalWeb">
    <w:name w:val="Normal (Web)"/>
    <w:basedOn w:val="Normal"/>
    <w:uiPriority w:val="99"/>
    <w:semiHidden/>
    <w:unhideWhenUsed/>
    <w:rsid w:val="004E7958"/>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242D5A"/>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242D5A"/>
    <w:pPr>
      <w:spacing w:after="100"/>
    </w:pPr>
  </w:style>
  <w:style w:type="paragraph" w:styleId="TOC2">
    <w:name w:val="toc 2"/>
    <w:basedOn w:val="Normal"/>
    <w:next w:val="Normal"/>
    <w:autoRedefine/>
    <w:uiPriority w:val="39"/>
    <w:unhideWhenUsed/>
    <w:rsid w:val="00242D5A"/>
    <w:pPr>
      <w:spacing w:after="100"/>
      <w:ind w:left="220"/>
    </w:pPr>
  </w:style>
  <w:style w:type="character" w:styleId="Hyperlink">
    <w:name w:val="Hyperlink"/>
    <w:basedOn w:val="DefaultParagraphFont"/>
    <w:uiPriority w:val="99"/>
    <w:unhideWhenUsed/>
    <w:rsid w:val="00242D5A"/>
    <w:rPr>
      <w:color w:val="0563C1" w:themeColor="hyperlink"/>
      <w:u w:val="single"/>
    </w:rPr>
  </w:style>
  <w:style w:type="table" w:styleId="PlainTable1">
    <w:name w:val="Plain Table 1"/>
    <w:basedOn w:val="TableNormal"/>
    <w:uiPriority w:val="41"/>
    <w:rsid w:val="00242D5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BE1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B50"/>
    <w:rPr>
      <w:rFonts w:ascii="Arial" w:hAnsi="Arial"/>
    </w:rPr>
  </w:style>
  <w:style w:type="paragraph" w:styleId="Footer">
    <w:name w:val="footer"/>
    <w:basedOn w:val="Normal"/>
    <w:link w:val="FooterChar"/>
    <w:uiPriority w:val="99"/>
    <w:unhideWhenUsed/>
    <w:rsid w:val="00BE1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B50"/>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0870">
      <w:bodyDiv w:val="1"/>
      <w:marLeft w:val="0"/>
      <w:marRight w:val="0"/>
      <w:marTop w:val="0"/>
      <w:marBottom w:val="0"/>
      <w:divBdr>
        <w:top w:val="none" w:sz="0" w:space="0" w:color="auto"/>
        <w:left w:val="none" w:sz="0" w:space="0" w:color="auto"/>
        <w:bottom w:val="none" w:sz="0" w:space="0" w:color="auto"/>
        <w:right w:val="none" w:sz="0" w:space="0" w:color="auto"/>
      </w:divBdr>
      <w:divsChild>
        <w:div w:id="897013960">
          <w:marLeft w:val="0"/>
          <w:marRight w:val="0"/>
          <w:marTop w:val="0"/>
          <w:marBottom w:val="0"/>
          <w:divBdr>
            <w:top w:val="none" w:sz="0" w:space="0" w:color="auto"/>
            <w:left w:val="none" w:sz="0" w:space="0" w:color="auto"/>
            <w:bottom w:val="none" w:sz="0" w:space="0" w:color="auto"/>
            <w:right w:val="none" w:sz="0" w:space="0" w:color="auto"/>
          </w:divBdr>
        </w:div>
      </w:divsChild>
    </w:div>
    <w:div w:id="105583064">
      <w:bodyDiv w:val="1"/>
      <w:marLeft w:val="0"/>
      <w:marRight w:val="0"/>
      <w:marTop w:val="0"/>
      <w:marBottom w:val="0"/>
      <w:divBdr>
        <w:top w:val="none" w:sz="0" w:space="0" w:color="auto"/>
        <w:left w:val="none" w:sz="0" w:space="0" w:color="auto"/>
        <w:bottom w:val="none" w:sz="0" w:space="0" w:color="auto"/>
        <w:right w:val="none" w:sz="0" w:space="0" w:color="auto"/>
      </w:divBdr>
    </w:div>
    <w:div w:id="269708737">
      <w:bodyDiv w:val="1"/>
      <w:marLeft w:val="0"/>
      <w:marRight w:val="0"/>
      <w:marTop w:val="0"/>
      <w:marBottom w:val="0"/>
      <w:divBdr>
        <w:top w:val="none" w:sz="0" w:space="0" w:color="auto"/>
        <w:left w:val="none" w:sz="0" w:space="0" w:color="auto"/>
        <w:bottom w:val="none" w:sz="0" w:space="0" w:color="auto"/>
        <w:right w:val="none" w:sz="0" w:space="0" w:color="auto"/>
      </w:divBdr>
    </w:div>
    <w:div w:id="643698221">
      <w:bodyDiv w:val="1"/>
      <w:marLeft w:val="0"/>
      <w:marRight w:val="0"/>
      <w:marTop w:val="0"/>
      <w:marBottom w:val="0"/>
      <w:divBdr>
        <w:top w:val="none" w:sz="0" w:space="0" w:color="auto"/>
        <w:left w:val="none" w:sz="0" w:space="0" w:color="auto"/>
        <w:bottom w:val="none" w:sz="0" w:space="0" w:color="auto"/>
        <w:right w:val="none" w:sz="0" w:space="0" w:color="auto"/>
      </w:divBdr>
      <w:divsChild>
        <w:div w:id="1118524733">
          <w:marLeft w:val="0"/>
          <w:marRight w:val="0"/>
          <w:marTop w:val="0"/>
          <w:marBottom w:val="0"/>
          <w:divBdr>
            <w:top w:val="none" w:sz="0" w:space="0" w:color="auto"/>
            <w:left w:val="none" w:sz="0" w:space="0" w:color="auto"/>
            <w:bottom w:val="none" w:sz="0" w:space="0" w:color="auto"/>
            <w:right w:val="none" w:sz="0" w:space="0" w:color="auto"/>
          </w:divBdr>
        </w:div>
      </w:divsChild>
    </w:div>
    <w:div w:id="1336955881">
      <w:bodyDiv w:val="1"/>
      <w:marLeft w:val="0"/>
      <w:marRight w:val="0"/>
      <w:marTop w:val="0"/>
      <w:marBottom w:val="0"/>
      <w:divBdr>
        <w:top w:val="none" w:sz="0" w:space="0" w:color="auto"/>
        <w:left w:val="none" w:sz="0" w:space="0" w:color="auto"/>
        <w:bottom w:val="none" w:sz="0" w:space="0" w:color="auto"/>
        <w:right w:val="none" w:sz="0" w:space="0" w:color="auto"/>
      </w:divBdr>
    </w:div>
    <w:div w:id="1542084571">
      <w:bodyDiv w:val="1"/>
      <w:marLeft w:val="0"/>
      <w:marRight w:val="0"/>
      <w:marTop w:val="0"/>
      <w:marBottom w:val="0"/>
      <w:divBdr>
        <w:top w:val="none" w:sz="0" w:space="0" w:color="auto"/>
        <w:left w:val="none" w:sz="0" w:space="0" w:color="auto"/>
        <w:bottom w:val="none" w:sz="0" w:space="0" w:color="auto"/>
        <w:right w:val="none" w:sz="0" w:space="0" w:color="auto"/>
      </w:divBdr>
    </w:div>
    <w:div w:id="1666782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D89768-4C3A-4F87-8F8E-D0A26F4A95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4532</Words>
  <Characters>25839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2026-04-05T05:17:00Z</dcterms:created>
  <dcterms:modified xsi:type="dcterms:W3CDTF">2026-04-18T10:49:00Z</dcterms:modified>
</cp:coreProperties>
</file>