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8FD72" w14:textId="77777777" w:rsidR="00A67FB3" w:rsidRDefault="00A67FB3" w:rsidP="00E10F4B">
      <w:pPr>
        <w:rPr>
          <w:rFonts w:asciiTheme="minorBidi" w:hAnsiTheme="minorBidi"/>
          <w:sz w:val="22"/>
          <w:szCs w:val="22"/>
        </w:rPr>
      </w:pPr>
    </w:p>
    <w:p w14:paraId="77AFEE21" w14:textId="77777777" w:rsidR="00A67FB3" w:rsidRPr="000D5B9D" w:rsidRDefault="00A67FB3" w:rsidP="00A67FB3">
      <w:pPr>
        <w:spacing w:after="200" w:line="276" w:lineRule="auto"/>
        <w:rPr>
          <w:rFonts w:ascii="Arial" w:eastAsia="MS Mincho" w:hAnsi="Arial" w:cs="Arial"/>
          <w:kern w:val="0"/>
          <w:sz w:val="22"/>
          <w:szCs w:val="22"/>
          <w:lang w:val="en-US" w:eastAsia="en-US"/>
          <w14:ligatures w14:val="none"/>
        </w:rPr>
      </w:pPr>
    </w:p>
    <w:p w14:paraId="334F6186" w14:textId="77777777" w:rsidR="00A67FB3" w:rsidRPr="000D5B9D" w:rsidRDefault="00A67FB3" w:rsidP="00A67FB3">
      <w:pPr>
        <w:spacing w:after="200" w:line="276" w:lineRule="auto"/>
        <w:rPr>
          <w:rFonts w:ascii="Arial" w:eastAsia="MS Mincho" w:hAnsi="Arial" w:cs="Arial"/>
          <w:kern w:val="0"/>
          <w:sz w:val="22"/>
          <w:szCs w:val="22"/>
          <w:lang w:val="en-US" w:eastAsia="en-US"/>
          <w14:ligatures w14:val="none"/>
        </w:rPr>
      </w:pPr>
      <w:r w:rsidRPr="000D5B9D">
        <w:rPr>
          <w:rFonts w:ascii="Cambria" w:eastAsia="MS Mincho" w:hAnsi="Cambria" w:cs="Arial"/>
          <w:noProof/>
          <w:kern w:val="0"/>
          <w:sz w:val="22"/>
          <w:szCs w:val="22"/>
          <w:lang w:val="en-US" w:eastAsia="en-US"/>
          <w14:ligatures w14:val="none"/>
        </w:rPr>
        <w:drawing>
          <wp:inline distT="0" distB="0" distL="0" distR="0" wp14:anchorId="3008198D" wp14:editId="41C8F95C">
            <wp:extent cx="2619375" cy="1165860"/>
            <wp:effectExtent l="0" t="0" r="9525"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19375" cy="1165860"/>
                    </a:xfrm>
                    <a:prstGeom prst="rect">
                      <a:avLst/>
                    </a:prstGeom>
                    <a:noFill/>
                  </pic:spPr>
                </pic:pic>
              </a:graphicData>
            </a:graphic>
          </wp:inline>
        </w:drawing>
      </w:r>
    </w:p>
    <w:p w14:paraId="075D1D23" w14:textId="77777777" w:rsidR="00A67FB3" w:rsidRPr="000D5B9D" w:rsidRDefault="00A67FB3" w:rsidP="00A67FB3">
      <w:pPr>
        <w:spacing w:after="200" w:line="276" w:lineRule="auto"/>
        <w:rPr>
          <w:rFonts w:ascii="Arial" w:eastAsia="MS Mincho" w:hAnsi="Arial" w:cs="Arial"/>
          <w:kern w:val="0"/>
          <w:sz w:val="22"/>
          <w:szCs w:val="22"/>
          <w:lang w:val="en-US" w:eastAsia="en-US"/>
          <w14:ligatures w14:val="none"/>
        </w:rPr>
      </w:pPr>
    </w:p>
    <w:p w14:paraId="1A3377D2" w14:textId="77777777" w:rsidR="00A67FB3" w:rsidRPr="000D5B9D" w:rsidRDefault="00A67FB3" w:rsidP="00A67FB3">
      <w:pPr>
        <w:spacing w:after="200" w:line="276" w:lineRule="auto"/>
        <w:rPr>
          <w:rFonts w:ascii="Arial" w:eastAsia="MS Mincho" w:hAnsi="Arial" w:cs="Arial"/>
          <w:kern w:val="0"/>
          <w:sz w:val="22"/>
          <w:szCs w:val="22"/>
          <w:lang w:val="en-US" w:eastAsia="en-US"/>
          <w14:ligatures w14:val="none"/>
        </w:rPr>
      </w:pPr>
    </w:p>
    <w:p w14:paraId="43887E4B" w14:textId="77777777" w:rsidR="00A67FB3" w:rsidRPr="000D5B9D" w:rsidRDefault="00A67FB3" w:rsidP="00A67FB3">
      <w:pPr>
        <w:spacing w:after="200" w:line="256" w:lineRule="auto"/>
        <w:rPr>
          <w:rFonts w:ascii="Arial" w:eastAsia="DengXian" w:hAnsi="Arial" w:cs="Arial"/>
          <w:kern w:val="0"/>
          <w:sz w:val="28"/>
          <w:szCs w:val="28"/>
          <w:lang w:val="en-US" w:eastAsia="zh-CN"/>
          <w14:ligatures w14:val="none"/>
        </w:rPr>
      </w:pPr>
      <w:r w:rsidRPr="000D5B9D">
        <w:rPr>
          <w:rFonts w:ascii="Arial" w:eastAsia="DengXian" w:hAnsi="Arial" w:cs="Arial"/>
          <w:kern w:val="0"/>
          <w:sz w:val="28"/>
          <w:szCs w:val="28"/>
          <w:lang w:val="en-US" w:eastAsia="zh-CN"/>
          <w14:ligatures w14:val="none"/>
        </w:rPr>
        <w:t xml:space="preserve">Name: MOHAMED MOULDI LARBI </w:t>
      </w:r>
    </w:p>
    <w:p w14:paraId="6661D644" w14:textId="77777777" w:rsidR="00A67FB3" w:rsidRPr="000D5B9D" w:rsidRDefault="00A67FB3" w:rsidP="00A67FB3">
      <w:pPr>
        <w:spacing w:after="200" w:line="256" w:lineRule="auto"/>
        <w:rPr>
          <w:rFonts w:ascii="Arial" w:eastAsia="DengXian" w:hAnsi="Arial" w:cs="Arial"/>
          <w:kern w:val="0"/>
          <w:sz w:val="28"/>
          <w:szCs w:val="28"/>
          <w:lang w:val="en-US" w:eastAsia="zh-CN"/>
          <w14:ligatures w14:val="none"/>
        </w:rPr>
      </w:pPr>
      <w:r w:rsidRPr="000D5B9D">
        <w:rPr>
          <w:rFonts w:ascii="Arial" w:eastAsia="DengXian" w:hAnsi="Arial" w:cs="Arial"/>
          <w:kern w:val="0"/>
          <w:sz w:val="28"/>
          <w:szCs w:val="28"/>
          <w:lang w:val="en-US" w:eastAsia="zh-CN"/>
          <w14:ligatures w14:val="none"/>
        </w:rPr>
        <w:t xml:space="preserve">Student ID: 2515164 </w:t>
      </w:r>
    </w:p>
    <w:p w14:paraId="5265D26F" w14:textId="4558436E" w:rsidR="00A67FB3" w:rsidRPr="000D5B9D" w:rsidRDefault="00A67FB3" w:rsidP="00A67FB3">
      <w:pPr>
        <w:spacing w:after="200" w:line="256" w:lineRule="auto"/>
        <w:rPr>
          <w:rFonts w:ascii="Arial" w:eastAsia="DengXian" w:hAnsi="Arial" w:cs="Arial"/>
          <w:kern w:val="0"/>
          <w:sz w:val="28"/>
          <w:szCs w:val="28"/>
          <w:lang w:val="en-US" w:eastAsia="zh-CN"/>
          <w14:ligatures w14:val="none"/>
        </w:rPr>
      </w:pPr>
      <w:r w:rsidRPr="000D5B9D">
        <w:rPr>
          <w:rFonts w:ascii="Arial" w:eastAsia="DengXian" w:hAnsi="Arial" w:cs="Arial"/>
          <w:kern w:val="0"/>
          <w:sz w:val="28"/>
          <w:szCs w:val="28"/>
          <w:lang w:val="en-US" w:eastAsia="zh-CN"/>
          <w14:ligatures w14:val="none"/>
        </w:rPr>
        <w:t>Module Code: LCHS400</w:t>
      </w:r>
      <w:r>
        <w:rPr>
          <w:rFonts w:ascii="Arial" w:eastAsia="DengXian" w:hAnsi="Arial" w:cs="Arial"/>
          <w:kern w:val="0"/>
          <w:sz w:val="28"/>
          <w:szCs w:val="28"/>
          <w:lang w:val="en-US" w:eastAsia="zh-CN"/>
          <w14:ligatures w14:val="none"/>
        </w:rPr>
        <w:t>8</w:t>
      </w:r>
    </w:p>
    <w:p w14:paraId="2746BD19" w14:textId="4B265878" w:rsidR="00A67FB3" w:rsidRPr="000D5B9D" w:rsidRDefault="00A67FB3" w:rsidP="00A67FB3">
      <w:pPr>
        <w:spacing w:after="200" w:line="256" w:lineRule="auto"/>
        <w:rPr>
          <w:rFonts w:ascii="Arial" w:eastAsia="DengXian" w:hAnsi="Arial" w:cs="Arial"/>
          <w:kern w:val="0"/>
          <w:sz w:val="28"/>
          <w:szCs w:val="28"/>
          <w:lang w:val="en-US" w:eastAsia="zh-CN"/>
          <w14:ligatures w14:val="none"/>
        </w:rPr>
      </w:pPr>
      <w:r w:rsidRPr="000D5B9D">
        <w:rPr>
          <w:rFonts w:ascii="Arial" w:eastAsia="DengXian" w:hAnsi="Arial" w:cs="Arial"/>
          <w:kern w:val="0"/>
          <w:sz w:val="28"/>
          <w:szCs w:val="28"/>
          <w:lang w:val="en-US" w:eastAsia="zh-CN"/>
          <w14:ligatures w14:val="none"/>
        </w:rPr>
        <w:t xml:space="preserve">Module: </w:t>
      </w:r>
      <w:r w:rsidRPr="00A67FB3">
        <w:rPr>
          <w:rFonts w:ascii="Arial" w:eastAsia="DengXian" w:hAnsi="Arial" w:cs="Arial"/>
          <w:kern w:val="0"/>
          <w:sz w:val="28"/>
          <w:szCs w:val="28"/>
          <w:lang w:eastAsia="zh-CN"/>
          <w14:ligatures w14:val="none"/>
        </w:rPr>
        <w:t>Introduction to Public Health</w:t>
      </w:r>
    </w:p>
    <w:p w14:paraId="5FD13A94" w14:textId="53DF8FDA" w:rsidR="00A67FB3" w:rsidRPr="000D5B9D" w:rsidRDefault="00A67FB3" w:rsidP="00A67FB3">
      <w:pPr>
        <w:spacing w:after="200" w:line="256" w:lineRule="auto"/>
        <w:jc w:val="both"/>
        <w:rPr>
          <w:rFonts w:ascii="Arial" w:eastAsia="DengXian" w:hAnsi="Arial" w:cs="Arial"/>
          <w:kern w:val="0"/>
          <w:sz w:val="28"/>
          <w:szCs w:val="28"/>
          <w:lang w:val="en-US" w:eastAsia="zh-CN"/>
          <w14:ligatures w14:val="none"/>
        </w:rPr>
      </w:pPr>
      <w:r w:rsidRPr="000D5B9D">
        <w:rPr>
          <w:rFonts w:ascii="Arial" w:eastAsia="DengXian" w:hAnsi="Arial" w:cs="Arial"/>
          <w:kern w:val="0"/>
          <w:sz w:val="28"/>
          <w:szCs w:val="28"/>
          <w:lang w:val="en-US" w:eastAsia="zh-CN"/>
          <w14:ligatures w14:val="none"/>
        </w:rPr>
        <w:t xml:space="preserve">Lecturer: </w:t>
      </w:r>
      <w:r>
        <w:rPr>
          <w:rFonts w:ascii="Arial" w:eastAsia="DengXian" w:hAnsi="Arial" w:cs="Arial"/>
          <w:kern w:val="0"/>
          <w:sz w:val="28"/>
          <w:szCs w:val="28"/>
          <w:lang w:val="en-US" w:eastAsia="zh-CN"/>
          <w14:ligatures w14:val="none"/>
        </w:rPr>
        <w:t>Odette Jack</w:t>
      </w:r>
    </w:p>
    <w:p w14:paraId="78C11914" w14:textId="77777777" w:rsidR="00A67FB3" w:rsidRPr="000D5B9D" w:rsidRDefault="00A67FB3" w:rsidP="00A67FB3">
      <w:pPr>
        <w:spacing w:after="200" w:line="256" w:lineRule="auto"/>
        <w:jc w:val="both"/>
        <w:rPr>
          <w:rFonts w:ascii="Arial" w:eastAsia="DengXian" w:hAnsi="Arial" w:cs="Arial"/>
          <w:kern w:val="0"/>
          <w:sz w:val="28"/>
          <w:szCs w:val="28"/>
          <w:lang w:val="en-US" w:eastAsia="zh-CN"/>
          <w14:ligatures w14:val="none"/>
        </w:rPr>
      </w:pPr>
    </w:p>
    <w:p w14:paraId="22EC01E3" w14:textId="77777777" w:rsidR="00A67FB3" w:rsidRPr="000D5B9D" w:rsidRDefault="00A67FB3" w:rsidP="00A67FB3">
      <w:pPr>
        <w:spacing w:after="200" w:line="256" w:lineRule="auto"/>
        <w:jc w:val="both"/>
        <w:rPr>
          <w:rFonts w:ascii="Arial" w:eastAsia="DengXian" w:hAnsi="Arial" w:cs="Arial"/>
          <w:kern w:val="0"/>
          <w:sz w:val="28"/>
          <w:szCs w:val="28"/>
          <w:lang w:val="en-US" w:eastAsia="zh-CN"/>
          <w14:ligatures w14:val="none"/>
        </w:rPr>
      </w:pPr>
    </w:p>
    <w:p w14:paraId="5311316A" w14:textId="77777777" w:rsidR="00A67FB3" w:rsidRPr="000D5B9D" w:rsidRDefault="00A67FB3" w:rsidP="00A67FB3">
      <w:pPr>
        <w:spacing w:after="200" w:line="256" w:lineRule="auto"/>
        <w:jc w:val="both"/>
        <w:rPr>
          <w:rFonts w:ascii="Arial" w:eastAsia="DengXian" w:hAnsi="Arial" w:cs="Arial"/>
          <w:kern w:val="0"/>
          <w:sz w:val="28"/>
          <w:szCs w:val="28"/>
          <w:lang w:val="en-US" w:eastAsia="zh-CN"/>
          <w14:ligatures w14:val="none"/>
        </w:rPr>
      </w:pPr>
      <w:r w:rsidRPr="000D5B9D">
        <w:rPr>
          <w:rFonts w:ascii="Arial" w:eastAsia="DengXian" w:hAnsi="Arial" w:cs="Arial"/>
          <w:kern w:val="0"/>
          <w:sz w:val="28"/>
          <w:szCs w:val="28"/>
          <w:lang w:val="en-US" w:eastAsia="zh-CN"/>
          <w14:ligatures w14:val="none"/>
        </w:rPr>
        <w:t xml:space="preserve">Submitted on: </w:t>
      </w:r>
      <w:r>
        <w:rPr>
          <w:rFonts w:ascii="Arial" w:eastAsia="DengXian" w:hAnsi="Arial" w:cs="Arial"/>
          <w:kern w:val="0"/>
          <w:sz w:val="28"/>
          <w:szCs w:val="28"/>
          <w:lang w:val="en-US" w:eastAsia="zh-CN"/>
          <w14:ligatures w14:val="none"/>
        </w:rPr>
        <w:t>19</w:t>
      </w:r>
      <w:r w:rsidRPr="000D5B9D">
        <w:rPr>
          <w:rFonts w:ascii="Arial" w:eastAsia="DengXian" w:hAnsi="Arial" w:cs="Arial"/>
          <w:kern w:val="0"/>
          <w:sz w:val="28"/>
          <w:szCs w:val="28"/>
          <w:lang w:val="en-US" w:eastAsia="zh-CN"/>
          <w14:ligatures w14:val="none"/>
        </w:rPr>
        <w:t>/0</w:t>
      </w:r>
      <w:r>
        <w:rPr>
          <w:rFonts w:ascii="Arial" w:eastAsia="DengXian" w:hAnsi="Arial" w:cs="Arial"/>
          <w:kern w:val="0"/>
          <w:sz w:val="28"/>
          <w:szCs w:val="28"/>
          <w:lang w:val="en-US" w:eastAsia="zh-CN"/>
          <w14:ligatures w14:val="none"/>
        </w:rPr>
        <w:t>4</w:t>
      </w:r>
      <w:r w:rsidRPr="000D5B9D">
        <w:rPr>
          <w:rFonts w:ascii="Arial" w:eastAsia="DengXian" w:hAnsi="Arial" w:cs="Arial"/>
          <w:kern w:val="0"/>
          <w:sz w:val="28"/>
          <w:szCs w:val="28"/>
          <w:lang w:val="en-US" w:eastAsia="zh-CN"/>
          <w14:ligatures w14:val="none"/>
        </w:rPr>
        <w:t>/2026</w:t>
      </w:r>
    </w:p>
    <w:p w14:paraId="55A18214" w14:textId="77777777" w:rsidR="00A67FB3" w:rsidRDefault="00A67FB3" w:rsidP="00A67FB3">
      <w:pPr>
        <w:pStyle w:val="Heading1"/>
        <w:rPr>
          <w:lang w:val="en-US"/>
        </w:rPr>
      </w:pPr>
    </w:p>
    <w:p w14:paraId="6C91F2F4" w14:textId="77777777" w:rsidR="00A67FB3" w:rsidRDefault="00A67FB3" w:rsidP="00A67FB3">
      <w:pPr>
        <w:rPr>
          <w:lang w:val="en-US"/>
        </w:rPr>
      </w:pPr>
    </w:p>
    <w:p w14:paraId="60432B15" w14:textId="77777777" w:rsidR="00A67FB3" w:rsidRDefault="00A67FB3" w:rsidP="00A67FB3">
      <w:pPr>
        <w:rPr>
          <w:lang w:val="en-US"/>
        </w:rPr>
      </w:pPr>
    </w:p>
    <w:p w14:paraId="10EDCBA3" w14:textId="77777777" w:rsidR="00A67FB3" w:rsidRDefault="00A67FB3" w:rsidP="00A67FB3">
      <w:pPr>
        <w:rPr>
          <w:lang w:val="en-US"/>
        </w:rPr>
      </w:pPr>
    </w:p>
    <w:p w14:paraId="4CB48FE8" w14:textId="77777777" w:rsidR="00A67FB3" w:rsidRDefault="00A67FB3" w:rsidP="00A67FB3">
      <w:pPr>
        <w:rPr>
          <w:lang w:val="en-US"/>
        </w:rPr>
      </w:pPr>
    </w:p>
    <w:p w14:paraId="46683594" w14:textId="77777777" w:rsidR="00A67FB3" w:rsidRDefault="00A67FB3" w:rsidP="00A67FB3">
      <w:pPr>
        <w:rPr>
          <w:lang w:val="en-US"/>
        </w:rPr>
      </w:pPr>
    </w:p>
    <w:p w14:paraId="6C390FB6" w14:textId="77777777" w:rsidR="00A67FB3" w:rsidRDefault="00A67FB3" w:rsidP="00A67FB3">
      <w:pPr>
        <w:rPr>
          <w:lang w:val="en-US"/>
        </w:rPr>
      </w:pPr>
    </w:p>
    <w:p w14:paraId="39CB1578" w14:textId="77777777" w:rsidR="00A67FB3" w:rsidRDefault="00A67FB3" w:rsidP="00A67FB3">
      <w:pPr>
        <w:rPr>
          <w:lang w:val="en-US"/>
        </w:rPr>
      </w:pPr>
    </w:p>
    <w:p w14:paraId="02B27433" w14:textId="77777777" w:rsidR="00A67FB3" w:rsidRDefault="00A67FB3" w:rsidP="00A67FB3">
      <w:pPr>
        <w:rPr>
          <w:lang w:val="en-US"/>
        </w:rPr>
      </w:pPr>
    </w:p>
    <w:p w14:paraId="5F30F052" w14:textId="77777777" w:rsidR="00A67FB3" w:rsidRDefault="00A67FB3" w:rsidP="00A67FB3">
      <w:pPr>
        <w:rPr>
          <w:lang w:val="en-US"/>
        </w:rPr>
      </w:pPr>
    </w:p>
    <w:p w14:paraId="4DB00B4E" w14:textId="77777777" w:rsidR="00A67FB3" w:rsidRPr="00A67FB3" w:rsidRDefault="00A67FB3" w:rsidP="00A67FB3">
      <w:pPr>
        <w:rPr>
          <w:lang w:val="en-US"/>
        </w:rPr>
      </w:pPr>
    </w:p>
    <w:p w14:paraId="5C724EFA" w14:textId="36B848AE" w:rsidR="00E10F4B" w:rsidRPr="00A67FB3" w:rsidRDefault="00E10F4B" w:rsidP="00E10F4B">
      <w:pPr>
        <w:rPr>
          <w:rFonts w:asciiTheme="minorBidi" w:hAnsiTheme="minorBidi"/>
          <w:sz w:val="22"/>
          <w:szCs w:val="22"/>
        </w:rPr>
      </w:pPr>
      <w:r w:rsidRPr="00A67FB3">
        <w:rPr>
          <w:rFonts w:asciiTheme="minorBidi" w:hAnsiTheme="minorBidi"/>
          <w:sz w:val="22"/>
          <w:szCs w:val="22"/>
        </w:rPr>
        <w:lastRenderedPageBreak/>
        <w:t>Tuberculosis (TB) Report</w:t>
      </w:r>
    </w:p>
    <w:p w14:paraId="284CB560" w14:textId="77777777" w:rsidR="00E10F4B" w:rsidRPr="00A67FB3" w:rsidRDefault="00E10F4B" w:rsidP="00E10F4B">
      <w:pPr>
        <w:rPr>
          <w:rFonts w:asciiTheme="minorBidi" w:hAnsiTheme="minorBidi"/>
          <w:sz w:val="22"/>
          <w:szCs w:val="22"/>
        </w:rPr>
      </w:pPr>
    </w:p>
    <w:p w14:paraId="21D6EDAE" w14:textId="57263D0B" w:rsidR="00E10F4B" w:rsidRPr="00A67FB3" w:rsidRDefault="00E10F4B" w:rsidP="00E10F4B">
      <w:pPr>
        <w:rPr>
          <w:rFonts w:asciiTheme="minorBidi" w:hAnsiTheme="minorBidi"/>
          <w:sz w:val="22"/>
          <w:szCs w:val="22"/>
        </w:rPr>
      </w:pPr>
      <w:r w:rsidRPr="00A67FB3">
        <w:rPr>
          <w:rFonts w:asciiTheme="minorBidi" w:hAnsiTheme="minorBidi"/>
          <w:sz w:val="22"/>
          <w:szCs w:val="22"/>
        </w:rPr>
        <w:t>1. Introductio</w:t>
      </w:r>
      <w:r w:rsidR="00695603" w:rsidRPr="00A67FB3">
        <w:rPr>
          <w:rFonts w:asciiTheme="minorBidi" w:hAnsiTheme="minorBidi"/>
          <w:sz w:val="22"/>
          <w:szCs w:val="22"/>
        </w:rPr>
        <w:t>n:</w:t>
      </w:r>
    </w:p>
    <w:p w14:paraId="4D6902D4" w14:textId="77777777" w:rsidR="00E10F4B" w:rsidRPr="00A67FB3" w:rsidRDefault="00E10F4B" w:rsidP="00E10F4B">
      <w:pPr>
        <w:rPr>
          <w:rFonts w:asciiTheme="minorBidi" w:hAnsiTheme="minorBidi"/>
          <w:sz w:val="22"/>
          <w:szCs w:val="22"/>
        </w:rPr>
      </w:pPr>
    </w:p>
    <w:p w14:paraId="509E57F4" w14:textId="6C2E133E" w:rsidR="00E10F4B" w:rsidRPr="00A67FB3" w:rsidRDefault="00E10F4B" w:rsidP="00A67FB3">
      <w:pPr>
        <w:spacing w:after="120"/>
        <w:rPr>
          <w:rFonts w:asciiTheme="minorBidi" w:hAnsiTheme="minorBidi"/>
          <w:sz w:val="22"/>
          <w:szCs w:val="22"/>
        </w:rPr>
      </w:pPr>
      <w:r w:rsidRPr="00A67FB3">
        <w:rPr>
          <w:rFonts w:asciiTheme="minorBidi" w:hAnsiTheme="minorBidi"/>
          <w:sz w:val="22"/>
          <w:szCs w:val="22"/>
        </w:rPr>
        <w:t xml:space="preserve">It is often mistakenly believed that Tuberculosis (TB) is a disease of the past, something confined to Victorian novels or history books about the industrial revolution. However, the reality in the UK today is startlingly different. TB remains a persistent and aggressive infectious challenge caused by the bacterium Mycobacterium tuberculosis. While its primary target is the lungs—known as pulmonary TB—it is also a "traveler" within the human body, capable of spreading to the brain, kidneys, and bones through the lymphatic system (NHS, 2023). What makes it such a difficult public health puzzle is its mode of transmission; it moves through the air in tiny droplets when an infected person coughs or even just talks. Globally, the burden is massive, with the World Health </w:t>
      </w:r>
      <w:r w:rsidR="00FE7CC3" w:rsidRPr="00A67FB3">
        <w:rPr>
          <w:rFonts w:asciiTheme="minorBidi" w:hAnsiTheme="minorBidi"/>
          <w:sz w:val="22"/>
          <w:szCs w:val="22"/>
        </w:rPr>
        <w:t>Organisation</w:t>
      </w:r>
      <w:r w:rsidRPr="00A67FB3">
        <w:rPr>
          <w:rFonts w:asciiTheme="minorBidi" w:hAnsiTheme="minorBidi"/>
          <w:sz w:val="22"/>
          <w:szCs w:val="22"/>
        </w:rPr>
        <w:t xml:space="preserve"> (2023) reporting over 10 million new cases annually. Within the UK, the focus has shifted toward protecting vulnerable populations in crowded urban </w:t>
      </w:r>
      <w:r w:rsidR="00FE7CC3" w:rsidRPr="00A67FB3">
        <w:rPr>
          <w:rFonts w:asciiTheme="minorBidi" w:hAnsiTheme="minorBidi"/>
          <w:sz w:val="22"/>
          <w:szCs w:val="22"/>
        </w:rPr>
        <w:t>centres</w:t>
      </w:r>
      <w:r w:rsidRPr="00A67FB3">
        <w:rPr>
          <w:rFonts w:asciiTheme="minorBidi" w:hAnsiTheme="minorBidi"/>
          <w:sz w:val="22"/>
          <w:szCs w:val="22"/>
        </w:rPr>
        <w:t xml:space="preserve"> like London, where social inequality and poor housing act as catalysts for the spread of the disease (UK Health Security Agency, 2023). This report will explore the clinical tracking of TB, the difficulties of long-term treatment, and the absolute necessity of social support in beating this disease.</w:t>
      </w:r>
    </w:p>
    <w:p w14:paraId="65A11CC8" w14:textId="77777777" w:rsidR="00E10F4B" w:rsidRPr="00A67FB3" w:rsidRDefault="00E10F4B" w:rsidP="00E10F4B">
      <w:pPr>
        <w:rPr>
          <w:rFonts w:asciiTheme="minorBidi" w:hAnsiTheme="minorBidi"/>
          <w:sz w:val="22"/>
          <w:szCs w:val="22"/>
        </w:rPr>
      </w:pPr>
    </w:p>
    <w:p w14:paraId="70DA0922" w14:textId="729CD95B" w:rsidR="00E10F4B" w:rsidRPr="00A67FB3" w:rsidRDefault="00E10F4B" w:rsidP="00E10F4B">
      <w:pPr>
        <w:rPr>
          <w:rFonts w:asciiTheme="minorBidi" w:hAnsiTheme="minorBidi"/>
          <w:sz w:val="22"/>
          <w:szCs w:val="22"/>
        </w:rPr>
      </w:pPr>
      <w:r w:rsidRPr="00A67FB3">
        <w:rPr>
          <w:rFonts w:asciiTheme="minorBidi" w:hAnsiTheme="minorBidi"/>
          <w:sz w:val="22"/>
          <w:szCs w:val="22"/>
        </w:rPr>
        <w:t>2. Main Body</w:t>
      </w:r>
      <w:r w:rsidR="00576B23" w:rsidRPr="00A67FB3">
        <w:rPr>
          <w:rFonts w:asciiTheme="minorBidi" w:hAnsiTheme="minorBidi"/>
          <w:sz w:val="22"/>
          <w:szCs w:val="22"/>
        </w:rPr>
        <w:t>:</w:t>
      </w:r>
    </w:p>
    <w:p w14:paraId="779D4D71" w14:textId="77777777" w:rsidR="00E10F4B" w:rsidRPr="00A67FB3" w:rsidRDefault="00E10F4B" w:rsidP="00E10F4B">
      <w:pPr>
        <w:rPr>
          <w:rFonts w:asciiTheme="minorBidi" w:hAnsiTheme="minorBidi"/>
          <w:sz w:val="22"/>
          <w:szCs w:val="22"/>
        </w:rPr>
      </w:pPr>
    </w:p>
    <w:p w14:paraId="68B0DE10" w14:textId="77777777" w:rsidR="00E10F4B" w:rsidRPr="00A67FB3" w:rsidRDefault="00E10F4B" w:rsidP="00E10F4B">
      <w:pPr>
        <w:rPr>
          <w:rFonts w:asciiTheme="minorBidi" w:hAnsiTheme="minorBidi"/>
          <w:sz w:val="22"/>
          <w:szCs w:val="22"/>
        </w:rPr>
      </w:pPr>
      <w:r w:rsidRPr="00A67FB3">
        <w:rPr>
          <w:rFonts w:asciiTheme="minorBidi" w:hAnsiTheme="minorBidi"/>
          <w:sz w:val="22"/>
          <w:szCs w:val="22"/>
        </w:rPr>
        <w:t>2.1 Measuring and Tracking Tuberculosis</w:t>
      </w:r>
    </w:p>
    <w:p w14:paraId="6443E8F2" w14:textId="77777777" w:rsidR="00E10F4B" w:rsidRPr="00A67FB3" w:rsidRDefault="00E10F4B" w:rsidP="00E10F4B">
      <w:pPr>
        <w:rPr>
          <w:rFonts w:asciiTheme="minorBidi" w:hAnsiTheme="minorBidi"/>
          <w:sz w:val="22"/>
          <w:szCs w:val="22"/>
        </w:rPr>
      </w:pPr>
    </w:p>
    <w:p w14:paraId="1C4C83A7" w14:textId="77777777" w:rsidR="00E10F4B" w:rsidRPr="00A67FB3" w:rsidRDefault="00E10F4B" w:rsidP="00E10F4B">
      <w:pPr>
        <w:rPr>
          <w:rFonts w:asciiTheme="minorBidi" w:hAnsiTheme="minorBidi"/>
          <w:sz w:val="22"/>
          <w:szCs w:val="22"/>
        </w:rPr>
      </w:pPr>
      <w:proofErr w:type="gramStart"/>
      <w:r w:rsidRPr="00A67FB3">
        <w:rPr>
          <w:rFonts w:asciiTheme="minorBidi" w:hAnsiTheme="minorBidi"/>
          <w:sz w:val="22"/>
          <w:szCs w:val="22"/>
        </w:rPr>
        <w:t>Actually</w:t>
      </w:r>
      <w:proofErr w:type="gramEnd"/>
      <w:r w:rsidRPr="00A67FB3">
        <w:rPr>
          <w:rFonts w:asciiTheme="minorBidi" w:hAnsiTheme="minorBidi"/>
          <w:sz w:val="22"/>
          <w:szCs w:val="22"/>
        </w:rPr>
        <w:t xml:space="preserve"> identifying TB in a patient is often a frustratingly slow process that tests the patience of both the clinician and the sufferer. The biggest biological headache is that the bacteria grow incredibly slowly compared to a common flu or a chest infection. The "gold standard" for a definitive diagnosis in the UK remains the laboratory culture. As noted by NICE (2022), you can be waiting anywhere from three to six weeks for those results to come back from the lab. When you have a patient sitting in front of you who is visibly losing weight, drenched in night sweats, and feeling utterly exhausted, waiting a month for a final answer feels like a failure of modern medicine. This is why the shift toward molecular DNA-based tests, such as GeneXpert, has been such a massive relief for the NHS. Being able to detect the bacteria and spot resistance to drugs like rifampicin in just a few hours instead of a few weeks is literally </w:t>
      </w:r>
      <w:proofErr w:type="gramStart"/>
      <w:r w:rsidRPr="00A67FB3">
        <w:rPr>
          <w:rFonts w:asciiTheme="minorBidi" w:hAnsiTheme="minorBidi"/>
          <w:sz w:val="22"/>
          <w:szCs w:val="22"/>
        </w:rPr>
        <w:t>life-saving</w:t>
      </w:r>
      <w:proofErr w:type="gramEnd"/>
      <w:r w:rsidRPr="00A67FB3">
        <w:rPr>
          <w:rFonts w:asciiTheme="minorBidi" w:hAnsiTheme="minorBidi"/>
          <w:sz w:val="22"/>
          <w:szCs w:val="22"/>
        </w:rPr>
        <w:t>. It allows us to start the right treatment immediately, preventing the patient from walking back out into a crowded flat and accidentally spreading a drug-resistant strain.</w:t>
      </w:r>
    </w:p>
    <w:p w14:paraId="3E635B2F" w14:textId="77777777" w:rsidR="00E10F4B" w:rsidRPr="00A67FB3" w:rsidRDefault="00E10F4B" w:rsidP="00E10F4B">
      <w:pPr>
        <w:rPr>
          <w:rFonts w:asciiTheme="minorBidi" w:hAnsiTheme="minorBidi"/>
          <w:sz w:val="22"/>
          <w:szCs w:val="22"/>
        </w:rPr>
      </w:pPr>
    </w:p>
    <w:p w14:paraId="04ADF8CA" w14:textId="77777777" w:rsidR="00E10F4B" w:rsidRPr="00A67FB3" w:rsidRDefault="00E10F4B" w:rsidP="00E10F4B">
      <w:pPr>
        <w:rPr>
          <w:rFonts w:asciiTheme="minorBidi" w:hAnsiTheme="minorBidi"/>
          <w:sz w:val="22"/>
          <w:szCs w:val="22"/>
        </w:rPr>
      </w:pPr>
      <w:r w:rsidRPr="00A67FB3">
        <w:rPr>
          <w:rFonts w:asciiTheme="minorBidi" w:hAnsiTheme="minorBidi"/>
          <w:sz w:val="22"/>
          <w:szCs w:val="22"/>
        </w:rPr>
        <w:t xml:space="preserve">However, tracking the disease also means dealing with the "hidden" side of TB—the latent infections. This is where the diagnostic puzzle gets even more complicated. We use tools like the Mantoux skin test or interferon-gamma release assays (IGRAs) to measure the immune system's response to the bacteria (NHS, 2023). But these aren't always simple "yes or no" answers. For instance, many people who move to the UK from countries where TB is </w:t>
      </w:r>
      <w:r w:rsidRPr="00A67FB3">
        <w:rPr>
          <w:rFonts w:asciiTheme="minorBidi" w:hAnsiTheme="minorBidi"/>
          <w:sz w:val="22"/>
          <w:szCs w:val="22"/>
        </w:rPr>
        <w:lastRenderedPageBreak/>
        <w:t>common have already had the BCG vaccine. This can cause a "false positive" on a skin test, leading to massive amounts of unnecessary anxiety for the patient who thinks they are sick when they aren't. Interpreting these results requires a high level of clinical skill and an understanding of the patient's history. Furthermore, the UK Health Security Agency (2023) points out that our data is only as good as our reach. If someone is homeless, or if they have an irregular immigration status and are terrified that a trip to the GP will lead to deportation, they stay "off the grid." This suggests that no matter how advanced our lab technology becomes, we will never truly track TB effectively until we address the fear and the barriers that keep the most vulnerable people away from the clinic.</w:t>
      </w:r>
    </w:p>
    <w:p w14:paraId="212E0147" w14:textId="77777777" w:rsidR="00E10F4B" w:rsidRPr="00A67FB3" w:rsidRDefault="00E10F4B" w:rsidP="00E10F4B">
      <w:pPr>
        <w:rPr>
          <w:rFonts w:asciiTheme="minorBidi" w:hAnsiTheme="minorBidi"/>
          <w:sz w:val="22"/>
          <w:szCs w:val="22"/>
        </w:rPr>
      </w:pPr>
    </w:p>
    <w:p w14:paraId="7CF3B47D" w14:textId="77777777" w:rsidR="00E10F4B" w:rsidRPr="00A67FB3" w:rsidRDefault="00E10F4B" w:rsidP="00E10F4B">
      <w:pPr>
        <w:rPr>
          <w:rFonts w:asciiTheme="minorBidi" w:hAnsiTheme="minorBidi"/>
          <w:sz w:val="22"/>
          <w:szCs w:val="22"/>
        </w:rPr>
      </w:pPr>
      <w:r w:rsidRPr="00A67FB3">
        <w:rPr>
          <w:rFonts w:asciiTheme="minorBidi" w:hAnsiTheme="minorBidi"/>
          <w:sz w:val="22"/>
          <w:szCs w:val="22"/>
        </w:rPr>
        <w:t>2.2 Control and Prevention of Tuberculosis</w:t>
      </w:r>
    </w:p>
    <w:p w14:paraId="2C602C5A" w14:textId="77777777" w:rsidR="00E10F4B" w:rsidRPr="00A67FB3" w:rsidRDefault="00E10F4B" w:rsidP="00E10F4B">
      <w:pPr>
        <w:rPr>
          <w:rFonts w:asciiTheme="minorBidi" w:hAnsiTheme="minorBidi"/>
          <w:sz w:val="22"/>
          <w:szCs w:val="22"/>
        </w:rPr>
      </w:pPr>
    </w:p>
    <w:p w14:paraId="009245CD" w14:textId="77777777" w:rsidR="00E10F4B" w:rsidRPr="00A67FB3" w:rsidRDefault="00E10F4B" w:rsidP="00E10F4B">
      <w:pPr>
        <w:rPr>
          <w:rFonts w:asciiTheme="minorBidi" w:hAnsiTheme="minorBidi"/>
          <w:sz w:val="22"/>
          <w:szCs w:val="22"/>
        </w:rPr>
      </w:pPr>
      <w:r w:rsidRPr="00A67FB3">
        <w:rPr>
          <w:rFonts w:asciiTheme="minorBidi" w:hAnsiTheme="minorBidi"/>
          <w:sz w:val="22"/>
          <w:szCs w:val="22"/>
        </w:rPr>
        <w:t>Controlling TB in a modern country like the UK isn't about vaccinating every single person anymore; it’s about being surgical with our resources. Many people are surprised to learn that the universal BCG vaccination for teenagers was stopped in 2005. Today, the vaccine is targeted specifically at "at-risk" groups, such as newborns in London boroughs like Newham or Brent, where the incidence of TB is significantly higher (NICE, 2022). This targeted approach makes sense on paper, but in practice, it places a huge burden on local health visitors and midwives to make sure no child is missed. If a family is living in temporary accommodation or moves frequently between boroughs, they can easily slip through the cracks of the system, leaving the child unprotected.</w:t>
      </w:r>
    </w:p>
    <w:p w14:paraId="068C796E" w14:textId="77777777" w:rsidR="00E10F4B" w:rsidRPr="00A67FB3" w:rsidRDefault="00E10F4B" w:rsidP="00E10F4B">
      <w:pPr>
        <w:rPr>
          <w:rFonts w:asciiTheme="minorBidi" w:hAnsiTheme="minorBidi"/>
          <w:sz w:val="22"/>
          <w:szCs w:val="22"/>
        </w:rPr>
      </w:pPr>
    </w:p>
    <w:p w14:paraId="561B2E07" w14:textId="5313849A" w:rsidR="00E10F4B" w:rsidRPr="00A67FB3" w:rsidRDefault="00E10F4B" w:rsidP="00E10F4B">
      <w:pPr>
        <w:rPr>
          <w:rFonts w:asciiTheme="minorBidi" w:hAnsiTheme="minorBidi"/>
          <w:sz w:val="22"/>
          <w:szCs w:val="22"/>
        </w:rPr>
      </w:pPr>
      <w:r w:rsidRPr="00A67FB3">
        <w:rPr>
          <w:rFonts w:asciiTheme="minorBidi" w:hAnsiTheme="minorBidi"/>
          <w:sz w:val="22"/>
          <w:szCs w:val="22"/>
        </w:rPr>
        <w:t xml:space="preserve">The most difficult part of control, however, is the treatment regimen itself. Asking a person to take a cocktail of four different antibiotics—isoniazid, rifampicin, </w:t>
      </w:r>
      <w:proofErr w:type="spellStart"/>
      <w:r w:rsidRPr="00A67FB3">
        <w:rPr>
          <w:rFonts w:asciiTheme="minorBidi" w:hAnsiTheme="minorBidi"/>
          <w:sz w:val="22"/>
          <w:szCs w:val="22"/>
        </w:rPr>
        <w:t>pyra</w:t>
      </w:r>
      <w:r w:rsidR="0076026E" w:rsidRPr="00A67FB3">
        <w:rPr>
          <w:rFonts w:asciiTheme="minorBidi" w:hAnsiTheme="minorBidi"/>
          <w:sz w:val="22"/>
          <w:szCs w:val="22"/>
        </w:rPr>
        <w:t>s</w:t>
      </w:r>
      <w:r w:rsidRPr="00A67FB3">
        <w:rPr>
          <w:rFonts w:asciiTheme="minorBidi" w:hAnsiTheme="minorBidi"/>
          <w:sz w:val="22"/>
          <w:szCs w:val="22"/>
        </w:rPr>
        <w:t>inamide</w:t>
      </w:r>
      <w:proofErr w:type="spellEnd"/>
      <w:r w:rsidRPr="00A67FB3">
        <w:rPr>
          <w:rFonts w:asciiTheme="minorBidi" w:hAnsiTheme="minorBidi"/>
          <w:sz w:val="22"/>
          <w:szCs w:val="22"/>
        </w:rPr>
        <w:t xml:space="preserve">, and ethambutol—every single day for at least six months is a monumental task. These drugs are not easy on the body. As the NHS (2023) warns, the side effects can be brutal: constant nausea, joint pain, blurred vision, and the bizarre experience of your sweat and urine turning bright orange. When a patient starts to feel better after the first few weeks, the temptation to stop taking the pills is huge. This is where Directly Observed Therapy (DOT) becomes essential. While some critics argue that having a healthcare worker watch you swallow your medicine feels a bit "Big Brother" or </w:t>
      </w:r>
      <w:r w:rsidR="002725E1" w:rsidRPr="00A67FB3">
        <w:rPr>
          <w:rFonts w:asciiTheme="minorBidi" w:hAnsiTheme="minorBidi"/>
          <w:sz w:val="22"/>
          <w:szCs w:val="22"/>
        </w:rPr>
        <w:t>patronising</w:t>
      </w:r>
      <w:r w:rsidRPr="00A67FB3">
        <w:rPr>
          <w:rFonts w:asciiTheme="minorBidi" w:hAnsiTheme="minorBidi"/>
          <w:sz w:val="22"/>
          <w:szCs w:val="22"/>
        </w:rPr>
        <w:t>, for a person whose life is chaotic or who is struggling with mental health issues, that daily human connection is often the only thing that ensures they finish the course. It’s a vital public health measure because if a patient stops halfway, they don't just get sick again—they risk developing Multi-</w:t>
      </w:r>
      <w:proofErr w:type="gramStart"/>
      <w:r w:rsidRPr="00A67FB3">
        <w:rPr>
          <w:rFonts w:asciiTheme="minorBidi" w:hAnsiTheme="minorBidi"/>
          <w:sz w:val="22"/>
          <w:szCs w:val="22"/>
        </w:rPr>
        <w:t>Drug Resistant</w:t>
      </w:r>
      <w:proofErr w:type="gramEnd"/>
      <w:r w:rsidRPr="00A67FB3">
        <w:rPr>
          <w:rFonts w:asciiTheme="minorBidi" w:hAnsiTheme="minorBidi"/>
          <w:sz w:val="22"/>
          <w:szCs w:val="22"/>
        </w:rPr>
        <w:t xml:space="preserve"> TB (MDR-TB), which is much harder and more expensive to treat, and can be deadly for the community.</w:t>
      </w:r>
    </w:p>
    <w:p w14:paraId="6BC1A94E" w14:textId="77777777" w:rsidR="00E10F4B" w:rsidRPr="00A67FB3" w:rsidRDefault="00E10F4B" w:rsidP="00E10F4B">
      <w:pPr>
        <w:rPr>
          <w:rFonts w:asciiTheme="minorBidi" w:hAnsiTheme="minorBidi"/>
          <w:sz w:val="22"/>
          <w:szCs w:val="22"/>
        </w:rPr>
      </w:pPr>
    </w:p>
    <w:p w14:paraId="7F890700" w14:textId="77777777" w:rsidR="00E10F4B" w:rsidRPr="00A67FB3" w:rsidRDefault="00E10F4B" w:rsidP="00E10F4B">
      <w:pPr>
        <w:rPr>
          <w:rFonts w:asciiTheme="minorBidi" w:hAnsiTheme="minorBidi"/>
          <w:sz w:val="22"/>
          <w:szCs w:val="22"/>
        </w:rPr>
      </w:pPr>
      <w:r w:rsidRPr="00A67FB3">
        <w:rPr>
          <w:rFonts w:asciiTheme="minorBidi" w:hAnsiTheme="minorBidi"/>
          <w:sz w:val="22"/>
          <w:szCs w:val="22"/>
        </w:rPr>
        <w:t>2.3 The Impact of Tuberculosis</w:t>
      </w:r>
    </w:p>
    <w:p w14:paraId="46DE79F8" w14:textId="77777777" w:rsidR="00E10F4B" w:rsidRPr="00A67FB3" w:rsidRDefault="00E10F4B" w:rsidP="00E10F4B">
      <w:pPr>
        <w:rPr>
          <w:rFonts w:asciiTheme="minorBidi" w:hAnsiTheme="minorBidi"/>
          <w:sz w:val="22"/>
          <w:szCs w:val="22"/>
        </w:rPr>
      </w:pPr>
    </w:p>
    <w:p w14:paraId="5FF9F961" w14:textId="66EBB9DB" w:rsidR="00E10F4B" w:rsidRPr="00A67FB3" w:rsidRDefault="00E10F4B" w:rsidP="00E10F4B">
      <w:pPr>
        <w:rPr>
          <w:rFonts w:asciiTheme="minorBidi" w:hAnsiTheme="minorBidi"/>
          <w:sz w:val="22"/>
          <w:szCs w:val="22"/>
        </w:rPr>
      </w:pPr>
      <w:r w:rsidRPr="00A67FB3">
        <w:rPr>
          <w:rFonts w:asciiTheme="minorBidi" w:hAnsiTheme="minorBidi"/>
          <w:sz w:val="22"/>
          <w:szCs w:val="22"/>
        </w:rPr>
        <w:t xml:space="preserve">The impact of a TB diagnosis ripples through every part of a person's life, often leaving scars that are more than just physical. On a purely biological level, TB can leave a person with permanent lung damage. Even after the "all-clear," many patients find that their lung capacity </w:t>
      </w:r>
      <w:r w:rsidRPr="00A67FB3">
        <w:rPr>
          <w:rFonts w:asciiTheme="minorBidi" w:hAnsiTheme="minorBidi"/>
          <w:sz w:val="22"/>
          <w:szCs w:val="22"/>
        </w:rPr>
        <w:lastRenderedPageBreak/>
        <w:t xml:space="preserve">is never the same again. For someone who works as a </w:t>
      </w:r>
      <w:r w:rsidR="00576B23" w:rsidRPr="00A67FB3">
        <w:rPr>
          <w:rFonts w:asciiTheme="minorBidi" w:hAnsiTheme="minorBidi"/>
          <w:sz w:val="22"/>
          <w:szCs w:val="22"/>
        </w:rPr>
        <w:t>labourer</w:t>
      </w:r>
      <w:r w:rsidRPr="00A67FB3">
        <w:rPr>
          <w:rFonts w:asciiTheme="minorBidi" w:hAnsiTheme="minorBidi"/>
          <w:sz w:val="22"/>
          <w:szCs w:val="22"/>
        </w:rPr>
        <w:t>, a cleaner, or a delivery driver, this isn't just a health issue—it’s an economic disaster. If you can’t catch your breath, you can’t work. And in the UK's current economic climate, missing six months of work without a strong safety net often leads directly to debt and housing instability.</w:t>
      </w:r>
    </w:p>
    <w:p w14:paraId="13E0F9B9" w14:textId="77777777" w:rsidR="00E10F4B" w:rsidRPr="00A67FB3" w:rsidRDefault="00E10F4B" w:rsidP="00E10F4B">
      <w:pPr>
        <w:rPr>
          <w:rFonts w:asciiTheme="minorBidi" w:hAnsiTheme="minorBidi"/>
          <w:sz w:val="22"/>
          <w:szCs w:val="22"/>
        </w:rPr>
      </w:pPr>
    </w:p>
    <w:p w14:paraId="38D8EEDF" w14:textId="24E2FF7F" w:rsidR="00E10F4B" w:rsidRPr="00A67FB3" w:rsidRDefault="00E10F4B" w:rsidP="00E10F4B">
      <w:pPr>
        <w:rPr>
          <w:rFonts w:asciiTheme="minorBidi" w:hAnsiTheme="minorBidi"/>
          <w:sz w:val="22"/>
          <w:szCs w:val="22"/>
        </w:rPr>
      </w:pPr>
      <w:r w:rsidRPr="00A67FB3">
        <w:rPr>
          <w:rFonts w:asciiTheme="minorBidi" w:hAnsiTheme="minorBidi"/>
          <w:sz w:val="22"/>
          <w:szCs w:val="22"/>
        </w:rPr>
        <w:t xml:space="preserve">Beyond the physical, the psychological weight of the disease is massive. There is still a deep-seated stigma attached to TB. Research by Craig et al. (2017) highlights that many people still view it as a "shameful" disease associated with poverty or "unclean" living. I have heard stories of patients being avoided by their own families or being terrified to tell their boss for fear of being sacked. This isolation is soul-crushing and leads to a "double burden" of illness and loneliness. Financially, even though the NHS provides the medicine for free, the indirect costs are high. Think about the bus fares to get to weekly appointments, the cost of high-quality food needed for recovery, and the loss of a steady income. For a family already living on the edge of the poverty line, TB isn't just an infection; it’s the thing that pushes them over the cliff into homelessness. We </w:t>
      </w:r>
      <w:proofErr w:type="gramStart"/>
      <w:r w:rsidRPr="00A67FB3">
        <w:rPr>
          <w:rFonts w:asciiTheme="minorBidi" w:hAnsiTheme="minorBidi"/>
          <w:sz w:val="22"/>
          <w:szCs w:val="22"/>
        </w:rPr>
        <w:t>have to</w:t>
      </w:r>
      <w:proofErr w:type="gramEnd"/>
      <w:r w:rsidRPr="00A67FB3">
        <w:rPr>
          <w:rFonts w:asciiTheme="minorBidi" w:hAnsiTheme="minorBidi"/>
          <w:sz w:val="22"/>
          <w:szCs w:val="22"/>
        </w:rPr>
        <w:t xml:space="preserve"> stop thinking of TB as just a medical condition and start seeing it as a social and financial crisis (World Health </w:t>
      </w:r>
      <w:r w:rsidR="00576B23" w:rsidRPr="00A67FB3">
        <w:rPr>
          <w:rFonts w:asciiTheme="minorBidi" w:hAnsiTheme="minorBidi"/>
          <w:sz w:val="22"/>
          <w:szCs w:val="22"/>
        </w:rPr>
        <w:t>Organisation</w:t>
      </w:r>
      <w:r w:rsidRPr="00A67FB3">
        <w:rPr>
          <w:rFonts w:asciiTheme="minorBidi" w:hAnsiTheme="minorBidi"/>
          <w:sz w:val="22"/>
          <w:szCs w:val="22"/>
        </w:rPr>
        <w:t>, 2023).</w:t>
      </w:r>
    </w:p>
    <w:p w14:paraId="7550B17B" w14:textId="77777777" w:rsidR="00E10F4B" w:rsidRPr="00A67FB3" w:rsidRDefault="00E10F4B" w:rsidP="00E10F4B">
      <w:pPr>
        <w:rPr>
          <w:rFonts w:asciiTheme="minorBidi" w:hAnsiTheme="minorBidi"/>
          <w:sz w:val="22"/>
          <w:szCs w:val="22"/>
        </w:rPr>
      </w:pPr>
    </w:p>
    <w:p w14:paraId="33B5BF09" w14:textId="77777777" w:rsidR="00E10F4B" w:rsidRPr="00A67FB3" w:rsidRDefault="00E10F4B" w:rsidP="00E10F4B">
      <w:pPr>
        <w:rPr>
          <w:rFonts w:asciiTheme="minorBidi" w:hAnsiTheme="minorBidi"/>
          <w:sz w:val="22"/>
          <w:szCs w:val="22"/>
        </w:rPr>
      </w:pPr>
      <w:r w:rsidRPr="00A67FB3">
        <w:rPr>
          <w:rFonts w:asciiTheme="minorBidi" w:hAnsiTheme="minorBidi"/>
          <w:sz w:val="22"/>
          <w:szCs w:val="22"/>
        </w:rPr>
        <w:t>2.4 Health and Social Care Support</w:t>
      </w:r>
    </w:p>
    <w:p w14:paraId="5E6E7FC7" w14:textId="77777777" w:rsidR="00E10F4B" w:rsidRPr="00A67FB3" w:rsidRDefault="00E10F4B" w:rsidP="00E10F4B">
      <w:pPr>
        <w:rPr>
          <w:rFonts w:asciiTheme="minorBidi" w:hAnsiTheme="minorBidi"/>
          <w:sz w:val="22"/>
          <w:szCs w:val="22"/>
        </w:rPr>
      </w:pPr>
    </w:p>
    <w:p w14:paraId="5028E862" w14:textId="77777777" w:rsidR="00E10F4B" w:rsidRPr="00A67FB3" w:rsidRDefault="00E10F4B" w:rsidP="00E10F4B">
      <w:pPr>
        <w:rPr>
          <w:rFonts w:asciiTheme="minorBidi" w:hAnsiTheme="minorBidi"/>
          <w:sz w:val="22"/>
          <w:szCs w:val="22"/>
        </w:rPr>
      </w:pPr>
      <w:r w:rsidRPr="00A67FB3">
        <w:rPr>
          <w:rFonts w:asciiTheme="minorBidi" w:hAnsiTheme="minorBidi"/>
          <w:sz w:val="22"/>
          <w:szCs w:val="22"/>
        </w:rPr>
        <w:t xml:space="preserve">This is why the role of the specialist TB nurse is so critical. To me, they are the most important part of the entire NHS response. While a doctor might spend ten minutes with a patient in a sterile room, the TB nurse is the one who goes into the patient's world. They are part-medic, part-social worker, and part-advocate. They are the ones on the phone to the council arguing for better housing for a patient </w:t>
      </w:r>
      <w:proofErr w:type="gramStart"/>
      <w:r w:rsidRPr="00A67FB3">
        <w:rPr>
          <w:rFonts w:asciiTheme="minorBidi" w:hAnsiTheme="minorBidi"/>
          <w:sz w:val="22"/>
          <w:szCs w:val="22"/>
        </w:rPr>
        <w:t>whose</w:t>
      </w:r>
      <w:proofErr w:type="gramEnd"/>
      <w:r w:rsidRPr="00A67FB3">
        <w:rPr>
          <w:rFonts w:asciiTheme="minorBidi" w:hAnsiTheme="minorBidi"/>
          <w:sz w:val="22"/>
          <w:szCs w:val="22"/>
        </w:rPr>
        <w:t xml:space="preserve"> flat is full of damp and </w:t>
      </w:r>
      <w:proofErr w:type="spellStart"/>
      <w:r w:rsidRPr="00A67FB3">
        <w:rPr>
          <w:rFonts w:asciiTheme="minorBidi" w:hAnsiTheme="minorBidi"/>
          <w:sz w:val="22"/>
          <w:szCs w:val="22"/>
        </w:rPr>
        <w:t>mold</w:t>
      </w:r>
      <w:proofErr w:type="spellEnd"/>
      <w:r w:rsidRPr="00A67FB3">
        <w:rPr>
          <w:rFonts w:asciiTheme="minorBidi" w:hAnsiTheme="minorBidi"/>
          <w:sz w:val="22"/>
          <w:szCs w:val="22"/>
        </w:rPr>
        <w:t>—conditions that make TB recovery almost impossible. They are the ones explaining the illness to a skeptical employer to save a patient's job. Without this kind of holistic support, the best antibiotics in the world won't work because the patient's environment is working against them (NICE, 2022).</w:t>
      </w:r>
    </w:p>
    <w:p w14:paraId="4C67D171" w14:textId="77777777" w:rsidR="00E10F4B" w:rsidRPr="00A67FB3" w:rsidRDefault="00E10F4B" w:rsidP="00E10F4B">
      <w:pPr>
        <w:rPr>
          <w:rFonts w:asciiTheme="minorBidi" w:hAnsiTheme="minorBidi"/>
          <w:sz w:val="22"/>
          <w:szCs w:val="22"/>
        </w:rPr>
      </w:pPr>
    </w:p>
    <w:p w14:paraId="45DAADB9" w14:textId="7D73CA75" w:rsidR="00E10F4B" w:rsidRPr="00A67FB3" w:rsidRDefault="00E10F4B" w:rsidP="00E10F4B">
      <w:pPr>
        <w:rPr>
          <w:rFonts w:asciiTheme="minorBidi" w:hAnsiTheme="minorBidi"/>
          <w:sz w:val="22"/>
          <w:szCs w:val="22"/>
        </w:rPr>
      </w:pPr>
      <w:r w:rsidRPr="00A67FB3">
        <w:rPr>
          <w:rFonts w:asciiTheme="minorBidi" w:hAnsiTheme="minorBidi"/>
          <w:sz w:val="22"/>
          <w:szCs w:val="22"/>
        </w:rPr>
        <w:t xml:space="preserve">We also see brilliant examples of "community-first" care, such as the mobile X-ray units that move through the streets of London to reach the homeless and those in hostels. It’s about meeting people where they are, rather than expecting the most </w:t>
      </w:r>
      <w:r w:rsidR="00576B23" w:rsidRPr="00A67FB3">
        <w:rPr>
          <w:rFonts w:asciiTheme="minorBidi" w:hAnsiTheme="minorBidi"/>
          <w:sz w:val="22"/>
          <w:szCs w:val="22"/>
        </w:rPr>
        <w:t>marginalised</w:t>
      </w:r>
      <w:r w:rsidRPr="00A67FB3">
        <w:rPr>
          <w:rFonts w:asciiTheme="minorBidi" w:hAnsiTheme="minorBidi"/>
          <w:sz w:val="22"/>
          <w:szCs w:val="22"/>
        </w:rPr>
        <w:t xml:space="preserve"> members of society to navigate a complex hospital system. However, we </w:t>
      </w:r>
      <w:proofErr w:type="gramStart"/>
      <w:r w:rsidRPr="00A67FB3">
        <w:rPr>
          <w:rFonts w:asciiTheme="minorBidi" w:hAnsiTheme="minorBidi"/>
          <w:sz w:val="22"/>
          <w:szCs w:val="22"/>
        </w:rPr>
        <w:t>have to</w:t>
      </w:r>
      <w:proofErr w:type="gramEnd"/>
      <w:r w:rsidRPr="00A67FB3">
        <w:rPr>
          <w:rFonts w:asciiTheme="minorBidi" w:hAnsiTheme="minorBidi"/>
          <w:sz w:val="22"/>
          <w:szCs w:val="22"/>
        </w:rPr>
        <w:t xml:space="preserve"> be honest about the fact that these services are constantly under threat from budget cuts. When social care is defunded, the "safety net" for TB patients disappears. You cannot treat a disease that thrives on overcrowding and malnutrition just by handing out a bottle of pills; you </w:t>
      </w:r>
      <w:proofErr w:type="gramStart"/>
      <w:r w:rsidRPr="00A67FB3">
        <w:rPr>
          <w:rFonts w:asciiTheme="minorBidi" w:hAnsiTheme="minorBidi"/>
          <w:sz w:val="22"/>
          <w:szCs w:val="22"/>
        </w:rPr>
        <w:t>have to</w:t>
      </w:r>
      <w:proofErr w:type="gramEnd"/>
      <w:r w:rsidRPr="00A67FB3">
        <w:rPr>
          <w:rFonts w:asciiTheme="minorBidi" w:hAnsiTheme="minorBidi"/>
          <w:sz w:val="22"/>
          <w:szCs w:val="22"/>
        </w:rPr>
        <w:t xml:space="preserve"> treat the human being and the society they live in. If we ignore the social side of care, we are essentially leaving the door open for TB to keep coming back.</w:t>
      </w:r>
    </w:p>
    <w:p w14:paraId="71476B98" w14:textId="77777777" w:rsidR="00E10F4B" w:rsidRPr="00A67FB3" w:rsidRDefault="00E10F4B" w:rsidP="00E10F4B">
      <w:pPr>
        <w:rPr>
          <w:rFonts w:asciiTheme="minorBidi" w:hAnsiTheme="minorBidi"/>
          <w:sz w:val="22"/>
          <w:szCs w:val="22"/>
        </w:rPr>
      </w:pPr>
    </w:p>
    <w:p w14:paraId="5BF79ACE" w14:textId="5B8BBDF3" w:rsidR="00E10F4B" w:rsidRPr="00A67FB3" w:rsidRDefault="00E10F4B" w:rsidP="00E10F4B">
      <w:pPr>
        <w:rPr>
          <w:rFonts w:asciiTheme="minorBidi" w:hAnsiTheme="minorBidi"/>
          <w:sz w:val="22"/>
          <w:szCs w:val="22"/>
        </w:rPr>
      </w:pPr>
      <w:r w:rsidRPr="00A67FB3">
        <w:rPr>
          <w:rFonts w:asciiTheme="minorBidi" w:hAnsiTheme="minorBidi"/>
          <w:sz w:val="22"/>
          <w:szCs w:val="22"/>
        </w:rPr>
        <w:t>3. Conclusion:</w:t>
      </w:r>
    </w:p>
    <w:p w14:paraId="44FAC2F4" w14:textId="77777777" w:rsidR="00E10F4B" w:rsidRPr="00A67FB3" w:rsidRDefault="00E10F4B" w:rsidP="00E10F4B">
      <w:pPr>
        <w:rPr>
          <w:rFonts w:asciiTheme="minorBidi" w:hAnsiTheme="minorBidi"/>
          <w:sz w:val="22"/>
          <w:szCs w:val="22"/>
        </w:rPr>
      </w:pPr>
    </w:p>
    <w:p w14:paraId="713D6617" w14:textId="251978D2" w:rsidR="00E10F4B" w:rsidRPr="00A67FB3" w:rsidRDefault="00E10F4B">
      <w:pPr>
        <w:rPr>
          <w:rFonts w:asciiTheme="minorBidi" w:hAnsiTheme="minorBidi"/>
          <w:sz w:val="22"/>
          <w:szCs w:val="22"/>
        </w:rPr>
      </w:pPr>
      <w:r w:rsidRPr="00A67FB3">
        <w:rPr>
          <w:rFonts w:asciiTheme="minorBidi" w:hAnsiTheme="minorBidi"/>
          <w:sz w:val="22"/>
          <w:szCs w:val="22"/>
        </w:rPr>
        <w:t xml:space="preserve">To conclude, Tuberculosis remains one of the most significant public health challenges in the UK, and </w:t>
      </w:r>
      <w:proofErr w:type="gramStart"/>
      <w:r w:rsidRPr="00A67FB3">
        <w:rPr>
          <w:rFonts w:asciiTheme="minorBidi" w:hAnsiTheme="minorBidi"/>
          <w:sz w:val="22"/>
          <w:szCs w:val="22"/>
        </w:rPr>
        <w:t>it is clear that we</w:t>
      </w:r>
      <w:proofErr w:type="gramEnd"/>
      <w:r w:rsidRPr="00A67FB3">
        <w:rPr>
          <w:rFonts w:asciiTheme="minorBidi" w:hAnsiTheme="minorBidi"/>
          <w:sz w:val="22"/>
          <w:szCs w:val="22"/>
        </w:rPr>
        <w:t xml:space="preserve"> cannot simply "medicate" our way out of the problem. While our diagnostic technology and antibiotic treatments are stronger than ever, the disease continues to find a foothold in the gaps created by social inequality and poverty. As this report has discussed, the journey from diagnosis to cure is a </w:t>
      </w:r>
      <w:r w:rsidR="00576B23" w:rsidRPr="00A67FB3">
        <w:rPr>
          <w:rFonts w:asciiTheme="minorBidi" w:hAnsiTheme="minorBidi"/>
          <w:sz w:val="22"/>
          <w:szCs w:val="22"/>
        </w:rPr>
        <w:t>gruelling</w:t>
      </w:r>
      <w:r w:rsidRPr="00A67FB3">
        <w:rPr>
          <w:rFonts w:asciiTheme="minorBidi" w:hAnsiTheme="minorBidi"/>
          <w:sz w:val="22"/>
          <w:szCs w:val="22"/>
        </w:rPr>
        <w:t xml:space="preserve"> one that requires more than just clinical intervention; it requires deep social and emotional support. In my opinion, the future of TB elimination in the UK depends entirely on our willingness to invest in the "human" side of healthcare—the specialist nurses, the outreach programs, and the housing support systems. TB is a social disease that reflects the health of our </w:t>
      </w:r>
      <w:proofErr w:type="gramStart"/>
      <w:r w:rsidRPr="00A67FB3">
        <w:rPr>
          <w:rFonts w:asciiTheme="minorBidi" w:hAnsiTheme="minorBidi"/>
          <w:sz w:val="22"/>
          <w:szCs w:val="22"/>
        </w:rPr>
        <w:t>society as a whole</w:t>
      </w:r>
      <w:proofErr w:type="gramEnd"/>
      <w:r w:rsidRPr="00A67FB3">
        <w:rPr>
          <w:rFonts w:asciiTheme="minorBidi" w:hAnsiTheme="minorBidi"/>
          <w:sz w:val="22"/>
          <w:szCs w:val="22"/>
        </w:rPr>
        <w:t>. Until we address the underlying issues of housing and poverty, TB will remain a shadow over our most vulnerable communities.</w:t>
      </w:r>
    </w:p>
    <w:p w14:paraId="67C05582" w14:textId="77777777" w:rsidR="009C334B" w:rsidRPr="00A67FB3" w:rsidRDefault="009C334B">
      <w:pPr>
        <w:rPr>
          <w:rFonts w:asciiTheme="minorBidi" w:hAnsiTheme="minorBidi"/>
          <w:sz w:val="22"/>
          <w:szCs w:val="22"/>
        </w:rPr>
      </w:pPr>
    </w:p>
    <w:p w14:paraId="1FFA2E94" w14:textId="77777777" w:rsidR="009C334B" w:rsidRPr="00A67FB3" w:rsidRDefault="009C334B" w:rsidP="009C334B">
      <w:pPr>
        <w:rPr>
          <w:rFonts w:asciiTheme="minorBidi" w:hAnsiTheme="minorBidi"/>
          <w:sz w:val="22"/>
          <w:szCs w:val="22"/>
        </w:rPr>
      </w:pPr>
    </w:p>
    <w:p w14:paraId="49886949" w14:textId="77777777" w:rsidR="009C334B" w:rsidRPr="00A67FB3" w:rsidRDefault="009C334B" w:rsidP="009C334B">
      <w:pPr>
        <w:rPr>
          <w:rFonts w:asciiTheme="minorBidi" w:hAnsiTheme="minorBidi"/>
          <w:sz w:val="22"/>
          <w:szCs w:val="22"/>
        </w:rPr>
      </w:pPr>
    </w:p>
    <w:p w14:paraId="4282D7CB" w14:textId="77777777" w:rsidR="009C334B" w:rsidRPr="00A67FB3" w:rsidRDefault="009C334B" w:rsidP="009C334B">
      <w:pPr>
        <w:rPr>
          <w:rFonts w:asciiTheme="minorBidi" w:hAnsiTheme="minorBidi"/>
          <w:sz w:val="22"/>
          <w:szCs w:val="22"/>
        </w:rPr>
      </w:pPr>
    </w:p>
    <w:p w14:paraId="20D14931" w14:textId="77777777" w:rsidR="009C334B" w:rsidRPr="00A67FB3" w:rsidRDefault="009C334B" w:rsidP="009C334B">
      <w:pPr>
        <w:rPr>
          <w:rFonts w:asciiTheme="minorBidi" w:hAnsiTheme="minorBidi"/>
          <w:sz w:val="22"/>
          <w:szCs w:val="22"/>
        </w:rPr>
      </w:pPr>
    </w:p>
    <w:p w14:paraId="2C328332" w14:textId="77777777" w:rsidR="009C334B" w:rsidRPr="00A67FB3" w:rsidRDefault="009C334B" w:rsidP="009C334B">
      <w:pPr>
        <w:rPr>
          <w:rFonts w:asciiTheme="minorBidi" w:hAnsiTheme="minorBidi"/>
          <w:sz w:val="22"/>
          <w:szCs w:val="22"/>
        </w:rPr>
      </w:pPr>
    </w:p>
    <w:p w14:paraId="2F208AB9" w14:textId="77777777" w:rsidR="009C334B" w:rsidRPr="00A67FB3" w:rsidRDefault="009C334B" w:rsidP="009C334B">
      <w:pPr>
        <w:rPr>
          <w:rFonts w:asciiTheme="minorBidi" w:hAnsiTheme="minorBidi"/>
          <w:sz w:val="22"/>
          <w:szCs w:val="22"/>
        </w:rPr>
      </w:pPr>
    </w:p>
    <w:p w14:paraId="4038BD7E" w14:textId="28DFDCA6" w:rsidR="009C334B" w:rsidRPr="00A67FB3" w:rsidRDefault="009C334B" w:rsidP="009C334B">
      <w:pPr>
        <w:rPr>
          <w:rFonts w:asciiTheme="minorBidi" w:hAnsiTheme="minorBidi"/>
          <w:sz w:val="22"/>
          <w:szCs w:val="22"/>
        </w:rPr>
      </w:pPr>
      <w:r w:rsidRPr="00A67FB3">
        <w:rPr>
          <w:rFonts w:asciiTheme="minorBidi" w:hAnsiTheme="minorBidi"/>
          <w:sz w:val="22"/>
          <w:szCs w:val="22"/>
        </w:rPr>
        <w:t>REFERENCES:</w:t>
      </w:r>
    </w:p>
    <w:p w14:paraId="5BCA6FED" w14:textId="77777777" w:rsidR="009C334B" w:rsidRPr="00A67FB3" w:rsidRDefault="009C334B" w:rsidP="009C334B">
      <w:pPr>
        <w:rPr>
          <w:rFonts w:asciiTheme="minorBidi" w:hAnsiTheme="minorBidi"/>
          <w:sz w:val="22"/>
          <w:szCs w:val="22"/>
        </w:rPr>
      </w:pPr>
    </w:p>
    <w:p w14:paraId="0034B92F" w14:textId="6125EEA8" w:rsidR="009C334B" w:rsidRPr="00A67FB3" w:rsidRDefault="009C334B" w:rsidP="009C334B">
      <w:pPr>
        <w:rPr>
          <w:rFonts w:asciiTheme="minorBidi" w:hAnsiTheme="minorBidi"/>
          <w:sz w:val="22"/>
          <w:szCs w:val="22"/>
        </w:rPr>
      </w:pPr>
      <w:r w:rsidRPr="00A67FB3">
        <w:rPr>
          <w:rFonts w:asciiTheme="minorBidi" w:hAnsiTheme="minorBidi"/>
          <w:sz w:val="22"/>
          <w:szCs w:val="22"/>
        </w:rPr>
        <w:t xml:space="preserve">Craig, G.M., </w:t>
      </w:r>
      <w:r w:rsidR="00CD3C4D" w:rsidRPr="00A67FB3">
        <w:rPr>
          <w:rFonts w:asciiTheme="minorBidi" w:hAnsiTheme="minorBidi"/>
          <w:sz w:val="22"/>
          <w:szCs w:val="22"/>
        </w:rPr>
        <w:t>Daftly</w:t>
      </w:r>
      <w:r w:rsidRPr="00A67FB3">
        <w:rPr>
          <w:rFonts w:asciiTheme="minorBidi" w:hAnsiTheme="minorBidi"/>
          <w:sz w:val="22"/>
          <w:szCs w:val="22"/>
        </w:rPr>
        <w:t xml:space="preserve">, A., Engel, N., O’Driscoll, S. and </w:t>
      </w:r>
      <w:proofErr w:type="spellStart"/>
      <w:r w:rsidRPr="00A67FB3">
        <w:rPr>
          <w:rFonts w:asciiTheme="minorBidi" w:hAnsiTheme="minorBidi"/>
          <w:sz w:val="22"/>
          <w:szCs w:val="22"/>
        </w:rPr>
        <w:t>Ioannaki</w:t>
      </w:r>
      <w:proofErr w:type="spellEnd"/>
      <w:r w:rsidRPr="00A67FB3">
        <w:rPr>
          <w:rFonts w:asciiTheme="minorBidi" w:hAnsiTheme="minorBidi"/>
          <w:sz w:val="22"/>
          <w:szCs w:val="22"/>
        </w:rPr>
        <w:t>, A. (2017) ‘Tuberculosis stigma as a social determinant of health’, International Journal of Tuberculosis and Lung Disease, 21(11), pp. S2–S11.</w:t>
      </w:r>
    </w:p>
    <w:p w14:paraId="01B0EAA3" w14:textId="77777777" w:rsidR="009C334B" w:rsidRPr="00A67FB3" w:rsidRDefault="009C334B" w:rsidP="009C334B">
      <w:pPr>
        <w:rPr>
          <w:rFonts w:asciiTheme="minorBidi" w:hAnsiTheme="minorBidi"/>
          <w:sz w:val="22"/>
          <w:szCs w:val="22"/>
        </w:rPr>
      </w:pPr>
    </w:p>
    <w:p w14:paraId="7B262948" w14:textId="77777777" w:rsidR="009C334B" w:rsidRPr="00A67FB3" w:rsidRDefault="009C334B" w:rsidP="009C334B">
      <w:pPr>
        <w:rPr>
          <w:rFonts w:asciiTheme="minorBidi" w:hAnsiTheme="minorBidi"/>
          <w:sz w:val="22"/>
          <w:szCs w:val="22"/>
        </w:rPr>
      </w:pPr>
      <w:r w:rsidRPr="00A67FB3">
        <w:rPr>
          <w:rFonts w:asciiTheme="minorBidi" w:hAnsiTheme="minorBidi"/>
          <w:sz w:val="22"/>
          <w:szCs w:val="22"/>
        </w:rPr>
        <w:t>National Institute for Health and Care Excellence (2022) Tuberculosis: prevention, diagnosis, management and service organisation (NG33). London: NICE.</w:t>
      </w:r>
    </w:p>
    <w:p w14:paraId="020AB4F8" w14:textId="77777777" w:rsidR="009C334B" w:rsidRPr="00A67FB3" w:rsidRDefault="009C334B" w:rsidP="009C334B">
      <w:pPr>
        <w:rPr>
          <w:rFonts w:asciiTheme="minorBidi" w:hAnsiTheme="minorBidi"/>
          <w:sz w:val="22"/>
          <w:szCs w:val="22"/>
        </w:rPr>
      </w:pPr>
    </w:p>
    <w:p w14:paraId="6FCD5174" w14:textId="77777777" w:rsidR="009C334B" w:rsidRPr="00A67FB3" w:rsidRDefault="009C334B" w:rsidP="009C334B">
      <w:pPr>
        <w:rPr>
          <w:rFonts w:asciiTheme="minorBidi" w:hAnsiTheme="minorBidi"/>
          <w:sz w:val="22"/>
          <w:szCs w:val="22"/>
        </w:rPr>
      </w:pPr>
      <w:r w:rsidRPr="00A67FB3">
        <w:rPr>
          <w:rFonts w:asciiTheme="minorBidi" w:hAnsiTheme="minorBidi"/>
          <w:sz w:val="22"/>
          <w:szCs w:val="22"/>
        </w:rPr>
        <w:t>NHS (2023) Tuberculosis (TB). Available at: https://www.nhs.uk/conditions/tuberculosis-tb/ (Accessed: 17 April 2026).</w:t>
      </w:r>
    </w:p>
    <w:p w14:paraId="32BAB44C" w14:textId="77777777" w:rsidR="009C334B" w:rsidRPr="00A67FB3" w:rsidRDefault="009C334B" w:rsidP="009C334B">
      <w:pPr>
        <w:rPr>
          <w:rFonts w:asciiTheme="minorBidi" w:hAnsiTheme="minorBidi"/>
          <w:sz w:val="22"/>
          <w:szCs w:val="22"/>
        </w:rPr>
      </w:pPr>
    </w:p>
    <w:p w14:paraId="3FA39A41" w14:textId="77777777" w:rsidR="009C334B" w:rsidRPr="00A67FB3" w:rsidRDefault="009C334B" w:rsidP="009C334B">
      <w:pPr>
        <w:rPr>
          <w:rFonts w:asciiTheme="minorBidi" w:hAnsiTheme="minorBidi"/>
          <w:sz w:val="22"/>
          <w:szCs w:val="22"/>
        </w:rPr>
      </w:pPr>
      <w:r w:rsidRPr="00A67FB3">
        <w:rPr>
          <w:rFonts w:asciiTheme="minorBidi" w:hAnsiTheme="minorBidi"/>
          <w:sz w:val="22"/>
          <w:szCs w:val="22"/>
        </w:rPr>
        <w:t>UK Health Security Agency (2023) Tuberculosis in England: annual report. London: UK Health Security Agency.</w:t>
      </w:r>
    </w:p>
    <w:p w14:paraId="026196DE" w14:textId="77777777" w:rsidR="009C334B" w:rsidRPr="00A67FB3" w:rsidRDefault="009C334B" w:rsidP="009C334B">
      <w:pPr>
        <w:rPr>
          <w:rFonts w:asciiTheme="minorBidi" w:hAnsiTheme="minorBidi"/>
          <w:sz w:val="22"/>
          <w:szCs w:val="22"/>
        </w:rPr>
      </w:pPr>
    </w:p>
    <w:p w14:paraId="250FDABE" w14:textId="1200ECDB" w:rsidR="009C334B" w:rsidRPr="00A67FB3" w:rsidRDefault="009C334B">
      <w:pPr>
        <w:rPr>
          <w:rFonts w:asciiTheme="minorBidi" w:hAnsiTheme="minorBidi"/>
          <w:sz w:val="22"/>
          <w:szCs w:val="22"/>
        </w:rPr>
      </w:pPr>
      <w:r w:rsidRPr="00A67FB3">
        <w:rPr>
          <w:rFonts w:asciiTheme="minorBidi" w:hAnsiTheme="minorBidi"/>
          <w:sz w:val="22"/>
          <w:szCs w:val="22"/>
        </w:rPr>
        <w:t>World Health Organisation (2023) Global tuberculosis report 2023. Geneva: World Health Organisation.</w:t>
      </w:r>
    </w:p>
    <w:sectPr w:rsidR="009C334B" w:rsidRPr="00A67F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F4B"/>
    <w:rsid w:val="00004DF3"/>
    <w:rsid w:val="001E4C98"/>
    <w:rsid w:val="002725E1"/>
    <w:rsid w:val="00576B23"/>
    <w:rsid w:val="00695603"/>
    <w:rsid w:val="0076026E"/>
    <w:rsid w:val="009C334B"/>
    <w:rsid w:val="00A67FB3"/>
    <w:rsid w:val="00CD3C4D"/>
    <w:rsid w:val="00E10F4B"/>
    <w:rsid w:val="00FE7C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4A10F"/>
  <w15:chartTrackingRefBased/>
  <w15:docId w15:val="{2188FAB6-781B-F545-86F5-4E21F4B26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0F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10F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10F4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10F4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0F4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0F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0F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0F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0F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F4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10F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10F4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10F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0F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0F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0F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0F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0F4B"/>
    <w:rPr>
      <w:rFonts w:eastAsiaTheme="majorEastAsia" w:cstheme="majorBidi"/>
      <w:color w:val="272727" w:themeColor="text1" w:themeTint="D8"/>
    </w:rPr>
  </w:style>
  <w:style w:type="paragraph" w:styleId="Title">
    <w:name w:val="Title"/>
    <w:basedOn w:val="Normal"/>
    <w:next w:val="Normal"/>
    <w:link w:val="TitleChar"/>
    <w:uiPriority w:val="10"/>
    <w:qFormat/>
    <w:rsid w:val="00E10F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0F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0F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0F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0F4B"/>
    <w:pPr>
      <w:spacing w:before="160"/>
      <w:jc w:val="center"/>
    </w:pPr>
    <w:rPr>
      <w:i/>
      <w:iCs/>
      <w:color w:val="404040" w:themeColor="text1" w:themeTint="BF"/>
    </w:rPr>
  </w:style>
  <w:style w:type="character" w:customStyle="1" w:styleId="QuoteChar">
    <w:name w:val="Quote Char"/>
    <w:basedOn w:val="DefaultParagraphFont"/>
    <w:link w:val="Quote"/>
    <w:uiPriority w:val="29"/>
    <w:rsid w:val="00E10F4B"/>
    <w:rPr>
      <w:i/>
      <w:iCs/>
      <w:color w:val="404040" w:themeColor="text1" w:themeTint="BF"/>
    </w:rPr>
  </w:style>
  <w:style w:type="paragraph" w:styleId="ListParagraph">
    <w:name w:val="List Paragraph"/>
    <w:basedOn w:val="Normal"/>
    <w:uiPriority w:val="34"/>
    <w:qFormat/>
    <w:rsid w:val="00E10F4B"/>
    <w:pPr>
      <w:ind w:left="720"/>
      <w:contextualSpacing/>
    </w:pPr>
  </w:style>
  <w:style w:type="character" w:styleId="IntenseEmphasis">
    <w:name w:val="Intense Emphasis"/>
    <w:basedOn w:val="DefaultParagraphFont"/>
    <w:uiPriority w:val="21"/>
    <w:qFormat/>
    <w:rsid w:val="00E10F4B"/>
    <w:rPr>
      <w:i/>
      <w:iCs/>
      <w:color w:val="2F5496" w:themeColor="accent1" w:themeShade="BF"/>
    </w:rPr>
  </w:style>
  <w:style w:type="paragraph" w:styleId="IntenseQuote">
    <w:name w:val="Intense Quote"/>
    <w:basedOn w:val="Normal"/>
    <w:next w:val="Normal"/>
    <w:link w:val="IntenseQuoteChar"/>
    <w:uiPriority w:val="30"/>
    <w:qFormat/>
    <w:rsid w:val="00E10F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0F4B"/>
    <w:rPr>
      <w:i/>
      <w:iCs/>
      <w:color w:val="2F5496" w:themeColor="accent1" w:themeShade="BF"/>
    </w:rPr>
  </w:style>
  <w:style w:type="character" w:styleId="IntenseReference">
    <w:name w:val="Intense Reference"/>
    <w:basedOn w:val="DefaultParagraphFont"/>
    <w:uiPriority w:val="32"/>
    <w:qFormat/>
    <w:rsid w:val="00E10F4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1617</Words>
  <Characters>9219</Characters>
  <Application>Microsoft Office Word</Application>
  <DocSecurity>0</DocSecurity>
  <Lines>76</Lines>
  <Paragraphs>21</Paragraphs>
  <ScaleCrop>false</ScaleCrop>
  <Company/>
  <LinksUpToDate>false</LinksUpToDate>
  <CharactersWithSpaces>10815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Larbi</dc:creator>
  <cp:keywords/>
  <dc:description/>
  <cp:lastModifiedBy>Mohamed Larbi</cp:lastModifiedBy>
  <cp:revision>2</cp:revision>
  <dcterms:created xsi:type="dcterms:W3CDTF">2026-04-19T14:35:00Z</dcterms:created>
  <dcterms:modified xsi:type="dcterms:W3CDTF">2026-04-19T14:35:00Z</dcterms:modified>
</cp:coreProperties>
</file>