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6DA9853">
      <w:pPr>
        <w:jc w:val="center"/>
        <w:rPr>
          <w:b/>
          <w:bCs/>
          <w:lang w:val="en-IN"/>
        </w:rPr>
      </w:pPr>
      <w:r>
        <w:rPr>
          <w:rFonts w:hint="default" w:ascii="Arial" w:hAnsi="Arial" w:cs="Arial"/>
          <w:b/>
          <w:bCs/>
          <w:sz w:val="24"/>
          <w:szCs w:val="24"/>
          <w:lang w:val="en-US"/>
        </w:rPr>
        <w:drawing>
          <wp:inline distT="0" distB="0" distL="0" distR="0">
            <wp:extent cx="1809750" cy="723900"/>
            <wp:effectExtent l="0" t="0" r="3810" b="0"/>
            <wp:docPr id="35113713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137135"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10AA1818">
      <w:pPr>
        <w:jc w:val="center"/>
        <w:rPr>
          <w:b/>
          <w:bCs/>
          <w:lang w:val="en-IN"/>
        </w:rPr>
      </w:pPr>
    </w:p>
    <w:p w14:paraId="6E41B02D">
      <w:pPr>
        <w:jc w:val="center"/>
        <w:rPr>
          <w:b/>
          <w:bCs/>
          <w:lang w:val="en-IN"/>
        </w:rPr>
      </w:pPr>
    </w:p>
    <w:p w14:paraId="791DC7CB">
      <w:pPr>
        <w:jc w:val="center"/>
        <w:rPr>
          <w:b/>
          <w:bCs/>
          <w:lang w:val="en-IN"/>
        </w:rPr>
      </w:pPr>
      <w:r>
        <w:rPr>
          <w:b/>
          <w:bCs/>
          <w:lang w:val="en-IN"/>
        </w:rPr>
        <w:t>Programme Name: Master of Business Administration</w:t>
      </w:r>
    </w:p>
    <w:p w14:paraId="1C640408">
      <w:pPr>
        <w:jc w:val="center"/>
        <w:rPr>
          <w:b/>
          <w:bCs/>
          <w:lang w:val="en-IN"/>
        </w:rPr>
      </w:pPr>
      <w:r>
        <w:rPr>
          <w:b/>
          <w:bCs/>
          <w:lang w:val="en-IN"/>
        </w:rPr>
        <w:t>Module Name: Marketing Management</w:t>
      </w:r>
    </w:p>
    <w:p w14:paraId="04C15813">
      <w:pPr>
        <w:jc w:val="center"/>
        <w:rPr>
          <w:b/>
          <w:bCs/>
          <w:lang w:val="en-IN"/>
        </w:rPr>
      </w:pPr>
      <w:r>
        <w:rPr>
          <w:b/>
          <w:bCs/>
          <w:lang w:val="en-IN"/>
        </w:rPr>
        <w:t xml:space="preserve">Module Code: LCMB7024 </w:t>
      </w:r>
    </w:p>
    <w:p w14:paraId="10D3EE06">
      <w:pPr>
        <w:jc w:val="center"/>
        <w:rPr>
          <w:b/>
          <w:bCs/>
          <w:lang w:val="en-IN"/>
        </w:rPr>
      </w:pPr>
      <w:r>
        <w:rPr>
          <w:b/>
          <w:bCs/>
          <w:lang w:val="en-IN"/>
        </w:rPr>
        <w:t>Title: Dove’s Sustainable Brand Extension</w:t>
      </w:r>
    </w:p>
    <w:p w14:paraId="3B933C58">
      <w:pPr>
        <w:jc w:val="center"/>
        <w:rPr>
          <w:b/>
          <w:bCs/>
          <w:lang w:val="en-IN"/>
        </w:rPr>
      </w:pPr>
      <w:r>
        <w:rPr>
          <w:b/>
          <w:bCs/>
          <w:lang w:val="en-IN"/>
        </w:rPr>
        <w:t>Taonga Kaonga Sobere-Snithers (Birmingham)</w:t>
      </w:r>
    </w:p>
    <w:p w14:paraId="7E0D94C6">
      <w:pPr>
        <w:jc w:val="center"/>
        <w:rPr>
          <w:b/>
          <w:bCs/>
          <w:lang w:val="en-IN"/>
        </w:rPr>
      </w:pPr>
      <w:r>
        <w:rPr>
          <w:b/>
          <w:bCs/>
          <w:lang w:val="en-IN"/>
        </w:rPr>
        <w:t>Student Name: Jaynilkumar Ramesbhai Barot</w:t>
      </w:r>
      <w:bookmarkStart w:id="5" w:name="_GoBack"/>
      <w:bookmarkEnd w:id="5"/>
    </w:p>
    <w:p w14:paraId="2BD092C8">
      <w:pPr>
        <w:jc w:val="center"/>
        <w:rPr>
          <w:b/>
          <w:bCs/>
          <w:lang w:val="en-IN"/>
        </w:rPr>
      </w:pPr>
      <w:r>
        <w:rPr>
          <w:b/>
          <w:bCs/>
          <w:lang w:val="en-IN"/>
        </w:rPr>
        <w:t>Student ID:  2537840</w:t>
      </w:r>
    </w:p>
    <w:p w14:paraId="5BA8CB79">
      <w:pPr>
        <w:jc w:val="center"/>
        <w:rPr>
          <w:b/>
          <w:bCs/>
          <w:lang w:val="en-IN"/>
        </w:rPr>
      </w:pPr>
    </w:p>
    <w:p w14:paraId="7610BCEE">
      <w:pPr>
        <w:jc w:val="center"/>
        <w:rPr>
          <w:b/>
          <w:bCs/>
          <w:lang w:val="en-IN"/>
        </w:rPr>
      </w:pPr>
    </w:p>
    <w:p w14:paraId="2C03A4B4">
      <w:pPr>
        <w:jc w:val="center"/>
        <w:rPr>
          <w:b/>
          <w:bCs/>
          <w:lang w:val="en-IN"/>
        </w:rPr>
      </w:pPr>
    </w:p>
    <w:p w14:paraId="2819BB00">
      <w:pPr>
        <w:jc w:val="center"/>
        <w:rPr>
          <w:b/>
          <w:bCs/>
          <w:lang w:val="en-IN"/>
        </w:rPr>
      </w:pPr>
    </w:p>
    <w:p w14:paraId="4FCB74E2">
      <w:pPr>
        <w:jc w:val="center"/>
        <w:rPr>
          <w:b/>
          <w:bCs/>
          <w:lang w:val="en-IN"/>
        </w:rPr>
      </w:pPr>
    </w:p>
    <w:p w14:paraId="5B31D0B8">
      <w:pPr>
        <w:jc w:val="center"/>
        <w:rPr>
          <w:b/>
          <w:bCs/>
          <w:lang w:val="en-IN"/>
        </w:rPr>
      </w:pPr>
    </w:p>
    <w:p w14:paraId="699C5D80">
      <w:pPr>
        <w:jc w:val="center"/>
        <w:rPr>
          <w:b/>
          <w:bCs/>
          <w:lang w:val="en-IN"/>
        </w:rPr>
      </w:pPr>
    </w:p>
    <w:p w14:paraId="6008EC5C">
      <w:pPr>
        <w:jc w:val="center"/>
        <w:rPr>
          <w:b/>
          <w:bCs/>
          <w:lang w:val="en-IN"/>
        </w:rPr>
      </w:pPr>
    </w:p>
    <w:p w14:paraId="25143C90">
      <w:pPr>
        <w:jc w:val="center"/>
        <w:rPr>
          <w:b/>
          <w:bCs/>
          <w:lang w:val="en-IN"/>
        </w:rPr>
      </w:pPr>
    </w:p>
    <w:p w14:paraId="36B98D0C">
      <w:pPr>
        <w:jc w:val="center"/>
        <w:rPr>
          <w:b/>
          <w:bCs/>
          <w:lang w:val="en-IN"/>
        </w:rPr>
      </w:pPr>
    </w:p>
    <w:p w14:paraId="66656C38">
      <w:pPr>
        <w:jc w:val="center"/>
        <w:rPr>
          <w:b/>
          <w:bCs/>
          <w:lang w:val="en-IN"/>
        </w:rPr>
      </w:pPr>
    </w:p>
    <w:p w14:paraId="5BC56073">
      <w:pPr>
        <w:jc w:val="center"/>
        <w:rPr>
          <w:b/>
          <w:bCs/>
          <w:lang w:val="en-IN"/>
        </w:rPr>
      </w:pPr>
    </w:p>
    <w:p w14:paraId="43348A75">
      <w:pPr>
        <w:jc w:val="center"/>
        <w:rPr>
          <w:b/>
          <w:bCs/>
          <w:lang w:val="en-IN"/>
        </w:rPr>
      </w:pPr>
    </w:p>
    <w:p w14:paraId="1BF23A9E">
      <w:pPr>
        <w:jc w:val="center"/>
        <w:rPr>
          <w:b/>
          <w:bCs/>
          <w:lang w:val="en-IN"/>
        </w:rPr>
      </w:pPr>
    </w:p>
    <w:p w14:paraId="476E3720">
      <w:pPr>
        <w:jc w:val="center"/>
        <w:rPr>
          <w:b/>
          <w:bCs/>
          <w:lang w:val="en-IN"/>
        </w:rPr>
      </w:pPr>
    </w:p>
    <w:p w14:paraId="366EBA6D">
      <w:pPr>
        <w:jc w:val="center"/>
        <w:rPr>
          <w:b/>
          <w:bCs/>
          <w:lang w:val="en-IN"/>
        </w:rPr>
      </w:pPr>
    </w:p>
    <w:p w14:paraId="33158F1B">
      <w:pPr>
        <w:jc w:val="center"/>
        <w:rPr>
          <w:b/>
          <w:bCs/>
          <w:lang w:val="en-IN"/>
        </w:rPr>
      </w:pPr>
    </w:p>
    <w:p w14:paraId="2BA166EA">
      <w:pPr>
        <w:jc w:val="center"/>
        <w:rPr>
          <w:b/>
          <w:bCs/>
          <w:lang w:val="en-IN"/>
        </w:rPr>
      </w:pPr>
    </w:p>
    <w:p w14:paraId="1A4C15DA">
      <w:pPr>
        <w:jc w:val="center"/>
        <w:rPr>
          <w:b/>
          <w:bCs/>
          <w:lang w:val="en-IN"/>
        </w:rPr>
      </w:pPr>
    </w:p>
    <w:sdt>
      <w:sdtPr>
        <w:id w:val="1645389225"/>
        <w:docPartObj>
          <w:docPartGallery w:val="Table of Contents"/>
          <w:docPartUnique/>
        </w:docPartObj>
      </w:sdtPr>
      <w:sdtEndPr>
        <w:rPr>
          <w:b/>
          <w:bCs/>
        </w:rPr>
      </w:sdtEndPr>
      <w:sdtContent>
        <w:p w14:paraId="6B4AE263">
          <w:pPr>
            <w:jc w:val="center"/>
            <w:rPr>
              <w:b/>
              <w:bCs/>
            </w:rPr>
          </w:pPr>
          <w:r>
            <w:rPr>
              <w:b/>
              <w:bCs/>
            </w:rPr>
            <w:t>Table of Contents</w:t>
          </w:r>
        </w:p>
        <w:p w14:paraId="164674C1">
          <w:pPr>
            <w:pStyle w:val="18"/>
            <w:tabs>
              <w:tab w:val="right" w:leader="dot" w:pos="9016"/>
            </w:tabs>
            <w:jc w:val="center"/>
            <w:rPr>
              <w:rFonts w:asciiTheme="minorHAnsi" w:hAnsiTheme="minorHAnsi" w:eastAsiaTheme="minorEastAsia"/>
              <w:lang w:val="en-IN" w:eastAsia="en-IN"/>
            </w:rPr>
          </w:pPr>
          <w:r>
            <w:fldChar w:fldCharType="begin"/>
          </w:r>
          <w:r>
            <w:instrText xml:space="preserve"> TOC \o "1-3" \h \z \u </w:instrText>
          </w:r>
          <w:r>
            <w:fldChar w:fldCharType="separate"/>
          </w:r>
          <w:r>
            <w:fldChar w:fldCharType="begin"/>
          </w:r>
          <w:r>
            <w:instrText xml:space="preserve"> HYPERLINK \l "_Toc233915765" </w:instrText>
          </w:r>
          <w:r>
            <w:fldChar w:fldCharType="separate"/>
          </w:r>
          <w:r>
            <w:rPr>
              <w:rStyle w:val="15"/>
              <w:lang w:val="en-IN"/>
            </w:rPr>
            <w:t>Element 1: Sustainable Brand Extension</w:t>
          </w:r>
          <w:r>
            <w:tab/>
          </w:r>
          <w:r>
            <w:fldChar w:fldCharType="begin"/>
          </w:r>
          <w:r>
            <w:instrText xml:space="preserve"> PAGEREF _Toc233915765 \h </w:instrText>
          </w:r>
          <w:r>
            <w:fldChar w:fldCharType="separate"/>
          </w:r>
          <w:r>
            <w:t>3</w:t>
          </w:r>
          <w:r>
            <w:fldChar w:fldCharType="end"/>
          </w:r>
          <w:r>
            <w:fldChar w:fldCharType="end"/>
          </w:r>
        </w:p>
        <w:p w14:paraId="27F9CE75">
          <w:pPr>
            <w:pStyle w:val="18"/>
            <w:tabs>
              <w:tab w:val="right" w:leader="dot" w:pos="9016"/>
            </w:tabs>
            <w:jc w:val="center"/>
            <w:rPr>
              <w:rFonts w:asciiTheme="minorHAnsi" w:hAnsiTheme="minorHAnsi" w:eastAsiaTheme="minorEastAsia"/>
              <w:lang w:val="en-IN" w:eastAsia="en-IN"/>
            </w:rPr>
          </w:pPr>
          <w:r>
            <w:fldChar w:fldCharType="begin"/>
          </w:r>
          <w:r>
            <w:instrText xml:space="preserve"> HYPERLINK \l "_Toc233915766" </w:instrText>
          </w:r>
          <w:r>
            <w:fldChar w:fldCharType="separate"/>
          </w:r>
          <w:r>
            <w:rPr>
              <w:rStyle w:val="15"/>
              <w:lang w:val="en-IN"/>
            </w:rPr>
            <w:t>Element 2: Segmentation, Targeting, Differentiation, and Positioning (STDP)</w:t>
          </w:r>
          <w:r>
            <w:tab/>
          </w:r>
          <w:r>
            <w:fldChar w:fldCharType="begin"/>
          </w:r>
          <w:r>
            <w:instrText xml:space="preserve"> PAGEREF _Toc233915766 \h </w:instrText>
          </w:r>
          <w:r>
            <w:fldChar w:fldCharType="separate"/>
          </w:r>
          <w:r>
            <w:t>3</w:t>
          </w:r>
          <w:r>
            <w:fldChar w:fldCharType="end"/>
          </w:r>
          <w:r>
            <w:fldChar w:fldCharType="end"/>
          </w:r>
        </w:p>
        <w:p w14:paraId="357216C7">
          <w:pPr>
            <w:pStyle w:val="18"/>
            <w:tabs>
              <w:tab w:val="right" w:leader="dot" w:pos="9016"/>
            </w:tabs>
            <w:jc w:val="center"/>
            <w:rPr>
              <w:rFonts w:asciiTheme="minorHAnsi" w:hAnsiTheme="minorHAnsi" w:eastAsiaTheme="minorEastAsia"/>
              <w:lang w:val="en-IN" w:eastAsia="en-IN"/>
            </w:rPr>
          </w:pPr>
          <w:r>
            <w:fldChar w:fldCharType="begin"/>
          </w:r>
          <w:r>
            <w:instrText xml:space="preserve"> HYPERLINK \l "_Toc233915767" </w:instrText>
          </w:r>
          <w:r>
            <w:fldChar w:fldCharType="separate"/>
          </w:r>
          <w:r>
            <w:rPr>
              <w:rStyle w:val="15"/>
              <w:lang w:val="en-IN"/>
            </w:rPr>
            <w:t>Element 3: Marketing Mix</w:t>
          </w:r>
          <w:r>
            <w:tab/>
          </w:r>
          <w:r>
            <w:fldChar w:fldCharType="begin"/>
          </w:r>
          <w:r>
            <w:instrText xml:space="preserve"> PAGEREF _Toc233915767 \h </w:instrText>
          </w:r>
          <w:r>
            <w:fldChar w:fldCharType="separate"/>
          </w:r>
          <w:r>
            <w:t>5</w:t>
          </w:r>
          <w:r>
            <w:fldChar w:fldCharType="end"/>
          </w:r>
          <w:r>
            <w:fldChar w:fldCharType="end"/>
          </w:r>
        </w:p>
        <w:p w14:paraId="74E09393">
          <w:pPr>
            <w:pStyle w:val="18"/>
            <w:tabs>
              <w:tab w:val="right" w:leader="dot" w:pos="9016"/>
            </w:tabs>
            <w:jc w:val="center"/>
            <w:rPr>
              <w:rFonts w:asciiTheme="minorHAnsi" w:hAnsiTheme="minorHAnsi" w:eastAsiaTheme="minorEastAsia"/>
              <w:lang w:val="en-IN" w:eastAsia="en-IN"/>
            </w:rPr>
          </w:pPr>
          <w:r>
            <w:fldChar w:fldCharType="begin"/>
          </w:r>
          <w:r>
            <w:instrText xml:space="preserve"> HYPERLINK \l "_Toc233915768" </w:instrText>
          </w:r>
          <w:r>
            <w:fldChar w:fldCharType="separate"/>
          </w:r>
          <w:r>
            <w:rPr>
              <w:rStyle w:val="15"/>
              <w:lang w:val="en-IN"/>
            </w:rPr>
            <w:t>Element 4: Reflection</w:t>
          </w:r>
          <w:r>
            <w:tab/>
          </w:r>
          <w:r>
            <w:fldChar w:fldCharType="begin"/>
          </w:r>
          <w:r>
            <w:instrText xml:space="preserve"> PAGEREF _Toc233915768 \h </w:instrText>
          </w:r>
          <w:r>
            <w:fldChar w:fldCharType="separate"/>
          </w:r>
          <w:r>
            <w:t>8</w:t>
          </w:r>
          <w:r>
            <w:fldChar w:fldCharType="end"/>
          </w:r>
          <w:r>
            <w:fldChar w:fldCharType="end"/>
          </w:r>
        </w:p>
        <w:p w14:paraId="668A72F3">
          <w:pPr>
            <w:pStyle w:val="18"/>
            <w:tabs>
              <w:tab w:val="right" w:leader="dot" w:pos="9016"/>
            </w:tabs>
            <w:jc w:val="center"/>
            <w:rPr>
              <w:rFonts w:asciiTheme="minorHAnsi" w:hAnsiTheme="minorHAnsi" w:eastAsiaTheme="minorEastAsia"/>
              <w:lang w:val="en-IN" w:eastAsia="en-IN"/>
            </w:rPr>
          </w:pPr>
          <w:r>
            <w:fldChar w:fldCharType="begin"/>
          </w:r>
          <w:r>
            <w:instrText xml:space="preserve"> HYPERLINK \l "_Toc233915769" </w:instrText>
          </w:r>
          <w:r>
            <w:fldChar w:fldCharType="separate"/>
          </w:r>
          <w:r>
            <w:rPr>
              <w:rStyle w:val="15"/>
              <w:lang w:val="en-IN"/>
            </w:rPr>
            <w:t>References</w:t>
          </w:r>
          <w:r>
            <w:tab/>
          </w:r>
          <w:r>
            <w:fldChar w:fldCharType="begin"/>
          </w:r>
          <w:r>
            <w:instrText xml:space="preserve"> PAGEREF _Toc233915769 \h </w:instrText>
          </w:r>
          <w:r>
            <w:fldChar w:fldCharType="separate"/>
          </w:r>
          <w:r>
            <w:t>9</w:t>
          </w:r>
          <w:r>
            <w:fldChar w:fldCharType="end"/>
          </w:r>
          <w:r>
            <w:fldChar w:fldCharType="end"/>
          </w:r>
        </w:p>
        <w:p w14:paraId="32DBE36E">
          <w:pPr>
            <w:jc w:val="center"/>
          </w:pPr>
          <w:r>
            <w:rPr>
              <w:b/>
              <w:bCs/>
            </w:rPr>
            <w:fldChar w:fldCharType="end"/>
          </w:r>
        </w:p>
      </w:sdtContent>
    </w:sdt>
    <w:p w14:paraId="06086B8F">
      <w:pPr>
        <w:jc w:val="left"/>
        <w:rPr>
          <w:b/>
          <w:bCs/>
          <w:lang w:val="en-IN"/>
        </w:rPr>
      </w:pPr>
    </w:p>
    <w:p w14:paraId="7795CBEC">
      <w:pPr>
        <w:jc w:val="left"/>
        <w:rPr>
          <w:b/>
          <w:bCs/>
          <w:lang w:val="en-IN"/>
        </w:rPr>
      </w:pPr>
      <w:r>
        <w:rPr>
          <w:b/>
          <w:bCs/>
          <w:lang w:val="en-IN"/>
        </w:rPr>
        <w:br w:type="page"/>
      </w:r>
    </w:p>
    <w:p w14:paraId="30BA5B00">
      <w:pPr>
        <w:pStyle w:val="2"/>
        <w:rPr>
          <w:lang w:val="en-IN"/>
        </w:rPr>
      </w:pPr>
      <w:bookmarkStart w:id="0" w:name="_Toc233915765"/>
      <w:r>
        <w:rPr>
          <w:lang w:val="en-IN"/>
        </w:rPr>
        <w:t>Element 1: Sustainable Brand Extension</w:t>
      </w:r>
      <w:bookmarkEnd w:id="0"/>
    </w:p>
    <w:p w14:paraId="349DC4B3">
      <w:pPr>
        <w:rPr>
          <w:b/>
          <w:bCs/>
          <w:lang w:val="en-IN"/>
        </w:rPr>
      </w:pPr>
      <w:r>
        <w:rPr>
          <w:b/>
          <w:bCs/>
          <w:lang w:val="en-IN"/>
        </w:rPr>
        <w:drawing>
          <wp:inline distT="0" distB="0" distL="0" distR="0">
            <wp:extent cx="5731510" cy="3217545"/>
            <wp:effectExtent l="0" t="0" r="2540" b="1905"/>
            <wp:docPr id="1568434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434415" name="Picture 1"/>
                    <pic:cNvPicPr>
                      <a:picLocks noChangeAspect="1"/>
                    </pic:cNvPicPr>
                  </pic:nvPicPr>
                  <pic:blipFill>
                    <a:blip r:embed="rId8"/>
                    <a:stretch>
                      <a:fillRect/>
                    </a:stretch>
                  </pic:blipFill>
                  <pic:spPr>
                    <a:xfrm>
                      <a:off x="0" y="0"/>
                      <a:ext cx="5731510" cy="3217545"/>
                    </a:xfrm>
                    <a:prstGeom prst="rect">
                      <a:avLst/>
                    </a:prstGeom>
                  </pic:spPr>
                </pic:pic>
              </a:graphicData>
            </a:graphic>
          </wp:inline>
        </w:drawing>
      </w:r>
    </w:p>
    <w:p w14:paraId="77E5C05A">
      <w:pPr>
        <w:rPr>
          <w:b/>
          <w:bCs/>
          <w:lang w:val="en-IN"/>
        </w:rPr>
      </w:pPr>
    </w:p>
    <w:p w14:paraId="444B19A4">
      <w:pPr>
        <w:pStyle w:val="2"/>
        <w:rPr>
          <w:lang w:val="en-IN"/>
        </w:rPr>
      </w:pPr>
      <w:bookmarkStart w:id="1" w:name="_Toc233915766"/>
      <w:r>
        <w:rPr>
          <w:lang w:val="en-IN"/>
        </w:rPr>
        <w:t>Element 2: Segmentation, Targeting, Differentiation, and Positioning (STDP)</w:t>
      </w:r>
      <w:bookmarkEnd w:id="1"/>
      <w:r>
        <w:rPr>
          <w:lang w:val="en-IN"/>
        </w:rPr>
        <w:t xml:space="preserve"> </w:t>
      </w:r>
    </w:p>
    <w:p w14:paraId="2A54BF76">
      <w:pPr>
        <w:pStyle w:val="32"/>
        <w:numPr>
          <w:ilvl w:val="0"/>
          <w:numId w:val="1"/>
        </w:numPr>
        <w:rPr>
          <w:b/>
          <w:bCs/>
          <w:lang w:val="en-IN"/>
        </w:rPr>
      </w:pPr>
      <w:r>
        <w:rPr>
          <w:b/>
          <w:bCs/>
          <w:lang w:val="en-IN"/>
        </w:rPr>
        <w:t>Segmentation</w:t>
      </w:r>
    </w:p>
    <w:p w14:paraId="347056E6">
      <w:pPr>
        <w:rPr>
          <w:lang w:val="en-IN"/>
        </w:rPr>
      </w:pPr>
      <w:r>
        <w:rPr>
          <w:lang w:val="en-IN"/>
        </w:rPr>
        <w:t xml:space="preserve">Market segmentation is the system of breaking down the broader market into more defined and smaller groups of consumers. Customer segmentation is beneficial as it helps in making accurate marketing strategies, which leads to more efficient resource allocation and better identification of customer needs. </w:t>
      </w:r>
    </w:p>
    <w:p w14:paraId="453234EA">
      <w:pPr>
        <w:rPr>
          <w:b/>
          <w:bCs/>
          <w:u w:val="single"/>
          <w:lang w:val="en-IN"/>
        </w:rPr>
      </w:pPr>
      <w:r>
        <w:rPr>
          <w:b/>
          <w:bCs/>
          <w:u w:val="single"/>
          <w:lang w:val="en-IN"/>
        </w:rPr>
        <w:t>Geographic details</w:t>
      </w:r>
    </w:p>
    <w:p w14:paraId="5B356F17">
      <w:pPr>
        <w:rPr>
          <w:lang w:val="en-IN"/>
        </w:rPr>
      </w:pPr>
      <w:r>
        <w:rPr>
          <w:lang w:val="en-IN"/>
        </w:rPr>
        <w:t>Geographic customer segmentation consists of nations, states, regions, cities, countries, population density and others (</w:t>
      </w:r>
      <w:r>
        <w:t>Kotler et al. 2020).</w:t>
      </w:r>
      <w:r>
        <w:rPr>
          <w:lang w:val="en-IN"/>
        </w:rPr>
        <w:t xml:space="preserve"> Dove has a presence in more than 80 countries, and it is the No.1 dermatologist-tested brand in countries like Canada, the US and France. Besides, Dove has 100% recycled plastic bottles in Europe and North America since 2019, revealing the commitment to 100% recyclable, reusable and compostable plastic packaging in the portfolio (</w:t>
      </w:r>
      <w:r>
        <w:t>Unilever, 2023)</w:t>
      </w:r>
      <w:r>
        <w:rPr>
          <w:lang w:val="en-IN"/>
        </w:rPr>
        <w:t>. As per EY (2026), EU regulations (Packaging and Packaging Waste Regulation (PPWR) and Ecodesign for Sustainable Products Regulation (ESPR)) and global policy shifts are reshaping circularity, prioritising supply chain resilience and forcing organisations to make eco-design of packaging. Thus, the main markets for Dove haircare refills would be Europe and North America, where consumer demand and regulatory pressure exist for sustainable packaging.</w:t>
      </w:r>
    </w:p>
    <w:p w14:paraId="1896E2BD">
      <w:pPr>
        <w:rPr>
          <w:b/>
          <w:bCs/>
          <w:u w:val="single"/>
          <w:lang w:val="en-IN"/>
        </w:rPr>
      </w:pPr>
      <w:r>
        <w:rPr>
          <w:b/>
          <w:bCs/>
          <w:u w:val="single"/>
          <w:lang w:val="en-IN"/>
        </w:rPr>
        <w:t>Demographic details</w:t>
      </w:r>
    </w:p>
    <w:p w14:paraId="70ED43C9">
      <w:pPr>
        <w:rPr>
          <w:lang w:val="en-IN"/>
        </w:rPr>
      </w:pPr>
      <w:r>
        <w:rPr>
          <w:lang w:val="en-IN"/>
        </w:rPr>
        <w:t>Demographic customer segmentation includes gender, age, education, occupation, income, life cycle stage, generation, religion, and ethnicity. For Dove haircare refills, the target audience would be from the ages of 18 to 40 years, with a special focus on the 25 to 40 years range (Old Gen Z and Millennials). This age bracket has a high willingness to purchase environmentally friendly products. For hair care products, both males and females are significant target audiences as Dove’s products are curated for both genders.</w:t>
      </w:r>
    </w:p>
    <w:p w14:paraId="5AF857AC">
      <w:pPr>
        <w:rPr>
          <w:b/>
          <w:bCs/>
          <w:u w:val="single"/>
          <w:lang w:val="en-IN"/>
        </w:rPr>
      </w:pPr>
      <w:r>
        <w:rPr>
          <w:b/>
          <w:bCs/>
          <w:u w:val="single"/>
          <w:lang w:val="en-IN"/>
        </w:rPr>
        <w:t>Psychographic details</w:t>
      </w:r>
    </w:p>
    <w:p w14:paraId="0982A27B">
      <w:pPr>
        <w:rPr>
          <w:lang w:val="en-IN"/>
        </w:rPr>
      </w:pPr>
      <w:r>
        <w:rPr>
          <w:lang w:val="en-IN"/>
        </w:rPr>
        <w:t xml:space="preserve">Psychographic customer segmentation consists of personality and lifestyle. Besides, an individual's buying choices are influenced by four major psychological factors: perception, motivation, attitudes, learning, and beliefs. In the case of Dove refill products, the target segment needs to have the perception and motivation for caring about sustainability. The lifestyle of consumers for Dove Refill should be such that they prefer to reduce plastic waste. </w:t>
      </w:r>
      <w:r>
        <w:t xml:space="preserve">Jacobsen, Pedersen and Thøgersen (2022) </w:t>
      </w:r>
      <w:r>
        <w:rPr>
          <w:lang w:val="en-IN"/>
        </w:rPr>
        <w:t xml:space="preserve">noted that plastic packaging waste reduction is dependent on ability, motivation and opportunity. Social norms and environmental concerns motivate consumers to reduce plastic waste. </w:t>
      </w:r>
    </w:p>
    <w:p w14:paraId="14EAB21D">
      <w:pPr>
        <w:rPr>
          <w:b/>
          <w:bCs/>
          <w:u w:val="single"/>
          <w:lang w:val="en-IN"/>
        </w:rPr>
      </w:pPr>
      <w:r>
        <w:rPr>
          <w:b/>
          <w:bCs/>
          <w:u w:val="single"/>
          <w:lang w:val="en-IN"/>
        </w:rPr>
        <w:t>Behavioural Details</w:t>
      </w:r>
    </w:p>
    <w:p w14:paraId="4D36B863">
      <w:pPr>
        <w:rPr>
          <w:lang w:val="en-IN"/>
        </w:rPr>
      </w:pPr>
      <w:r>
        <w:rPr>
          <w:lang w:val="en-IN"/>
        </w:rPr>
        <w:t xml:space="preserve">Behavioural customer segmentation consists of benefits, loyalty status, occasions, usage rate, and user status. Dove has an already established brand loyalty, and customers prefer to buy the hair care products repeatedly. The brand extension targets those customers who are loyal, as they have already purchased from Dove, and the target is converting them into repeat Dove hair care refill customers. </w:t>
      </w:r>
    </w:p>
    <w:p w14:paraId="50D464FE">
      <w:pPr>
        <w:pStyle w:val="32"/>
        <w:numPr>
          <w:ilvl w:val="0"/>
          <w:numId w:val="1"/>
        </w:numPr>
        <w:rPr>
          <w:b/>
          <w:bCs/>
          <w:lang w:val="en-IN"/>
        </w:rPr>
      </w:pPr>
      <w:r>
        <w:rPr>
          <w:b/>
          <w:bCs/>
          <w:lang w:val="en-IN"/>
        </w:rPr>
        <w:t>Targeting</w:t>
      </w:r>
    </w:p>
    <w:p w14:paraId="2EB01169">
      <w:pPr>
        <w:rPr>
          <w:lang w:val="en-IN"/>
        </w:rPr>
      </w:pPr>
      <w:r>
        <w:rPr>
          <w:lang w:val="en-IN"/>
        </w:rPr>
        <w:t xml:space="preserve">Dove needs to evaluate the different market segments to determine the most appropriate one that can be most effective. There are different market target strategies, which include undifferentiated marketing, concentrated marketing, differentiated marketing and micromarketing. Dove haircare refill considers a concentrated marketing, where the strategy focuses on serving a particular well-defined segment of the market. </w:t>
      </w:r>
      <w:r>
        <w:t xml:space="preserve">Naaman Alkaraawi and Al-Hadrawi (2025) </w:t>
      </w:r>
      <w:r>
        <w:rPr>
          <w:lang w:val="en-IN"/>
        </w:rPr>
        <w:t>opine that, through a concentrated marketing strategy, companies disseminate hyper-personalised value offerings to a particular segment by leveraging operational fluidity, the synthesis of knowledge capital, and analytical sophistication. Thus, Dove refills mainly target environmentally conscious customers in European and North American markets. Three main points differentiate the target audience, which are as follows:</w:t>
      </w:r>
    </w:p>
    <w:p w14:paraId="1474AA70">
      <w:pPr>
        <w:pStyle w:val="32"/>
        <w:numPr>
          <w:ilvl w:val="0"/>
          <w:numId w:val="2"/>
        </w:numPr>
        <w:rPr>
          <w:lang w:val="en-IN"/>
        </w:rPr>
      </w:pPr>
      <w:r>
        <w:rPr>
          <w:lang w:val="en-IN"/>
        </w:rPr>
        <w:t xml:space="preserve">Customers have environmental awareness and hold values. </w:t>
      </w:r>
    </w:p>
    <w:p w14:paraId="4787471D">
      <w:pPr>
        <w:pStyle w:val="32"/>
        <w:numPr>
          <w:ilvl w:val="0"/>
          <w:numId w:val="2"/>
        </w:numPr>
        <w:rPr>
          <w:lang w:val="en-IN"/>
        </w:rPr>
      </w:pPr>
      <w:r>
        <w:rPr>
          <w:lang w:val="en-IN"/>
        </w:rPr>
        <w:t>Current users of Dove.</w:t>
      </w:r>
    </w:p>
    <w:p w14:paraId="4999A3D8">
      <w:pPr>
        <w:pStyle w:val="32"/>
        <w:numPr>
          <w:ilvl w:val="0"/>
          <w:numId w:val="2"/>
        </w:numPr>
        <w:rPr>
          <w:lang w:val="en-IN"/>
        </w:rPr>
      </w:pPr>
      <w:r>
        <w:rPr>
          <w:lang w:val="en-IN"/>
        </w:rPr>
        <w:t xml:space="preserve">Thinking practically and logically, rather than just following principles and ideas. </w:t>
      </w:r>
    </w:p>
    <w:p w14:paraId="20E23040">
      <w:pPr>
        <w:rPr>
          <w:lang w:val="en-IN"/>
        </w:rPr>
      </w:pPr>
      <w:r>
        <w:rPr>
          <w:lang w:val="en-IN"/>
        </w:rPr>
        <w:t xml:space="preserve">This target audience is appropriate as it focuses on the current Dove users, along with the sustainability-conscious customers. Besides, Dove haircare refills include a subscription refill program for the target audience. The subscription refill program has an expectation to increase from 8.3 billion in 2026 to 18.7 billion in 2036, showing about 8.4% of CAGR. Thus, Dove captures the current loyal customers and targets people between the ages of 18 and 40 years, with a special focus on the 25 to 40 years range. This age group of people would be more inclined towards taking a subscription refill program as they hold environmental values. </w:t>
      </w:r>
    </w:p>
    <w:p w14:paraId="52CDC886">
      <w:pPr>
        <w:pStyle w:val="32"/>
        <w:numPr>
          <w:ilvl w:val="0"/>
          <w:numId w:val="1"/>
        </w:numPr>
        <w:rPr>
          <w:b/>
          <w:bCs/>
          <w:lang w:val="en-IN"/>
        </w:rPr>
      </w:pPr>
      <w:r>
        <w:rPr>
          <w:b/>
          <w:bCs/>
          <w:lang w:val="en-IN"/>
        </w:rPr>
        <w:t>Differentiation</w:t>
      </w:r>
    </w:p>
    <w:p w14:paraId="03B34653">
      <w:pPr>
        <w:rPr>
          <w:lang w:val="en-IN"/>
        </w:rPr>
      </w:pPr>
      <w:r>
        <w:rPr>
          <w:lang w:val="en-IN"/>
        </w:rPr>
        <w:t xml:space="preserve">Differentiation is the identification of the competitive advantage that sets a brand apart from its competitors through its superior services, unique product features and strong brand image. The competitors, like a global cosmetic firm, L'Oréal, have introduced shampoo refills in its Elvive hair care range. The objective of the refill pouch is to target environmentally conscious customers and provide responsible solutions. Similarly, Dove haircare also has this objective. However, Dove differentiates its product by launching the refill products for big retailers and supermarkets, where Dove already has a large base. Competitors like L’Oréal lack such a presence in supermarkets. Further, Dove refill distinguishes its product by recycling the returned refill pouches into new materials. </w:t>
      </w:r>
    </w:p>
    <w:p w14:paraId="0B85B1E1">
      <w:pPr>
        <w:pStyle w:val="32"/>
        <w:numPr>
          <w:ilvl w:val="0"/>
          <w:numId w:val="1"/>
        </w:numPr>
        <w:rPr>
          <w:b/>
          <w:bCs/>
          <w:lang w:val="en-IN"/>
        </w:rPr>
      </w:pPr>
      <w:r>
        <w:rPr>
          <w:b/>
          <w:bCs/>
          <w:lang w:val="en-IN"/>
        </w:rPr>
        <w:t xml:space="preserve"> Positioning</w:t>
      </w:r>
    </w:p>
    <w:p w14:paraId="2D786171">
      <w:pPr>
        <w:rPr>
          <w:lang w:val="en-IN"/>
        </w:rPr>
      </w:pPr>
      <w:r>
        <w:rPr>
          <w:lang w:val="en-IN"/>
        </w:rPr>
        <w:t xml:space="preserve">Positioning is defined as how a product is perceived by customers relative to competitors, through the selection of an appropriate value proposition. Below is the positioning of the sustainable brand extension: </w:t>
      </w:r>
    </w:p>
    <w:p w14:paraId="0D493C32">
      <w:pPr>
        <w:jc w:val="center"/>
        <w:rPr>
          <w:b/>
          <w:bCs/>
          <w:lang w:val="en-IN"/>
        </w:rPr>
      </w:pPr>
      <w:r>
        <w:rPr>
          <w:b/>
          <w:bCs/>
          <w:lang w:val="en-IN"/>
        </w:rPr>
        <w:t>Figure 1: Positioning for DOVE Haircare Refill</w:t>
      </w:r>
    </w:p>
    <w:p w14:paraId="6E2530B0">
      <w:pPr>
        <w:jc w:val="center"/>
        <w:rPr>
          <w:lang w:val="en-IN"/>
        </w:rPr>
      </w:pPr>
      <w:r>
        <w:rPr>
          <w:lang w:val="en-IN"/>
        </w:rPr>
        <w:drawing>
          <wp:inline distT="0" distB="0" distL="0" distR="0">
            <wp:extent cx="4279900" cy="3345180"/>
            <wp:effectExtent l="0" t="0" r="6350" b="7620"/>
            <wp:docPr id="1678874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874119" name="Picture 1"/>
                    <pic:cNvPicPr>
                      <a:picLocks noChangeAspect="1"/>
                    </pic:cNvPicPr>
                  </pic:nvPicPr>
                  <pic:blipFill>
                    <a:blip r:embed="rId9"/>
                    <a:stretch>
                      <a:fillRect/>
                    </a:stretch>
                  </pic:blipFill>
                  <pic:spPr>
                    <a:xfrm>
                      <a:off x="0" y="0"/>
                      <a:ext cx="4296613" cy="3358841"/>
                    </a:xfrm>
                    <a:prstGeom prst="rect">
                      <a:avLst/>
                    </a:prstGeom>
                  </pic:spPr>
                </pic:pic>
              </a:graphicData>
            </a:graphic>
          </wp:inline>
        </w:drawing>
      </w:r>
    </w:p>
    <w:p w14:paraId="3B8139DA">
      <w:pPr>
        <w:pStyle w:val="2"/>
        <w:rPr>
          <w:lang w:val="en-IN"/>
        </w:rPr>
      </w:pPr>
      <w:bookmarkStart w:id="2" w:name="_Toc233915767"/>
      <w:r>
        <w:rPr>
          <w:lang w:val="en-IN"/>
        </w:rPr>
        <w:t>Element 3: Marketing Mix</w:t>
      </w:r>
      <w:bookmarkEnd w:id="2"/>
    </w:p>
    <w:p w14:paraId="5E8672AC">
      <w:pPr>
        <w:rPr>
          <w:lang w:val="en-IN"/>
        </w:rPr>
      </w:pPr>
      <w:r>
        <w:rPr>
          <w:lang w:val="en-IN"/>
        </w:rPr>
        <w:t xml:space="preserve">The marketing mix includes the activities of organisations for enhancing the appeal of the goods and services. The activities are categorised as the four Ps of marketing: price, product, promotion and place. Later, it expanded into three additional Ps, which are process, people and physical evidence. For Dove haircare refill, this section will mainly focus on the 4 Ps. </w:t>
      </w:r>
    </w:p>
    <w:p w14:paraId="66EA1406">
      <w:pPr>
        <w:pStyle w:val="32"/>
        <w:numPr>
          <w:ilvl w:val="0"/>
          <w:numId w:val="3"/>
        </w:numPr>
        <w:rPr>
          <w:b/>
          <w:bCs/>
          <w:lang w:val="en-IN"/>
        </w:rPr>
      </w:pPr>
      <w:r>
        <w:rPr>
          <w:b/>
          <w:bCs/>
          <w:lang w:val="en-IN"/>
        </w:rPr>
        <w:t xml:space="preserve">Product </w:t>
      </w:r>
    </w:p>
    <w:p w14:paraId="3D0F231D">
      <w:pPr>
        <w:rPr>
          <w:lang w:val="en-IN"/>
        </w:rPr>
      </w:pPr>
      <w:r>
        <w:rPr>
          <w:lang w:val="en-IN"/>
        </w:rPr>
        <w:t xml:space="preserve">In the marketing mix, products are the solutions to the problems faced by customers or the means of fulfilling their requirements. There are multiple reasons for a customer to select one product over another, which include lifestyle and beliefs or a lower price that aligns with their preferences. For Dove Haircare Refill, the product focuses on providing a one-stop solution for environmentally conscious customers by offering refill pouches that match the current Dove haircare products, like conditioner and shampoo bottles. </w:t>
      </w:r>
      <w:r>
        <w:t xml:space="preserve">Kushwaha (2018) </w:t>
      </w:r>
      <w:r>
        <w:rPr>
          <w:lang w:val="en-IN"/>
        </w:rPr>
        <w:t xml:space="preserve">opines that when an organisation continues to produce and market sustainable goods, the demand for such products significantly increases.  Dove provides a double benefit to the environmentally conscious customers by delivering sustainable products.  </w:t>
      </w:r>
    </w:p>
    <w:p w14:paraId="08C2EFD2">
      <w:pPr>
        <w:rPr>
          <w:lang w:val="en-IN"/>
        </w:rPr>
      </w:pPr>
      <w:r>
        <w:rPr>
          <w:lang w:val="en-IN"/>
        </w:rPr>
        <w:t xml:space="preserve">First, Dove refill pouches are produced with less plastic in comparison to the normal bottles. Second, the brand shows commitment by recycling the returned pouches to create new materials. This double benefit of the brand is closely aligned with the circular economy theory. </w:t>
      </w:r>
      <w:r>
        <w:t xml:space="preserve">Purushothaman et al. </w:t>
      </w:r>
      <w:r>
        <w:rPr>
          <w:lang w:val="en-IN"/>
        </w:rPr>
        <w:t xml:space="preserve">(2025) highlighted that the circular economy provides an effective medium for enhancing business sustainability as the operations are conducted by adopting sustainable practices. It enhances engagement with particular sustainable development goals (SDGs) and satisfies the needs for environmental responsibility, resource efficiency and economic viability. This is the key aspect of DOVE for successful marketing, which is product differentiation through sustainable product offering. It helps in making sure that the market offering is outperforming the competitors in such a way that it provides benefit to the target customer. </w:t>
      </w:r>
    </w:p>
    <w:p w14:paraId="28ED855A">
      <w:pPr>
        <w:rPr>
          <w:lang w:val="en-IN"/>
        </w:rPr>
      </w:pPr>
      <w:r>
        <w:rPr>
          <w:lang w:val="en-IN"/>
        </w:rPr>
        <w:t>Dove refill focuses on eye-catching design by using appealing colours, graphics and form, which can help the product stand out from the competitors. According to the product life cycle, maturity strategies show that the company can improve profitability through product modification, where a feature or quality is improved, and market growth is obtained from expanding the number of users. Similarly, Dove haircare refill focuses on sustainable brand extension, which can help the firm to leverage the current brand equity to capitalise on the new segment.</w:t>
      </w:r>
    </w:p>
    <w:p w14:paraId="6DB9C4D2">
      <w:pPr>
        <w:pStyle w:val="32"/>
        <w:numPr>
          <w:ilvl w:val="0"/>
          <w:numId w:val="3"/>
        </w:numPr>
        <w:rPr>
          <w:b/>
          <w:bCs/>
          <w:lang w:val="en-IN"/>
        </w:rPr>
      </w:pPr>
      <w:r>
        <w:rPr>
          <w:b/>
          <w:bCs/>
          <w:lang w:val="en-IN"/>
        </w:rPr>
        <w:t xml:space="preserve">Price </w:t>
      </w:r>
    </w:p>
    <w:p w14:paraId="2747A450">
      <w:pPr>
        <w:rPr>
          <w:lang w:val="en-IN"/>
        </w:rPr>
      </w:pPr>
      <w:r>
        <w:rPr>
          <w:lang w:val="en-IN"/>
        </w:rPr>
        <w:t>Price is the second most significant element in the marketing mix, which is the value charged for any product or service. Setting a product's price is a challenging job. Fixing the price of a product requires understanding various factors, such as the cost, the product's need, the customer's ability to pay, the prices charged by competitors, and government restrictions (</w:t>
      </w:r>
      <w:r>
        <w:t>Raewf and Thabit, 2018)</w:t>
      </w:r>
      <w:r>
        <w:rPr>
          <w:lang w:val="en-IN"/>
        </w:rPr>
        <w:t xml:space="preserve">. Dove Haircare Refill selects a strategy known as value-based pricing, which is the most suitable one, as the product is focused on attracting more environmentally conscious customers, who are more inclined towards buying a sustainable refill alternative in comparison to the shampoo bottles. Further, tiered pricing method is also considered. </w:t>
      </w:r>
    </w:p>
    <w:p w14:paraId="486CF16E">
      <w:pPr>
        <w:rPr>
          <w:lang w:val="en-IN"/>
        </w:rPr>
      </w:pPr>
      <w:r>
        <w:rPr>
          <w:lang w:val="en-IN"/>
        </w:rPr>
        <w:t xml:space="preserve">A tiered-based pricing approach is a strategy where a product or service is offered at various price points.  </w:t>
      </w:r>
      <w:r>
        <w:t>Harmon, Raffo and Faulk (2005) n</w:t>
      </w:r>
      <w:r>
        <w:rPr>
          <w:lang w:val="en-IN"/>
        </w:rPr>
        <w:t xml:space="preserve">oted that tiered pricing is considered to be favourable when customers see the pricing strategy provides desirable choices and the increase in value received.  Tiers show a particular set of features, usage limits and benefits, which helps the organisation in catering to the needs of various customer and their budgets. Thus, the first tier for Dove the haircare refill pouch pricing is set at a lower price than the plastic bottles price. The second tier is a subscription-based model, where an extra discount is provided to customers for being loyal customers. Dove follows this approach initially to launch the new sustainable brand extension. </w:t>
      </w:r>
    </w:p>
    <w:p w14:paraId="16860C42">
      <w:pPr>
        <w:pStyle w:val="32"/>
        <w:numPr>
          <w:ilvl w:val="0"/>
          <w:numId w:val="3"/>
        </w:numPr>
        <w:rPr>
          <w:b/>
          <w:bCs/>
          <w:lang w:val="en-IN"/>
        </w:rPr>
      </w:pPr>
      <w:r>
        <w:rPr>
          <w:b/>
          <w:bCs/>
          <w:lang w:val="en-IN"/>
        </w:rPr>
        <w:t>Place</w:t>
      </w:r>
    </w:p>
    <w:p w14:paraId="15688B5B">
      <w:pPr>
        <w:rPr>
          <w:lang w:val="en-IN"/>
        </w:rPr>
      </w:pPr>
      <w:r>
        <w:rPr>
          <w:lang w:val="en-IN"/>
        </w:rPr>
        <w:t xml:space="preserve">Place or distribution consists of the activities which actually make the product available to the audience. Dove already has an established customer base in North America and Europe through various supermarkets and retail channels. Dove mainly uses the distribution channel of Unilever. The products are available to general stores, supermarkets, wholesalers and pharmacists. Further, online platforms are also one of the distribution channels that is increasing reach to every household. Dove can launch the refill pouches on platforms like supermarkets, general stores, medical shops, big retailers and online. Launching the product through multiple channels helps in ensuring that the sustainable brand extension is reaching different customers rather than only the environmentally conscious customers. </w:t>
      </w:r>
    </w:p>
    <w:p w14:paraId="47858713">
      <w:pPr>
        <w:rPr>
          <w:lang w:val="en-IN"/>
        </w:rPr>
      </w:pPr>
      <w:r>
        <w:rPr>
          <w:lang w:val="en-IN"/>
        </w:rPr>
        <w:t xml:space="preserve">One of the consumer behaviours is impulse buying, which Dove can focus on due to the in-store and online presence. </w:t>
      </w:r>
      <w:r>
        <w:t>Chandrasekhar et al. (2024)</w:t>
      </w:r>
      <w:r>
        <w:rPr>
          <w:lang w:val="en-IN"/>
        </w:rPr>
        <w:t xml:space="preserve"> argue that traditionally impulsive purchasing behaviour was mainly linked with the in-store shopping experience, due to strategically placed products, alluring displays and persuasive sales efforts that intensify impulsive buying decisions. However, due to the increase in mobile shopping applications and e-commerce, the horizon is broadened where impulsive buying occurs, reshaping the purchasing pattern landscape and consumer behaviour. As customers are already purchasing the products, the brand has an added advantage in driving the impulse buying behaviour related to Dove haircare refill alternative with alluring displays and strategically placed products.</w:t>
      </w:r>
    </w:p>
    <w:p w14:paraId="4EC08658">
      <w:pPr>
        <w:pStyle w:val="32"/>
        <w:numPr>
          <w:ilvl w:val="0"/>
          <w:numId w:val="3"/>
        </w:numPr>
        <w:rPr>
          <w:b/>
          <w:bCs/>
          <w:lang w:val="en-IN"/>
        </w:rPr>
      </w:pPr>
      <w:r>
        <w:rPr>
          <w:b/>
          <w:bCs/>
          <w:lang w:val="en-IN"/>
        </w:rPr>
        <w:t>Promotion</w:t>
      </w:r>
    </w:p>
    <w:p w14:paraId="44AF495C">
      <w:pPr>
        <w:rPr>
          <w:lang w:val="en-IN"/>
        </w:rPr>
      </w:pPr>
      <w:r>
        <w:rPr>
          <w:lang w:val="en-IN"/>
        </w:rPr>
        <w:t>Promotion is the communication with customers. It persuades, informs and reminds the target audience about the product, buying decisions and shapes brand awareness (</w:t>
      </w:r>
      <w:r>
        <w:t>Whitmore, 2024)</w:t>
      </w:r>
      <w:r>
        <w:rPr>
          <w:lang w:val="en-IN"/>
        </w:rPr>
        <w:t xml:space="preserve">. It helps in bridging the gap between consumer and product, reinforcing value propositions and creating emotional connections. Dove can use promotional tools like public relations, advertising, personal selling and sales promotion.  The sustainability brand extension of Dove aims to change the perspective of current customers related to environmentally friendly buying. </w:t>
      </w:r>
      <w:r>
        <w:t>Agu et al. (2024)</w:t>
      </w:r>
      <w:r>
        <w:rPr>
          <w:lang w:val="en-IN"/>
        </w:rPr>
        <w:t xml:space="preserve"> noted that businesses undertake sustainable practices to meet customer expectations, comply with regulations and enhance corporate reputation. Thus, Dove focuses on integrating sustainability into main strategies for improving operational efficiency and attracting socially and environmentally conscious customers. </w:t>
      </w:r>
    </w:p>
    <w:p w14:paraId="77A4AA49">
      <w:pPr>
        <w:rPr>
          <w:lang w:val="en-IN"/>
        </w:rPr>
      </w:pPr>
    </w:p>
    <w:p w14:paraId="34C4166A">
      <w:pPr>
        <w:pStyle w:val="2"/>
        <w:rPr>
          <w:lang w:val="en-IN"/>
        </w:rPr>
      </w:pPr>
      <w:bookmarkStart w:id="3" w:name="_Toc233915768"/>
      <w:r>
        <w:rPr>
          <w:lang w:val="en-IN"/>
        </w:rPr>
        <w:t>Element 4: Reflection</w:t>
      </w:r>
      <w:bookmarkEnd w:id="3"/>
    </w:p>
    <w:p w14:paraId="402BB43C">
      <w:pPr>
        <w:rPr>
          <w:lang w:val="en-US"/>
        </w:rPr>
      </w:pPr>
      <w:r>
        <w:rPr>
          <w:lang w:val="en-IN"/>
        </w:rPr>
        <w:t xml:space="preserve">I have contributed to and gained significant knowledge related to the development of a sustainable brand extension marketing strategy. I worked on developing the Dove brand with Dove Haircare refill. It was a challenging task. I focused on setting objectives and goals. It was a challenging task to decide on the objective, with the focus on translating Unilever's commitment to reducing plastic waste into a viable product. Then, I analysed Dove's requirements to understand the need for sustainable brand extension. For this, I analysed the annual reports, sustainability reports, and parent company Unilever’s official website to gather information about corporate social responsibility. I read that </w:t>
      </w:r>
      <w:r>
        <w:rPr>
          <w:lang w:val="en-US"/>
        </w:rPr>
        <w:t xml:space="preserve">Dove's 2025 commitment to reducing plastic waste is a 50% reduction, saving about 9,000 tonnes annually. This provided me with the opportunity to capture existing customers of Dove and launch a product that can reduce plastic waste, which also helps in meeting sustainable development goals. </w:t>
      </w:r>
    </w:p>
    <w:p w14:paraId="2149D85D">
      <w:pPr>
        <w:rPr>
          <w:lang w:val="en-US"/>
        </w:rPr>
      </w:pPr>
      <w:r>
        <w:rPr>
          <w:lang w:val="en-US"/>
        </w:rPr>
        <w:t xml:space="preserve">Poster presentation was one of the challenging tasks for me. I conducted detailed research on the Dove brand, along with identifying appropriate visuals to make it attractive for the audience. I had to make it concise, which influenced me to let go of some of the important information that I could have included because I had only 200 words. However, it helped me identify the importance of visual representation in a poster presentation. I included some visuals to communicate the brand extension strategy of Dove haircare refill. </w:t>
      </w:r>
    </w:p>
    <w:p w14:paraId="7BE80679">
      <w:pPr>
        <w:rPr>
          <w:lang w:val="en-US"/>
        </w:rPr>
      </w:pPr>
      <w:r>
        <w:rPr>
          <w:lang w:val="en-US"/>
        </w:rPr>
        <w:t>Next, I conducted STDP and the 4 Ps of marketing. I continuously focused on making sure that the refill pouch has a balance of both environmental aspects and differentiated elements to give competition to rivals. While conducting STDP analysis, I learned about identifying the target segment that can be profitable as well as fulfil environmental goals. I applied my theoretical knowledge of the 4 Ps of marketing into practice, which helped me understand various concepts like tiered-based pricing, different distribution channels and promotional tools for a real-world organisation.</w:t>
      </w:r>
    </w:p>
    <w:p w14:paraId="72695C70">
      <w:pPr>
        <w:rPr>
          <w:lang w:val="en-US"/>
        </w:rPr>
      </w:pPr>
      <w:r>
        <w:rPr>
          <w:lang w:val="en-US"/>
        </w:rPr>
        <w:t xml:space="preserve">In the process, I developed some important skills.  I enhanced my research and analytical skills, where I conducted secondary research for identifying company related information and data, along with applying academic theories and marketing principles. I have learned about evidence-based research and the application of the same into the marketing domain. I understood how the company reports about the sustainability factors through corporate websites. Other skills I developed are presenting clear visual design and turning complex research into engaging and short story. Lastly, I enhanced my communication skills </w:t>
      </w:r>
    </w:p>
    <w:p w14:paraId="1F767B6B">
      <w:pPr>
        <w:rPr>
          <w:lang w:val="en-US"/>
        </w:rPr>
      </w:pPr>
      <w:r>
        <w:rPr>
          <w:lang w:val="en-US"/>
        </w:rPr>
        <w:t xml:space="preserve">Professionally, this task has helped me strengthen my theoretical knowledge, boost my confidence, and motivated me to present evidence-based findings. I am more confident in my capability to work in the future marketing domain. I have enhanced my knowledge of marketing, which makes me ready for working in marketing roles. Further, I am now confident in preparing presentations and deliver in corporate meetings. </w:t>
      </w:r>
    </w:p>
    <w:p w14:paraId="5B912815">
      <w:pPr>
        <w:rPr>
          <w:lang w:val="en-US"/>
        </w:rPr>
      </w:pPr>
      <w:r>
        <w:rPr>
          <w:lang w:val="en-US"/>
        </w:rPr>
        <w:t xml:space="preserve">Personally, I have learnt the importance of meeting deadlines and getting critical comments. I am more confident now to communicate my perspective to people. I look forward to give my opinion to people and learning from them. </w:t>
      </w:r>
    </w:p>
    <w:p w14:paraId="05A8AF9E">
      <w:pPr>
        <w:jc w:val="left"/>
        <w:rPr>
          <w:rFonts w:eastAsiaTheme="majorEastAsia" w:cstheme="majorBidi"/>
          <w:b/>
          <w:szCs w:val="40"/>
          <w:lang w:val="en-IN"/>
        </w:rPr>
      </w:pPr>
      <w:bookmarkStart w:id="4" w:name="_Toc233915769"/>
      <w:r>
        <w:rPr>
          <w:lang w:val="en-IN"/>
        </w:rPr>
        <w:br w:type="page"/>
      </w:r>
    </w:p>
    <w:p w14:paraId="609964B5">
      <w:pPr>
        <w:pStyle w:val="2"/>
        <w:rPr>
          <w:lang w:val="en-IN"/>
        </w:rPr>
      </w:pPr>
      <w:r>
        <w:rPr>
          <w:lang w:val="en-IN"/>
        </w:rPr>
        <w:t>References</w:t>
      </w:r>
      <w:bookmarkEnd w:id="4"/>
    </w:p>
    <w:p w14:paraId="05F566CE">
      <w:pPr>
        <w:rPr>
          <w:lang w:val="en-IN"/>
        </w:rPr>
      </w:pPr>
      <w:r>
        <w:t>Agu, E.E., Iyelolu, T.V., Idemudia, C. and Ijomah, T.I. (2024) ‘Exploring the relationship between sustainable business practices and increased brand loyalty’, </w:t>
      </w:r>
      <w:r>
        <w:rPr>
          <w:i/>
          <w:iCs/>
        </w:rPr>
        <w:t>International Journal of Management &amp; Entrepreneurship Research</w:t>
      </w:r>
      <w:r>
        <w:t>, </w:t>
      </w:r>
      <w:r>
        <w:rPr>
          <w:i/>
          <w:iCs/>
        </w:rPr>
        <w:t>6</w:t>
      </w:r>
      <w:r>
        <w:t>(8), pp.2463-2475.</w:t>
      </w:r>
    </w:p>
    <w:p w14:paraId="3275ADBA">
      <w:r>
        <w:t>Chandrasekhar, K., Das, S., Gupta, N. and Jena, S.K. (2024) ‘Comparative analysis of impulse buying behaviour across retail channels: a study of physical stores, e-commerce websites and mobile shopping apps’, </w:t>
      </w:r>
      <w:r>
        <w:rPr>
          <w:i/>
          <w:iCs/>
        </w:rPr>
        <w:t>Economic Affairs</w:t>
      </w:r>
      <w:r>
        <w:t>, </w:t>
      </w:r>
      <w:r>
        <w:rPr>
          <w:i/>
          <w:iCs/>
        </w:rPr>
        <w:t>69</w:t>
      </w:r>
      <w:r>
        <w:t>(2), pp.1109-1120.</w:t>
      </w:r>
    </w:p>
    <w:p w14:paraId="67967795">
      <w:pPr>
        <w:rPr>
          <w:lang w:val="en-IN"/>
        </w:rPr>
      </w:pPr>
      <w:r>
        <w:t xml:space="preserve">EY. (2026). How will circularity rules reshape sustainable product strategy? </w:t>
      </w:r>
      <w:r>
        <w:rPr>
          <w:lang w:val="en-IN"/>
        </w:rPr>
        <w:t>Available at:</w:t>
      </w:r>
      <w:r>
        <w:fldChar w:fldCharType="begin"/>
      </w:r>
      <w:r>
        <w:instrText xml:space="preserve"> HYPERLINK "https://www.ey.com/en_ch/insights/climate-change-sustainability-services/sustainable-products-circularity-key-insights" </w:instrText>
      </w:r>
      <w:r>
        <w:fldChar w:fldCharType="separate"/>
      </w:r>
      <w:r>
        <w:rPr>
          <w:rStyle w:val="15"/>
        </w:rPr>
        <w:t>https://www.ey.com/en_ch/insights/climate-change-sustainability-services/sustainable-products-circularity-key-insights</w:t>
      </w:r>
      <w:r>
        <w:rPr>
          <w:rStyle w:val="15"/>
        </w:rPr>
        <w:fldChar w:fldCharType="end"/>
      </w:r>
      <w:r>
        <w:t xml:space="preserve"> </w:t>
      </w:r>
      <w:r>
        <w:rPr>
          <w:lang w:val="en-IN"/>
        </w:rPr>
        <w:t>(Accessed 27 June 2026).</w:t>
      </w:r>
    </w:p>
    <w:p w14:paraId="1276861E">
      <w:r>
        <w:t>Harmon, R., Raffo, D. and Faulk, S. (2005) ‘Value-based pricing for new software products: strategy insights for developers’, In </w:t>
      </w:r>
      <w:r>
        <w:rPr>
          <w:i/>
          <w:iCs/>
        </w:rPr>
        <w:t>the Proceedings of the Portland International Conference on Management of Engineering and Technology</w:t>
      </w:r>
      <w:r>
        <w:t>.</w:t>
      </w:r>
    </w:p>
    <w:p w14:paraId="6803F175">
      <w:r>
        <w:t>Jacobsen, L.F., Pedersen, S. and Thøgersen, J. (2022) ‘Drivers of and barriers to consumers’ plastic packaging waste avoidance and recycling–A systematic literature review’, </w:t>
      </w:r>
      <w:r>
        <w:rPr>
          <w:i/>
          <w:iCs/>
        </w:rPr>
        <w:t>Waste Management</w:t>
      </w:r>
      <w:r>
        <w:t>, </w:t>
      </w:r>
      <w:r>
        <w:rPr>
          <w:i/>
          <w:iCs/>
        </w:rPr>
        <w:t>141</w:t>
      </w:r>
      <w:r>
        <w:t>, pp.63-78.</w:t>
      </w:r>
    </w:p>
    <w:p w14:paraId="7A52F70F">
      <w:r>
        <w:t>Kotler, P., Armstrong, G., Harris, L. and Piercy, N. (2020) </w:t>
      </w:r>
      <w:r>
        <w:rPr>
          <w:i/>
          <w:iCs/>
        </w:rPr>
        <w:t>Principles of marketing.</w:t>
      </w:r>
      <w:r>
        <w:t> 8th European edn. Harlow: Pearson.</w:t>
      </w:r>
    </w:p>
    <w:p w14:paraId="5BDCE752">
      <w:r>
        <w:t>Kushwaha, B.P. (2018) ‘Sustainable offering practices through stakeholder’s engagement’, </w:t>
      </w:r>
      <w:r>
        <w:rPr>
          <w:i/>
          <w:iCs/>
        </w:rPr>
        <w:t>Journal of Innovation for Inclusive Development</w:t>
      </w:r>
      <w:r>
        <w:t>, </w:t>
      </w:r>
      <w:r>
        <w:rPr>
          <w:i/>
          <w:iCs/>
        </w:rPr>
        <w:t>3</w:t>
      </w:r>
      <w:r>
        <w:t>(1), pp.3-9.</w:t>
      </w:r>
    </w:p>
    <w:p w14:paraId="44A30BC8">
      <w:r>
        <w:t>Naaman Alkaraawi, D. and Al-Hadrawi, B.K. (2025) ‘Concentrated Marketing and Its Role in Mitigating Customer Fluctuations’, </w:t>
      </w:r>
      <w:r>
        <w:rPr>
          <w:i/>
          <w:iCs/>
        </w:rPr>
        <w:t>Al-Furat Journal of Innovations in Management Sciences</w:t>
      </w:r>
      <w:r>
        <w:t>, </w:t>
      </w:r>
      <w:r>
        <w:rPr>
          <w:i/>
          <w:iCs/>
        </w:rPr>
        <w:t>1</w:t>
      </w:r>
      <w:r>
        <w:t>(3), pp.104-116.</w:t>
      </w:r>
    </w:p>
    <w:p w14:paraId="3E07CD13">
      <w:r>
        <w:t>Purushothaman, R., Alamelu, R., Selvabaskar, S. and Sudha, M. (2025) ‘Theories, techniques and strategies of sustainable circular economy: a systematic literature review’, </w:t>
      </w:r>
      <w:r>
        <w:rPr>
          <w:i/>
          <w:iCs/>
        </w:rPr>
        <w:t>Discover Sustainability</w:t>
      </w:r>
      <w:r>
        <w:t>, </w:t>
      </w:r>
      <w:r>
        <w:rPr>
          <w:i/>
          <w:iCs/>
        </w:rPr>
        <w:t>6</w:t>
      </w:r>
      <w:r>
        <w:t>(1), p.297.</w:t>
      </w:r>
    </w:p>
    <w:p w14:paraId="4C532E70">
      <w:r>
        <w:t>Raewf, M. and Thabit, T.H. (2018) ‘The evaluation of marketing mix elements: A case study’, </w:t>
      </w:r>
      <w:r>
        <w:rPr>
          <w:i/>
          <w:iCs/>
        </w:rPr>
        <w:t>International Journal of Social Sciences &amp; Educational Studies</w:t>
      </w:r>
      <w:r>
        <w:t>, </w:t>
      </w:r>
      <w:r>
        <w:rPr>
          <w:i/>
          <w:iCs/>
        </w:rPr>
        <w:t>4</w:t>
      </w:r>
      <w:r>
        <w:t>(4), pp.1-11.</w:t>
      </w:r>
    </w:p>
    <w:p w14:paraId="2E29650A">
      <w:pPr>
        <w:rPr>
          <w:lang w:val="en-IN"/>
        </w:rPr>
      </w:pPr>
      <w:r>
        <w:t xml:space="preserve">Tassell, C. and Aurisicchio, M. (2023) ‘Refill at home for fast-moving consumer goods: Uncovering compliant and divergent consumer behaviour’, </w:t>
      </w:r>
      <w:r>
        <w:rPr>
          <w:i/>
          <w:iCs/>
        </w:rPr>
        <w:t>Sustainable Production and Consumption</w:t>
      </w:r>
      <w:r>
        <w:t>, 39, pp.63-78.</w:t>
      </w:r>
    </w:p>
    <w:p w14:paraId="05160F1F">
      <w:pPr>
        <w:rPr>
          <w:lang w:val="en-IN"/>
        </w:rPr>
      </w:pPr>
      <w:r>
        <w:rPr>
          <w:lang w:val="en-IN"/>
        </w:rPr>
        <w:t xml:space="preserve">Unilever. (2026a) </w:t>
      </w:r>
      <w:r>
        <w:rPr>
          <w:i/>
          <w:iCs/>
          <w:lang w:val="en-IN"/>
        </w:rPr>
        <w:t>Care for the Planet: Our plastic mission</w:t>
      </w:r>
      <w:r>
        <w:rPr>
          <w:lang w:val="en-IN"/>
        </w:rPr>
        <w:t xml:space="preserve">. Available at: </w:t>
      </w:r>
      <w:r>
        <w:fldChar w:fldCharType="begin"/>
      </w:r>
      <w:r>
        <w:instrText xml:space="preserve"> HYPERLINK "https://www.dove.com/ca/en/stories/about-dove/plastics-commitment.html" </w:instrText>
      </w:r>
      <w:r>
        <w:fldChar w:fldCharType="separate"/>
      </w:r>
      <w:r>
        <w:rPr>
          <w:rStyle w:val="15"/>
          <w:lang w:val="en-IN"/>
        </w:rPr>
        <w:t>https://www.dove.com/ca/en/stories/about-dove/plastics-commitment.html</w:t>
      </w:r>
      <w:r>
        <w:rPr>
          <w:rStyle w:val="15"/>
          <w:lang w:val="en-IN"/>
        </w:rPr>
        <w:fldChar w:fldCharType="end"/>
      </w:r>
      <w:r>
        <w:rPr>
          <w:lang w:val="en-IN"/>
        </w:rPr>
        <w:t xml:space="preserve"> (Accessed 27 June 2026).</w:t>
      </w:r>
    </w:p>
    <w:p w14:paraId="3A4ECD9D">
      <w:pPr>
        <w:rPr>
          <w:lang w:val="en-IN"/>
        </w:rPr>
      </w:pPr>
      <w:r>
        <w:rPr>
          <w:lang w:val="en-IN"/>
        </w:rPr>
        <w:t xml:space="preserve">Unilever. (2026b) </w:t>
      </w:r>
      <w:r>
        <w:rPr>
          <w:i/>
          <w:iCs/>
          <w:lang w:val="en-IN"/>
        </w:rPr>
        <w:t>How Unilever is working to end plastic waste</w:t>
      </w:r>
      <w:r>
        <w:rPr>
          <w:lang w:val="en-IN"/>
        </w:rPr>
        <w:t xml:space="preserve">. Available at: </w:t>
      </w:r>
      <w:r>
        <w:fldChar w:fldCharType="begin"/>
      </w:r>
      <w:r>
        <w:instrText xml:space="preserve"> HYPERLINK "https://www.unilever.com/sustainability/plastics/" \l "using-less-virgin-plastic" </w:instrText>
      </w:r>
      <w:r>
        <w:fldChar w:fldCharType="separate"/>
      </w:r>
      <w:r>
        <w:rPr>
          <w:rStyle w:val="15"/>
          <w:lang w:val="en-IN"/>
        </w:rPr>
        <w:t>https://www.unilever.com/sustainability/plastics/#using-less-virgin-plastic</w:t>
      </w:r>
      <w:r>
        <w:rPr>
          <w:rStyle w:val="15"/>
          <w:lang w:val="en-IN"/>
        </w:rPr>
        <w:fldChar w:fldCharType="end"/>
      </w:r>
      <w:r>
        <w:rPr>
          <w:lang w:val="en-IN"/>
        </w:rPr>
        <w:t xml:space="preserve"> (Accessed 27 June 2026).</w:t>
      </w:r>
    </w:p>
    <w:p w14:paraId="7C32C018">
      <w:pPr>
        <w:rPr>
          <w:lang w:val="en-IN"/>
        </w:rPr>
      </w:pPr>
      <w:r>
        <w:t xml:space="preserve">Unilever. 2023. Behind the brand: Dove’s products, purpose and commitment to care. </w:t>
      </w:r>
      <w:r>
        <w:rPr>
          <w:lang w:val="en-IN"/>
        </w:rPr>
        <w:t xml:space="preserve">Available at: </w:t>
      </w:r>
      <w:r>
        <w:fldChar w:fldCharType="begin"/>
      </w:r>
      <w:r>
        <w:instrText xml:space="preserve"> HYPERLINK "https://www.unilever.com/news/news-search/2023/behind-the-brand-doves-products-purpose-and-commitment-to-care/" </w:instrText>
      </w:r>
      <w:r>
        <w:fldChar w:fldCharType="separate"/>
      </w:r>
      <w:r>
        <w:rPr>
          <w:rStyle w:val="15"/>
        </w:rPr>
        <w:t>https://www.unilever.com/news/news-search/2023/behind-the-brand-doves-products-purpose-and-commitment-to-care/</w:t>
      </w:r>
      <w:r>
        <w:rPr>
          <w:rStyle w:val="15"/>
        </w:rPr>
        <w:fldChar w:fldCharType="end"/>
      </w:r>
      <w:r>
        <w:t xml:space="preserve"> </w:t>
      </w:r>
      <w:r>
        <w:rPr>
          <w:lang w:val="en-IN"/>
        </w:rPr>
        <w:t>(Accessed 27 June 2026).</w:t>
      </w:r>
    </w:p>
    <w:p w14:paraId="42006489">
      <w:r>
        <w:t xml:space="preserve">Whitmore, J.R. (2024) ‘The 4 Ps of Marketing Explained: A Comprehensive Guide to Product, Price, Place, and Promotion’, </w:t>
      </w:r>
      <w:r>
        <w:rPr>
          <w:i/>
          <w:iCs/>
        </w:rPr>
        <w:t>Journal of Magnetism and Its Applications</w:t>
      </w:r>
      <w:r>
        <w:t>, </w:t>
      </w:r>
      <w:r>
        <w:rPr>
          <w:i/>
          <w:iCs/>
        </w:rPr>
        <w:t>4</w:t>
      </w:r>
      <w:r>
        <w:t>(2), pp.1-3.</w:t>
      </w:r>
    </w:p>
    <w:sectPr>
      <w:headerReference r:id="rId5" w:type="default"/>
      <w:pgSz w:w="11906" w:h="16838"/>
      <w:pgMar w:top="1440" w:right="1440" w:bottom="1440" w:left="1440" w:header="708" w:footer="708" w:gutter="0"/>
      <w:pgBorders w:offsetFrom="page">
        <w:top w:val="dotted" w:color="auto" w:sz="4" w:space="24"/>
        <w:left w:val="dotted" w:color="auto" w:sz="4" w:space="24"/>
        <w:bottom w:val="dotted" w:color="auto" w:sz="4" w:space="24"/>
        <w:right w:val="dotted" w:color="auto" w:sz="4" w:space="24"/>
      </w:pgBorders>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ptos">
    <w:altName w:val="Segoe UI"/>
    <w:panose1 w:val="00000000000000000000"/>
    <w:charset w:val="86"/>
    <w:family w:val="swiss"/>
    <w:pitch w:val="default"/>
    <w:sig w:usb0="00000000" w:usb1="00000000" w:usb2="00000000" w:usb3="00000000" w:csb0="0000019F" w:csb1="00000000"/>
  </w:font>
  <w:font w:name="Aptos">
    <w:altName w:val="Segoe UI"/>
    <w:panose1 w:val="00000000000000000000"/>
    <w:charset w:val="00"/>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Aptos Display">
    <w:altName w:val="Segoe UI Variable Display"/>
    <w:panose1 w:val="00000000000000000000"/>
    <w:charset w:val="00"/>
    <w:family w:val="swiss"/>
    <w:pitch w:val="default"/>
    <w:sig w:usb0="00000000" w:usb1="00000000" w:usb2="00000000" w:usb3="00000000" w:csb0="0000019F" w:csb1="00000000"/>
  </w:font>
  <w:font w:name="等线">
    <w:altName w:val="Microsoft YaHei"/>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25441711"/>
      <w:docPartObj>
        <w:docPartGallery w:val="AutoText"/>
      </w:docPartObj>
    </w:sdtPr>
    <w:sdtContent>
      <w:p w14:paraId="6E49A893">
        <w:pPr>
          <w:pStyle w:val="14"/>
          <w:jc w:val="right"/>
        </w:pPr>
        <w:r>
          <w:fldChar w:fldCharType="begin"/>
        </w:r>
        <w:r>
          <w:instrText xml:space="preserve"> PAGE   \* MERGEFORMAT </w:instrText>
        </w:r>
        <w:r>
          <w:fldChar w:fldCharType="separate"/>
        </w:r>
        <w:r>
          <w:t>2</w:t>
        </w:r>
        <w:r>
          <w:fldChar w:fldCharType="end"/>
        </w:r>
      </w:p>
    </w:sdtContent>
  </w:sdt>
  <w:p w14:paraId="7E0BB90C">
    <w:pPr>
      <w:pStyle w:val="1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04564B3"/>
    <w:multiLevelType w:val="multilevel"/>
    <w:tmpl w:val="104564B3"/>
    <w:lvl w:ilvl="0" w:tentative="0">
      <w:start w:val="1"/>
      <w:numFmt w:val="upperLetter"/>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1E820CF4"/>
    <w:multiLevelType w:val="multilevel"/>
    <w:tmpl w:val="1E820CF4"/>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24BA304D"/>
    <w:multiLevelType w:val="multilevel"/>
    <w:tmpl w:val="24BA304D"/>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1"/>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5213"/>
    <w:rsid w:val="00003FD5"/>
    <w:rsid w:val="00014D59"/>
    <w:rsid w:val="000209B5"/>
    <w:rsid w:val="00022439"/>
    <w:rsid w:val="0003320B"/>
    <w:rsid w:val="00033F07"/>
    <w:rsid w:val="000346CB"/>
    <w:rsid w:val="00035DC1"/>
    <w:rsid w:val="00036A89"/>
    <w:rsid w:val="00036FFA"/>
    <w:rsid w:val="000445AC"/>
    <w:rsid w:val="000606E3"/>
    <w:rsid w:val="00061AA3"/>
    <w:rsid w:val="0007066A"/>
    <w:rsid w:val="00072CB9"/>
    <w:rsid w:val="00076CA7"/>
    <w:rsid w:val="000925D2"/>
    <w:rsid w:val="000A0E9E"/>
    <w:rsid w:val="000B174D"/>
    <w:rsid w:val="000B17A9"/>
    <w:rsid w:val="000B7CB3"/>
    <w:rsid w:val="000D03E7"/>
    <w:rsid w:val="000D776E"/>
    <w:rsid w:val="000E0F29"/>
    <w:rsid w:val="000E4D5F"/>
    <w:rsid w:val="000F26E2"/>
    <w:rsid w:val="001012F5"/>
    <w:rsid w:val="00110422"/>
    <w:rsid w:val="00116154"/>
    <w:rsid w:val="001224CE"/>
    <w:rsid w:val="00125721"/>
    <w:rsid w:val="001267DC"/>
    <w:rsid w:val="00127085"/>
    <w:rsid w:val="00136B3B"/>
    <w:rsid w:val="00143E1A"/>
    <w:rsid w:val="00145226"/>
    <w:rsid w:val="0014611B"/>
    <w:rsid w:val="0014750B"/>
    <w:rsid w:val="00147A0E"/>
    <w:rsid w:val="001512A6"/>
    <w:rsid w:val="0015675F"/>
    <w:rsid w:val="00160B87"/>
    <w:rsid w:val="00167036"/>
    <w:rsid w:val="00175637"/>
    <w:rsid w:val="001761DA"/>
    <w:rsid w:val="001875B7"/>
    <w:rsid w:val="00190E81"/>
    <w:rsid w:val="00194FD7"/>
    <w:rsid w:val="001A5AAC"/>
    <w:rsid w:val="001A5BEB"/>
    <w:rsid w:val="001A6969"/>
    <w:rsid w:val="001A7FBA"/>
    <w:rsid w:val="001B20B6"/>
    <w:rsid w:val="001B3503"/>
    <w:rsid w:val="001B7898"/>
    <w:rsid w:val="001C71DB"/>
    <w:rsid w:val="001D0F71"/>
    <w:rsid w:val="001D1D8C"/>
    <w:rsid w:val="001D6764"/>
    <w:rsid w:val="001D7860"/>
    <w:rsid w:val="001F03D6"/>
    <w:rsid w:val="001F12FB"/>
    <w:rsid w:val="00200428"/>
    <w:rsid w:val="00203F54"/>
    <w:rsid w:val="002050EC"/>
    <w:rsid w:val="002112AE"/>
    <w:rsid w:val="00215079"/>
    <w:rsid w:val="002172EA"/>
    <w:rsid w:val="0023562E"/>
    <w:rsid w:val="00235962"/>
    <w:rsid w:val="00236F40"/>
    <w:rsid w:val="00241933"/>
    <w:rsid w:val="00242957"/>
    <w:rsid w:val="00252073"/>
    <w:rsid w:val="00256C70"/>
    <w:rsid w:val="00265D50"/>
    <w:rsid w:val="002758CD"/>
    <w:rsid w:val="0027607F"/>
    <w:rsid w:val="00281A67"/>
    <w:rsid w:val="00294D01"/>
    <w:rsid w:val="002B179D"/>
    <w:rsid w:val="002B7802"/>
    <w:rsid w:val="002C18A9"/>
    <w:rsid w:val="002C2110"/>
    <w:rsid w:val="002C50C3"/>
    <w:rsid w:val="002C5406"/>
    <w:rsid w:val="002C56A6"/>
    <w:rsid w:val="002C6F5E"/>
    <w:rsid w:val="002D5A69"/>
    <w:rsid w:val="002F6FE7"/>
    <w:rsid w:val="002F742F"/>
    <w:rsid w:val="00302DCA"/>
    <w:rsid w:val="00305224"/>
    <w:rsid w:val="00311A6F"/>
    <w:rsid w:val="00316677"/>
    <w:rsid w:val="00320BD0"/>
    <w:rsid w:val="00321B77"/>
    <w:rsid w:val="003314F9"/>
    <w:rsid w:val="00334659"/>
    <w:rsid w:val="00334A61"/>
    <w:rsid w:val="003362DE"/>
    <w:rsid w:val="00344108"/>
    <w:rsid w:val="00344E69"/>
    <w:rsid w:val="0034638A"/>
    <w:rsid w:val="00346EA3"/>
    <w:rsid w:val="00352179"/>
    <w:rsid w:val="003556ED"/>
    <w:rsid w:val="00362549"/>
    <w:rsid w:val="003644AA"/>
    <w:rsid w:val="00377F07"/>
    <w:rsid w:val="003818EA"/>
    <w:rsid w:val="00387632"/>
    <w:rsid w:val="00387F51"/>
    <w:rsid w:val="00392B1C"/>
    <w:rsid w:val="003930BC"/>
    <w:rsid w:val="0039422B"/>
    <w:rsid w:val="003961DC"/>
    <w:rsid w:val="003961DE"/>
    <w:rsid w:val="00396837"/>
    <w:rsid w:val="003A520C"/>
    <w:rsid w:val="003B1833"/>
    <w:rsid w:val="003B4DFC"/>
    <w:rsid w:val="003C26B0"/>
    <w:rsid w:val="003C3917"/>
    <w:rsid w:val="003C5B2D"/>
    <w:rsid w:val="003C7B1E"/>
    <w:rsid w:val="003D2A2F"/>
    <w:rsid w:val="003D43EA"/>
    <w:rsid w:val="003D5C36"/>
    <w:rsid w:val="003D6D1E"/>
    <w:rsid w:val="003D7E05"/>
    <w:rsid w:val="003E2A8F"/>
    <w:rsid w:val="003E41C8"/>
    <w:rsid w:val="003E50E9"/>
    <w:rsid w:val="003E518E"/>
    <w:rsid w:val="003F4D51"/>
    <w:rsid w:val="004009A9"/>
    <w:rsid w:val="0041541E"/>
    <w:rsid w:val="00415F5F"/>
    <w:rsid w:val="00420C20"/>
    <w:rsid w:val="00421148"/>
    <w:rsid w:val="004228A2"/>
    <w:rsid w:val="00424BF2"/>
    <w:rsid w:val="0043115C"/>
    <w:rsid w:val="004315E1"/>
    <w:rsid w:val="004404FF"/>
    <w:rsid w:val="00447BE9"/>
    <w:rsid w:val="00453311"/>
    <w:rsid w:val="00461B3C"/>
    <w:rsid w:val="00462DD7"/>
    <w:rsid w:val="00465913"/>
    <w:rsid w:val="004753BB"/>
    <w:rsid w:val="004802A1"/>
    <w:rsid w:val="004B6F5F"/>
    <w:rsid w:val="004E0728"/>
    <w:rsid w:val="004E5318"/>
    <w:rsid w:val="004E565C"/>
    <w:rsid w:val="004E598B"/>
    <w:rsid w:val="004E6C1B"/>
    <w:rsid w:val="004F494E"/>
    <w:rsid w:val="004F7A91"/>
    <w:rsid w:val="005029CF"/>
    <w:rsid w:val="005052B0"/>
    <w:rsid w:val="00507249"/>
    <w:rsid w:val="00513602"/>
    <w:rsid w:val="00525AD0"/>
    <w:rsid w:val="005352DE"/>
    <w:rsid w:val="00535A7E"/>
    <w:rsid w:val="005360F8"/>
    <w:rsid w:val="00546829"/>
    <w:rsid w:val="0056211C"/>
    <w:rsid w:val="0057040D"/>
    <w:rsid w:val="00585D58"/>
    <w:rsid w:val="00586CCC"/>
    <w:rsid w:val="00595C42"/>
    <w:rsid w:val="005A3FCE"/>
    <w:rsid w:val="005A52DC"/>
    <w:rsid w:val="005A7778"/>
    <w:rsid w:val="005B6C3D"/>
    <w:rsid w:val="005B6D6B"/>
    <w:rsid w:val="005C4DC0"/>
    <w:rsid w:val="005D0157"/>
    <w:rsid w:val="005D1B91"/>
    <w:rsid w:val="005D7044"/>
    <w:rsid w:val="005F099F"/>
    <w:rsid w:val="00620594"/>
    <w:rsid w:val="0062081E"/>
    <w:rsid w:val="006347D7"/>
    <w:rsid w:val="0063700A"/>
    <w:rsid w:val="00640722"/>
    <w:rsid w:val="00644699"/>
    <w:rsid w:val="0066093A"/>
    <w:rsid w:val="00661883"/>
    <w:rsid w:val="00662749"/>
    <w:rsid w:val="0067234C"/>
    <w:rsid w:val="006749EB"/>
    <w:rsid w:val="00682B07"/>
    <w:rsid w:val="006912EC"/>
    <w:rsid w:val="00697466"/>
    <w:rsid w:val="006B4A01"/>
    <w:rsid w:val="006B5213"/>
    <w:rsid w:val="006B5FAF"/>
    <w:rsid w:val="006B6E3E"/>
    <w:rsid w:val="006C2F63"/>
    <w:rsid w:val="006C35CD"/>
    <w:rsid w:val="006C41C6"/>
    <w:rsid w:val="006C5BF1"/>
    <w:rsid w:val="006E008A"/>
    <w:rsid w:val="006F0097"/>
    <w:rsid w:val="006F42A2"/>
    <w:rsid w:val="006F65FF"/>
    <w:rsid w:val="007015E7"/>
    <w:rsid w:val="00705426"/>
    <w:rsid w:val="0072295A"/>
    <w:rsid w:val="00724026"/>
    <w:rsid w:val="00731F14"/>
    <w:rsid w:val="007442FA"/>
    <w:rsid w:val="00750860"/>
    <w:rsid w:val="00750FAB"/>
    <w:rsid w:val="007518CB"/>
    <w:rsid w:val="0075278E"/>
    <w:rsid w:val="007626AB"/>
    <w:rsid w:val="00767FD7"/>
    <w:rsid w:val="007775E4"/>
    <w:rsid w:val="00780500"/>
    <w:rsid w:val="007903EC"/>
    <w:rsid w:val="00793810"/>
    <w:rsid w:val="0079573F"/>
    <w:rsid w:val="007B2FDC"/>
    <w:rsid w:val="007B4BF7"/>
    <w:rsid w:val="007B56DC"/>
    <w:rsid w:val="007C18E4"/>
    <w:rsid w:val="007C1B83"/>
    <w:rsid w:val="007C79DF"/>
    <w:rsid w:val="007D4B12"/>
    <w:rsid w:val="007F322E"/>
    <w:rsid w:val="007F4D06"/>
    <w:rsid w:val="00802454"/>
    <w:rsid w:val="00806932"/>
    <w:rsid w:val="008118B9"/>
    <w:rsid w:val="00812FD6"/>
    <w:rsid w:val="0081456B"/>
    <w:rsid w:val="008349CD"/>
    <w:rsid w:val="00840B6B"/>
    <w:rsid w:val="00840E2E"/>
    <w:rsid w:val="00842E7B"/>
    <w:rsid w:val="00852369"/>
    <w:rsid w:val="0086379C"/>
    <w:rsid w:val="00863EA6"/>
    <w:rsid w:val="00871466"/>
    <w:rsid w:val="0087284B"/>
    <w:rsid w:val="0088042E"/>
    <w:rsid w:val="00881C00"/>
    <w:rsid w:val="008924A2"/>
    <w:rsid w:val="00893126"/>
    <w:rsid w:val="0089454A"/>
    <w:rsid w:val="00895DD8"/>
    <w:rsid w:val="008A4B96"/>
    <w:rsid w:val="008B0AA5"/>
    <w:rsid w:val="008B296F"/>
    <w:rsid w:val="008B4028"/>
    <w:rsid w:val="008B670A"/>
    <w:rsid w:val="008C15F0"/>
    <w:rsid w:val="008C1CDE"/>
    <w:rsid w:val="008C3C00"/>
    <w:rsid w:val="008C76D4"/>
    <w:rsid w:val="008D0CD3"/>
    <w:rsid w:val="008D5975"/>
    <w:rsid w:val="008D7912"/>
    <w:rsid w:val="008F121C"/>
    <w:rsid w:val="008F4D89"/>
    <w:rsid w:val="008F5254"/>
    <w:rsid w:val="008F53D7"/>
    <w:rsid w:val="0090342E"/>
    <w:rsid w:val="00907A20"/>
    <w:rsid w:val="009127ED"/>
    <w:rsid w:val="0091357E"/>
    <w:rsid w:val="00914296"/>
    <w:rsid w:val="009174E7"/>
    <w:rsid w:val="009247DE"/>
    <w:rsid w:val="00952B94"/>
    <w:rsid w:val="00955680"/>
    <w:rsid w:val="00955EED"/>
    <w:rsid w:val="009700B9"/>
    <w:rsid w:val="00985DC2"/>
    <w:rsid w:val="00997672"/>
    <w:rsid w:val="009A32C8"/>
    <w:rsid w:val="009B0CF3"/>
    <w:rsid w:val="009B32AB"/>
    <w:rsid w:val="009B368C"/>
    <w:rsid w:val="009B7336"/>
    <w:rsid w:val="009C0E83"/>
    <w:rsid w:val="009D7E3F"/>
    <w:rsid w:val="009E1167"/>
    <w:rsid w:val="009E4964"/>
    <w:rsid w:val="00A01E31"/>
    <w:rsid w:val="00A07144"/>
    <w:rsid w:val="00A12602"/>
    <w:rsid w:val="00A152D4"/>
    <w:rsid w:val="00A20347"/>
    <w:rsid w:val="00A227DD"/>
    <w:rsid w:val="00A306A4"/>
    <w:rsid w:val="00A44814"/>
    <w:rsid w:val="00A54558"/>
    <w:rsid w:val="00A6068C"/>
    <w:rsid w:val="00A719AC"/>
    <w:rsid w:val="00A73CA7"/>
    <w:rsid w:val="00A74A0C"/>
    <w:rsid w:val="00A757EA"/>
    <w:rsid w:val="00A90B02"/>
    <w:rsid w:val="00A931D8"/>
    <w:rsid w:val="00A944F6"/>
    <w:rsid w:val="00A94CAC"/>
    <w:rsid w:val="00A951D5"/>
    <w:rsid w:val="00AA2676"/>
    <w:rsid w:val="00AC2F5F"/>
    <w:rsid w:val="00AD5A2E"/>
    <w:rsid w:val="00AE057B"/>
    <w:rsid w:val="00AE1EE7"/>
    <w:rsid w:val="00AE27C4"/>
    <w:rsid w:val="00AF30F3"/>
    <w:rsid w:val="00AF59F5"/>
    <w:rsid w:val="00B01128"/>
    <w:rsid w:val="00B12415"/>
    <w:rsid w:val="00B12549"/>
    <w:rsid w:val="00B17858"/>
    <w:rsid w:val="00B20344"/>
    <w:rsid w:val="00B27B2C"/>
    <w:rsid w:val="00B310A4"/>
    <w:rsid w:val="00B41E26"/>
    <w:rsid w:val="00B4486E"/>
    <w:rsid w:val="00B53160"/>
    <w:rsid w:val="00B53BD4"/>
    <w:rsid w:val="00B53DE8"/>
    <w:rsid w:val="00B5526E"/>
    <w:rsid w:val="00B658E0"/>
    <w:rsid w:val="00B75954"/>
    <w:rsid w:val="00B770CC"/>
    <w:rsid w:val="00B779A1"/>
    <w:rsid w:val="00B82A28"/>
    <w:rsid w:val="00B87F4B"/>
    <w:rsid w:val="00B905BF"/>
    <w:rsid w:val="00B931B4"/>
    <w:rsid w:val="00B93CED"/>
    <w:rsid w:val="00B9670C"/>
    <w:rsid w:val="00B973B5"/>
    <w:rsid w:val="00BA1502"/>
    <w:rsid w:val="00BA4760"/>
    <w:rsid w:val="00BB1DC3"/>
    <w:rsid w:val="00BB1F02"/>
    <w:rsid w:val="00BD0C22"/>
    <w:rsid w:val="00BD4FA0"/>
    <w:rsid w:val="00BD64D6"/>
    <w:rsid w:val="00BE519E"/>
    <w:rsid w:val="00C04D14"/>
    <w:rsid w:val="00C172D1"/>
    <w:rsid w:val="00C200F7"/>
    <w:rsid w:val="00C4243B"/>
    <w:rsid w:val="00C42C1B"/>
    <w:rsid w:val="00C42E4D"/>
    <w:rsid w:val="00C5112D"/>
    <w:rsid w:val="00C55EB6"/>
    <w:rsid w:val="00C62EFE"/>
    <w:rsid w:val="00C72907"/>
    <w:rsid w:val="00C94414"/>
    <w:rsid w:val="00C95AA7"/>
    <w:rsid w:val="00CA1431"/>
    <w:rsid w:val="00CA17AF"/>
    <w:rsid w:val="00CA7210"/>
    <w:rsid w:val="00CB4B11"/>
    <w:rsid w:val="00CC401E"/>
    <w:rsid w:val="00CD2031"/>
    <w:rsid w:val="00CD2300"/>
    <w:rsid w:val="00CD514A"/>
    <w:rsid w:val="00CE0CE7"/>
    <w:rsid w:val="00CE21CD"/>
    <w:rsid w:val="00CE2CE3"/>
    <w:rsid w:val="00D14872"/>
    <w:rsid w:val="00D17D93"/>
    <w:rsid w:val="00D236E9"/>
    <w:rsid w:val="00D23CBB"/>
    <w:rsid w:val="00D35759"/>
    <w:rsid w:val="00D42448"/>
    <w:rsid w:val="00D51225"/>
    <w:rsid w:val="00D60B73"/>
    <w:rsid w:val="00D769D7"/>
    <w:rsid w:val="00D76D4C"/>
    <w:rsid w:val="00D7796A"/>
    <w:rsid w:val="00D948C6"/>
    <w:rsid w:val="00DA05CE"/>
    <w:rsid w:val="00DA1FAD"/>
    <w:rsid w:val="00DA2E8D"/>
    <w:rsid w:val="00DB6667"/>
    <w:rsid w:val="00DD47AB"/>
    <w:rsid w:val="00DD4A33"/>
    <w:rsid w:val="00DD69A7"/>
    <w:rsid w:val="00DD720B"/>
    <w:rsid w:val="00DE04E9"/>
    <w:rsid w:val="00DE2FA4"/>
    <w:rsid w:val="00DF057C"/>
    <w:rsid w:val="00DF495A"/>
    <w:rsid w:val="00E001D9"/>
    <w:rsid w:val="00E00924"/>
    <w:rsid w:val="00E01A82"/>
    <w:rsid w:val="00E06FFC"/>
    <w:rsid w:val="00E11E3D"/>
    <w:rsid w:val="00E143AA"/>
    <w:rsid w:val="00E17471"/>
    <w:rsid w:val="00E205AB"/>
    <w:rsid w:val="00E20CE7"/>
    <w:rsid w:val="00E22AF7"/>
    <w:rsid w:val="00E237A0"/>
    <w:rsid w:val="00E329F1"/>
    <w:rsid w:val="00E35753"/>
    <w:rsid w:val="00E42B33"/>
    <w:rsid w:val="00E4718C"/>
    <w:rsid w:val="00E5267D"/>
    <w:rsid w:val="00E66DE1"/>
    <w:rsid w:val="00E672DC"/>
    <w:rsid w:val="00E723CB"/>
    <w:rsid w:val="00E77D80"/>
    <w:rsid w:val="00E83B88"/>
    <w:rsid w:val="00EA2501"/>
    <w:rsid w:val="00EA35B2"/>
    <w:rsid w:val="00EB23EA"/>
    <w:rsid w:val="00EB78B2"/>
    <w:rsid w:val="00EC0324"/>
    <w:rsid w:val="00EC495F"/>
    <w:rsid w:val="00EC57D7"/>
    <w:rsid w:val="00ED3C89"/>
    <w:rsid w:val="00EE07A7"/>
    <w:rsid w:val="00F02468"/>
    <w:rsid w:val="00F108FB"/>
    <w:rsid w:val="00F130AD"/>
    <w:rsid w:val="00F201FF"/>
    <w:rsid w:val="00F21E4C"/>
    <w:rsid w:val="00F23774"/>
    <w:rsid w:val="00F33D72"/>
    <w:rsid w:val="00F454EA"/>
    <w:rsid w:val="00F52AE1"/>
    <w:rsid w:val="00F57D3F"/>
    <w:rsid w:val="00F65817"/>
    <w:rsid w:val="00F73E83"/>
    <w:rsid w:val="00F8251E"/>
    <w:rsid w:val="00F84ECE"/>
    <w:rsid w:val="00F85295"/>
    <w:rsid w:val="00F86B30"/>
    <w:rsid w:val="00F86DE4"/>
    <w:rsid w:val="00FA700C"/>
    <w:rsid w:val="00FB20CA"/>
    <w:rsid w:val="00FB60FC"/>
    <w:rsid w:val="00FB79B9"/>
    <w:rsid w:val="00FC4CE4"/>
    <w:rsid w:val="00FE0236"/>
    <w:rsid w:val="00FF4AF4"/>
    <w:rsid w:val="00FF7966"/>
    <w:rsid w:val="00FF7A08"/>
    <w:rsid w:val="4B4730C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jc w:val="both"/>
    </w:pPr>
    <w:rPr>
      <w:rFonts w:ascii="Arial" w:hAnsi="Arial" w:eastAsiaTheme="minorHAnsi" w:cstheme="minorBidi"/>
      <w:kern w:val="2"/>
      <w:sz w:val="24"/>
      <w:szCs w:val="24"/>
      <w:lang w:val="en-GB" w:eastAsia="en-US" w:bidi="ar-SA"/>
      <w14:ligatures w14:val="standardContextual"/>
    </w:rPr>
  </w:style>
  <w:style w:type="paragraph" w:styleId="2">
    <w:name w:val="heading 1"/>
    <w:basedOn w:val="1"/>
    <w:next w:val="1"/>
    <w:link w:val="19"/>
    <w:autoRedefine/>
    <w:qFormat/>
    <w:uiPriority w:val="9"/>
    <w:pPr>
      <w:keepNext/>
      <w:keepLines/>
      <w:spacing w:before="360" w:after="80"/>
      <w:outlineLvl w:val="0"/>
    </w:pPr>
    <w:rPr>
      <w:rFonts w:eastAsiaTheme="majorEastAsia" w:cstheme="majorBidi"/>
      <w:b/>
      <w:szCs w:val="40"/>
    </w:rPr>
  </w:style>
  <w:style w:type="paragraph" w:styleId="3">
    <w:name w:val="heading 2"/>
    <w:basedOn w:val="1"/>
    <w:next w:val="1"/>
    <w:link w:val="20"/>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1"/>
    <w:semiHidden/>
    <w:unhideWhenUsed/>
    <w:qFormat/>
    <w:uiPriority w:val="9"/>
    <w:pPr>
      <w:keepNext/>
      <w:keepLines/>
      <w:spacing w:before="160" w:after="80"/>
      <w:outlineLvl w:val="2"/>
    </w:pPr>
    <w:rPr>
      <w:rFonts w:asciiTheme="minorHAnsi" w:hAnsiTheme="minorHAnsi" w:eastAsiaTheme="majorEastAsia" w:cstheme="majorBidi"/>
      <w:color w:val="104862" w:themeColor="accent1" w:themeShade="BF"/>
      <w:sz w:val="28"/>
      <w:szCs w:val="28"/>
    </w:rPr>
  </w:style>
  <w:style w:type="paragraph" w:styleId="5">
    <w:name w:val="heading 4"/>
    <w:basedOn w:val="1"/>
    <w:next w:val="1"/>
    <w:link w:val="22"/>
    <w:semiHidden/>
    <w:unhideWhenUsed/>
    <w:qFormat/>
    <w:uiPriority w:val="9"/>
    <w:pPr>
      <w:keepNext/>
      <w:keepLines/>
      <w:spacing w:before="80" w:after="40"/>
      <w:outlineLvl w:val="3"/>
    </w:pPr>
    <w:rPr>
      <w:rFonts w:asciiTheme="minorHAnsi" w:hAnsiTheme="minorHAnsi" w:eastAsiaTheme="majorEastAsia" w:cstheme="majorBidi"/>
      <w:i/>
      <w:iCs/>
      <w:color w:val="104862" w:themeColor="accent1" w:themeShade="BF"/>
    </w:rPr>
  </w:style>
  <w:style w:type="paragraph" w:styleId="6">
    <w:name w:val="heading 5"/>
    <w:basedOn w:val="1"/>
    <w:next w:val="1"/>
    <w:link w:val="23"/>
    <w:semiHidden/>
    <w:unhideWhenUsed/>
    <w:qFormat/>
    <w:uiPriority w:val="9"/>
    <w:pPr>
      <w:keepNext/>
      <w:keepLines/>
      <w:spacing w:before="80" w:after="40"/>
      <w:outlineLvl w:val="4"/>
    </w:pPr>
    <w:rPr>
      <w:rFonts w:asciiTheme="minorHAnsi" w:hAnsiTheme="minorHAnsi" w:eastAsiaTheme="majorEastAsia" w:cstheme="majorBidi"/>
      <w:color w:val="104862" w:themeColor="accent1" w:themeShade="BF"/>
    </w:rPr>
  </w:style>
  <w:style w:type="paragraph" w:styleId="7">
    <w:name w:val="heading 6"/>
    <w:basedOn w:val="1"/>
    <w:next w:val="1"/>
    <w:link w:val="24"/>
    <w:semiHidden/>
    <w:unhideWhenUsed/>
    <w:qFormat/>
    <w:uiPriority w:val="9"/>
    <w:pPr>
      <w:keepNext/>
      <w:keepLines/>
      <w:spacing w:before="40" w:after="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5"/>
    <w:semiHidden/>
    <w:unhideWhenUsed/>
    <w:qFormat/>
    <w:uiPriority w:val="9"/>
    <w:pPr>
      <w:keepNext/>
      <w:keepLines/>
      <w:spacing w:before="40" w:after="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6"/>
    <w:semiHidden/>
    <w:unhideWhenUsed/>
    <w:qFormat/>
    <w:uiPriority w:val="9"/>
    <w:pPr>
      <w:keepNext/>
      <w:keepLines/>
      <w:spacing w:after="0"/>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7"/>
    <w:semiHidden/>
    <w:unhideWhenUsed/>
    <w:qFormat/>
    <w:uiPriority w:val="9"/>
    <w:pPr>
      <w:keepNext/>
      <w:keepLines/>
      <w:spacing w:after="0"/>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footer"/>
    <w:basedOn w:val="1"/>
    <w:link w:val="40"/>
    <w:unhideWhenUsed/>
    <w:qFormat/>
    <w:uiPriority w:val="99"/>
    <w:pPr>
      <w:tabs>
        <w:tab w:val="center" w:pos="4513"/>
        <w:tab w:val="right" w:pos="9026"/>
      </w:tabs>
      <w:spacing w:after="0" w:line="240" w:lineRule="auto"/>
    </w:pPr>
  </w:style>
  <w:style w:type="paragraph" w:styleId="14">
    <w:name w:val="header"/>
    <w:basedOn w:val="1"/>
    <w:link w:val="39"/>
    <w:unhideWhenUsed/>
    <w:qFormat/>
    <w:uiPriority w:val="99"/>
    <w:pPr>
      <w:tabs>
        <w:tab w:val="center" w:pos="4513"/>
        <w:tab w:val="right" w:pos="9026"/>
      </w:tabs>
      <w:spacing w:after="0" w:line="240" w:lineRule="auto"/>
    </w:pPr>
  </w:style>
  <w:style w:type="character" w:styleId="15">
    <w:name w:val="Hyperlink"/>
    <w:basedOn w:val="11"/>
    <w:unhideWhenUsed/>
    <w:qFormat/>
    <w:uiPriority w:val="99"/>
    <w:rPr>
      <w:color w:val="467886" w:themeColor="hyperlink"/>
      <w:u w:val="single"/>
      <w14:textFill>
        <w14:solidFill>
          <w14:schemeClr w14:val="hlink"/>
        </w14:solidFill>
      </w14:textFill>
    </w:rPr>
  </w:style>
  <w:style w:type="paragraph" w:styleId="16">
    <w:name w:val="Subtitle"/>
    <w:basedOn w:val="1"/>
    <w:next w:val="1"/>
    <w:link w:val="29"/>
    <w:qFormat/>
    <w:uiPriority w:val="11"/>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7">
    <w:name w:val="Title"/>
    <w:basedOn w:val="1"/>
    <w:next w:val="1"/>
    <w:link w:val="28"/>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8">
    <w:name w:val="toc 1"/>
    <w:basedOn w:val="1"/>
    <w:next w:val="1"/>
    <w:autoRedefine/>
    <w:unhideWhenUsed/>
    <w:qFormat/>
    <w:uiPriority w:val="39"/>
    <w:pPr>
      <w:spacing w:after="100"/>
    </w:pPr>
  </w:style>
  <w:style w:type="character" w:customStyle="1" w:styleId="19">
    <w:name w:val="Heading 1 Char"/>
    <w:basedOn w:val="11"/>
    <w:link w:val="2"/>
    <w:uiPriority w:val="9"/>
    <w:rPr>
      <w:rFonts w:ascii="Times New Roman" w:hAnsi="Times New Roman" w:eastAsiaTheme="majorEastAsia" w:cstheme="majorBidi"/>
      <w:b/>
      <w:szCs w:val="40"/>
      <w:lang w:val="en-GB"/>
    </w:rPr>
  </w:style>
  <w:style w:type="character" w:customStyle="1" w:styleId="20">
    <w:name w:val="Heading 2 Char"/>
    <w:basedOn w:val="11"/>
    <w:link w:val="3"/>
    <w:semiHidden/>
    <w:qFormat/>
    <w:uiPriority w:val="9"/>
    <w:rPr>
      <w:rFonts w:asciiTheme="majorHAnsi" w:hAnsiTheme="majorHAnsi" w:eastAsiaTheme="majorEastAsia" w:cstheme="majorBidi"/>
      <w:color w:val="104862" w:themeColor="accent1" w:themeShade="BF"/>
      <w:sz w:val="32"/>
      <w:szCs w:val="32"/>
      <w:lang w:val="en-GB"/>
    </w:rPr>
  </w:style>
  <w:style w:type="character" w:customStyle="1" w:styleId="21">
    <w:name w:val="Heading 3 Char"/>
    <w:basedOn w:val="11"/>
    <w:link w:val="4"/>
    <w:semiHidden/>
    <w:uiPriority w:val="9"/>
    <w:rPr>
      <w:rFonts w:eastAsiaTheme="majorEastAsia" w:cstheme="majorBidi"/>
      <w:color w:val="104862" w:themeColor="accent1" w:themeShade="BF"/>
      <w:sz w:val="28"/>
      <w:szCs w:val="28"/>
      <w:lang w:val="en-GB"/>
    </w:rPr>
  </w:style>
  <w:style w:type="character" w:customStyle="1" w:styleId="22">
    <w:name w:val="Heading 4 Char"/>
    <w:basedOn w:val="11"/>
    <w:link w:val="5"/>
    <w:semiHidden/>
    <w:qFormat/>
    <w:uiPriority w:val="9"/>
    <w:rPr>
      <w:rFonts w:eastAsiaTheme="majorEastAsia" w:cstheme="majorBidi"/>
      <w:i/>
      <w:iCs/>
      <w:color w:val="104862" w:themeColor="accent1" w:themeShade="BF"/>
      <w:lang w:val="en-GB"/>
    </w:rPr>
  </w:style>
  <w:style w:type="character" w:customStyle="1" w:styleId="23">
    <w:name w:val="Heading 5 Char"/>
    <w:basedOn w:val="11"/>
    <w:link w:val="6"/>
    <w:semiHidden/>
    <w:qFormat/>
    <w:uiPriority w:val="9"/>
    <w:rPr>
      <w:rFonts w:eastAsiaTheme="majorEastAsia" w:cstheme="majorBidi"/>
      <w:color w:val="104862" w:themeColor="accent1" w:themeShade="BF"/>
      <w:lang w:val="en-GB"/>
    </w:rPr>
  </w:style>
  <w:style w:type="character" w:customStyle="1" w:styleId="24">
    <w:name w:val="Heading 6 Char"/>
    <w:basedOn w:val="11"/>
    <w:link w:val="7"/>
    <w:semiHidden/>
    <w:qFormat/>
    <w:uiPriority w:val="9"/>
    <w:rPr>
      <w:rFonts w:eastAsiaTheme="majorEastAsia" w:cstheme="majorBidi"/>
      <w:i/>
      <w:iCs/>
      <w:color w:val="595959" w:themeColor="text1" w:themeTint="A6"/>
      <w:lang w:val="en-GB"/>
      <w14:textFill>
        <w14:solidFill>
          <w14:schemeClr w14:val="tx1">
            <w14:lumMod w14:val="65000"/>
            <w14:lumOff w14:val="35000"/>
          </w14:schemeClr>
        </w14:solidFill>
      </w14:textFill>
    </w:rPr>
  </w:style>
  <w:style w:type="character" w:customStyle="1" w:styleId="25">
    <w:name w:val="Heading 7 Char"/>
    <w:basedOn w:val="11"/>
    <w:link w:val="8"/>
    <w:semiHidden/>
    <w:qFormat/>
    <w:uiPriority w:val="9"/>
    <w:rPr>
      <w:rFonts w:eastAsiaTheme="majorEastAsia" w:cstheme="majorBidi"/>
      <w:color w:val="595959" w:themeColor="text1" w:themeTint="A6"/>
      <w:lang w:val="en-GB"/>
      <w14:textFill>
        <w14:solidFill>
          <w14:schemeClr w14:val="tx1">
            <w14:lumMod w14:val="65000"/>
            <w14:lumOff w14:val="35000"/>
          </w14:schemeClr>
        </w14:solidFill>
      </w14:textFill>
    </w:rPr>
  </w:style>
  <w:style w:type="character" w:customStyle="1" w:styleId="26">
    <w:name w:val="Heading 8 Char"/>
    <w:basedOn w:val="11"/>
    <w:link w:val="9"/>
    <w:semiHidden/>
    <w:qFormat/>
    <w:uiPriority w:val="9"/>
    <w:rPr>
      <w:rFonts w:eastAsiaTheme="majorEastAsia" w:cstheme="majorBidi"/>
      <w:i/>
      <w:iCs/>
      <w:color w:val="262626" w:themeColor="text1" w:themeTint="D9"/>
      <w:lang w:val="en-GB"/>
      <w14:textFill>
        <w14:solidFill>
          <w14:schemeClr w14:val="tx1">
            <w14:lumMod w14:val="85000"/>
            <w14:lumOff w14:val="15000"/>
          </w14:schemeClr>
        </w14:solidFill>
      </w14:textFill>
    </w:rPr>
  </w:style>
  <w:style w:type="character" w:customStyle="1" w:styleId="27">
    <w:name w:val="Heading 9 Char"/>
    <w:basedOn w:val="11"/>
    <w:link w:val="10"/>
    <w:semiHidden/>
    <w:qFormat/>
    <w:uiPriority w:val="9"/>
    <w:rPr>
      <w:rFonts w:eastAsiaTheme="majorEastAsia" w:cstheme="majorBidi"/>
      <w:color w:val="262626" w:themeColor="text1" w:themeTint="D9"/>
      <w:lang w:val="en-GB"/>
      <w14:textFill>
        <w14:solidFill>
          <w14:schemeClr w14:val="tx1">
            <w14:lumMod w14:val="85000"/>
            <w14:lumOff w14:val="15000"/>
          </w14:schemeClr>
        </w14:solidFill>
      </w14:textFill>
    </w:rPr>
  </w:style>
  <w:style w:type="character" w:customStyle="1" w:styleId="28">
    <w:name w:val="Title Char"/>
    <w:basedOn w:val="11"/>
    <w:link w:val="17"/>
    <w:qFormat/>
    <w:uiPriority w:val="10"/>
    <w:rPr>
      <w:rFonts w:asciiTheme="majorHAnsi" w:hAnsiTheme="majorHAnsi" w:eastAsiaTheme="majorEastAsia" w:cstheme="majorBidi"/>
      <w:spacing w:val="-10"/>
      <w:kern w:val="28"/>
      <w:sz w:val="56"/>
      <w:szCs w:val="56"/>
      <w:lang w:val="en-GB"/>
    </w:rPr>
  </w:style>
  <w:style w:type="character" w:customStyle="1" w:styleId="29">
    <w:name w:val="Subtitle Char"/>
    <w:basedOn w:val="11"/>
    <w:link w:val="16"/>
    <w:qFormat/>
    <w:uiPriority w:val="11"/>
    <w:rPr>
      <w:rFonts w:eastAsiaTheme="majorEastAsia" w:cstheme="majorBidi"/>
      <w:color w:val="595959" w:themeColor="text1" w:themeTint="A6"/>
      <w:spacing w:val="15"/>
      <w:sz w:val="28"/>
      <w:szCs w:val="28"/>
      <w:lang w:val="en-GB"/>
      <w14:textFill>
        <w14:solidFill>
          <w14:schemeClr w14:val="tx1">
            <w14:lumMod w14:val="65000"/>
            <w14:lumOff w14:val="35000"/>
          </w14:schemeClr>
        </w14:solidFill>
      </w14:textFill>
    </w:rPr>
  </w:style>
  <w:style w:type="paragraph" w:styleId="30">
    <w:name w:val="Quote"/>
    <w:basedOn w:val="1"/>
    <w:next w:val="1"/>
    <w:link w:val="31"/>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Quote Char"/>
    <w:basedOn w:val="11"/>
    <w:link w:val="30"/>
    <w:qFormat/>
    <w:uiPriority w:val="29"/>
    <w:rPr>
      <w:rFonts w:ascii="Times New Roman" w:hAnsi="Times New Roman"/>
      <w:i/>
      <w:iCs/>
      <w:color w:val="404040" w:themeColor="text1" w:themeTint="BF"/>
      <w:lang w:val="en-GB"/>
      <w14:textFill>
        <w14:solidFill>
          <w14:schemeClr w14:val="tx1">
            <w14:lumMod w14:val="75000"/>
            <w14:lumOff w14:val="25000"/>
          </w14:schemeClr>
        </w14:solidFill>
      </w14:textFill>
    </w:rPr>
  </w:style>
  <w:style w:type="paragraph" w:styleId="32">
    <w:name w:val="List Paragraph"/>
    <w:basedOn w:val="1"/>
    <w:qFormat/>
    <w:uiPriority w:val="34"/>
    <w:pPr>
      <w:ind w:left="720"/>
      <w:contextualSpacing/>
    </w:pPr>
  </w:style>
  <w:style w:type="character" w:customStyle="1" w:styleId="33">
    <w:name w:val="Intense Emphasis"/>
    <w:basedOn w:val="11"/>
    <w:qFormat/>
    <w:uiPriority w:val="21"/>
    <w:rPr>
      <w:i/>
      <w:iCs/>
      <w:color w:val="104862" w:themeColor="accent1" w:themeShade="BF"/>
    </w:rPr>
  </w:style>
  <w:style w:type="paragraph" w:styleId="34">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5">
    <w:name w:val="Intense Quote Char"/>
    <w:basedOn w:val="11"/>
    <w:link w:val="34"/>
    <w:qFormat/>
    <w:uiPriority w:val="30"/>
    <w:rPr>
      <w:rFonts w:ascii="Times New Roman" w:hAnsi="Times New Roman"/>
      <w:i/>
      <w:iCs/>
      <w:color w:val="104862" w:themeColor="accent1" w:themeShade="BF"/>
      <w:lang w:val="en-GB"/>
    </w:rPr>
  </w:style>
  <w:style w:type="character" w:customStyle="1" w:styleId="36">
    <w:name w:val="Intense Reference"/>
    <w:basedOn w:val="11"/>
    <w:qFormat/>
    <w:uiPriority w:val="32"/>
    <w:rPr>
      <w:b/>
      <w:bCs/>
      <w:smallCaps/>
      <w:color w:val="104862" w:themeColor="accent1" w:themeShade="BF"/>
      <w:spacing w:val="5"/>
    </w:rPr>
  </w:style>
  <w:style w:type="character" w:customStyle="1" w:styleId="37">
    <w:name w:val="Unresolved Mention"/>
    <w:basedOn w:val="11"/>
    <w:semiHidden/>
    <w:unhideWhenUsed/>
    <w:qFormat/>
    <w:uiPriority w:val="99"/>
    <w:rPr>
      <w:color w:val="605E5C"/>
      <w:shd w:val="clear" w:color="auto" w:fill="E1DFDD"/>
    </w:rPr>
  </w:style>
  <w:style w:type="paragraph" w:customStyle="1" w:styleId="38">
    <w:name w:val="TOC Heading"/>
    <w:basedOn w:val="2"/>
    <w:next w:val="1"/>
    <w:unhideWhenUsed/>
    <w:qFormat/>
    <w:uiPriority w:val="39"/>
    <w:pPr>
      <w:spacing w:before="240" w:after="0" w:line="259" w:lineRule="auto"/>
      <w:jc w:val="left"/>
      <w:outlineLvl w:val="9"/>
    </w:pPr>
    <w:rPr>
      <w:rFonts w:asciiTheme="majorHAnsi" w:hAnsiTheme="majorHAnsi"/>
      <w:b w:val="0"/>
      <w:color w:val="104862" w:themeColor="accent1" w:themeShade="BF"/>
      <w:kern w:val="0"/>
      <w:sz w:val="32"/>
      <w:szCs w:val="32"/>
      <w:lang w:val="en-US"/>
      <w14:ligatures w14:val="none"/>
    </w:rPr>
  </w:style>
  <w:style w:type="character" w:customStyle="1" w:styleId="39">
    <w:name w:val="Header Char"/>
    <w:basedOn w:val="11"/>
    <w:link w:val="14"/>
    <w:qFormat/>
    <w:uiPriority w:val="99"/>
    <w:rPr>
      <w:rFonts w:ascii="Arial" w:hAnsi="Arial"/>
      <w:lang w:val="en-GB"/>
    </w:rPr>
  </w:style>
  <w:style w:type="character" w:customStyle="1" w:styleId="40">
    <w:name w:val="Footer Char"/>
    <w:basedOn w:val="11"/>
    <w:link w:val="13"/>
    <w:qFormat/>
    <w:uiPriority w:val="99"/>
    <w:rPr>
      <w:rFonts w:ascii="Arial" w:hAnsi="Arial"/>
      <w:lang w:val="en-GB"/>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FB885D-039F-47A8-B666-1B98042EF04C}">
  <ds:schemaRefs/>
</ds:datastoreItem>
</file>

<file path=docProps/app.xml><?xml version="1.0" encoding="utf-8"?>
<Properties xmlns="http://schemas.openxmlformats.org/officeDocument/2006/extended-properties" xmlns:vt="http://schemas.openxmlformats.org/officeDocument/2006/docPropsVTypes">
  <Template>Normal</Template>
  <Pages>11</Pages>
  <Words>3034</Words>
  <Characters>17300</Characters>
  <Lines>144</Lines>
  <Paragraphs>40</Paragraphs>
  <TotalTime>0</TotalTime>
  <ScaleCrop>false</ScaleCrop>
  <LinksUpToDate>false</LinksUpToDate>
  <CharactersWithSpaces>20294</CharactersWithSpaces>
  <Application>WPS Office_12.1.0.27458_F1E327BC-269C-435d-A152-05C5408002CA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2026-06-18T13:17:00Z</dcterms:created>
  <dc:creator>kirti</dc:creator>
  <cp:lastModifiedBy>Jaynil</cp:lastModifiedBy>
  <dcterms:modified xsi:type="dcterms:W3CDTF">2026-07-23T23:17:34Z</dcterms:modified>
  <cp:revision>17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96598bd5-831b-4ebf-8cb8-86932f0ecaba</vt:lpwstr>
  </property>
  <property fmtid="{D5CDD505-2E9C-101B-9397-08002B2CF9AE}" pid="3" name="KSOTemplateDocerSaveRecord">
    <vt:lpwstr>eyJoZGlkIjoiZTUzZTNhZDA5MWQ4OWIyNWEyY2ExYzllMWJmYzBjYTAifQ==</vt:lpwstr>
  </property>
  <property fmtid="{D5CDD505-2E9C-101B-9397-08002B2CF9AE}" pid="4" name="KSOProductBuildVer">
    <vt:lpwstr>1033-12.1.0.27458</vt:lpwstr>
  </property>
  <property fmtid="{D5CDD505-2E9C-101B-9397-08002B2CF9AE}" pid="5" name="ICV">
    <vt:lpwstr>EDEBC97312384C498E9365130BA7DC6E_13</vt:lpwstr>
  </property>
</Properties>
</file>