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13"/>
        <w:spacing w:before="1540" w:after="240"/>
        <w:jc w:val="left"/>
        <w:rPr>
          <w:rFonts w:ascii="Calibri" w:hAnsi="Calibri"/>
          <w:b/>
          <w:sz w:val="28"/>
        </w:rPr>
      </w:pPr>
      <w:r>
        <w:rPr>
          <w:rFonts w:ascii="Calibri" w:hAnsi="Calibri"/>
          <w:b/>
          <w:sz w:val="28"/>
        </w:rPr>
        <w:drawing>
          <wp:anchor distT="0" distB="0" distL="0" distR="0" simplePos="0" relativeHeight="251659264" behindDoc="1" locked="0" layoutInCell="1" allowOverlap="1">
            <wp:simplePos x="0" y="0"/>
            <wp:positionH relativeFrom="column">
              <wp:posOffset>-266700</wp:posOffset>
            </wp:positionH>
            <wp:positionV relativeFrom="paragraph">
              <wp:posOffset>-107950</wp:posOffset>
            </wp:positionV>
            <wp:extent cx="2143125" cy="933450"/>
            <wp:effectExtent l="0" t="0" r="9525" b="0"/>
            <wp:wrapNone/>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149632" cy="936284"/>
                    </a:xfrm>
                    <a:prstGeom prst="rect">
                      <a:avLst/>
                    </a:prstGeom>
                    <a:noFill/>
                    <a:ln>
                      <a:noFill/>
                    </a:ln>
                  </pic:spPr>
                </pic:pic>
              </a:graphicData>
            </a:graphic>
          </wp:anchor>
        </w:drawing>
      </w:r>
    </w:p>
    <w:sdt>
      <w:sdtPr>
        <w:rPr>
          <w:rFonts w:eastAsiaTheme="minorHAnsi"/>
          <w:color w:val="5B9BD5" w:themeColor="accent1"/>
          <w:lang w:val="en-GB"/>
          <w14:textFill>
            <w14:solidFill>
              <w14:schemeClr w14:val="accent1"/>
            </w14:solidFill>
          </w14:textFill>
        </w:rPr>
        <w:id w:val="-1"/>
        <w:docPartObj>
          <w:docPartGallery w:val="autotext"/>
        </w:docPartObj>
      </w:sdtPr>
      <w:sdtEndPr>
        <w:rPr>
          <w:rFonts w:hint="eastAsia" w:eastAsiaTheme="minorHAnsi"/>
          <w:color w:val="5B9BD5" w:themeColor="accent1"/>
          <w:lang w:val="en-GB" w:eastAsia="zh-CN"/>
          <w14:textFill>
            <w14:solidFill>
              <w14:schemeClr w14:val="accent1"/>
            </w14:solidFill>
          </w14:textFill>
        </w:rPr>
      </w:sdtEndPr>
      <w:sdtContent>
        <w:p>
          <w:pPr>
            <w:spacing w:after="200" w:line="276" w:lineRule="auto"/>
            <w:rPr>
              <w:rFonts w:ascii="Calibri" w:hAnsi="Calibri" w:eastAsia="Calibri"/>
              <w:sz w:val="22"/>
              <w:szCs w:val="22"/>
              <w:lang w:eastAsia="en-US"/>
            </w:rPr>
          </w:pPr>
        </w:p>
        <w:p>
          <w:pPr>
            <w:spacing w:after="200" w:line="276" w:lineRule="auto"/>
            <w:jc w:val="center"/>
            <w:rPr>
              <w:rFonts w:hint="eastAsia" w:eastAsia="宋体" w:cs="Times New Roman"/>
              <w:color w:val="auto"/>
              <w:sz w:val="60"/>
              <w:szCs w:val="60"/>
              <w:lang w:val="en-US" w:eastAsia="en-US"/>
            </w:rPr>
          </w:pPr>
          <w:r>
            <w:rPr>
              <w:rFonts w:hint="eastAsia" w:eastAsia="宋体" w:cs="Times New Roman"/>
              <w:color w:val="auto"/>
              <w:sz w:val="60"/>
              <w:szCs w:val="60"/>
              <w:lang w:val="en-US" w:eastAsia="zh-CN"/>
            </w:rPr>
            <w:t>Alibaba's Change</w:t>
          </w:r>
          <w:r>
            <w:rPr>
              <w:rFonts w:hint="eastAsia" w:eastAsia="宋体" w:cs="Times New Roman"/>
              <w:color w:val="auto"/>
              <w:sz w:val="60"/>
              <w:szCs w:val="60"/>
              <w:lang w:val="en-US" w:eastAsia="en-US"/>
            </w:rPr>
            <w:t>&amp; Stability</w:t>
          </w:r>
          <w:r>
            <w:rPr>
              <w:rFonts w:hint="eastAsia" w:eastAsia="宋体" w:cs="Times New Roman"/>
              <w:color w:val="auto"/>
              <w:sz w:val="60"/>
              <w:szCs w:val="60"/>
              <w:lang w:val="en-US" w:eastAsia="zh-CN"/>
            </w:rPr>
            <w:t xml:space="preserve"> Management</w:t>
          </w:r>
        </w:p>
        <w:p>
          <w:pPr>
            <w:spacing w:after="200" w:line="276" w:lineRule="auto"/>
            <w:rPr>
              <w:rFonts w:ascii="Arial" w:hAnsi="Arial" w:eastAsia="Calibri" w:cs="Arial"/>
              <w:b/>
              <w:bCs/>
              <w:sz w:val="56"/>
              <w:szCs w:val="56"/>
              <w:lang w:eastAsia="en-US"/>
            </w:rPr>
          </w:pPr>
        </w:p>
        <w:p>
          <w:pPr>
            <w:spacing w:after="200" w:line="276" w:lineRule="auto"/>
            <w:jc w:val="center"/>
            <w:rPr>
              <w:rFonts w:ascii="Arial" w:hAnsi="Arial" w:eastAsia="Calibri" w:cs="Arial"/>
              <w:b/>
              <w:bCs/>
              <w:sz w:val="52"/>
              <w:szCs w:val="52"/>
              <w:lang w:eastAsia="en-US"/>
            </w:rPr>
          </w:pPr>
          <w:r>
            <w:rPr>
              <w:rFonts w:ascii="Arial" w:hAnsi="Arial" w:eastAsia="Calibri" w:cs="Arial"/>
              <w:b/>
              <w:bCs/>
              <w:sz w:val="52"/>
              <w:szCs w:val="52"/>
              <w:lang w:eastAsia="en-US"/>
            </w:rPr>
            <w:t>Change &amp; Stability Management</w:t>
          </w:r>
        </w:p>
        <w:p>
          <w:pPr>
            <w:spacing w:after="200" w:line="276" w:lineRule="auto"/>
            <w:jc w:val="center"/>
            <w:rPr>
              <w:rFonts w:ascii="Arial" w:hAnsi="Arial" w:eastAsia="Calibri" w:cs="Arial"/>
              <w:b/>
              <w:bCs/>
              <w:sz w:val="52"/>
              <w:szCs w:val="52"/>
              <w:lang w:eastAsia="en-US"/>
            </w:rPr>
          </w:pPr>
          <w:r>
            <w:rPr>
              <w:rFonts w:ascii="Arial" w:hAnsi="Arial" w:eastAsia="Calibri" w:cs="Arial"/>
              <w:b/>
              <w:bCs/>
              <w:sz w:val="52"/>
              <w:szCs w:val="52"/>
              <w:lang w:eastAsia="en-US"/>
            </w:rPr>
            <w:t>BMMB7000</w:t>
          </w:r>
        </w:p>
        <w:p>
          <w:pPr>
            <w:spacing w:after="200" w:line="276" w:lineRule="auto"/>
            <w:jc w:val="center"/>
            <w:rPr>
              <w:rFonts w:ascii="Calibri" w:hAnsi="Calibri" w:eastAsia="Calibri"/>
              <w:b/>
              <w:bCs/>
              <w:sz w:val="56"/>
              <w:szCs w:val="22"/>
              <w:lang w:eastAsia="en-US"/>
            </w:rPr>
          </w:pPr>
        </w:p>
        <w:p>
          <w:pPr>
            <w:spacing w:after="200" w:line="276" w:lineRule="auto"/>
            <w:rPr>
              <w:rFonts w:ascii="Calibri" w:hAnsi="Calibri" w:eastAsia="Calibri"/>
              <w:b/>
              <w:bCs/>
              <w:sz w:val="56"/>
              <w:szCs w:val="22"/>
              <w:lang w:eastAsia="en-US"/>
            </w:rPr>
          </w:pPr>
        </w:p>
        <w:p>
          <w:pPr>
            <w:pStyle w:val="13"/>
            <w:spacing w:before="1540" w:after="240"/>
            <w:jc w:val="center"/>
            <w:rPr>
              <w:color w:val="5B9BD5" w:themeColor="accent1"/>
              <w14:textFill>
                <w14:solidFill>
                  <w14:schemeClr w14:val="accent1"/>
                </w14:solidFill>
              </w14:textFill>
            </w:rPr>
          </w:pPr>
        </w:p>
        <w:p>
          <w:pPr>
            <w:keepNext w:val="0"/>
            <w:keepLines w:val="0"/>
            <w:widowControl/>
            <w:suppressLineNumbers w:val="0"/>
            <w:jc w:val="left"/>
            <w:outlineLvl w:val="9"/>
            <w:rPr>
              <w:rFonts w:hint="default" w:ascii="Calibri" w:hAnsi="Calibri" w:eastAsia="宋体" w:cs="Corbel"/>
              <w:b w:val="0"/>
              <w:bCs w:val="0"/>
              <w:color w:val="auto"/>
              <w:kern w:val="0"/>
              <w:sz w:val="36"/>
              <w:szCs w:val="36"/>
              <w:lang w:val="en-US" w:eastAsia="zh-CN" w:bidi="ar"/>
            </w:rPr>
          </w:pPr>
          <w:r>
            <w:rPr>
              <w:rFonts w:hint="default" w:eastAsia="宋体" w:cs="Corbel"/>
              <w:b w:val="0"/>
              <w:bCs w:val="0"/>
              <w:color w:val="auto"/>
              <w:kern w:val="0"/>
              <w:sz w:val="36"/>
              <w:szCs w:val="36"/>
              <w:lang w:val="en" w:eastAsia="zh-CN" w:bidi="ar"/>
            </w:rPr>
            <w:t xml:space="preserve">NAME:  </w:t>
          </w:r>
          <w:r>
            <w:rPr>
              <w:rFonts w:hint="default" w:ascii="Calibri" w:hAnsi="Calibri" w:eastAsia="宋体" w:cs="Corbel"/>
              <w:b w:val="0"/>
              <w:bCs w:val="0"/>
              <w:color w:val="auto"/>
              <w:kern w:val="0"/>
              <w:sz w:val="36"/>
              <w:szCs w:val="36"/>
              <w:lang w:val="en-US" w:eastAsia="zh-CN" w:bidi="ar"/>
            </w:rPr>
            <w:t>Qin Hu</w:t>
          </w:r>
        </w:p>
        <w:p>
          <w:pPr>
            <w:keepNext w:val="0"/>
            <w:keepLines w:val="0"/>
            <w:widowControl/>
            <w:suppressLineNumbers w:val="0"/>
            <w:jc w:val="left"/>
            <w:outlineLvl w:val="9"/>
            <w:rPr>
              <w:rFonts w:hint="default" w:ascii="Calibri" w:hAnsi="Calibri" w:cs="Corbel"/>
              <w:b w:val="0"/>
              <w:bCs w:val="0"/>
              <w:color w:val="auto"/>
              <w:lang w:val="en-US"/>
            </w:rPr>
          </w:pPr>
          <w:r>
            <w:rPr>
              <w:rFonts w:hint="default" w:eastAsia="宋体" w:cs="Corbel"/>
              <w:b w:val="0"/>
              <w:bCs w:val="0"/>
              <w:color w:val="auto"/>
              <w:kern w:val="0"/>
              <w:sz w:val="36"/>
              <w:szCs w:val="36"/>
              <w:lang w:val="en" w:eastAsia="zh-CN" w:bidi="ar"/>
            </w:rPr>
            <w:t xml:space="preserve">STUDENT NUMBER:  </w:t>
          </w:r>
          <w:r>
            <w:rPr>
              <w:rFonts w:hint="default" w:ascii="Calibri" w:hAnsi="Calibri" w:eastAsia="宋体" w:cs="Corbel"/>
              <w:b w:val="0"/>
              <w:bCs w:val="0"/>
              <w:color w:val="auto"/>
              <w:kern w:val="0"/>
              <w:sz w:val="36"/>
              <w:szCs w:val="36"/>
              <w:lang w:val="en-US" w:eastAsia="zh-CN" w:bidi="ar"/>
            </w:rPr>
            <w:t>2217940</w:t>
          </w:r>
        </w:p>
        <w:p>
          <w:pPr>
            <w:spacing w:line="360" w:lineRule="auto"/>
            <w:rPr>
              <w:rFonts w:hint="eastAsia" w:eastAsia="宋体" w:cs="Times New Roman"/>
              <w:sz w:val="28"/>
              <w:szCs w:val="28"/>
              <w:lang w:val="en-US" w:eastAsia="zh-CN"/>
            </w:rPr>
          </w:pPr>
          <w:r>
            <w:br w:type="page"/>
          </w:r>
          <w:r>
            <w:rPr>
              <w:rFonts w:hint="eastAsia" w:ascii="Calibri" w:hAnsi="Calibri" w:eastAsia="宋体" w:cs="Times New Roman"/>
              <w:kern w:val="2"/>
              <w:sz w:val="28"/>
              <w:szCs w:val="28"/>
              <w:lang w:val="en-US" w:eastAsia="zh-CN"/>
            </w:rPr>
            <w:t>Executive summary</w:t>
          </w:r>
        </w:p>
        <w:p>
          <w:pPr>
            <w:keepNext w:val="0"/>
            <w:keepLines w:val="0"/>
            <w:pageBreakBefore w:val="0"/>
            <w:kinsoku/>
            <w:wordWrap/>
            <w:overflowPunct/>
            <w:topLinePunct w:val="0"/>
            <w:autoSpaceDE/>
            <w:autoSpaceDN/>
            <w:bidi w:val="0"/>
            <w:adjustRightInd/>
            <w:snapToGrid/>
            <w:spacing w:line="400" w:lineRule="exact"/>
            <w:textAlignment w:val="auto"/>
            <w:outlineLvl w:val="9"/>
            <w:rPr>
              <w:rFonts w:hint="eastAsia" w:eastAsia="宋体" w:cs="Times New Roman"/>
              <w:sz w:val="24"/>
              <w:lang w:val="en-US" w:eastAsia="zh-CN"/>
            </w:rPr>
          </w:pPr>
          <w:r>
            <w:rPr>
              <w:rFonts w:hint="eastAsia" w:eastAsia="宋体" w:cs="Times New Roman"/>
              <w:sz w:val="24"/>
              <w:lang w:val="en-US" w:eastAsia="zh-CN"/>
            </w:rPr>
            <w:t>Alibaba is a world-renowned internet multinational enterprise, and in March 2023, it underwent the largest organisational change in history. Alibaba has taken many measures for this transformation, and overall, the transformation has been relatively successful.</w:t>
          </w:r>
        </w:p>
        <w:p>
          <w:pPr>
            <w:keepNext w:val="0"/>
            <w:keepLines w:val="0"/>
            <w:pageBreakBefore w:val="0"/>
            <w:kinsoku/>
            <w:wordWrap/>
            <w:overflowPunct/>
            <w:topLinePunct w:val="0"/>
            <w:autoSpaceDE/>
            <w:autoSpaceDN/>
            <w:bidi w:val="0"/>
            <w:adjustRightInd/>
            <w:snapToGrid/>
            <w:spacing w:line="400" w:lineRule="exact"/>
            <w:textAlignment w:val="auto"/>
            <w:outlineLvl w:val="9"/>
            <w:rPr>
              <w:rFonts w:hint="eastAsia" w:eastAsia="宋体" w:cs="Times New Roman"/>
              <w:sz w:val="24"/>
              <w:lang w:val="en-US" w:eastAsia="zh-CN"/>
            </w:rPr>
          </w:pPr>
          <w:r>
            <w:rPr>
              <w:rFonts w:hint="eastAsia" w:eastAsia="宋体" w:cs="Times New Roman"/>
              <w:sz w:val="24"/>
              <w:lang w:val="en-US" w:eastAsia="zh-CN"/>
            </w:rPr>
            <w:t>This article uses SWOT analysis and PESTLE analysis to first analyse the internal and external environment of Alibaba, study the reasons for Alibaba's transformation, and then analyse the key driving factors of Alibaba's transformation.</w:t>
          </w:r>
        </w:p>
        <w:p>
          <w:pPr>
            <w:keepNext w:val="0"/>
            <w:keepLines w:val="0"/>
            <w:pageBreakBefore w:val="0"/>
            <w:kinsoku/>
            <w:wordWrap/>
            <w:overflowPunct/>
            <w:topLinePunct w:val="0"/>
            <w:autoSpaceDE/>
            <w:autoSpaceDN/>
            <w:bidi w:val="0"/>
            <w:adjustRightInd/>
            <w:snapToGrid/>
            <w:spacing w:line="400" w:lineRule="exact"/>
            <w:textAlignment w:val="auto"/>
            <w:outlineLvl w:val="9"/>
            <w:rPr>
              <w:rFonts w:hint="eastAsia" w:eastAsia="宋体" w:cs="Times New Roman"/>
              <w:sz w:val="24"/>
              <w:lang w:val="en-US" w:eastAsia="zh-CN"/>
            </w:rPr>
          </w:pPr>
          <w:r>
            <w:rPr>
              <w:rFonts w:hint="eastAsia" w:eastAsia="宋体" w:cs="Times New Roman"/>
              <w:sz w:val="24"/>
              <w:lang w:val="en-US" w:eastAsia="zh-CN"/>
            </w:rPr>
            <w:t>In the main discussion section, this article uses two main change management models, the Lewin model and the Kotter model, to analyse how Alibaba drives change.</w:t>
          </w:r>
        </w:p>
        <w:p>
          <w:pPr>
            <w:keepNext w:val="0"/>
            <w:keepLines w:val="0"/>
            <w:pageBreakBefore w:val="0"/>
            <w:kinsoku/>
            <w:wordWrap/>
            <w:overflowPunct/>
            <w:topLinePunct w:val="0"/>
            <w:autoSpaceDE/>
            <w:autoSpaceDN/>
            <w:bidi w:val="0"/>
            <w:adjustRightInd/>
            <w:snapToGrid/>
            <w:spacing w:line="400" w:lineRule="exact"/>
            <w:textAlignment w:val="auto"/>
            <w:outlineLvl w:val="9"/>
            <w:rPr>
              <w:rFonts w:hint="eastAsia" w:eastAsia="宋体" w:cs="Times New Roman"/>
              <w:sz w:val="24"/>
              <w:lang w:val="en-US" w:eastAsia="zh-CN"/>
            </w:rPr>
          </w:pPr>
          <w:r>
            <w:rPr>
              <w:rFonts w:hint="eastAsia" w:eastAsia="宋体" w:cs="Times New Roman"/>
              <w:sz w:val="24"/>
              <w:lang w:val="en-US" w:eastAsia="zh-CN"/>
            </w:rPr>
            <w:t>Finally, this article summarizes the transformation of Alibaba and provides some suggestions on how Alibaba can consolidate the achievements of the transformation in the next step.</w:t>
          </w:r>
        </w:p>
        <w:p/>
        <w:p/>
        <w:p/>
        <w:p/>
        <w:p/>
        <w:p/>
        <w:p/>
        <w:p>
          <w:r>
            <w:br w:type="page"/>
          </w:r>
        </w:p>
        <w:p/>
        <w:sdt>
          <w:sdtPr>
            <w:rPr>
              <w:rFonts w:asciiTheme="minorHAnsi" w:hAnsiTheme="minorHAnsi" w:eastAsiaTheme="minorHAnsi" w:cstheme="minorBidi"/>
              <w:color w:val="auto"/>
              <w:sz w:val="22"/>
              <w:szCs w:val="22"/>
              <w:lang w:val="en-GB"/>
            </w:rPr>
            <w:id w:val="-1"/>
            <w:docPartObj>
              <w:docPartGallery w:val="Table of Contents"/>
              <w:docPartUnique/>
            </w:docPartObj>
          </w:sdtPr>
          <w:sdtEndPr>
            <w:rPr>
              <w:rFonts w:asciiTheme="minorHAnsi" w:hAnsiTheme="minorHAnsi" w:eastAsiaTheme="minorHAnsi" w:cstheme="minorBidi"/>
              <w:b/>
              <w:bCs/>
              <w:color w:val="auto"/>
              <w:sz w:val="22"/>
              <w:szCs w:val="22"/>
              <w:lang w:val="en-GB"/>
            </w:rPr>
          </w:sdtEndPr>
          <w:sdtContent>
            <w:p>
              <w:pPr>
                <w:keepNext w:val="0"/>
                <w:keepLines w:val="0"/>
                <w:pageBreakBefore w:val="0"/>
                <w:kinsoku/>
                <w:wordWrap/>
                <w:overflowPunct/>
                <w:topLinePunct w:val="0"/>
                <w:autoSpaceDE/>
                <w:autoSpaceDN/>
                <w:bidi w:val="0"/>
                <w:adjustRightInd/>
                <w:snapToGrid/>
                <w:spacing w:line="400" w:lineRule="exact"/>
                <w:jc w:val="center"/>
                <w:textAlignment w:val="auto"/>
                <w:outlineLvl w:val="9"/>
                <w:rPr>
                  <w:rFonts w:hint="eastAsia"/>
                  <w:sz w:val="28"/>
                  <w:szCs w:val="28"/>
                  <w:lang w:val="en-US" w:eastAsia="zh-CN"/>
                </w:rPr>
              </w:pPr>
              <w:r>
                <w:rPr>
                  <w:rFonts w:hint="eastAsia"/>
                  <w:sz w:val="28"/>
                  <w:szCs w:val="28"/>
                  <w:lang w:val="en-US" w:eastAsia="zh-CN"/>
                </w:rPr>
                <w:t>TABLE OF CONTENT</w:t>
              </w:r>
            </w:p>
            <w:p>
              <w:pPr>
                <w:keepNext w:val="0"/>
                <w:keepLines w:val="0"/>
                <w:pageBreakBefore w:val="0"/>
                <w:kinsoku/>
                <w:wordWrap/>
                <w:overflowPunct/>
                <w:topLinePunct w:val="0"/>
                <w:autoSpaceDE/>
                <w:autoSpaceDN/>
                <w:bidi w:val="0"/>
                <w:adjustRightInd/>
                <w:snapToGrid/>
                <w:spacing w:line="400" w:lineRule="exact"/>
                <w:jc w:val="center"/>
                <w:textAlignment w:val="auto"/>
                <w:outlineLvl w:val="9"/>
                <w:rPr>
                  <w:rFonts w:hint="eastAsia"/>
                  <w:sz w:val="28"/>
                  <w:szCs w:val="28"/>
                  <w:lang w:val="en-US" w:eastAsia="zh-CN"/>
                </w:rPr>
              </w:pPr>
            </w:p>
            <w:p>
              <w:pPr>
                <w:pStyle w:val="6"/>
                <w:tabs>
                  <w:tab w:val="right" w:leader="dot" w:pos="9026"/>
                </w:tabs>
              </w:pPr>
              <w:r>
                <w:fldChar w:fldCharType="begin"/>
              </w:r>
              <w:r>
                <w:instrText xml:space="preserve">TOC \o "1-3" \h \u </w:instrText>
              </w:r>
              <w:r>
                <w:fldChar w:fldCharType="separate"/>
              </w:r>
              <w:r>
                <w:fldChar w:fldCharType="begin"/>
              </w:r>
              <w:r>
                <w:instrText xml:space="preserve"> HYPERLINK \l _Toc5432 </w:instrText>
              </w:r>
              <w:r>
                <w:fldChar w:fldCharType="separate"/>
              </w:r>
              <w:r>
                <w:rPr>
                  <w:rFonts w:hint="eastAsia" w:ascii="Calibri" w:hAnsi="Calibri" w:eastAsia="宋体" w:cs="Times New Roman"/>
                  <w:kern w:val="2"/>
                  <w:szCs w:val="28"/>
                  <w:lang w:val="en-US" w:eastAsia="zh-CN"/>
                </w:rPr>
                <w:t>1. Introduction</w:t>
              </w:r>
              <w:r>
                <w:tab/>
              </w:r>
              <w:r>
                <w:fldChar w:fldCharType="begin"/>
              </w:r>
              <w:r>
                <w:instrText xml:space="preserve"> PAGEREF _Toc5432 \h </w:instrText>
              </w:r>
              <w:r>
                <w:fldChar w:fldCharType="separate"/>
              </w:r>
              <w:r>
                <w:t>4</w:t>
              </w:r>
              <w:r>
                <w:fldChar w:fldCharType="end"/>
              </w:r>
              <w:r>
                <w:fldChar w:fldCharType="end"/>
              </w:r>
            </w:p>
            <w:p>
              <w:pPr>
                <w:pStyle w:val="6"/>
                <w:tabs>
                  <w:tab w:val="right" w:leader="dot" w:pos="9026"/>
                </w:tabs>
              </w:pPr>
              <w:r>
                <w:fldChar w:fldCharType="begin"/>
              </w:r>
              <w:r>
                <w:instrText xml:space="preserve"> HYPERLINK \l _Toc29572 </w:instrText>
              </w:r>
              <w:r>
                <w:fldChar w:fldCharType="separate"/>
              </w:r>
              <w:r>
                <w:rPr>
                  <w:rFonts w:hint="eastAsia" w:ascii="Calibri" w:hAnsi="Calibri" w:eastAsia="宋体" w:cs="Times New Roman"/>
                  <w:kern w:val="2"/>
                  <w:szCs w:val="28"/>
                  <w:lang w:val="en-US" w:eastAsia="zh-CN"/>
                </w:rPr>
                <w:t>2. analyse the reasons for Alibaba's change</w:t>
              </w:r>
              <w:r>
                <w:tab/>
              </w:r>
              <w:r>
                <w:fldChar w:fldCharType="begin"/>
              </w:r>
              <w:r>
                <w:instrText xml:space="preserve"> PAGEREF _Toc29572 \h </w:instrText>
              </w:r>
              <w:r>
                <w:fldChar w:fldCharType="separate"/>
              </w:r>
              <w:r>
                <w:t>5</w:t>
              </w:r>
              <w:r>
                <w:fldChar w:fldCharType="end"/>
              </w:r>
              <w:r>
                <w:fldChar w:fldCharType="end"/>
              </w:r>
            </w:p>
            <w:p>
              <w:pPr>
                <w:pStyle w:val="7"/>
                <w:tabs>
                  <w:tab w:val="right" w:leader="dot" w:pos="9026"/>
                </w:tabs>
              </w:pPr>
              <w:r>
                <w:fldChar w:fldCharType="begin"/>
              </w:r>
              <w:r>
                <w:instrText xml:space="preserve"> HYPERLINK \l _Toc27219 </w:instrText>
              </w:r>
              <w:r>
                <w:fldChar w:fldCharType="separate"/>
              </w:r>
              <w:r>
                <w:rPr>
                  <w:rFonts w:hint="eastAsia" w:ascii="Calibri" w:hAnsi="Calibri" w:eastAsia="宋体" w:cs="Times New Roman"/>
                  <w:kern w:val="2"/>
                  <w:szCs w:val="24"/>
                  <w:lang w:val="en-US" w:eastAsia="zh-CN"/>
                </w:rPr>
                <w:t>2.1 Internal Environment Analysis</w:t>
              </w:r>
              <w:r>
                <w:tab/>
              </w:r>
              <w:r>
                <w:fldChar w:fldCharType="begin"/>
              </w:r>
              <w:r>
                <w:instrText xml:space="preserve"> PAGEREF _Toc27219 \h </w:instrText>
              </w:r>
              <w:r>
                <w:fldChar w:fldCharType="separate"/>
              </w:r>
              <w:r>
                <w:t>5</w:t>
              </w:r>
              <w:r>
                <w:fldChar w:fldCharType="end"/>
              </w:r>
              <w:r>
                <w:fldChar w:fldCharType="end"/>
              </w:r>
            </w:p>
            <w:p>
              <w:pPr>
                <w:pStyle w:val="5"/>
                <w:tabs>
                  <w:tab w:val="right" w:leader="dot" w:pos="9026"/>
                </w:tabs>
              </w:pPr>
              <w:r>
                <w:fldChar w:fldCharType="begin"/>
              </w:r>
              <w:r>
                <w:instrText xml:space="preserve"> HYPERLINK \l _Toc15740 </w:instrText>
              </w:r>
              <w:r>
                <w:fldChar w:fldCharType="separate"/>
              </w:r>
              <w:r>
                <w:rPr>
                  <w:rFonts w:hint="eastAsia" w:ascii="Calibri" w:hAnsi="Calibri" w:eastAsia="宋体" w:cs="Times New Roman"/>
                  <w:kern w:val="2"/>
                  <w:szCs w:val="24"/>
                  <w:lang w:val="en-US" w:eastAsia="zh-CN"/>
                </w:rPr>
                <w:t>2.1.1 Strengths</w:t>
              </w:r>
              <w:r>
                <w:tab/>
              </w:r>
              <w:r>
                <w:fldChar w:fldCharType="begin"/>
              </w:r>
              <w:r>
                <w:instrText xml:space="preserve"> PAGEREF _Toc15740 \h </w:instrText>
              </w:r>
              <w:r>
                <w:fldChar w:fldCharType="separate"/>
              </w:r>
              <w:r>
                <w:t>5</w:t>
              </w:r>
              <w:r>
                <w:fldChar w:fldCharType="end"/>
              </w:r>
              <w:r>
                <w:fldChar w:fldCharType="end"/>
              </w:r>
            </w:p>
            <w:p>
              <w:pPr>
                <w:pStyle w:val="5"/>
                <w:tabs>
                  <w:tab w:val="right" w:leader="dot" w:pos="9026"/>
                </w:tabs>
              </w:pPr>
              <w:r>
                <w:fldChar w:fldCharType="begin"/>
              </w:r>
              <w:r>
                <w:instrText xml:space="preserve"> HYPERLINK \l _Toc5937 </w:instrText>
              </w:r>
              <w:r>
                <w:fldChar w:fldCharType="separate"/>
              </w:r>
              <w:r>
                <w:rPr>
                  <w:rFonts w:hint="eastAsia" w:ascii="Calibri" w:hAnsi="Calibri" w:eastAsia="宋体" w:cs="Times New Roman"/>
                  <w:kern w:val="2"/>
                  <w:szCs w:val="24"/>
                  <w:lang w:val="en-US" w:eastAsia="zh-CN"/>
                </w:rPr>
                <w:t>2.1.2 Weaknesses</w:t>
              </w:r>
              <w:r>
                <w:tab/>
              </w:r>
              <w:r>
                <w:fldChar w:fldCharType="begin"/>
              </w:r>
              <w:r>
                <w:instrText xml:space="preserve"> PAGEREF _Toc5937 \h </w:instrText>
              </w:r>
              <w:r>
                <w:fldChar w:fldCharType="separate"/>
              </w:r>
              <w:r>
                <w:t>5</w:t>
              </w:r>
              <w:r>
                <w:fldChar w:fldCharType="end"/>
              </w:r>
              <w:r>
                <w:fldChar w:fldCharType="end"/>
              </w:r>
            </w:p>
            <w:p>
              <w:pPr>
                <w:pStyle w:val="5"/>
                <w:tabs>
                  <w:tab w:val="right" w:leader="dot" w:pos="9026"/>
                </w:tabs>
              </w:pPr>
              <w:r>
                <w:fldChar w:fldCharType="begin"/>
              </w:r>
              <w:r>
                <w:instrText xml:space="preserve"> HYPERLINK \l _Toc25269 </w:instrText>
              </w:r>
              <w:r>
                <w:fldChar w:fldCharType="separate"/>
              </w:r>
              <w:r>
                <w:rPr>
                  <w:rFonts w:hint="eastAsia" w:ascii="Calibri" w:hAnsi="Calibri" w:eastAsia="宋体" w:cs="Times New Roman"/>
                  <w:kern w:val="2"/>
                  <w:szCs w:val="24"/>
                  <w:lang w:val="en-US" w:eastAsia="zh-CN"/>
                </w:rPr>
                <w:t>2.1.3 Opportunities</w:t>
              </w:r>
              <w:r>
                <w:tab/>
              </w:r>
              <w:r>
                <w:fldChar w:fldCharType="begin"/>
              </w:r>
              <w:r>
                <w:instrText xml:space="preserve"> PAGEREF _Toc25269 \h </w:instrText>
              </w:r>
              <w:r>
                <w:fldChar w:fldCharType="separate"/>
              </w:r>
              <w:r>
                <w:t>5</w:t>
              </w:r>
              <w:r>
                <w:fldChar w:fldCharType="end"/>
              </w:r>
              <w:r>
                <w:fldChar w:fldCharType="end"/>
              </w:r>
            </w:p>
            <w:p>
              <w:pPr>
                <w:pStyle w:val="5"/>
                <w:tabs>
                  <w:tab w:val="right" w:leader="dot" w:pos="9026"/>
                </w:tabs>
              </w:pPr>
              <w:r>
                <w:fldChar w:fldCharType="begin"/>
              </w:r>
              <w:r>
                <w:instrText xml:space="preserve"> HYPERLINK \l _Toc16303 </w:instrText>
              </w:r>
              <w:r>
                <w:fldChar w:fldCharType="separate"/>
              </w:r>
              <w:r>
                <w:rPr>
                  <w:rFonts w:hint="eastAsia" w:ascii="Calibri" w:hAnsi="Calibri" w:eastAsia="宋体" w:cs="Times New Roman"/>
                  <w:kern w:val="2"/>
                  <w:szCs w:val="24"/>
                  <w:lang w:val="en-US" w:eastAsia="zh-CN"/>
                </w:rPr>
                <w:t>2.1.4 Threats</w:t>
              </w:r>
              <w:r>
                <w:tab/>
              </w:r>
              <w:r>
                <w:fldChar w:fldCharType="begin"/>
              </w:r>
              <w:r>
                <w:instrText xml:space="preserve"> PAGEREF _Toc16303 \h </w:instrText>
              </w:r>
              <w:r>
                <w:fldChar w:fldCharType="separate"/>
              </w:r>
              <w:r>
                <w:t>5</w:t>
              </w:r>
              <w:r>
                <w:fldChar w:fldCharType="end"/>
              </w:r>
              <w:r>
                <w:fldChar w:fldCharType="end"/>
              </w:r>
            </w:p>
            <w:p>
              <w:pPr>
                <w:pStyle w:val="7"/>
                <w:tabs>
                  <w:tab w:val="right" w:leader="dot" w:pos="9026"/>
                </w:tabs>
              </w:pPr>
              <w:r>
                <w:fldChar w:fldCharType="begin"/>
              </w:r>
              <w:r>
                <w:instrText xml:space="preserve"> HYPERLINK \l _Toc19939 </w:instrText>
              </w:r>
              <w:r>
                <w:fldChar w:fldCharType="separate"/>
              </w:r>
              <w:r>
                <w:rPr>
                  <w:rFonts w:hint="eastAsia" w:ascii="Calibri" w:hAnsi="Calibri" w:eastAsia="宋体" w:cs="Times New Roman"/>
                  <w:kern w:val="2"/>
                  <w:szCs w:val="24"/>
                  <w:lang w:val="en-US" w:eastAsia="zh-CN"/>
                </w:rPr>
                <w:t>2.2 External Environment Analysis</w:t>
              </w:r>
              <w:r>
                <w:tab/>
              </w:r>
              <w:r>
                <w:fldChar w:fldCharType="begin"/>
              </w:r>
              <w:r>
                <w:instrText xml:space="preserve"> PAGEREF _Toc19939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_Toc18645 </w:instrText>
              </w:r>
              <w:r>
                <w:fldChar w:fldCharType="separate"/>
              </w:r>
              <w:r>
                <w:rPr>
                  <w:rFonts w:hint="eastAsia" w:ascii="Calibri" w:hAnsi="Calibri" w:eastAsia="宋体" w:cs="Times New Roman"/>
                  <w:kern w:val="2"/>
                  <w:szCs w:val="24"/>
                  <w:lang w:val="en-US" w:eastAsia="zh-CN"/>
                </w:rPr>
                <w:t>2.2.1 Political</w:t>
              </w:r>
              <w:r>
                <w:tab/>
              </w:r>
              <w:r>
                <w:fldChar w:fldCharType="begin"/>
              </w:r>
              <w:r>
                <w:instrText xml:space="preserve"> PAGEREF _Toc18645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_Toc26755 </w:instrText>
              </w:r>
              <w:r>
                <w:fldChar w:fldCharType="separate"/>
              </w:r>
              <w:r>
                <w:rPr>
                  <w:rFonts w:hint="eastAsia" w:ascii="Calibri" w:hAnsi="Calibri" w:eastAsia="宋体" w:cs="Times New Roman"/>
                  <w:kern w:val="2"/>
                  <w:szCs w:val="24"/>
                  <w:lang w:val="en-US" w:eastAsia="zh-CN"/>
                </w:rPr>
                <w:t>2.2.2 Economic</w:t>
              </w:r>
              <w:r>
                <w:tab/>
              </w:r>
              <w:r>
                <w:fldChar w:fldCharType="begin"/>
              </w:r>
              <w:r>
                <w:instrText xml:space="preserve"> PAGEREF _Toc26755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_Toc5213 </w:instrText>
              </w:r>
              <w:r>
                <w:fldChar w:fldCharType="separate"/>
              </w:r>
              <w:r>
                <w:rPr>
                  <w:rFonts w:hint="eastAsia" w:ascii="Calibri" w:hAnsi="Calibri" w:eastAsia="宋体" w:cs="Times New Roman"/>
                  <w:kern w:val="2"/>
                  <w:szCs w:val="24"/>
                  <w:lang w:val="en-US" w:eastAsia="zh-CN"/>
                </w:rPr>
                <w:t>2.2.3 Social</w:t>
              </w:r>
              <w:r>
                <w:tab/>
              </w:r>
              <w:r>
                <w:fldChar w:fldCharType="begin"/>
              </w:r>
              <w:r>
                <w:instrText xml:space="preserve"> PAGEREF _Toc5213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_Toc31446 </w:instrText>
              </w:r>
              <w:r>
                <w:fldChar w:fldCharType="separate"/>
              </w:r>
              <w:r>
                <w:rPr>
                  <w:rFonts w:hint="eastAsia" w:ascii="Calibri" w:hAnsi="Calibri" w:eastAsia="宋体" w:cs="Times New Roman"/>
                  <w:kern w:val="2"/>
                  <w:szCs w:val="24"/>
                  <w:lang w:val="en-US" w:eastAsia="zh-CN"/>
                </w:rPr>
                <w:t>2.2.4 Technological</w:t>
              </w:r>
              <w:r>
                <w:tab/>
              </w:r>
              <w:r>
                <w:fldChar w:fldCharType="begin"/>
              </w:r>
              <w:r>
                <w:instrText xml:space="preserve"> PAGEREF _Toc31446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_Toc10564 </w:instrText>
              </w:r>
              <w:r>
                <w:fldChar w:fldCharType="separate"/>
              </w:r>
              <w:r>
                <w:rPr>
                  <w:rFonts w:hint="eastAsia" w:ascii="Calibri" w:hAnsi="Calibri" w:eastAsia="宋体" w:cs="Times New Roman"/>
                  <w:kern w:val="2"/>
                  <w:szCs w:val="24"/>
                  <w:lang w:val="en-US" w:eastAsia="zh-CN"/>
                </w:rPr>
                <w:t>2.2.5 Environmental</w:t>
              </w:r>
              <w:r>
                <w:tab/>
              </w:r>
              <w:r>
                <w:fldChar w:fldCharType="begin"/>
              </w:r>
              <w:r>
                <w:instrText xml:space="preserve"> PAGEREF _Toc10564 \h </w:instrText>
              </w:r>
              <w:r>
                <w:fldChar w:fldCharType="separate"/>
              </w:r>
              <w:r>
                <w:t>6</w:t>
              </w:r>
              <w:r>
                <w:fldChar w:fldCharType="end"/>
              </w:r>
              <w:r>
                <w:fldChar w:fldCharType="end"/>
              </w:r>
            </w:p>
            <w:p>
              <w:pPr>
                <w:pStyle w:val="5"/>
                <w:tabs>
                  <w:tab w:val="right" w:leader="dot" w:pos="9026"/>
                </w:tabs>
              </w:pPr>
              <w:r>
                <w:fldChar w:fldCharType="begin"/>
              </w:r>
              <w:r>
                <w:instrText xml:space="preserve"> HYPERLINK \l _Toc22682 </w:instrText>
              </w:r>
              <w:r>
                <w:fldChar w:fldCharType="separate"/>
              </w:r>
              <w:r>
                <w:rPr>
                  <w:rFonts w:hint="eastAsia" w:ascii="Calibri" w:hAnsi="Calibri" w:eastAsia="宋体" w:cs="Times New Roman"/>
                  <w:kern w:val="2"/>
                  <w:szCs w:val="24"/>
                  <w:lang w:val="en-US" w:eastAsia="zh-CN"/>
                </w:rPr>
                <w:t>2.2.6 Legal</w:t>
              </w:r>
              <w:r>
                <w:tab/>
              </w:r>
              <w:r>
                <w:fldChar w:fldCharType="begin"/>
              </w:r>
              <w:r>
                <w:instrText xml:space="preserve"> PAGEREF _Toc22682 \h </w:instrText>
              </w:r>
              <w:r>
                <w:fldChar w:fldCharType="separate"/>
              </w:r>
              <w:r>
                <w:t>6</w:t>
              </w:r>
              <w:r>
                <w:fldChar w:fldCharType="end"/>
              </w:r>
              <w:r>
                <w:fldChar w:fldCharType="end"/>
              </w:r>
            </w:p>
            <w:p>
              <w:pPr>
                <w:pStyle w:val="6"/>
                <w:tabs>
                  <w:tab w:val="right" w:leader="dot" w:pos="9026"/>
                </w:tabs>
              </w:pPr>
              <w:r>
                <w:fldChar w:fldCharType="begin"/>
              </w:r>
              <w:r>
                <w:instrText xml:space="preserve"> HYPERLINK \l _Toc14886 </w:instrText>
              </w:r>
              <w:r>
                <w:fldChar w:fldCharType="separate"/>
              </w:r>
              <w:r>
                <w:rPr>
                  <w:rFonts w:hint="eastAsia" w:ascii="Calibri" w:hAnsi="Calibri" w:eastAsia="宋体" w:cs="Times New Roman"/>
                  <w:kern w:val="2"/>
                  <w:szCs w:val="28"/>
                  <w:lang w:val="en-US" w:eastAsia="zh-CN"/>
                </w:rPr>
                <w:t>3. Driving factors for Alibaba's transformation</w:t>
              </w:r>
              <w:r>
                <w:tab/>
              </w:r>
              <w:r>
                <w:fldChar w:fldCharType="begin"/>
              </w:r>
              <w:r>
                <w:instrText xml:space="preserve"> PAGEREF _Toc14886 \h </w:instrText>
              </w:r>
              <w:r>
                <w:fldChar w:fldCharType="separate"/>
              </w:r>
              <w:r>
                <w:t>8</w:t>
              </w:r>
              <w:r>
                <w:fldChar w:fldCharType="end"/>
              </w:r>
              <w:r>
                <w:fldChar w:fldCharType="end"/>
              </w:r>
            </w:p>
            <w:p>
              <w:pPr>
                <w:pStyle w:val="7"/>
                <w:tabs>
                  <w:tab w:val="right" w:leader="dot" w:pos="9026"/>
                </w:tabs>
              </w:pPr>
              <w:r>
                <w:fldChar w:fldCharType="begin"/>
              </w:r>
              <w:r>
                <w:instrText xml:space="preserve"> HYPERLINK \l _Toc10378 </w:instrText>
              </w:r>
              <w:r>
                <w:fldChar w:fldCharType="separate"/>
              </w:r>
              <w:r>
                <w:rPr>
                  <w:rFonts w:hint="eastAsia" w:ascii="Calibri" w:hAnsi="Calibri" w:eastAsia="宋体" w:cs="Times New Roman"/>
                  <w:kern w:val="2"/>
                  <w:szCs w:val="24"/>
                  <w:lang w:val="en-US" w:eastAsia="zh-CN"/>
                </w:rPr>
                <w:t>3.1 Corporate Culture</w:t>
              </w:r>
              <w:r>
                <w:tab/>
              </w:r>
              <w:r>
                <w:fldChar w:fldCharType="begin"/>
              </w:r>
              <w:r>
                <w:instrText xml:space="preserve"> PAGEREF _Toc10378 \h </w:instrText>
              </w:r>
              <w:r>
                <w:fldChar w:fldCharType="separate"/>
              </w:r>
              <w:r>
                <w:t>8</w:t>
              </w:r>
              <w:r>
                <w:fldChar w:fldCharType="end"/>
              </w:r>
              <w:r>
                <w:fldChar w:fldCharType="end"/>
              </w:r>
            </w:p>
            <w:p>
              <w:pPr>
                <w:pStyle w:val="7"/>
                <w:tabs>
                  <w:tab w:val="right" w:leader="dot" w:pos="9026"/>
                </w:tabs>
              </w:pPr>
              <w:r>
                <w:fldChar w:fldCharType="begin"/>
              </w:r>
              <w:r>
                <w:instrText xml:space="preserve"> HYPERLINK \l _Toc16178 </w:instrText>
              </w:r>
              <w:r>
                <w:fldChar w:fldCharType="separate"/>
              </w:r>
              <w:r>
                <w:rPr>
                  <w:rFonts w:hint="eastAsia" w:ascii="Calibri" w:hAnsi="Calibri" w:eastAsia="宋体" w:cs="Times New Roman"/>
                  <w:kern w:val="2"/>
                  <w:szCs w:val="24"/>
                  <w:lang w:val="en-US" w:eastAsia="zh-CN"/>
                </w:rPr>
                <w:t>3.2 Leadership</w:t>
              </w:r>
              <w:r>
                <w:tab/>
              </w:r>
              <w:r>
                <w:fldChar w:fldCharType="begin"/>
              </w:r>
              <w:r>
                <w:instrText xml:space="preserve"> PAGEREF _Toc16178 \h </w:instrText>
              </w:r>
              <w:r>
                <w:fldChar w:fldCharType="separate"/>
              </w:r>
              <w:r>
                <w:t>8</w:t>
              </w:r>
              <w:r>
                <w:fldChar w:fldCharType="end"/>
              </w:r>
              <w:r>
                <w:fldChar w:fldCharType="end"/>
              </w:r>
            </w:p>
            <w:p>
              <w:pPr>
                <w:pStyle w:val="7"/>
                <w:tabs>
                  <w:tab w:val="right" w:leader="dot" w:pos="9026"/>
                </w:tabs>
              </w:pPr>
              <w:r>
                <w:fldChar w:fldCharType="begin"/>
              </w:r>
              <w:r>
                <w:instrText xml:space="preserve"> HYPERLINK \l _Toc17652 </w:instrText>
              </w:r>
              <w:r>
                <w:fldChar w:fldCharType="separate"/>
              </w:r>
              <w:r>
                <w:rPr>
                  <w:rFonts w:hint="eastAsia" w:ascii="Calibri" w:hAnsi="Calibri" w:eastAsia="宋体" w:cs="Times New Roman"/>
                  <w:kern w:val="2"/>
                  <w:szCs w:val="24"/>
                  <w:lang w:val="en-US" w:eastAsia="zh-CN"/>
                </w:rPr>
                <w:t>3.3 Digitisation</w:t>
              </w:r>
              <w:r>
                <w:tab/>
              </w:r>
              <w:r>
                <w:fldChar w:fldCharType="begin"/>
              </w:r>
              <w:r>
                <w:instrText xml:space="preserve"> PAGEREF _Toc17652 \h </w:instrText>
              </w:r>
              <w:r>
                <w:fldChar w:fldCharType="separate"/>
              </w:r>
              <w:r>
                <w:t>8</w:t>
              </w:r>
              <w:r>
                <w:fldChar w:fldCharType="end"/>
              </w:r>
              <w:r>
                <w:fldChar w:fldCharType="end"/>
              </w:r>
            </w:p>
            <w:p>
              <w:pPr>
                <w:pStyle w:val="6"/>
                <w:tabs>
                  <w:tab w:val="right" w:leader="dot" w:pos="9026"/>
                </w:tabs>
              </w:pPr>
              <w:r>
                <w:fldChar w:fldCharType="begin"/>
              </w:r>
              <w:r>
                <w:instrText xml:space="preserve"> HYPERLINK \l _Toc18673 </w:instrText>
              </w:r>
              <w:r>
                <w:fldChar w:fldCharType="separate"/>
              </w:r>
              <w:r>
                <w:rPr>
                  <w:rFonts w:hint="eastAsia" w:ascii="Calibri" w:hAnsi="Calibri" w:eastAsia="宋体" w:cs="Times New Roman"/>
                  <w:kern w:val="2"/>
                  <w:szCs w:val="28"/>
                  <w:lang w:val="en-US" w:eastAsia="zh-CN"/>
                </w:rPr>
                <w:t>4. Lewin's Change Management Model: analysing how Alibaba drives change</w:t>
              </w:r>
              <w:r>
                <w:tab/>
              </w:r>
              <w:r>
                <w:fldChar w:fldCharType="begin"/>
              </w:r>
              <w:r>
                <w:instrText xml:space="preserve"> PAGEREF _Toc18673 \h </w:instrText>
              </w:r>
              <w:r>
                <w:fldChar w:fldCharType="separate"/>
              </w:r>
              <w:r>
                <w:t>9</w:t>
              </w:r>
              <w:r>
                <w:fldChar w:fldCharType="end"/>
              </w:r>
              <w:r>
                <w:fldChar w:fldCharType="end"/>
              </w:r>
            </w:p>
            <w:p>
              <w:pPr>
                <w:pStyle w:val="7"/>
                <w:tabs>
                  <w:tab w:val="right" w:leader="dot" w:pos="9026"/>
                </w:tabs>
              </w:pPr>
              <w:r>
                <w:fldChar w:fldCharType="begin"/>
              </w:r>
              <w:r>
                <w:instrText xml:space="preserve"> HYPERLINK \l _Toc26082 </w:instrText>
              </w:r>
              <w:r>
                <w:fldChar w:fldCharType="separate"/>
              </w:r>
              <w:r>
                <w:rPr>
                  <w:rFonts w:hint="eastAsia" w:ascii="Calibri" w:hAnsi="Calibri" w:eastAsia="宋体" w:cs="Times New Roman"/>
                  <w:kern w:val="2"/>
                  <w:szCs w:val="24"/>
                  <w:lang w:val="en-US" w:eastAsia="zh-CN"/>
                </w:rPr>
                <w:t>4.1 Unfreeze</w:t>
              </w:r>
              <w:r>
                <w:tab/>
              </w:r>
              <w:r>
                <w:fldChar w:fldCharType="begin"/>
              </w:r>
              <w:r>
                <w:instrText xml:space="preserve"> PAGEREF _Toc26082 \h </w:instrText>
              </w:r>
              <w:r>
                <w:fldChar w:fldCharType="separate"/>
              </w:r>
              <w:r>
                <w:t>9</w:t>
              </w:r>
              <w:r>
                <w:fldChar w:fldCharType="end"/>
              </w:r>
              <w:r>
                <w:fldChar w:fldCharType="end"/>
              </w:r>
            </w:p>
            <w:p>
              <w:pPr>
                <w:pStyle w:val="7"/>
                <w:tabs>
                  <w:tab w:val="right" w:leader="dot" w:pos="9026"/>
                </w:tabs>
              </w:pPr>
              <w:r>
                <w:fldChar w:fldCharType="begin"/>
              </w:r>
              <w:r>
                <w:instrText xml:space="preserve"> HYPERLINK \l _Toc6725 </w:instrText>
              </w:r>
              <w:r>
                <w:fldChar w:fldCharType="separate"/>
              </w:r>
              <w:r>
                <w:rPr>
                  <w:rFonts w:hint="eastAsia" w:ascii="Calibri" w:hAnsi="Calibri" w:eastAsia="宋体" w:cs="Times New Roman"/>
                  <w:kern w:val="2"/>
                  <w:szCs w:val="24"/>
                  <w:lang w:val="en-US" w:eastAsia="zh-CN"/>
                </w:rPr>
                <w:t xml:space="preserve">4.2 </w:t>
              </w:r>
              <w:r>
                <w:rPr>
                  <w:rFonts w:hint="default" w:ascii="Calibri" w:hAnsi="Calibri" w:eastAsia="宋体" w:cs="Times New Roman"/>
                  <w:kern w:val="2"/>
                  <w:szCs w:val="24"/>
                  <w:lang w:val="en-US" w:eastAsia="zh-CN"/>
                </w:rPr>
                <w:t>Make changes</w:t>
              </w:r>
              <w:r>
                <w:tab/>
              </w:r>
              <w:r>
                <w:fldChar w:fldCharType="begin"/>
              </w:r>
              <w:r>
                <w:instrText xml:space="preserve"> PAGEREF _Toc6725 \h </w:instrText>
              </w:r>
              <w:r>
                <w:fldChar w:fldCharType="separate"/>
              </w:r>
              <w:r>
                <w:t>9</w:t>
              </w:r>
              <w:r>
                <w:fldChar w:fldCharType="end"/>
              </w:r>
              <w:r>
                <w:fldChar w:fldCharType="end"/>
              </w:r>
            </w:p>
            <w:p>
              <w:pPr>
                <w:pStyle w:val="7"/>
                <w:tabs>
                  <w:tab w:val="right" w:leader="dot" w:pos="9026"/>
                </w:tabs>
              </w:pPr>
              <w:r>
                <w:fldChar w:fldCharType="begin"/>
              </w:r>
              <w:r>
                <w:instrText xml:space="preserve"> HYPERLINK \l _Toc2474 </w:instrText>
              </w:r>
              <w:r>
                <w:fldChar w:fldCharType="separate"/>
              </w:r>
              <w:r>
                <w:rPr>
                  <w:rFonts w:hint="eastAsia" w:ascii="Calibri" w:hAnsi="Calibri" w:eastAsia="宋体" w:cs="Times New Roman"/>
                  <w:kern w:val="2"/>
                  <w:szCs w:val="24"/>
                  <w:lang w:val="en-US" w:eastAsia="zh-CN"/>
                </w:rPr>
                <w:t xml:space="preserve">4.3 </w:t>
              </w:r>
              <w:r>
                <w:rPr>
                  <w:rFonts w:hint="default" w:ascii="Calibri" w:hAnsi="Calibri" w:eastAsia="宋体" w:cs="Times New Roman"/>
                  <w:kern w:val="2"/>
                  <w:szCs w:val="24"/>
                  <w:lang w:val="en-US" w:eastAsia="zh-CN"/>
                </w:rPr>
                <w:t>Refreeze</w:t>
              </w:r>
              <w:r>
                <w:tab/>
              </w:r>
              <w:r>
                <w:fldChar w:fldCharType="begin"/>
              </w:r>
              <w:r>
                <w:instrText xml:space="preserve"> PAGEREF _Toc2474 \h </w:instrText>
              </w:r>
              <w:r>
                <w:fldChar w:fldCharType="separate"/>
              </w:r>
              <w:r>
                <w:t>9</w:t>
              </w:r>
              <w:r>
                <w:fldChar w:fldCharType="end"/>
              </w:r>
              <w:r>
                <w:fldChar w:fldCharType="end"/>
              </w:r>
            </w:p>
            <w:p>
              <w:pPr>
                <w:pStyle w:val="6"/>
                <w:tabs>
                  <w:tab w:val="right" w:leader="dot" w:pos="9026"/>
                </w:tabs>
              </w:pPr>
              <w:r>
                <w:fldChar w:fldCharType="begin"/>
              </w:r>
              <w:r>
                <w:instrText xml:space="preserve"> HYPERLINK \l _Toc19263 </w:instrText>
              </w:r>
              <w:r>
                <w:fldChar w:fldCharType="separate"/>
              </w:r>
              <w:r>
                <w:rPr>
                  <w:rFonts w:hint="eastAsia" w:ascii="Calibri" w:hAnsi="Calibri" w:eastAsia="宋体" w:cs="Times New Roman"/>
                  <w:kern w:val="2"/>
                  <w:szCs w:val="28"/>
                  <w:lang w:val="en-US" w:eastAsia="zh-CN"/>
                </w:rPr>
                <w:t>5. Kotter</w:t>
              </w:r>
              <w:r>
                <w:rPr>
                  <w:rFonts w:hint="default" w:ascii="Calibri" w:hAnsi="Calibri" w:eastAsia="宋体" w:cs="Times New Roman"/>
                  <w:kern w:val="2"/>
                  <w:szCs w:val="28"/>
                  <w:lang w:val="en-US" w:eastAsia="zh-CN"/>
                </w:rPr>
                <w:t>’</w:t>
              </w:r>
              <w:r>
                <w:rPr>
                  <w:rFonts w:hint="eastAsia" w:ascii="Calibri" w:hAnsi="Calibri" w:eastAsia="宋体" w:cs="Times New Roman"/>
                  <w:kern w:val="2"/>
                  <w:szCs w:val="28"/>
                  <w:lang w:val="en-US" w:eastAsia="zh-CN"/>
                </w:rPr>
                <w:t>s Theory: analysing how Alibaba drives change</w:t>
              </w:r>
              <w:r>
                <w:tab/>
              </w:r>
              <w:r>
                <w:fldChar w:fldCharType="begin"/>
              </w:r>
              <w:r>
                <w:instrText xml:space="preserve"> PAGEREF _Toc19263 \h </w:instrText>
              </w:r>
              <w:r>
                <w:fldChar w:fldCharType="separate"/>
              </w:r>
              <w:r>
                <w:t>11</w:t>
              </w:r>
              <w:r>
                <w:fldChar w:fldCharType="end"/>
              </w:r>
              <w:r>
                <w:fldChar w:fldCharType="end"/>
              </w:r>
            </w:p>
            <w:p>
              <w:pPr>
                <w:pStyle w:val="7"/>
                <w:tabs>
                  <w:tab w:val="right" w:leader="dot" w:pos="9026"/>
                </w:tabs>
              </w:pPr>
              <w:r>
                <w:fldChar w:fldCharType="begin"/>
              </w:r>
              <w:r>
                <w:instrText xml:space="preserve"> HYPERLINK \l _Toc30435 </w:instrText>
              </w:r>
              <w:r>
                <w:fldChar w:fldCharType="separate"/>
              </w:r>
              <w:r>
                <w:rPr>
                  <w:rFonts w:hint="eastAsia" w:ascii="Calibri" w:hAnsi="Calibri" w:eastAsia="宋体" w:cs="Times New Roman"/>
                  <w:kern w:val="2"/>
                  <w:szCs w:val="24"/>
                  <w:lang w:val="en-US" w:eastAsia="zh-CN"/>
                </w:rPr>
                <w:t xml:space="preserve">5.1 Establishing </w:t>
              </w:r>
              <w:r>
                <w:rPr>
                  <w:rFonts w:hint="default" w:ascii="Calibri" w:hAnsi="Calibri" w:eastAsia="宋体" w:cs="Times New Roman"/>
                  <w:kern w:val="2"/>
                  <w:szCs w:val="24"/>
                  <w:lang w:val="en-US" w:eastAsia="zh-CN"/>
                </w:rPr>
                <w:t>a Sense of Urgency</w:t>
              </w:r>
              <w:r>
                <w:tab/>
              </w:r>
              <w:r>
                <w:fldChar w:fldCharType="begin"/>
              </w:r>
              <w:r>
                <w:instrText xml:space="preserve"> PAGEREF _Toc30435 \h </w:instrText>
              </w:r>
              <w:r>
                <w:fldChar w:fldCharType="separate"/>
              </w:r>
              <w:r>
                <w:t>11</w:t>
              </w:r>
              <w:r>
                <w:fldChar w:fldCharType="end"/>
              </w:r>
              <w:r>
                <w:fldChar w:fldCharType="end"/>
              </w:r>
            </w:p>
            <w:p>
              <w:pPr>
                <w:pStyle w:val="7"/>
                <w:tabs>
                  <w:tab w:val="right" w:leader="dot" w:pos="9026"/>
                </w:tabs>
              </w:pPr>
              <w:r>
                <w:fldChar w:fldCharType="begin"/>
              </w:r>
              <w:r>
                <w:instrText xml:space="preserve"> HYPERLINK \l _Toc958 </w:instrText>
              </w:r>
              <w:r>
                <w:fldChar w:fldCharType="separate"/>
              </w:r>
              <w:r>
                <w:rPr>
                  <w:rFonts w:hint="eastAsia" w:ascii="Calibri" w:hAnsi="Calibri" w:eastAsia="宋体" w:cs="Times New Roman"/>
                  <w:kern w:val="2"/>
                  <w:szCs w:val="24"/>
                  <w:lang w:val="en-US" w:eastAsia="zh-CN"/>
                </w:rPr>
                <w:t xml:space="preserve">5.2 </w:t>
              </w:r>
              <w:r>
                <w:rPr>
                  <w:rFonts w:hint="default" w:ascii="Calibri" w:hAnsi="Calibri" w:eastAsia="宋体" w:cs="Times New Roman"/>
                  <w:kern w:val="2"/>
                  <w:szCs w:val="24"/>
                  <w:lang w:val="en-US" w:eastAsia="zh-CN"/>
                </w:rPr>
                <w:t>Creating the Guiding Coalition</w:t>
              </w:r>
              <w:r>
                <w:tab/>
              </w:r>
              <w:r>
                <w:fldChar w:fldCharType="begin"/>
              </w:r>
              <w:r>
                <w:instrText xml:space="preserve"> PAGEREF _Toc958 \h </w:instrText>
              </w:r>
              <w:r>
                <w:fldChar w:fldCharType="separate"/>
              </w:r>
              <w:r>
                <w:t>11</w:t>
              </w:r>
              <w:r>
                <w:fldChar w:fldCharType="end"/>
              </w:r>
              <w:r>
                <w:fldChar w:fldCharType="end"/>
              </w:r>
            </w:p>
            <w:p>
              <w:pPr>
                <w:pStyle w:val="7"/>
                <w:tabs>
                  <w:tab w:val="right" w:leader="dot" w:pos="9026"/>
                </w:tabs>
              </w:pPr>
              <w:r>
                <w:fldChar w:fldCharType="begin"/>
              </w:r>
              <w:r>
                <w:instrText xml:space="preserve"> HYPERLINK \l _Toc19210 </w:instrText>
              </w:r>
              <w:r>
                <w:fldChar w:fldCharType="separate"/>
              </w:r>
              <w:r>
                <w:rPr>
                  <w:rFonts w:hint="eastAsia" w:ascii="Calibri" w:hAnsi="Calibri" w:eastAsia="宋体" w:cs="Times New Roman"/>
                  <w:kern w:val="2"/>
                  <w:szCs w:val="24"/>
                  <w:lang w:val="en-US" w:eastAsia="zh-CN"/>
                </w:rPr>
                <w:t xml:space="preserve">5.3 </w:t>
              </w:r>
              <w:r>
                <w:rPr>
                  <w:rFonts w:hint="default" w:ascii="Calibri" w:hAnsi="Calibri" w:eastAsia="宋体" w:cs="Times New Roman"/>
                  <w:kern w:val="2"/>
                  <w:szCs w:val="24"/>
                  <w:lang w:val="en-US" w:eastAsia="zh-CN"/>
                </w:rPr>
                <w:t>Developing a Vision and Strategy</w:t>
              </w:r>
              <w:r>
                <w:tab/>
              </w:r>
              <w:r>
                <w:fldChar w:fldCharType="begin"/>
              </w:r>
              <w:r>
                <w:instrText xml:space="preserve"> PAGEREF _Toc19210 \h </w:instrText>
              </w:r>
              <w:r>
                <w:fldChar w:fldCharType="separate"/>
              </w:r>
              <w:r>
                <w:t>11</w:t>
              </w:r>
              <w:r>
                <w:fldChar w:fldCharType="end"/>
              </w:r>
              <w:r>
                <w:fldChar w:fldCharType="end"/>
              </w:r>
            </w:p>
            <w:p>
              <w:pPr>
                <w:pStyle w:val="7"/>
                <w:tabs>
                  <w:tab w:val="right" w:leader="dot" w:pos="9026"/>
                </w:tabs>
              </w:pPr>
              <w:r>
                <w:fldChar w:fldCharType="begin"/>
              </w:r>
              <w:r>
                <w:instrText xml:space="preserve"> HYPERLINK \l _Toc5113 </w:instrText>
              </w:r>
              <w:r>
                <w:fldChar w:fldCharType="separate"/>
              </w:r>
              <w:r>
                <w:rPr>
                  <w:rFonts w:hint="eastAsia" w:ascii="Calibri" w:hAnsi="Calibri" w:eastAsia="宋体" w:cs="Times New Roman"/>
                  <w:kern w:val="2"/>
                  <w:szCs w:val="24"/>
                  <w:lang w:val="en-US" w:eastAsia="zh-CN"/>
                </w:rPr>
                <w:t>5.4 Communicating the Change Vision</w:t>
              </w:r>
              <w:r>
                <w:tab/>
              </w:r>
              <w:r>
                <w:fldChar w:fldCharType="begin"/>
              </w:r>
              <w:r>
                <w:instrText xml:space="preserve"> PAGEREF _Toc5113 \h </w:instrText>
              </w:r>
              <w:r>
                <w:fldChar w:fldCharType="separate"/>
              </w:r>
              <w:r>
                <w:t>12</w:t>
              </w:r>
              <w:r>
                <w:fldChar w:fldCharType="end"/>
              </w:r>
              <w:r>
                <w:fldChar w:fldCharType="end"/>
              </w:r>
            </w:p>
            <w:p>
              <w:pPr>
                <w:pStyle w:val="7"/>
                <w:tabs>
                  <w:tab w:val="right" w:leader="dot" w:pos="9026"/>
                </w:tabs>
              </w:pPr>
              <w:r>
                <w:fldChar w:fldCharType="begin"/>
              </w:r>
              <w:r>
                <w:instrText xml:space="preserve"> HYPERLINK \l _Toc25448 </w:instrText>
              </w:r>
              <w:r>
                <w:fldChar w:fldCharType="separate"/>
              </w:r>
              <w:r>
                <w:rPr>
                  <w:rFonts w:hint="eastAsia" w:ascii="Calibri" w:hAnsi="Calibri" w:eastAsia="宋体" w:cs="Times New Roman"/>
                  <w:kern w:val="2"/>
                  <w:szCs w:val="24"/>
                  <w:lang w:val="en-US" w:eastAsia="zh-CN"/>
                </w:rPr>
                <w:t>5.5 Empower employees to take extensive action</w:t>
              </w:r>
              <w:r>
                <w:tab/>
              </w:r>
              <w:r>
                <w:fldChar w:fldCharType="begin"/>
              </w:r>
              <w:r>
                <w:instrText xml:space="preserve"> PAGEREF _Toc25448 \h </w:instrText>
              </w:r>
              <w:r>
                <w:fldChar w:fldCharType="separate"/>
              </w:r>
              <w:r>
                <w:t>12</w:t>
              </w:r>
              <w:r>
                <w:fldChar w:fldCharType="end"/>
              </w:r>
              <w:r>
                <w:fldChar w:fldCharType="end"/>
              </w:r>
            </w:p>
            <w:p>
              <w:pPr>
                <w:pStyle w:val="7"/>
                <w:tabs>
                  <w:tab w:val="right" w:leader="dot" w:pos="9026"/>
                </w:tabs>
              </w:pPr>
              <w:r>
                <w:fldChar w:fldCharType="begin"/>
              </w:r>
              <w:r>
                <w:instrText xml:space="preserve"> HYPERLINK \l _Toc8796 </w:instrText>
              </w:r>
              <w:r>
                <w:fldChar w:fldCharType="separate"/>
              </w:r>
              <w:r>
                <w:rPr>
                  <w:rFonts w:hint="eastAsia" w:ascii="Calibri" w:hAnsi="Calibri" w:eastAsia="宋体" w:cs="Times New Roman"/>
                  <w:kern w:val="2"/>
                  <w:szCs w:val="24"/>
                  <w:lang w:val="en-US" w:eastAsia="zh-CN"/>
                </w:rPr>
                <w:t>5.6 Rapid generation of change benefits</w:t>
              </w:r>
              <w:r>
                <w:tab/>
              </w:r>
              <w:r>
                <w:fldChar w:fldCharType="begin"/>
              </w:r>
              <w:r>
                <w:instrText xml:space="preserve"> PAGEREF _Toc8796 \h </w:instrText>
              </w:r>
              <w:r>
                <w:fldChar w:fldCharType="separate"/>
              </w:r>
              <w:r>
                <w:t>13</w:t>
              </w:r>
              <w:r>
                <w:fldChar w:fldCharType="end"/>
              </w:r>
              <w:r>
                <w:fldChar w:fldCharType="end"/>
              </w:r>
            </w:p>
            <w:p>
              <w:pPr>
                <w:pStyle w:val="7"/>
                <w:tabs>
                  <w:tab w:val="right" w:leader="dot" w:pos="9026"/>
                </w:tabs>
              </w:pPr>
              <w:r>
                <w:fldChar w:fldCharType="begin"/>
              </w:r>
              <w:r>
                <w:instrText xml:space="preserve"> HYPERLINK \l _Toc6635 </w:instrText>
              </w:r>
              <w:r>
                <w:fldChar w:fldCharType="separate"/>
              </w:r>
              <w:r>
                <w:rPr>
                  <w:rFonts w:hint="eastAsia" w:ascii="Calibri" w:hAnsi="Calibri" w:eastAsia="宋体" w:cs="Times New Roman"/>
                  <w:kern w:val="2"/>
                  <w:szCs w:val="24"/>
                  <w:lang w:val="en-US" w:eastAsia="zh-CN"/>
                </w:rPr>
                <w:t xml:space="preserve">5.7 </w:t>
              </w:r>
              <w:r>
                <w:rPr>
                  <w:rFonts w:hint="default" w:ascii="Calibri" w:hAnsi="Calibri" w:eastAsia="宋体" w:cs="Times New Roman"/>
                  <w:kern w:val="2"/>
                  <w:szCs w:val="24"/>
                  <w:lang w:val="en-US" w:eastAsia="zh-CN"/>
                </w:rPr>
                <w:t>Consolidating Gains and Producing More Change</w:t>
              </w:r>
              <w:r>
                <w:tab/>
              </w:r>
              <w:r>
                <w:fldChar w:fldCharType="begin"/>
              </w:r>
              <w:r>
                <w:instrText xml:space="preserve"> PAGEREF _Toc6635 \h </w:instrText>
              </w:r>
              <w:r>
                <w:fldChar w:fldCharType="separate"/>
              </w:r>
              <w:r>
                <w:t>13</w:t>
              </w:r>
              <w:r>
                <w:fldChar w:fldCharType="end"/>
              </w:r>
              <w:r>
                <w:fldChar w:fldCharType="end"/>
              </w:r>
            </w:p>
            <w:p>
              <w:pPr>
                <w:pStyle w:val="7"/>
                <w:tabs>
                  <w:tab w:val="right" w:leader="dot" w:pos="9026"/>
                </w:tabs>
              </w:pPr>
              <w:r>
                <w:fldChar w:fldCharType="begin"/>
              </w:r>
              <w:r>
                <w:instrText xml:space="preserve"> HYPERLINK \l _Toc8555 </w:instrText>
              </w:r>
              <w:r>
                <w:fldChar w:fldCharType="separate"/>
              </w:r>
              <w:r>
                <w:rPr>
                  <w:rFonts w:hint="eastAsia" w:ascii="Calibri" w:hAnsi="Calibri" w:eastAsia="宋体" w:cs="Times New Roman"/>
                  <w:kern w:val="2"/>
                  <w:szCs w:val="24"/>
                  <w:lang w:val="en-US" w:eastAsia="zh-CN"/>
                </w:rPr>
                <w:t>5.8 Consolidating Change Achievements with organisational Culture</w:t>
              </w:r>
              <w:r>
                <w:tab/>
              </w:r>
              <w:r>
                <w:fldChar w:fldCharType="begin"/>
              </w:r>
              <w:r>
                <w:instrText xml:space="preserve"> PAGEREF _Toc8555 \h </w:instrText>
              </w:r>
              <w:r>
                <w:fldChar w:fldCharType="separate"/>
              </w:r>
              <w:r>
                <w:t>13</w:t>
              </w:r>
              <w:r>
                <w:fldChar w:fldCharType="end"/>
              </w:r>
              <w:r>
                <w:fldChar w:fldCharType="end"/>
              </w:r>
            </w:p>
            <w:p>
              <w:pPr>
                <w:pStyle w:val="6"/>
                <w:tabs>
                  <w:tab w:val="right" w:leader="dot" w:pos="9026"/>
                </w:tabs>
              </w:pPr>
              <w:r>
                <w:fldChar w:fldCharType="begin"/>
              </w:r>
              <w:r>
                <w:instrText xml:space="preserve"> HYPERLINK \l _Toc24086 </w:instrText>
              </w:r>
              <w:r>
                <w:fldChar w:fldCharType="separate"/>
              </w:r>
              <w:r>
                <w:rPr>
                  <w:rFonts w:hint="eastAsia" w:ascii="Calibri" w:hAnsi="Calibri" w:eastAsia="宋体" w:cs="Times New Roman"/>
                  <w:kern w:val="2"/>
                  <w:szCs w:val="28"/>
                  <w:lang w:val="en-US" w:eastAsia="zh-CN"/>
                </w:rPr>
                <w:t>6. Conclusions</w:t>
              </w:r>
              <w:r>
                <w:tab/>
              </w:r>
              <w:r>
                <w:fldChar w:fldCharType="begin"/>
              </w:r>
              <w:r>
                <w:instrText xml:space="preserve"> PAGEREF _Toc24086 \h </w:instrText>
              </w:r>
              <w:r>
                <w:fldChar w:fldCharType="separate"/>
              </w:r>
              <w:r>
                <w:t>15</w:t>
              </w:r>
              <w:r>
                <w:fldChar w:fldCharType="end"/>
              </w:r>
              <w:r>
                <w:fldChar w:fldCharType="end"/>
              </w:r>
            </w:p>
            <w:p>
              <w:pPr>
                <w:pStyle w:val="7"/>
                <w:tabs>
                  <w:tab w:val="right" w:leader="dot" w:pos="9026"/>
                </w:tabs>
              </w:pPr>
              <w:r>
                <w:fldChar w:fldCharType="begin"/>
              </w:r>
              <w:r>
                <w:instrText xml:space="preserve"> HYPERLINK \l _Toc5501 </w:instrText>
              </w:r>
              <w:r>
                <w:fldChar w:fldCharType="separate"/>
              </w:r>
              <w:r>
                <w:rPr>
                  <w:rFonts w:hint="eastAsia" w:ascii="Calibri" w:hAnsi="Calibri" w:eastAsia="宋体" w:cs="Times New Roman"/>
                  <w:kern w:val="2"/>
                  <w:szCs w:val="24"/>
                  <w:lang w:val="en-US" w:eastAsia="zh-CN"/>
                </w:rPr>
                <w:t>6.</w:t>
              </w:r>
              <w:r>
                <w:rPr>
                  <w:rFonts w:hint="default" w:ascii="Calibri" w:hAnsi="Calibri" w:eastAsia="宋体" w:cs="Times New Roman"/>
                  <w:kern w:val="2"/>
                  <w:szCs w:val="24"/>
                  <w:lang w:val="en-US" w:eastAsia="zh-CN"/>
                </w:rPr>
                <w:t>1 Change must start at the top of the group</w:t>
              </w:r>
              <w:r>
                <w:tab/>
              </w:r>
              <w:r>
                <w:fldChar w:fldCharType="begin"/>
              </w:r>
              <w:r>
                <w:instrText xml:space="preserve"> PAGEREF _Toc5501 \h </w:instrText>
              </w:r>
              <w:r>
                <w:fldChar w:fldCharType="separate"/>
              </w:r>
              <w:r>
                <w:t>15</w:t>
              </w:r>
              <w:r>
                <w:fldChar w:fldCharType="end"/>
              </w:r>
              <w:r>
                <w:fldChar w:fldCharType="end"/>
              </w:r>
            </w:p>
            <w:p>
              <w:pPr>
                <w:pStyle w:val="7"/>
                <w:tabs>
                  <w:tab w:val="right" w:leader="dot" w:pos="9026"/>
                </w:tabs>
              </w:pPr>
              <w:r>
                <w:fldChar w:fldCharType="begin"/>
              </w:r>
              <w:r>
                <w:instrText xml:space="preserve"> HYPERLINK \l _Toc12861 </w:instrText>
              </w:r>
              <w:r>
                <w:fldChar w:fldCharType="separate"/>
              </w:r>
              <w:r>
                <w:rPr>
                  <w:rFonts w:hint="eastAsia" w:ascii="Calibri" w:hAnsi="Calibri" w:eastAsia="宋体" w:cs="Times New Roman"/>
                  <w:kern w:val="2"/>
                  <w:szCs w:val="24"/>
                  <w:lang w:val="en-US" w:eastAsia="zh-CN"/>
                </w:rPr>
                <w:t>6.</w:t>
              </w:r>
              <w:r>
                <w:rPr>
                  <w:rFonts w:hint="default" w:ascii="Calibri" w:hAnsi="Calibri" w:eastAsia="宋体" w:cs="Times New Roman"/>
                  <w:kern w:val="2"/>
                  <w:szCs w:val="24"/>
                  <w:lang w:val="en-US" w:eastAsia="zh-CN"/>
                </w:rPr>
                <w:t xml:space="preserve">2 To have a long-term accumulated </w:t>
              </w:r>
              <w:r>
                <w:rPr>
                  <w:rFonts w:hint="eastAsia" w:ascii="Calibri" w:hAnsi="Calibri" w:eastAsia="宋体" w:cs="Times New Roman"/>
                  <w:kern w:val="2"/>
                  <w:szCs w:val="24"/>
                  <w:lang w:val="en-US" w:eastAsia="zh-CN"/>
                </w:rPr>
                <w:t>organisational</w:t>
              </w:r>
              <w:r>
                <w:rPr>
                  <w:rFonts w:hint="default" w:ascii="Calibri" w:hAnsi="Calibri" w:eastAsia="宋体" w:cs="Times New Roman"/>
                  <w:kern w:val="2"/>
                  <w:szCs w:val="24"/>
                  <w:lang w:val="en-US" w:eastAsia="zh-CN"/>
                </w:rPr>
                <w:t xml:space="preserve"> culture</w:t>
              </w:r>
              <w:r>
                <w:tab/>
              </w:r>
              <w:r>
                <w:fldChar w:fldCharType="begin"/>
              </w:r>
              <w:r>
                <w:instrText xml:space="preserve"> PAGEREF _Toc12861 \h </w:instrText>
              </w:r>
              <w:r>
                <w:fldChar w:fldCharType="separate"/>
              </w:r>
              <w:r>
                <w:t>15</w:t>
              </w:r>
              <w:r>
                <w:fldChar w:fldCharType="end"/>
              </w:r>
              <w:r>
                <w:fldChar w:fldCharType="end"/>
              </w:r>
            </w:p>
            <w:p>
              <w:pPr>
                <w:pStyle w:val="7"/>
                <w:tabs>
                  <w:tab w:val="right" w:leader="dot" w:pos="9026"/>
                </w:tabs>
              </w:pPr>
              <w:r>
                <w:fldChar w:fldCharType="begin"/>
              </w:r>
              <w:r>
                <w:instrText xml:space="preserve"> HYPERLINK \l _Toc12688 </w:instrText>
              </w:r>
              <w:r>
                <w:fldChar w:fldCharType="separate"/>
              </w:r>
              <w:r>
                <w:rPr>
                  <w:rFonts w:hint="eastAsia" w:ascii="Calibri" w:hAnsi="Calibri" w:eastAsia="宋体" w:cs="Times New Roman"/>
                  <w:kern w:val="2"/>
                  <w:szCs w:val="24"/>
                  <w:lang w:val="en-US" w:eastAsia="zh-CN"/>
                </w:rPr>
                <w:t xml:space="preserve">6.3 </w:t>
              </w:r>
              <w:r>
                <w:rPr>
                  <w:rFonts w:hint="default" w:ascii="Calibri" w:hAnsi="Calibri" w:eastAsia="宋体" w:cs="Times New Roman"/>
                  <w:kern w:val="2"/>
                  <w:szCs w:val="24"/>
                  <w:lang w:val="en-US" w:eastAsia="zh-CN"/>
                </w:rPr>
                <w:t>Change needs to be  gradual</w:t>
              </w:r>
              <w:r>
                <w:tab/>
              </w:r>
              <w:r>
                <w:fldChar w:fldCharType="begin"/>
              </w:r>
              <w:r>
                <w:instrText xml:space="preserve"> PAGEREF _Toc12688 \h </w:instrText>
              </w:r>
              <w:r>
                <w:fldChar w:fldCharType="separate"/>
              </w:r>
              <w:r>
                <w:t>15</w:t>
              </w:r>
              <w:r>
                <w:fldChar w:fldCharType="end"/>
              </w:r>
              <w:r>
                <w:fldChar w:fldCharType="end"/>
              </w:r>
            </w:p>
            <w:p>
              <w:pPr>
                <w:pStyle w:val="6"/>
                <w:tabs>
                  <w:tab w:val="right" w:leader="dot" w:pos="9026"/>
                </w:tabs>
              </w:pPr>
              <w:r>
                <w:fldChar w:fldCharType="begin"/>
              </w:r>
              <w:r>
                <w:instrText xml:space="preserve"> HYPERLINK \l _Toc6035 </w:instrText>
              </w:r>
              <w:r>
                <w:fldChar w:fldCharType="separate"/>
              </w:r>
              <w:r>
                <w:rPr>
                  <w:rFonts w:hint="eastAsia" w:ascii="Calibri" w:hAnsi="Calibri" w:eastAsia="宋体" w:cs="Times New Roman"/>
                  <w:kern w:val="2"/>
                  <w:szCs w:val="28"/>
                  <w:lang w:val="en-US" w:eastAsia="zh-CN"/>
                </w:rPr>
                <w:t>7. Suggestions for Alibaba to Deepen Change and Maintain Stability</w:t>
              </w:r>
              <w:r>
                <w:tab/>
              </w:r>
              <w:r>
                <w:fldChar w:fldCharType="begin"/>
              </w:r>
              <w:r>
                <w:instrText xml:space="preserve"> PAGEREF _Toc6035 \h </w:instrText>
              </w:r>
              <w:r>
                <w:fldChar w:fldCharType="separate"/>
              </w:r>
              <w:r>
                <w:t>16</w:t>
              </w:r>
              <w:r>
                <w:fldChar w:fldCharType="end"/>
              </w:r>
              <w:r>
                <w:fldChar w:fldCharType="end"/>
              </w:r>
            </w:p>
            <w:p>
              <w:pPr>
                <w:pStyle w:val="7"/>
                <w:tabs>
                  <w:tab w:val="right" w:leader="dot" w:pos="9026"/>
                </w:tabs>
              </w:pPr>
              <w:r>
                <w:fldChar w:fldCharType="begin"/>
              </w:r>
              <w:r>
                <w:instrText xml:space="preserve"> HYPERLINK \l _Toc19335 </w:instrText>
              </w:r>
              <w:r>
                <w:fldChar w:fldCharType="separate"/>
              </w:r>
              <w:r>
                <w:rPr>
                  <w:rFonts w:hint="eastAsia" w:ascii="Calibri" w:hAnsi="Calibri" w:eastAsia="宋体" w:cs="Times New Roman"/>
                  <w:kern w:val="2"/>
                  <w:szCs w:val="24"/>
                  <w:lang w:val="en-US" w:eastAsia="zh-CN"/>
                </w:rPr>
                <w:t>7.1 Ensure full autonomy of the six business group organisations.</w:t>
              </w:r>
              <w:r>
                <w:tab/>
              </w:r>
              <w:r>
                <w:fldChar w:fldCharType="begin"/>
              </w:r>
              <w:r>
                <w:instrText xml:space="preserve"> PAGEREF _Toc19335 \h </w:instrText>
              </w:r>
              <w:r>
                <w:fldChar w:fldCharType="separate"/>
              </w:r>
              <w:r>
                <w:t>16</w:t>
              </w:r>
              <w:r>
                <w:fldChar w:fldCharType="end"/>
              </w:r>
              <w:r>
                <w:fldChar w:fldCharType="end"/>
              </w:r>
            </w:p>
            <w:p>
              <w:pPr>
                <w:pStyle w:val="7"/>
                <w:tabs>
                  <w:tab w:val="right" w:leader="dot" w:pos="9026"/>
                </w:tabs>
              </w:pPr>
              <w:r>
                <w:fldChar w:fldCharType="begin"/>
              </w:r>
              <w:r>
                <w:instrText xml:space="preserve"> HYPERLINK \l _Toc2020 </w:instrText>
              </w:r>
              <w:r>
                <w:fldChar w:fldCharType="separate"/>
              </w:r>
              <w:r>
                <w:rPr>
                  <w:rFonts w:hint="eastAsia" w:ascii="Calibri" w:hAnsi="Calibri" w:eastAsia="宋体" w:cs="Times New Roman"/>
                  <w:kern w:val="2"/>
                  <w:szCs w:val="24"/>
                  <w:lang w:val="en-US" w:eastAsia="zh-CN"/>
                </w:rPr>
                <w:t>7.2 Pay close attention to the changes in the middle platform.</w:t>
              </w:r>
              <w:r>
                <w:tab/>
              </w:r>
              <w:r>
                <w:fldChar w:fldCharType="begin"/>
              </w:r>
              <w:r>
                <w:instrText xml:space="preserve"> PAGEREF _Toc2020 \h </w:instrText>
              </w:r>
              <w:r>
                <w:fldChar w:fldCharType="separate"/>
              </w:r>
              <w:r>
                <w:t>16</w:t>
              </w:r>
              <w:r>
                <w:fldChar w:fldCharType="end"/>
              </w:r>
              <w:r>
                <w:fldChar w:fldCharType="end"/>
              </w:r>
            </w:p>
            <w:p>
              <w:pPr>
                <w:pStyle w:val="7"/>
                <w:tabs>
                  <w:tab w:val="right" w:leader="dot" w:pos="9026"/>
                </w:tabs>
              </w:pPr>
              <w:r>
                <w:fldChar w:fldCharType="begin"/>
              </w:r>
              <w:r>
                <w:instrText xml:space="preserve"> HYPERLINK \l _Toc27536 </w:instrText>
              </w:r>
              <w:r>
                <w:fldChar w:fldCharType="separate"/>
              </w:r>
              <w:r>
                <w:rPr>
                  <w:rFonts w:hint="eastAsia" w:ascii="Calibri" w:hAnsi="Calibri" w:eastAsia="宋体" w:cs="Times New Roman"/>
                  <w:kern w:val="2"/>
                  <w:szCs w:val="24"/>
                  <w:lang w:val="en-US" w:eastAsia="zh-CN"/>
                </w:rPr>
                <w:t>7.3 Always monitor customer satisfaction.</w:t>
              </w:r>
              <w:r>
                <w:tab/>
              </w:r>
              <w:r>
                <w:fldChar w:fldCharType="begin"/>
              </w:r>
              <w:r>
                <w:instrText xml:space="preserve"> PAGEREF _Toc27536 \h </w:instrText>
              </w:r>
              <w:r>
                <w:fldChar w:fldCharType="separate"/>
              </w:r>
              <w:r>
                <w:t>16</w:t>
              </w:r>
              <w:r>
                <w:fldChar w:fldCharType="end"/>
              </w:r>
              <w:r>
                <w:fldChar w:fldCharType="end"/>
              </w:r>
            </w:p>
            <w:p>
              <w:pPr>
                <w:pStyle w:val="6"/>
                <w:tabs>
                  <w:tab w:val="right" w:leader="dot" w:pos="9026"/>
                </w:tabs>
              </w:pPr>
              <w:r>
                <w:fldChar w:fldCharType="begin"/>
              </w:r>
              <w:r>
                <w:instrText xml:space="preserve"> HYPERLINK \l _Toc20979 </w:instrText>
              </w:r>
              <w:r>
                <w:fldChar w:fldCharType="separate"/>
              </w:r>
              <w:r>
                <w:rPr>
                  <w:rFonts w:hint="eastAsia" w:ascii="Calibri" w:hAnsi="Calibri" w:eastAsia="宋体" w:cs="Times New Roman"/>
                  <w:kern w:val="2"/>
                  <w:szCs w:val="28"/>
                  <w:lang w:val="en-US" w:eastAsia="zh-CN"/>
                </w:rPr>
                <w:t>8. References</w:t>
              </w:r>
              <w:r>
                <w:tab/>
              </w:r>
              <w:r>
                <w:fldChar w:fldCharType="begin"/>
              </w:r>
              <w:r>
                <w:instrText xml:space="preserve"> PAGEREF _Toc20979 \h </w:instrText>
              </w:r>
              <w:r>
                <w:fldChar w:fldCharType="separate"/>
              </w:r>
              <w:r>
                <w:t>17</w:t>
              </w:r>
              <w:r>
                <w:fldChar w:fldCharType="end"/>
              </w:r>
              <w:r>
                <w:fldChar w:fldCharType="end"/>
              </w:r>
            </w:p>
            <w:p>
              <w:r>
                <w:fldChar w:fldCharType="end"/>
              </w:r>
            </w:p>
          </w:sdtContent>
        </w:sdt>
        <w:p/>
        <w:p/>
        <w:p/>
        <w:p/>
        <w:p/>
        <w:p/>
        <w:p/>
        <w:p>
          <w: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0" w:name="_Toc5432"/>
          <w:r>
            <w:rPr>
              <w:rFonts w:hint="eastAsia" w:ascii="Calibri" w:hAnsi="Calibri" w:eastAsia="宋体" w:cs="Times New Roman"/>
              <w:kern w:val="2"/>
              <w:sz w:val="28"/>
              <w:szCs w:val="28"/>
              <w:lang w:val="en-US" w:eastAsia="zh-CN"/>
            </w:rPr>
            <w:t>1. Introduction</w:t>
          </w:r>
          <w:bookmarkEnd w:id="0"/>
          <w:r>
            <w:rPr>
              <w:rFonts w:hint="eastAsia" w:ascii="Calibri" w:hAnsi="Calibri" w:eastAsia="宋体" w:cs="Times New Roman"/>
              <w:kern w:val="2"/>
              <w:sz w:val="28"/>
              <w:szCs w:val="28"/>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8"/>
              <w:szCs w:val="28"/>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In March 2023, Alibaba began its largest organisational change since its establishment, namely the construction of a "1+6+N" organisational structure. Alibaba Group has established six major enterprise groups and multiple commercial companies, including Alibaba Cloud, Taobao Tmall, Local Service Group, Global Digital Business Group, Cainiao Smart Logistics, and Digital Media Entertainment Group. Implement CEO responsibility under the leadership of the board of directors of each enterprise group and enterprise (Huang Raffaele; Leong Clarence, 2023). In the future, companies that meet the listing criteria will independently go public when the conditions are ripe (Qu Tracy,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 xml:space="preserve">In order to promote this change, Alibaba has taken many measures. On March 27th, Jack Ma, the founder of Alibaba who had been invisible for over three years, returned. The next day, Alibaba Group held a CEO meeting, and the current head, Daniel </w:t>
          </w:r>
          <w:bookmarkStart w:id="40" w:name="_GoBack"/>
          <w:r>
            <w:rPr>
              <w:rFonts w:hint="eastAsia" w:ascii="Calibri" w:hAnsi="Calibri" w:eastAsia="宋体" w:cs="Times New Roman"/>
              <w:kern w:val="2"/>
              <w:sz w:val="24"/>
              <w:szCs w:val="24"/>
              <w:lang w:val="en-US" w:eastAsia="zh-CN"/>
            </w:rPr>
            <w:t>Z</w:t>
          </w:r>
          <w:bookmarkEnd w:id="40"/>
          <w:r>
            <w:rPr>
              <w:rFonts w:hint="eastAsia" w:ascii="Calibri" w:hAnsi="Calibri" w:eastAsia="宋体" w:cs="Times New Roman"/>
              <w:kern w:val="2"/>
              <w:sz w:val="24"/>
              <w:szCs w:val="24"/>
              <w:lang w:val="en-US" w:eastAsia="zh-CN"/>
            </w:rPr>
            <w:t>hang, released a letter from all employees, initiating a new round of corporate governance reform: the group's organisational structure has been transformed into a'1+6+N' structure (Fan Feifei, 2023). This business expansion model of spreading branches and growing independently is not unique to Alibaba. In 2015, Google established its holding company Alphabet and established subsidiaries for its different businesses. The current changes in Alibaba are very similar to Google's management model back then (Todd Zenger,2015).</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cs="Calibri"/>
              <w:b w:val="0"/>
              <w:bCs w:val="0"/>
              <w:color w:val="222222"/>
              <w:sz w:val="28"/>
              <w:szCs w:val="28"/>
              <w:shd w:val="clear" w:color="auto" w:fill="FFFFFF"/>
            </w:rPr>
          </w:pPr>
          <w:r>
            <w:rPr>
              <w:rFonts w:hint="eastAsia" w:ascii="Calibri" w:hAnsi="Calibri" w:eastAsia="宋体" w:cs="Times New Roman"/>
              <w:kern w:val="2"/>
              <w:sz w:val="24"/>
              <w:szCs w:val="24"/>
              <w:lang w:val="en-US" w:eastAsia="zh-CN"/>
            </w:rPr>
            <w:t>In the past, investors may only prefer a certain business of Alibaba, but they can only invest in Alibaba as a whole. In the future, investors can invest in a certain business separately, without considering other businesses becoming a burden. Therefore, Alibaba's transformation has been welcomed by the market. As of the close of the US stock market on March 28th, Alibaba's stock price surged 14% (The Asian Investor, 2023). From the current perspective, the change has achieved some success.</w:t>
          </w:r>
          <w:r>
            <w:rPr>
              <w:rFonts w:hint="default" w:ascii="Calibri" w:hAnsi="Calibri" w:cs="Calibri"/>
              <w:b w:val="0"/>
              <w:bCs w:val="0"/>
              <w:color w:val="222222"/>
              <w:sz w:val="28"/>
              <w:szCs w:val="28"/>
              <w:shd w:val="clear" w:color="auto" w:fill="FFFFFF"/>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1" w:name="_Toc29572"/>
          <w:r>
            <w:rPr>
              <w:rFonts w:hint="eastAsia" w:ascii="Calibri" w:hAnsi="Calibri" w:eastAsia="宋体" w:cs="Times New Roman"/>
              <w:kern w:val="2"/>
              <w:sz w:val="28"/>
              <w:szCs w:val="28"/>
              <w:lang w:val="en-US" w:eastAsia="zh-CN"/>
            </w:rPr>
            <w:t>2. analyse the reasons for Alibaba's change</w:t>
          </w:r>
          <w:bookmarkEnd w:id="1"/>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2" w:name="_Toc27219"/>
          <w:r>
            <w:rPr>
              <w:rFonts w:hint="eastAsia" w:ascii="Calibri" w:hAnsi="Calibri" w:eastAsia="宋体" w:cs="Times New Roman"/>
              <w:kern w:val="2"/>
              <w:sz w:val="24"/>
              <w:szCs w:val="24"/>
              <w:lang w:val="en-US" w:eastAsia="zh-CN"/>
            </w:rPr>
            <w:t>2.1 Internal Environment Analysis</w:t>
          </w:r>
          <w:bookmarkEnd w:id="2"/>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The SWOT analysis method is a method of </w:t>
          </w:r>
          <w:r>
            <w:rPr>
              <w:rFonts w:hint="eastAsia" w:ascii="Calibri" w:hAnsi="Calibri" w:eastAsia="宋体" w:cs="Times New Roman"/>
              <w:kern w:val="2"/>
              <w:sz w:val="24"/>
              <w:szCs w:val="24"/>
              <w:lang w:val="en-US" w:eastAsia="zh-CN"/>
            </w:rPr>
            <w:t>analys</w:t>
          </w:r>
          <w:r>
            <w:rPr>
              <w:rFonts w:hint="default" w:ascii="Calibri" w:hAnsi="Calibri" w:eastAsia="宋体" w:cs="Times New Roman"/>
              <w:kern w:val="2"/>
              <w:sz w:val="24"/>
              <w:szCs w:val="24"/>
              <w:lang w:val="en-US" w:eastAsia="zh-CN"/>
            </w:rPr>
            <w:t xml:space="preserve">ing internal situations by studying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al strengths, weaknesses, and other situations (Phadermrod Boonyarat; Crowder Richard M; Wills Gary B, 2019, p. 195).</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3" w:name="_Toc15740"/>
          <w:r>
            <w:rPr>
              <w:rFonts w:hint="eastAsia" w:ascii="Calibri" w:hAnsi="Calibri" w:eastAsia="宋体" w:cs="Times New Roman"/>
              <w:kern w:val="2"/>
              <w:sz w:val="24"/>
              <w:szCs w:val="24"/>
              <w:lang w:val="en-US" w:eastAsia="zh-CN"/>
            </w:rPr>
            <w:t>2.1.1 Strengths</w:t>
          </w:r>
          <w:bookmarkEnd w:id="3"/>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Alibaba is a multi business and multi format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with a large scale. After years of development, it has developed into a large-scale multinational enterprise, covering business areas such as Chinese commerce, international commerce, local life services, digital media and entertainment, innovative business and others, logistics, cloud services, and more</w:t>
          </w:r>
          <w:r>
            <w:rPr>
              <w:rFonts w:hint="eastAsia" w:ascii="Calibri" w:hAnsi="Calibri" w:eastAsia="宋体" w:cs="Times New Roman"/>
              <w:kern w:val="2"/>
              <w:sz w:val="24"/>
              <w:szCs w:val="24"/>
              <w:lang w:val="en-US" w:eastAsia="zh-CN"/>
            </w:rPr>
            <w:t xml:space="preserve"> (Alibaba, 2023)</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4" w:name="_Toc5937"/>
          <w:r>
            <w:rPr>
              <w:rFonts w:hint="eastAsia" w:ascii="Calibri" w:hAnsi="Calibri" w:eastAsia="宋体" w:cs="Times New Roman"/>
              <w:kern w:val="2"/>
              <w:sz w:val="24"/>
              <w:szCs w:val="24"/>
              <w:lang w:val="en-US" w:eastAsia="zh-CN"/>
            </w:rPr>
            <w:t>2.1.2 Weaknesses</w:t>
          </w:r>
          <w:bookmarkEnd w:id="4"/>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Parkinson's Law shows that once an organisation is formed, it will unconsciously self expand. The larger the organisation, the more bloated the body, and the lower the efficiency, because there are more levels. Each level will be doped with interfering factors (</w:t>
          </w:r>
          <w:r>
            <w:rPr>
              <w:rFonts w:hint="default" w:ascii="Calibri" w:hAnsi="Calibri" w:eastAsia="宋体" w:cs="Times New Roman"/>
              <w:kern w:val="2"/>
              <w:sz w:val="24"/>
              <w:szCs w:val="24"/>
              <w:lang w:val="en-US" w:eastAsia="zh-CN"/>
            </w:rPr>
            <w:t>Kendra Cherry</w:t>
          </w:r>
          <w:r>
            <w:rPr>
              <w:rFonts w:hint="eastAsia" w:ascii="Calibri" w:hAnsi="Calibri" w:eastAsia="宋体" w:cs="Times New Roman"/>
              <w:kern w:val="2"/>
              <w:sz w:val="24"/>
              <w:szCs w:val="24"/>
              <w:lang w:val="en-US" w:eastAsia="zh-CN"/>
            </w:rPr>
            <w:t>, 2022). After the development of Alibaba's giant ship to a certain scale, it will inevitably face the problems of low efficiency in managing job delivery and slow decision-making in large companies (Jing Yang, 2021).</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5" w:name="_Toc25269"/>
          <w:r>
            <w:rPr>
              <w:rFonts w:hint="eastAsia" w:ascii="Calibri" w:hAnsi="Calibri" w:eastAsia="宋体" w:cs="Times New Roman"/>
              <w:kern w:val="2"/>
              <w:sz w:val="24"/>
              <w:szCs w:val="24"/>
              <w:lang w:val="en-US" w:eastAsia="zh-CN"/>
            </w:rPr>
            <w:t>2.1.3 Opportunities</w:t>
          </w:r>
          <w:bookmarkEnd w:id="5"/>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There are many businesses in Alibaba, including mature businesses such as Taobao and Tmall, as well as booming businesses like Alibaba Cloud. </w:t>
          </w:r>
          <w:r>
            <w:rPr>
              <w:rFonts w:hint="eastAsia" w:ascii="Calibri" w:hAnsi="Calibri" w:eastAsia="宋体" w:cs="Times New Roman"/>
              <w:kern w:val="2"/>
              <w:sz w:val="24"/>
              <w:szCs w:val="24"/>
              <w:lang w:val="en-US" w:eastAsia="zh-CN"/>
            </w:rPr>
            <w:t xml:space="preserve"> For example, in 2021, the market value of Taobao Tmall was $624.136 billion, while the market value of Alibaba Cloud was $60.812 billion (</w:t>
          </w:r>
          <w:r>
            <w:rPr>
              <w:rFonts w:hint="default" w:ascii="Calibri" w:hAnsi="Calibri" w:eastAsia="宋体" w:cs="Times New Roman"/>
              <w:kern w:val="2"/>
              <w:sz w:val="24"/>
              <w:szCs w:val="24"/>
              <w:lang w:val="en-US" w:eastAsia="zh-CN"/>
            </w:rPr>
            <w:t>Howie Mann</w:t>
          </w:r>
          <w:r>
            <w:rPr>
              <w:rFonts w:hint="eastAsia" w:ascii="Calibri" w:hAnsi="Calibri" w:eastAsia="宋体" w:cs="Times New Roman"/>
              <w:kern w:val="2"/>
              <w:sz w:val="24"/>
              <w:szCs w:val="24"/>
              <w:lang w:val="en-US" w:eastAsia="zh-CN"/>
            </w:rPr>
            <w:t>, 2021).</w:t>
          </w:r>
          <w:r>
            <w:rPr>
              <w:rFonts w:hint="default" w:ascii="Calibri" w:hAnsi="Calibri" w:eastAsia="宋体" w:cs="Times New Roman"/>
              <w:kern w:val="2"/>
              <w:sz w:val="24"/>
              <w:szCs w:val="24"/>
              <w:lang w:val="en-US" w:eastAsia="zh-CN"/>
            </w:rPr>
            <w:t>These businesses are also relatively mature enterprises in the entire global market. After the split, Alibaba's multi departmental business can blossom everywhere, full of opportunities.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6" w:name="_Toc16303"/>
          <w:r>
            <w:rPr>
              <w:rFonts w:hint="eastAsia" w:ascii="Calibri" w:hAnsi="Calibri" w:eastAsia="宋体" w:cs="Times New Roman"/>
              <w:kern w:val="2"/>
              <w:sz w:val="24"/>
              <w:szCs w:val="24"/>
              <w:lang w:val="en-US" w:eastAsia="zh-CN"/>
            </w:rPr>
            <w:t>2.1.4 Threats</w:t>
          </w:r>
          <w:bookmarkEnd w:id="6"/>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With the involvement of new giants such as Tiktok in e-commerce, it has brought serious competitive pressure to traditional e-commerce. In addition, the rapid development of e-commerce, including Pinduoduo, has also posed threats to Alibaba (</w:t>
          </w:r>
          <w:r>
            <w:rPr>
              <w:rFonts w:hint="default" w:ascii="Calibri" w:hAnsi="Calibri" w:eastAsia="宋体" w:cs="Times New Roman"/>
              <w:kern w:val="2"/>
              <w:sz w:val="24"/>
              <w:szCs w:val="24"/>
              <w:lang w:val="en-US" w:eastAsia="zh-CN"/>
            </w:rPr>
            <w:t>Arjun Kharpal</w:t>
          </w:r>
          <w:r>
            <w:rPr>
              <w:rFonts w:hint="eastAsia" w:ascii="Calibri" w:hAnsi="Calibri" w:eastAsia="宋体" w:cs="Times New Roman"/>
              <w:kern w:val="2"/>
              <w:sz w:val="24"/>
              <w:szCs w:val="24"/>
              <w:lang w:val="en-US" w:eastAsia="zh-CN"/>
            </w:rPr>
            <w:t>, 2022).</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7" w:name="_Toc19939"/>
          <w:r>
            <w:rPr>
              <w:rFonts w:hint="eastAsia" w:ascii="Calibri" w:hAnsi="Calibri" w:eastAsia="宋体" w:cs="Times New Roman"/>
              <w:kern w:val="2"/>
              <w:sz w:val="24"/>
              <w:szCs w:val="24"/>
              <w:lang w:val="en-US" w:eastAsia="zh-CN"/>
            </w:rPr>
            <w:t>2.2 External Environment Analysis</w:t>
          </w:r>
          <w:bookmarkEnd w:id="7"/>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 xml:space="preserve">PESTEL analysis is an effective tool for analysing how the external political, economic, and other environments of an organisation affect it (Gerry Johnson, 2014, p.34).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8" w:name="_Toc18645"/>
          <w:r>
            <w:rPr>
              <w:rFonts w:hint="eastAsia" w:ascii="Calibri" w:hAnsi="Calibri" w:eastAsia="宋体" w:cs="Times New Roman"/>
              <w:kern w:val="2"/>
              <w:sz w:val="24"/>
              <w:szCs w:val="24"/>
              <w:lang w:val="en-US" w:eastAsia="zh-CN"/>
            </w:rPr>
            <w:t>2.2.1 Political</w:t>
          </w:r>
          <w:bookmarkEnd w:id="8"/>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At present, China is promoting the development of the digital economy and e-commerce by building digital infrastructure such as mobile devices and fiber optic devices to enhance the rapid commercialisation of Chinese products and services (</w:t>
          </w:r>
          <w:r>
            <w:rPr>
              <w:rFonts w:hint="default" w:ascii="Calibri" w:hAnsi="Calibri" w:eastAsia="宋体" w:cs="Times New Roman"/>
              <w:kern w:val="2"/>
              <w:sz w:val="24"/>
              <w:szCs w:val="24"/>
              <w:lang w:val="en-US" w:eastAsia="zh-CN"/>
            </w:rPr>
            <w:t>Hong Jiang</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Johann Peter Murmann</w:t>
          </w:r>
          <w:r>
            <w:rPr>
              <w:rFonts w:hint="eastAsia" w:ascii="Calibri" w:hAnsi="Calibri" w:eastAsia="宋体" w:cs="Times New Roman"/>
              <w:kern w:val="2"/>
              <w:sz w:val="24"/>
              <w:szCs w:val="24"/>
              <w:lang w:val="en-US" w:eastAsia="zh-CN"/>
            </w:rPr>
            <w:t xml:space="preserve">, 2022).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9" w:name="_Toc26755"/>
          <w:r>
            <w:rPr>
              <w:rFonts w:hint="eastAsia" w:ascii="Calibri" w:hAnsi="Calibri" w:eastAsia="宋体" w:cs="Times New Roman"/>
              <w:kern w:val="2"/>
              <w:sz w:val="24"/>
              <w:szCs w:val="24"/>
              <w:lang w:val="en-US" w:eastAsia="zh-CN"/>
            </w:rPr>
            <w:t>2.2.2 Economic</w:t>
          </w:r>
          <w:bookmarkEnd w:id="9"/>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Due to the economic slowdown, in May 2022, Alibaba announced its second consecutive quarter of slowest revenue growth since its listing in 2014, and some of Alibaba's US peers have also experienced a slowdown in growth (Shen Lu; Kubota Yoko, 2022).</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10" w:name="_Toc5213"/>
          <w:r>
            <w:rPr>
              <w:rFonts w:hint="eastAsia" w:ascii="Calibri" w:hAnsi="Calibri" w:eastAsia="宋体" w:cs="Times New Roman"/>
              <w:kern w:val="2"/>
              <w:sz w:val="24"/>
              <w:szCs w:val="24"/>
              <w:lang w:val="en-US" w:eastAsia="zh-CN"/>
            </w:rPr>
            <w:t>2.2.3 Social</w:t>
          </w:r>
          <w:bookmarkEnd w:id="10"/>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As a multinational enterprise, Alibaba should actively reform and develop to explore global markets and adapt to multinational cultures. Therefore, it is very important to split and establish an Alibaba International Digital Commerce Group that can make quick decisions.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11" w:name="_Toc31446"/>
          <w:r>
            <w:rPr>
              <w:rFonts w:hint="eastAsia" w:ascii="Calibri" w:hAnsi="Calibri" w:eastAsia="宋体" w:cs="Times New Roman"/>
              <w:kern w:val="2"/>
              <w:sz w:val="24"/>
              <w:szCs w:val="24"/>
              <w:lang w:val="en-US" w:eastAsia="zh-CN"/>
            </w:rPr>
            <w:t>2.2.4 Technological</w:t>
          </w:r>
          <w:bookmarkEnd w:id="11"/>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Currently, driven by new technologies such as AI, Web3, and VR/AR, the global internet technology industry is entering an important reshuffle period (</w:t>
          </w:r>
          <w:r>
            <w:rPr>
              <w:rFonts w:hint="default" w:ascii="Calibri" w:hAnsi="Calibri" w:eastAsia="宋体" w:cs="Times New Roman"/>
              <w:kern w:val="2"/>
              <w:sz w:val="24"/>
              <w:szCs w:val="24"/>
              <w:lang w:val="en-US" w:eastAsia="zh-CN"/>
            </w:rPr>
            <w:t>Toni Witt</w:t>
          </w:r>
          <w:r>
            <w:rPr>
              <w:rFonts w:hint="eastAsia" w:ascii="Calibri" w:hAnsi="Calibri" w:eastAsia="宋体" w:cs="Times New Roman"/>
              <w:kern w:val="2"/>
              <w:sz w:val="24"/>
              <w:szCs w:val="24"/>
              <w:lang w:val="en-US" w:eastAsia="zh-CN"/>
            </w:rPr>
            <w:t>, 2023). In this situation, Alibaba can only make changes to keep up with the pace of technology.</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12" w:name="_Toc10564"/>
          <w:r>
            <w:rPr>
              <w:rFonts w:hint="eastAsia" w:ascii="Calibri" w:hAnsi="Calibri" w:eastAsia="宋体" w:cs="Times New Roman"/>
              <w:kern w:val="2"/>
              <w:sz w:val="24"/>
              <w:szCs w:val="24"/>
              <w:lang w:val="en-US" w:eastAsia="zh-CN"/>
            </w:rPr>
            <w:t>2.2.5 Environmental</w:t>
          </w:r>
          <w:bookmarkEnd w:id="12"/>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There has been a fivefold growth in internet searches for ESG (environmental, social, and governance) since 2019. Currently, more and more companies, investors, and even regulatory agencies are paying attention to ESG (Dame Vivian Hunt, 2022). Alibaba has also released the 2022 Alibaba ESG report (Alibaba, 2022).</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2"/>
            <w:rPr>
              <w:rFonts w:hint="eastAsia" w:ascii="Calibri" w:hAnsi="Calibri" w:eastAsia="宋体" w:cs="Times New Roman"/>
              <w:kern w:val="2"/>
              <w:sz w:val="24"/>
              <w:szCs w:val="24"/>
              <w:lang w:val="en-US" w:eastAsia="zh-CN"/>
            </w:rPr>
          </w:pPr>
          <w:bookmarkStart w:id="13" w:name="_Toc22682"/>
          <w:r>
            <w:rPr>
              <w:rFonts w:hint="eastAsia" w:ascii="Calibri" w:hAnsi="Calibri" w:eastAsia="宋体" w:cs="Times New Roman"/>
              <w:kern w:val="2"/>
              <w:sz w:val="24"/>
              <w:szCs w:val="24"/>
              <w:lang w:val="en-US" w:eastAsia="zh-CN"/>
            </w:rPr>
            <w:t>2.2.6 Legal</w:t>
          </w:r>
          <w:bookmarkEnd w:id="13"/>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In the past few years, monopoly issues have made Alibaba the main target of regulatory agencies. In April 2021, Alibaba was fined a record $2.8 billion in antitrust fines (Yvonne Lau, 2021). Alibaba's current split and restructuring, which allows its subsidiaries to operate independently and handle people, finances, and materials independently, may alleviate Alibaba's suspected monopoly issues to some extent(Jin Li; Angela Huyue Zhang,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14" w:name="_Toc14886"/>
          <w:r>
            <w:rPr>
              <w:rFonts w:hint="eastAsia" w:ascii="Calibri" w:hAnsi="Calibri" w:eastAsia="宋体" w:cs="Times New Roman"/>
              <w:kern w:val="2"/>
              <w:sz w:val="28"/>
              <w:szCs w:val="28"/>
              <w:lang w:val="en-US" w:eastAsia="zh-CN"/>
            </w:rPr>
            <w:t>3. Driving factors for Alibaba's transformation</w:t>
          </w:r>
          <w:bookmarkEnd w:id="14"/>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15" w:name="_Toc10378"/>
          <w:r>
            <w:rPr>
              <w:rFonts w:hint="eastAsia" w:ascii="Calibri" w:hAnsi="Calibri" w:eastAsia="宋体" w:cs="Times New Roman"/>
              <w:kern w:val="2"/>
              <w:sz w:val="24"/>
              <w:szCs w:val="24"/>
              <w:lang w:val="en-US" w:eastAsia="zh-CN"/>
            </w:rPr>
            <w:t>3.1 Corporate Culture</w:t>
          </w:r>
          <w:bookmarkEnd w:id="15"/>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mission of Alibaba Group is to ensure that there is no difficult business in the world. Alibaba's six core concepts emphasise customer first, reform and innovation (Alibaba, 2023). This culture promotes continuous change in enterprises.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16" w:name="_Toc16178"/>
          <w:r>
            <w:rPr>
              <w:rFonts w:hint="eastAsia" w:ascii="Calibri" w:hAnsi="Calibri" w:eastAsia="宋体" w:cs="Times New Roman"/>
              <w:kern w:val="2"/>
              <w:sz w:val="24"/>
              <w:szCs w:val="24"/>
              <w:lang w:val="en-US" w:eastAsia="zh-CN"/>
            </w:rPr>
            <w:t>3.2 Leadership</w:t>
          </w:r>
          <w:bookmarkEnd w:id="16"/>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Alibaba's spiritual leader Jack Ma returned to China in March 2023 to support corporate change and appeared in the media to support Alibaba's self revolution (Tan Huileng, 2023). The current CEO Daniel Zhang has been staying at a hotel in Alibaba's headquarters in Hangzhou for a long time, working more than ten hours a day, leading Alibaba to constantly innovate. In 2020, he expressed his views on leadership at the Davos Economic Forum's 2020 annual meeting, believing that innovation is a core trait (</w:t>
          </w:r>
          <w:r>
            <w:rPr>
              <w:rFonts w:hint="default" w:ascii="Calibri" w:hAnsi="Calibri" w:eastAsia="宋体" w:cs="Times New Roman"/>
              <w:kern w:val="2"/>
              <w:sz w:val="24"/>
              <w:szCs w:val="24"/>
              <w:lang w:val="en-US" w:eastAsia="zh-CN"/>
            </w:rPr>
            <w:t>Alizila Staff</w:t>
          </w:r>
          <w:r>
            <w:rPr>
              <w:rFonts w:hint="eastAsia" w:ascii="Calibri" w:hAnsi="Calibri" w:eastAsia="宋体" w:cs="Times New Roman"/>
              <w:kern w:val="2"/>
              <w:sz w:val="24"/>
              <w:szCs w:val="24"/>
              <w:lang w:val="en-US" w:eastAsia="zh-CN"/>
            </w:rPr>
            <w:t xml:space="preserve">, 2020).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17" w:name="_Toc17652"/>
          <w:r>
            <w:rPr>
              <w:rFonts w:hint="eastAsia" w:ascii="Calibri" w:hAnsi="Calibri" w:eastAsia="宋体" w:cs="Times New Roman"/>
              <w:kern w:val="2"/>
              <w:sz w:val="24"/>
              <w:szCs w:val="24"/>
              <w:lang w:val="en-US" w:eastAsia="zh-CN"/>
            </w:rPr>
            <w:t xml:space="preserve">3.3 </w:t>
          </w:r>
          <w:bookmarkEnd w:id="17"/>
          <w:r>
            <w:rPr>
              <w:rFonts w:hint="eastAsia" w:ascii="Calibri" w:hAnsi="Calibri" w:eastAsia="宋体" w:cs="Times New Roman"/>
              <w:kern w:val="2"/>
              <w:sz w:val="24"/>
              <w:szCs w:val="24"/>
              <w:lang w:val="en-US" w:eastAsia="zh-CN"/>
            </w:rPr>
            <w:t>Digitisation</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fourth industrial revolution led by digital technology is a new leap in the history of human development, and the accompanying wave of Digitisation is unstoppable. At present, the shift of Digital transformation is accelerating, and reform and innovation are coming one after another, triggering deeper changes in the global pattern and reshaping the new pattern of global economic competition and development (Ziska Fields; Stefan Huesig, 2019, p16).</w:t>
          </w:r>
          <w:r>
            <w:rPr>
              <w:rFonts w:hint="default" w:ascii="Calibri" w:hAnsi="Calibri" w:eastAsia="宋体" w:cs="Times New Roman"/>
              <w:kern w:val="2"/>
              <w:sz w:val="24"/>
              <w:szCs w:val="24"/>
              <w:lang w:val="en-US" w:eastAsia="zh-CN"/>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18" w:name="_Toc18673"/>
          <w:r>
            <w:rPr>
              <w:rFonts w:hint="eastAsia" w:ascii="Calibri" w:hAnsi="Calibri" w:eastAsia="宋体" w:cs="Times New Roman"/>
              <w:kern w:val="2"/>
              <w:sz w:val="28"/>
              <w:szCs w:val="28"/>
              <w:lang w:val="en-US" w:eastAsia="zh-CN"/>
            </w:rPr>
            <w:t>4. Lewin's Change Management Model: analysing how Alibaba drives change</w:t>
          </w:r>
          <w:bookmarkEnd w:id="18"/>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19" w:name="_Toc26082"/>
          <w:r>
            <w:rPr>
              <w:rFonts w:hint="eastAsia" w:ascii="Calibri" w:hAnsi="Calibri" w:eastAsia="宋体" w:cs="Times New Roman"/>
              <w:kern w:val="2"/>
              <w:sz w:val="24"/>
              <w:szCs w:val="24"/>
              <w:lang w:val="en-US" w:eastAsia="zh-CN"/>
            </w:rPr>
            <w:t>4.1 Unfreeze</w:t>
          </w:r>
          <w:bookmarkEnd w:id="19"/>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When an organisation needs change, the first step is to 'Unfreeze' the current structure and processes of the organisation. 'Unfreezing' also applies to the views of the employees on the upcoming change (</w:t>
          </w:r>
          <w:r>
            <w:rPr>
              <w:rFonts w:hint="eastAsia" w:ascii="Calibri" w:hAnsi="Calibri" w:eastAsia="宋体" w:cs="Times New Roman"/>
              <w:kern w:val="2"/>
              <w:sz w:val="24"/>
              <w:szCs w:val="24"/>
              <w:lang w:val="en-US" w:eastAsia="zh-CN"/>
            </w:rPr>
            <w:fldChar w:fldCharType="begin"/>
          </w:r>
          <w:r>
            <w:rPr>
              <w:rFonts w:hint="eastAsia" w:ascii="Calibri" w:hAnsi="Calibri" w:eastAsia="宋体" w:cs="Times New Roman"/>
              <w:kern w:val="2"/>
              <w:sz w:val="24"/>
              <w:szCs w:val="24"/>
              <w:lang w:val="en-US" w:eastAsia="zh-CN"/>
            </w:rPr>
            <w:instrText xml:space="preserve"> HYPERLINK "https://onlinelibrary-wiley-com.ezproxy.uwtsd.ac.uk/authored-by/ContribAuthorRaw/Burnes/Bernard" </w:instrText>
          </w:r>
          <w:r>
            <w:rPr>
              <w:rFonts w:hint="eastAsia" w:ascii="Calibri" w:hAnsi="Calibri" w:eastAsia="宋体" w:cs="Times New Roman"/>
              <w:kern w:val="2"/>
              <w:sz w:val="24"/>
              <w:szCs w:val="24"/>
              <w:lang w:val="en-US" w:eastAsia="zh-CN"/>
            </w:rPr>
            <w:fldChar w:fldCharType="separate"/>
          </w:r>
          <w:r>
            <w:rPr>
              <w:rFonts w:hint="eastAsia" w:ascii="Calibri" w:hAnsi="Calibri" w:eastAsia="宋体" w:cs="Times New Roman"/>
              <w:kern w:val="2"/>
              <w:sz w:val="24"/>
              <w:szCs w:val="24"/>
              <w:lang w:val="en-US" w:eastAsia="zh-CN"/>
            </w:rPr>
            <w:t>Bernard Burnes</w:t>
          </w:r>
          <w:r>
            <w:rPr>
              <w:rFonts w:hint="eastAsia"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2004). Alibaba has been doing this kind of 'unfreezing' since a long time ago. For example, as early as 2021, Alibaba officially disclosed its'diversified governance system' to the public for the first time in its annual letter to shareholders. In its December full staff letter, Alibaba further clarified that'diversified governance' will become the new organisational strategy of the group (Global Times, 2022). The organisational change promoted this time, Alibaba CEO Daniel Zhang wrote a letter to all employees explaining that Alibaba's change is aimed at making the organisation agile, shortening the decision-making chain, and making responses faster (Pandaily, 2023). In the process of promoting change, Alibaba also held special meetings to discuss new organisational and governance structures, and provided answers to questions raised by investors and analysts (Alibaba,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20" w:name="_Toc6725"/>
          <w:r>
            <w:rPr>
              <w:rFonts w:hint="eastAsia" w:ascii="Calibri" w:hAnsi="Calibri" w:eastAsia="宋体" w:cs="Times New Roman"/>
              <w:kern w:val="2"/>
              <w:sz w:val="24"/>
              <w:szCs w:val="24"/>
              <w:lang w:val="en-US" w:eastAsia="zh-CN"/>
            </w:rPr>
            <w:t xml:space="preserve">4.2 </w:t>
          </w:r>
          <w:r>
            <w:rPr>
              <w:rFonts w:hint="default" w:ascii="Calibri" w:hAnsi="Calibri" w:eastAsia="宋体" w:cs="Times New Roman"/>
              <w:kern w:val="2"/>
              <w:sz w:val="24"/>
              <w:szCs w:val="24"/>
              <w:lang w:val="en-US" w:eastAsia="zh-CN"/>
            </w:rPr>
            <w:t>Make changes</w:t>
          </w:r>
          <w:bookmarkEnd w:id="20"/>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When the organisation and its employees are ready to accept change, the organisational leadership should deploy and promote change from top to bottom, and provide guidance, communication, listen to opinions, solve problems, and eliminate doubts during the progress of change (</w:t>
          </w:r>
          <w:r>
            <w:rPr>
              <w:rFonts w:hint="eastAsia" w:ascii="Calibri" w:hAnsi="Calibri" w:eastAsia="宋体" w:cs="Times New Roman"/>
              <w:kern w:val="2"/>
              <w:sz w:val="24"/>
              <w:szCs w:val="24"/>
              <w:lang w:val="en-US" w:eastAsia="zh-CN"/>
            </w:rPr>
            <w:fldChar w:fldCharType="begin"/>
          </w:r>
          <w:r>
            <w:rPr>
              <w:rFonts w:hint="eastAsia" w:ascii="Calibri" w:hAnsi="Calibri" w:eastAsia="宋体" w:cs="Times New Roman"/>
              <w:kern w:val="2"/>
              <w:sz w:val="24"/>
              <w:szCs w:val="24"/>
              <w:lang w:val="en-US" w:eastAsia="zh-CN"/>
            </w:rPr>
            <w:instrText xml:space="preserve"> HYPERLINK "https://www.proquest.com/indexinglinkhandler/sng/author/Memon,+Farzana+Akmal/$N?accountid=130472" \o "单击检索该作者的更多文章" </w:instrText>
          </w:r>
          <w:r>
            <w:rPr>
              <w:rFonts w:hint="eastAsia" w:ascii="Calibri" w:hAnsi="Calibri" w:eastAsia="宋体" w:cs="Times New Roman"/>
              <w:kern w:val="2"/>
              <w:sz w:val="24"/>
              <w:szCs w:val="24"/>
              <w:lang w:val="en-US" w:eastAsia="zh-CN"/>
            </w:rPr>
            <w:fldChar w:fldCharType="separate"/>
          </w:r>
          <w:r>
            <w:rPr>
              <w:rFonts w:hint="eastAsia" w:ascii="Calibri" w:hAnsi="Calibri" w:eastAsia="宋体" w:cs="Times New Roman"/>
              <w:kern w:val="2"/>
              <w:sz w:val="24"/>
              <w:szCs w:val="24"/>
              <w:lang w:val="en-US" w:eastAsia="zh-CN"/>
            </w:rPr>
            <w:t>Memon Farzana Akmal</w:t>
          </w:r>
          <w:r>
            <w:rPr>
              <w:rFonts w:hint="eastAsia"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2021). Currently, within the Alibaba Group, according to the new organisational structure, Taobao Tmall Commercial Group has officially launched operations on April 14th. The CEO of the group is Trudi Dai, divided into three units: the first department, which includes a small portion of Taobao and Tmall. The second department includes Tmall and its sub brands, such as Tmall Clothing, Tmall Beauty, etc. The third department includes Alibaba's community group buying business, Taocai Cai, and Tmall Supermarket (Tianwei Zhang, 2023). On April 11th, Alibaba Cloud Group also held a summit in Beijing, and Alibaba Cloud CEO Daniel Zhang gave a speech for about an hour, detailing Alibaba Cloud's strategic direction and goals in the era of intelligence. (Alibabacloud,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1" w:name="_Toc2474"/>
          <w:r>
            <w:rPr>
              <w:rFonts w:hint="eastAsia" w:ascii="Calibri" w:hAnsi="Calibri" w:eastAsia="宋体" w:cs="Times New Roman"/>
              <w:kern w:val="2"/>
              <w:sz w:val="24"/>
              <w:szCs w:val="24"/>
              <w:lang w:val="en-US" w:eastAsia="zh-CN"/>
            </w:rPr>
            <w:t xml:space="preserve">4.3 </w:t>
          </w:r>
          <w:r>
            <w:rPr>
              <w:rFonts w:hint="default" w:ascii="Calibri" w:hAnsi="Calibri" w:eastAsia="宋体" w:cs="Times New Roman"/>
              <w:kern w:val="2"/>
              <w:sz w:val="24"/>
              <w:szCs w:val="24"/>
              <w:lang w:val="en-US" w:eastAsia="zh-CN"/>
            </w:rPr>
            <w:t>Refreeze</w:t>
          </w:r>
          <w:bookmarkEnd w:id="21"/>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When the change is basically completed,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needs to "re freeze" the new status quo. This is crucial. If the old habit reappears, everything it did before will be meaningless</w:t>
          </w:r>
          <w:r>
            <w:rPr>
              <w:rFonts w:hint="eastAsia" w:ascii="Calibri" w:hAnsi="Calibri" w:eastAsia="宋体" w:cs="Times New Roman"/>
              <w:kern w:val="2"/>
              <w:sz w:val="24"/>
              <w:szCs w:val="24"/>
              <w:lang w:val="en-US" w:eastAsia="zh-CN"/>
            </w:rPr>
            <w:t xml:space="preserve"> (Bakari Haroon, 2017)</w:t>
          </w:r>
          <w:r>
            <w:rPr>
              <w:rFonts w:hint="default" w:ascii="Calibri" w:hAnsi="Calibri" w:eastAsia="宋体" w:cs="Times New Roman"/>
              <w:kern w:val="2"/>
              <w:sz w:val="24"/>
              <w:szCs w:val="24"/>
              <w:lang w:val="en-US" w:eastAsia="zh-CN"/>
            </w:rPr>
            <w:t>.</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 xml:space="preserve">At present, Alibaba's reformed groups are steadily expanding its transforming, and promoting change become a consensus among everyone. For example, The newly established Alibaba International Digital Commerce Group operates multiple international commercial retail businesses and has been steadily and orderly promoting the talent cultivation and selection work of the new business group. Starting from March 2023, it </w:t>
          </w:r>
          <w:r>
            <w:rPr>
              <w:rFonts w:hint="eastAsia" w:ascii="Calibri" w:hAnsi="Calibri" w:eastAsia="宋体" w:cs="Times New Roman"/>
              <w:kern w:val="2"/>
              <w:sz w:val="24"/>
              <w:szCs w:val="24"/>
              <w:lang w:val="en-US" w:eastAsia="zh-CN"/>
            </w:rPr>
            <w:t>organise</w:t>
          </w:r>
          <w:r>
            <w:rPr>
              <w:rFonts w:hint="default" w:ascii="Calibri" w:hAnsi="Calibri" w:eastAsia="宋体" w:cs="Times New Roman"/>
              <w:kern w:val="2"/>
              <w:sz w:val="24"/>
              <w:szCs w:val="24"/>
              <w:lang w:val="en-US" w:eastAsia="zh-CN"/>
            </w:rPr>
            <w:t>d the 2023 Alibaba Global E-commerce Challenge. 141 famous universities from 59 countries and regions participated in the competition and have now entered the final stage. This is a great opportunity to select talents</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fldChar w:fldCharType="begin"/>
          </w:r>
          <w:r>
            <w:rPr>
              <w:rFonts w:hint="default" w:ascii="Calibri" w:hAnsi="Calibri" w:eastAsia="宋体" w:cs="Times New Roman"/>
              <w:kern w:val="2"/>
              <w:sz w:val="24"/>
              <w:szCs w:val="24"/>
              <w:lang w:val="en-US" w:eastAsia="zh-CN"/>
            </w:rPr>
            <w:instrText xml:space="preserve"> HYPERLINK "https://www.prnewswire.co.uk/news/alibaba/" </w:instrText>
          </w:r>
          <w:r>
            <w:rPr>
              <w:rFonts w:hint="default" w:ascii="Calibri" w:hAnsi="Calibri" w:eastAsia="宋体" w:cs="Times New Roman"/>
              <w:kern w:val="2"/>
              <w:sz w:val="24"/>
              <w:szCs w:val="24"/>
              <w:lang w:val="en-US" w:eastAsia="zh-CN"/>
            </w:rPr>
            <w:fldChar w:fldCharType="separate"/>
          </w:r>
          <w:r>
            <w:rPr>
              <w:rFonts w:hint="default" w:ascii="Calibri" w:hAnsi="Calibri" w:eastAsia="宋体" w:cs="Times New Roman"/>
              <w:kern w:val="2"/>
              <w:sz w:val="24"/>
              <w:szCs w:val="24"/>
              <w:lang w:val="en-US" w:eastAsia="zh-CN"/>
            </w:rPr>
            <w:t>Alibaba</w:t>
          </w:r>
          <w:r>
            <w:rPr>
              <w:rFonts w:hint="default"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2023).</w:t>
          </w:r>
        </w:p>
        <w:p>
          <w:pPr>
            <w:pStyle w:val="8"/>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left"/>
            <w:outlineLvl w:val="9"/>
            <w:rPr>
              <w:rFonts w:hint="default" w:ascii="Helvetica" w:hAnsi="Helvetica" w:eastAsia="宋体" w:cs="Helvetica"/>
              <w:i w:val="0"/>
              <w:iCs w:val="0"/>
              <w:caps w:val="0"/>
              <w:color w:val="373737"/>
              <w:spacing w:val="0"/>
              <w:sz w:val="24"/>
              <w:szCs w:val="24"/>
              <w:shd w:val="clear" w:fill="FFFFFF"/>
              <w:lang w:val="en-US" w:eastAsia="zh-CN"/>
            </w:rPr>
          </w:pPr>
        </w:p>
        <w:p>
          <w:pPr>
            <w:pStyle w:val="8"/>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132" w:beforeAutospacing="0" w:after="378" w:afterAutospacing="0"/>
            <w:ind w:left="0" w:right="0" w:firstLine="0"/>
            <w:jc w:val="left"/>
            <w:outlineLvl w:val="9"/>
            <w:rPr>
              <w:rFonts w:hint="default" w:ascii="Arial" w:hAnsi="Arial" w:eastAsia="Arial" w:cs="Arial"/>
              <w:i w:val="0"/>
              <w:iCs w:val="0"/>
              <w:caps w:val="0"/>
              <w:color w:val="191919"/>
              <w:spacing w:val="0"/>
              <w:sz w:val="24"/>
              <w:szCs w:val="24"/>
              <w:shd w:val="clear" w:fill="FFFFFF"/>
            </w:rPr>
          </w:pPr>
        </w:p>
        <w:p>
          <w:pPr>
            <w:outlineLvl w:val="9"/>
            <w:rPr>
              <w:rFonts w:hint="default" w:ascii="Helvetica" w:hAnsi="Helvetica" w:eastAsia="宋体" w:cs="Helvetica"/>
              <w:i w:val="0"/>
              <w:iCs w:val="0"/>
              <w:caps w:val="0"/>
              <w:color w:val="262626"/>
              <w:spacing w:val="0"/>
              <w:sz w:val="24"/>
              <w:szCs w:val="24"/>
              <w:shd w:val="clear" w:fill="FFFFFF"/>
              <w:lang w:val="en-US" w:eastAsia="zh-CN"/>
            </w:rPr>
          </w:pPr>
        </w:p>
        <w:p>
          <w:pPr>
            <w:outlineLvl w:val="9"/>
            <w:rPr>
              <w:rFonts w:hint="eastAsia" w:ascii="Helvetica" w:hAnsi="Helvetica" w:eastAsia="宋体" w:cs="Helvetica"/>
              <w:i w:val="0"/>
              <w:iCs w:val="0"/>
              <w:caps w:val="0"/>
              <w:color w:val="262626"/>
              <w:spacing w:val="0"/>
              <w:sz w:val="24"/>
              <w:szCs w:val="24"/>
              <w:shd w:val="clear" w:fill="FFFFFF"/>
              <w:lang w:val="en-US" w:eastAsia="zh-CN"/>
            </w:rPr>
          </w:pPr>
          <w:r>
            <w:rPr>
              <w:rFonts w:hint="eastAsia" w:ascii="Helvetica" w:hAnsi="Helvetica" w:eastAsia="宋体" w:cs="Helvetica"/>
              <w:i w:val="0"/>
              <w:iCs w:val="0"/>
              <w:caps w:val="0"/>
              <w:color w:val="262626"/>
              <w:spacing w:val="0"/>
              <w:sz w:val="24"/>
              <w:szCs w:val="24"/>
              <w:shd w:val="clear" w:fill="FFFFFF"/>
              <w:lang w:val="en-US" w:eastAsia="zh-CN"/>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22" w:name="_Toc19263"/>
          <w:r>
            <w:rPr>
              <w:rFonts w:hint="eastAsia" w:ascii="Calibri" w:hAnsi="Calibri" w:eastAsia="宋体" w:cs="Times New Roman"/>
              <w:kern w:val="2"/>
              <w:sz w:val="28"/>
              <w:szCs w:val="28"/>
              <w:lang w:val="en-US" w:eastAsia="zh-CN"/>
            </w:rPr>
            <w:t>5. Kotter</w:t>
          </w:r>
          <w:r>
            <w:rPr>
              <w:rFonts w:hint="default" w:ascii="Calibri" w:hAnsi="Calibri" w:eastAsia="宋体" w:cs="Times New Roman"/>
              <w:kern w:val="2"/>
              <w:sz w:val="28"/>
              <w:szCs w:val="28"/>
              <w:lang w:val="en-US" w:eastAsia="zh-CN"/>
            </w:rPr>
            <w:t>’</w:t>
          </w:r>
          <w:r>
            <w:rPr>
              <w:rFonts w:hint="eastAsia" w:ascii="Calibri" w:hAnsi="Calibri" w:eastAsia="宋体" w:cs="Times New Roman"/>
              <w:kern w:val="2"/>
              <w:sz w:val="28"/>
              <w:szCs w:val="28"/>
              <w:lang w:val="en-US" w:eastAsia="zh-CN"/>
            </w:rPr>
            <w:t>s Theory: analysing how Alibaba drives change</w:t>
          </w:r>
          <w:bookmarkEnd w:id="22"/>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3" w:name="_Toc30435"/>
          <w:r>
            <w:rPr>
              <w:rFonts w:hint="eastAsia" w:ascii="Calibri" w:hAnsi="Calibri" w:eastAsia="宋体" w:cs="Times New Roman"/>
              <w:kern w:val="2"/>
              <w:sz w:val="24"/>
              <w:szCs w:val="24"/>
              <w:lang w:val="en-US" w:eastAsia="zh-CN"/>
            </w:rPr>
            <w:t xml:space="preserve">5.1 Establishing </w:t>
          </w:r>
          <w:r>
            <w:rPr>
              <w:rFonts w:hint="default" w:ascii="Calibri" w:hAnsi="Calibri" w:eastAsia="宋体" w:cs="Times New Roman"/>
              <w:kern w:val="2"/>
              <w:sz w:val="24"/>
              <w:szCs w:val="24"/>
              <w:lang w:val="en-US" w:eastAsia="zh-CN"/>
            </w:rPr>
            <w:t>a Sense of Urgency</w:t>
          </w:r>
          <w:bookmarkEnd w:id="23"/>
          <w:r>
            <w:rPr>
              <w:rFonts w:hint="default"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When there is an urgent need for change within an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change is likely to be driven. Change leaders should create a sense of urgency for employees to change through various channels and forms. When employees understand the urgency of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al change, the environment for change is formed</w:t>
          </w:r>
          <w:r>
            <w:rPr>
              <w:rFonts w:hint="eastAsia" w:ascii="Calibri" w:hAnsi="Calibri" w:eastAsia="宋体" w:cs="Times New Roman"/>
              <w:kern w:val="2"/>
              <w:sz w:val="24"/>
              <w:szCs w:val="24"/>
              <w:lang w:val="en-US" w:eastAsia="zh-CN"/>
            </w:rPr>
            <w:t xml:space="preserve"> (Mind Tools Content Team, 2020)</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Since Daniel Zhang became the CEO of Alibaba Group in 2015, he has made many organisational adjustments, including the "mid stage strategy" and segmented governance. Both Alibaba employees and internet industry professionals are accustomed to Alibaba's "embrace change" approach. When complex domestic and international situations overlap, industry competition intensifies, and regulatory environment changes, the talent, strategy, and business changes involved in organisational structure adjustment are one of the ways Alibaba maintains its vitality (</w:t>
          </w:r>
          <w:r>
            <w:rPr>
              <w:rFonts w:hint="default" w:ascii="Calibri" w:hAnsi="Calibri" w:eastAsia="宋体" w:cs="Times New Roman"/>
              <w:kern w:val="2"/>
              <w:sz w:val="24"/>
              <w:szCs w:val="24"/>
              <w:lang w:val="en-US" w:eastAsia="zh-CN"/>
            </w:rPr>
            <w:t>Daniel Zhang</w:t>
          </w:r>
          <w:r>
            <w:rPr>
              <w:rFonts w:hint="eastAsia" w:ascii="Calibri" w:hAnsi="Calibri" w:eastAsia="宋体" w:cs="Times New Roman"/>
              <w:kern w:val="2"/>
              <w:sz w:val="24"/>
              <w:szCs w:val="24"/>
              <w:lang w:val="en-US" w:eastAsia="zh-CN"/>
            </w:rPr>
            <w:t>, 2019).</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4" w:name="_Toc958"/>
          <w:r>
            <w:rPr>
              <w:rFonts w:hint="eastAsia" w:ascii="Calibri" w:hAnsi="Calibri" w:eastAsia="宋体" w:cs="Times New Roman"/>
              <w:kern w:val="2"/>
              <w:sz w:val="24"/>
              <w:szCs w:val="24"/>
              <w:lang w:val="en-US" w:eastAsia="zh-CN"/>
            </w:rPr>
            <w:t xml:space="preserve">5.2 </w:t>
          </w:r>
          <w:r>
            <w:rPr>
              <w:rFonts w:hint="default" w:ascii="Calibri" w:hAnsi="Calibri" w:eastAsia="宋体" w:cs="Times New Roman"/>
              <w:kern w:val="2"/>
              <w:sz w:val="24"/>
              <w:szCs w:val="24"/>
              <w:lang w:val="en-US" w:eastAsia="zh-CN"/>
            </w:rPr>
            <w:t>Creating the Guiding Coalition</w:t>
          </w:r>
          <w:bookmarkEnd w:id="24"/>
          <w:r>
            <w:rPr>
              <w:rFonts w:hint="default"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 strong change leadership team can play a crucial role. In the process of implementing change,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first needs to identify the leadership team for the change, as well as core stakeholders, such as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's senior management.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s should first unify their ideas and form a change leadership team in order to promote the implementation of change</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Paul Leinwand</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Mahadeva Matt Mani</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Blair Sheppard</w:t>
          </w:r>
          <w:r>
            <w:rPr>
              <w:rFonts w:hint="eastAsia" w:ascii="Calibri" w:hAnsi="Calibri" w:eastAsia="宋体" w:cs="Times New Roman"/>
              <w:kern w:val="2"/>
              <w:sz w:val="24"/>
              <w:szCs w:val="24"/>
              <w:lang w:val="en-US" w:eastAsia="zh-CN"/>
            </w:rPr>
            <w:t>, 2022).</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transformation of Alibaba this time is to first entrust Alibaba's Alibaba Cloud Group, which is most adaptable to future technological development, to Alibaba CEO Daniel Zhang, to be in charge, entrust Alibaba's most profitable Taobao Tmall to one of Alibaba's founders Trudy Dai, entrust the International Digital Business Group to Jiang Fan, who has been responsible for international business in the early stage, and continue to be in charge of Cainiao Logistics by Wan Lin. These are all Alibaba's efforts to ensure that its changes are recognised by the core stakeholders and elders of the organisation, in order to smoothly promote the implementation of the changes (Alison Tudor Ackroyd,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5" w:name="_Toc19210"/>
          <w:r>
            <w:rPr>
              <w:rFonts w:hint="eastAsia" w:ascii="Calibri" w:hAnsi="Calibri" w:eastAsia="宋体" w:cs="Times New Roman"/>
              <w:kern w:val="2"/>
              <w:sz w:val="24"/>
              <w:szCs w:val="24"/>
              <w:lang w:val="en-US" w:eastAsia="zh-CN"/>
            </w:rPr>
            <w:t xml:space="preserve">5.3 </w:t>
          </w:r>
          <w:r>
            <w:rPr>
              <w:rFonts w:hint="default" w:ascii="Calibri" w:hAnsi="Calibri" w:eastAsia="宋体" w:cs="Times New Roman"/>
              <w:kern w:val="2"/>
              <w:sz w:val="24"/>
              <w:szCs w:val="24"/>
              <w:lang w:val="en-US" w:eastAsia="zh-CN"/>
            </w:rPr>
            <w:t>Developing a Vision and Strategy</w:t>
          </w:r>
          <w:bookmarkEnd w:id="25"/>
          <w:r>
            <w:rPr>
              <w:rFonts w:hint="default"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After the change leadership team is determined,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should first clarify the vision of change. This vision can be a persistent one or a new one proposed after the change. However, the vision of change must motivate employees to take action in the direction of change</w:t>
          </w:r>
          <w:r>
            <w:rPr>
              <w:rFonts w:hint="eastAsia" w:ascii="Calibri" w:hAnsi="Calibri" w:eastAsia="宋体" w:cs="Times New Roman"/>
              <w:kern w:val="2"/>
              <w:sz w:val="24"/>
              <w:szCs w:val="24"/>
              <w:lang w:val="en-US" w:eastAsia="zh-CN"/>
            </w:rPr>
            <w:t xml:space="preserve"> (John P. Kotter, 2012, p69).</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Alibaba CEO Daniel Zhang said in a letter to all employees that the changes in the market will never stop, and a new generation of technology waves are constantly emerging. Without embracing change, it will become rigid, and without changing itself, it will be defeated by the times. We want to become a good company with a history of 102 years. This is consistent with the letter written to investors by CEO Daniel Zhang when Alibaba went public in Hong Kong in 2019。 This is Alibaba's vision for change (</w:t>
          </w:r>
          <w:r>
            <w:rPr>
              <w:rFonts w:hint="default" w:ascii="Calibri" w:hAnsi="Calibri" w:eastAsia="宋体" w:cs="Times New Roman"/>
              <w:kern w:val="2"/>
              <w:sz w:val="24"/>
              <w:szCs w:val="24"/>
              <w:lang w:val="en-US" w:eastAsia="zh-CN"/>
            </w:rPr>
            <w:t>Daniel Zhang</w:t>
          </w:r>
          <w:r>
            <w:rPr>
              <w:rFonts w:hint="eastAsia" w:ascii="Calibri" w:hAnsi="Calibri" w:eastAsia="宋体" w:cs="Times New Roman"/>
              <w:kern w:val="2"/>
              <w:sz w:val="24"/>
              <w:szCs w:val="24"/>
              <w:lang w:val="en-US" w:eastAsia="zh-CN"/>
            </w:rPr>
            <w:t>, 2019).</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26" w:name="_Toc5113"/>
          <w:r>
            <w:rPr>
              <w:rFonts w:hint="eastAsia" w:ascii="Calibri" w:hAnsi="Calibri" w:eastAsia="宋体" w:cs="Times New Roman"/>
              <w:kern w:val="2"/>
              <w:sz w:val="24"/>
              <w:szCs w:val="24"/>
              <w:lang w:val="en-US" w:eastAsia="zh-CN"/>
            </w:rPr>
            <w:t>5.4 Communicating the Change Vision</w:t>
          </w:r>
          <w:bookmarkEnd w:id="26"/>
          <w:r>
            <w:rPr>
              <w:rFonts w:hint="eastAsia"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After the change vision is determined, the next step is for the change leadership team to communicate and convey the change vision to members of the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This communication and communication need to be repeated, and it is particularly important that members of the change leadership team personally demonstrate and guide employees to work tirelessly towards the change vision, in order to improve the overall change performance of the </w:t>
          </w:r>
          <w:r>
            <w:rPr>
              <w:rFonts w:hint="eastAsia" w:ascii="Calibri" w:hAnsi="Calibri" w:eastAsia="宋体" w:cs="Times New Roman"/>
              <w:kern w:val="2"/>
              <w:sz w:val="24"/>
              <w:szCs w:val="24"/>
              <w:lang w:val="en-US" w:eastAsia="zh-CN"/>
            </w:rPr>
            <w:t>organisation  (John P. Kotter, 2012, p87)</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Daniel Zhang communicated with various departments and all employees of Alibaba on the Alibaba intranet, and further discussed the vision of various business subsidiaries after Alibaba's transformation. He pointed out that today, as a company listed as a whole, Alibaba has diverse businesses. Alibaba should decisively let them face the capital market alone. Business groups that meet the conditions all have the possibility of financing and listing ( </w:t>
          </w:r>
          <w:r>
            <w:rPr>
              <w:rFonts w:hint="default" w:ascii="Calibri" w:hAnsi="Calibri" w:eastAsia="宋体" w:cs="Times New Roman"/>
              <w:kern w:val="2"/>
              <w:sz w:val="24"/>
              <w:szCs w:val="24"/>
              <w:lang w:val="en-US" w:eastAsia="zh-CN"/>
            </w:rPr>
            <w:t>Adam Spatacco</w:t>
          </w:r>
          <w:r>
            <w:rPr>
              <w:rFonts w:hint="eastAsia" w:ascii="Calibri" w:hAnsi="Calibri" w:eastAsia="宋体" w:cs="Times New Roman"/>
              <w:kern w:val="2"/>
              <w:sz w:val="24"/>
              <w:szCs w:val="24"/>
              <w:lang w:val="en-US" w:eastAsia="zh-CN"/>
            </w:rPr>
            <w:t>,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27" w:name="_Toc25448"/>
          <w:r>
            <w:rPr>
              <w:rFonts w:hint="eastAsia" w:ascii="Calibri" w:hAnsi="Calibri" w:eastAsia="宋体" w:cs="Times New Roman"/>
              <w:kern w:val="2"/>
              <w:sz w:val="24"/>
              <w:szCs w:val="24"/>
              <w:lang w:val="en-US" w:eastAsia="zh-CN"/>
            </w:rPr>
            <w:t>5.5 Empower employees to take extensive action</w:t>
          </w:r>
          <w:bookmarkEnd w:id="27"/>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In the actual operation process of change, organisations should encourage and guide employees to adapt to change, promote change, and develop change. Encourage and reward employees who take proactive actions towards change, giving them more autonomy, and actively guide those who hold negative attitudes to work on a standardised track of change (John P. Kotter, 2012, p105)</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Alibaba has always been committed to encouraging innovation and change, providing sufficient reform and innovation channels for organisational employees, so that employees who adhere to reform and innovation are constantly motivated. This has led to the emergence of global AliExpress, Juhuasuan, Xianyu, Cainiao, Tmall International, Feizhu, Taopiao, DingTalk, Hema, Alibaba Cloud, and other mobile e-commerce applications in recent years. Taobao has become one of the most famous mobile e-commerce application (Roland</w:t>
          </w:r>
          <w:r>
            <w:rPr>
              <w:rFonts w:hint="default" w:ascii="Calibri" w:hAnsi="Calibri" w:eastAsia="宋体" w:cs="Times New Roman"/>
              <w:kern w:val="2"/>
              <w:sz w:val="24"/>
              <w:szCs w:val="24"/>
              <w:lang w:val="en-US" w:eastAsia="zh-CN"/>
            </w:rPr>
            <w:t> Schmuck</w:t>
          </w:r>
          <w:r>
            <w:rPr>
              <w:rFonts w:hint="eastAsia" w:ascii="Calibri" w:hAnsi="Calibri" w:eastAsia="宋体" w:cs="Times New Roman"/>
              <w:kern w:val="2"/>
              <w:sz w:val="24"/>
              <w:szCs w:val="24"/>
              <w:lang w:val="en-US" w:eastAsia="zh-CN"/>
            </w:rPr>
            <w:t xml:space="preserve">, 2020).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28" w:name="_Toc8796"/>
          <w:r>
            <w:rPr>
              <w:rFonts w:hint="eastAsia" w:ascii="Calibri" w:hAnsi="Calibri" w:eastAsia="宋体" w:cs="Times New Roman"/>
              <w:kern w:val="2"/>
              <w:sz w:val="24"/>
              <w:szCs w:val="24"/>
              <w:lang w:val="en-US" w:eastAsia="zh-CN"/>
            </w:rPr>
            <w:t>5.6 Rapid generation of change benefits</w:t>
          </w:r>
          <w:bookmarkEnd w:id="28"/>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change leadership team should promote the rapid generation of benefits from change in the early stages of change, so that employees have a positive and supportive attitude towards the change. This is because people like the feeling of success, and the process of change usually takes a long time. If the effectiveness of change cannot be achieved in the short term, people may have doubts and negatives about the change, making it more difficult to promote and develop it in the later stage. If there are certain changes in the early stages, employees will have trust in the change leadership team and be willing to follow the pace of the change leadership team for the change vision (John P. Kotter, 2012, p121)</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Since the announcement of the Alibaba Group's split and restructuring, Alibaba's stock has risen by 14%, which is a very exciting news for the market and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At the same time, Alibaba's two important business groups, Alibaba Cloud and Taobao Tmall, have also made significant progress in terms of user numbers and technical capabilities</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fldChar w:fldCharType="begin"/>
          </w:r>
          <w:r>
            <w:rPr>
              <w:rFonts w:hint="default" w:ascii="Calibri" w:hAnsi="Calibri" w:eastAsia="宋体" w:cs="Times New Roman"/>
              <w:kern w:val="2"/>
              <w:sz w:val="24"/>
              <w:szCs w:val="24"/>
              <w:lang w:val="en-US" w:eastAsia="zh-CN"/>
            </w:rPr>
            <w:instrText xml:space="preserve"> HYPERLINK "https://techmonitor.ai/author/mattgooding" </w:instrText>
          </w:r>
          <w:r>
            <w:rPr>
              <w:rFonts w:hint="default" w:ascii="Calibri" w:hAnsi="Calibri" w:eastAsia="宋体" w:cs="Times New Roman"/>
              <w:kern w:val="2"/>
              <w:sz w:val="24"/>
              <w:szCs w:val="24"/>
              <w:lang w:val="en-US" w:eastAsia="zh-CN"/>
            </w:rPr>
            <w:fldChar w:fldCharType="separate"/>
          </w:r>
          <w:r>
            <w:rPr>
              <w:rFonts w:hint="default" w:ascii="Calibri" w:hAnsi="Calibri" w:eastAsia="宋体" w:cs="Times New Roman"/>
              <w:kern w:val="2"/>
              <w:sz w:val="24"/>
              <w:szCs w:val="24"/>
              <w:lang w:val="en-US" w:eastAsia="zh-CN"/>
            </w:rPr>
            <w:t>Matthew Gooding</w:t>
          </w:r>
          <w:r>
            <w:rPr>
              <w:rFonts w:hint="default"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2023)</w:t>
          </w:r>
          <w:r>
            <w:rPr>
              <w:rFonts w:hint="default" w:ascii="Calibri" w:hAnsi="Calibri" w:eastAsia="宋体" w:cs="Times New Roman"/>
              <w:kern w:val="2"/>
              <w:sz w:val="24"/>
              <w:szCs w:val="24"/>
              <w:lang w:val="en-US" w:eastAsia="zh-CN"/>
            </w:rPr>
            <w:t>.</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These are all exciting effects that have quickly emerged after the change</w:t>
          </w:r>
          <w:r>
            <w:rPr>
              <w:rFonts w:hint="eastAsia"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29" w:name="_Toc6635"/>
          <w:r>
            <w:rPr>
              <w:rFonts w:hint="eastAsia" w:ascii="Calibri" w:hAnsi="Calibri" w:eastAsia="宋体" w:cs="Times New Roman"/>
              <w:kern w:val="2"/>
              <w:sz w:val="24"/>
              <w:szCs w:val="24"/>
              <w:lang w:val="en-US" w:eastAsia="zh-CN"/>
            </w:rPr>
            <w:t xml:space="preserve">5.7 </w:t>
          </w:r>
          <w:r>
            <w:rPr>
              <w:rFonts w:hint="default" w:ascii="Calibri" w:hAnsi="Calibri" w:eastAsia="宋体" w:cs="Times New Roman"/>
              <w:kern w:val="2"/>
              <w:sz w:val="24"/>
              <w:szCs w:val="24"/>
              <w:lang w:val="en-US" w:eastAsia="zh-CN"/>
            </w:rPr>
            <w:t>Consolidating Gains and Producing More Change</w:t>
          </w:r>
          <w:bookmarkEnd w:id="29"/>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After the initial results of the change have been achieved, the change leadership team should not prematurely declare that the change has been successful. They should continuously follow up and improve the change results, lead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al members to continue to adhere to the vision of change, deepen and expand the change, and ensure that the change continues to develop in the direction of the vision</w:t>
          </w:r>
          <w:r>
            <w:rPr>
              <w:rFonts w:hint="eastAsia" w:ascii="Calibri" w:hAnsi="Calibri" w:eastAsia="宋体" w:cs="Times New Roman"/>
              <w:kern w:val="2"/>
              <w:sz w:val="24"/>
              <w:szCs w:val="24"/>
              <w:lang w:val="en-US" w:eastAsia="zh-CN"/>
            </w:rPr>
            <w:t xml:space="preserve"> (John P. Kotter, 2012, p137)</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Alibaba Cloud Group has recently stepped up its reform efforts, reducing the price of its core and storage products by 50%. In the face of intensified competition, Alibaba Cloud Group has stepped up its efforts to compete for a larger share of the Chinese cloud market, aiming to expand its user base and market penetration. Among them, the price of elastic computing services using ARM and Intel chips (i.e. the ability to quickly expand or reduce processing) will decrease by almost 20%, while services using NVIDIA V100 and T4 graphics processing units will decrease by almost 47%</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Reuters</w:t>
          </w:r>
          <w:r>
            <w:rPr>
              <w:rFonts w:hint="eastAsia" w:ascii="Calibri" w:hAnsi="Calibri" w:eastAsia="宋体" w:cs="Times New Roman"/>
              <w:kern w:val="2"/>
              <w:sz w:val="24"/>
              <w:szCs w:val="24"/>
              <w:lang w:val="en-US" w:eastAsia="zh-CN"/>
            </w:rPr>
            <w:t>, 2023)</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30" w:name="_Toc8555"/>
          <w:r>
            <w:rPr>
              <w:rFonts w:hint="eastAsia" w:ascii="Calibri" w:hAnsi="Calibri" w:eastAsia="宋体" w:cs="Times New Roman"/>
              <w:kern w:val="2"/>
              <w:sz w:val="24"/>
              <w:szCs w:val="24"/>
              <w:lang w:val="en-US" w:eastAsia="zh-CN"/>
            </w:rPr>
            <w:t>5.8 Consolidating Change Achievements with organisational Culture</w:t>
          </w:r>
          <w:bookmarkEnd w:id="30"/>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Culture is the most important aspect for the sustainable development of an organisation. The leadership team of a change organisation should integrate the vision of change into the organisational culture, forming a general consensus among all employees, especially when recruiting employees and organising training. The content of change should be transmitted to new and old employees, so that all personnel can work together under the vision of change (John P. Kotter, 2012, p153)</w:t>
          </w:r>
          <w:r>
            <w:rPr>
              <w:rFonts w:hint="default" w:ascii="Calibri" w:hAnsi="Calibri" w:eastAsia="宋体" w:cs="Times New Roman"/>
              <w:kern w:val="2"/>
              <w:sz w:val="24"/>
              <w:szCs w:val="24"/>
              <w:lang w:val="en-US" w:eastAsia="zh-CN"/>
            </w:rPr>
            <w:t>.</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Alibaba promptly recruits talents who recognise and approve of change to enrich its talent team and ensure the orderly development of the enterprise group. For example, Alibaba launches a special recruitment campaign for college students every year. At the same time, Alibaba, relying on the national employment service platform for college students, opens all recruitment positions in the business ecosystem of Alibaba's platform to college graduates, and carries out employment services relying on nails to further promote healthy communication between college graduates and nail certified enterprises (</w:t>
          </w:r>
          <w:r>
            <w:rPr>
              <w:rFonts w:hint="default" w:ascii="Calibri" w:hAnsi="Calibri" w:eastAsia="宋体" w:cs="Times New Roman"/>
              <w:kern w:val="2"/>
              <w:sz w:val="24"/>
              <w:szCs w:val="24"/>
              <w:lang w:val="en-US" w:eastAsia="zh-CN"/>
            </w:rPr>
            <w:t>Yvonne Tang</w:t>
          </w:r>
          <w:r>
            <w:rPr>
              <w:rFonts w:hint="eastAsia" w:ascii="Calibri" w:hAnsi="Calibri" w:eastAsia="宋体" w:cs="Times New Roman"/>
              <w:kern w:val="2"/>
              <w:sz w:val="24"/>
              <w:szCs w:val="24"/>
              <w:lang w:val="en-US" w:eastAsia="zh-CN"/>
            </w:rPr>
            <w:t xml:space="preserve">, 2022). </w:t>
          </w:r>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outlineLvl w:val="9"/>
            <w:rPr>
              <w:rFonts w:hint="default" w:ascii="Calibri" w:hAnsi="Calibri" w:eastAsia="宋体" w:cs="Calibri"/>
              <w:b w:val="0"/>
              <w:bCs w:val="0"/>
              <w:i w:val="0"/>
              <w:iCs w:val="0"/>
              <w:caps w:val="0"/>
              <w:color w:val="333333"/>
              <w:spacing w:val="0"/>
              <w:sz w:val="28"/>
              <w:szCs w:val="28"/>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outlineLvl w:val="9"/>
            <w:rPr>
              <w:rFonts w:hint="default" w:ascii="Calibri" w:hAnsi="Calibri" w:eastAsia="宋体" w:cs="Calibri"/>
              <w:b w:val="0"/>
              <w:bCs w:val="0"/>
              <w:i w:val="0"/>
              <w:iCs w:val="0"/>
              <w:caps w:val="0"/>
              <w:color w:val="333333"/>
              <w:spacing w:val="0"/>
              <w:sz w:val="28"/>
              <w:szCs w:val="28"/>
              <w:lang w:val="en-US" w:eastAsia="zh-CN"/>
            </w:rPr>
          </w:pPr>
        </w:p>
        <w:p>
          <w:pPr>
            <w:keepNext w:val="0"/>
            <w:keepLines w:val="0"/>
            <w:pageBreakBefore w:val="0"/>
            <w:widowControl/>
            <w:kinsoku/>
            <w:wordWrap/>
            <w:overflowPunct/>
            <w:topLinePunct w:val="0"/>
            <w:autoSpaceDE/>
            <w:autoSpaceDN/>
            <w:bidi w:val="0"/>
            <w:adjustRightInd/>
            <w:snapToGrid/>
            <w:spacing w:after="0" w:line="240" w:lineRule="auto"/>
            <w:jc w:val="both"/>
            <w:textAlignment w:val="auto"/>
            <w:outlineLvl w:val="9"/>
            <w:rPr>
              <w:rFonts w:hint="default" w:ascii="Calibri" w:hAnsi="Calibri" w:eastAsia="宋体" w:cs="Calibri"/>
              <w:b w:val="0"/>
              <w:bCs w:val="0"/>
              <w:i w:val="0"/>
              <w:iCs w:val="0"/>
              <w:caps w:val="0"/>
              <w:color w:val="333333"/>
              <w:spacing w:val="0"/>
              <w:sz w:val="28"/>
              <w:szCs w:val="28"/>
              <w:lang w:val="en-US" w:eastAsia="zh-CN"/>
            </w:rPr>
          </w:pPr>
        </w:p>
        <w:p>
          <w:pPr>
            <w:outlineLvl w:val="9"/>
            <w:rPr>
              <w:rFonts w:hint="eastAsia" w:ascii="Arial" w:hAnsi="Arial" w:eastAsia="宋体" w:cs="Arial"/>
              <w:color w:val="222222"/>
              <w:shd w:val="clear" w:color="auto" w:fill="FFFFFF"/>
              <w:lang w:val="en-US" w:eastAsia="zh-CN"/>
            </w:rPr>
          </w:pPr>
          <w:r>
            <w:rPr>
              <w:rFonts w:hint="eastAsia" w:ascii="Arial" w:hAnsi="Arial" w:eastAsia="宋体" w:cs="Arial"/>
              <w:color w:val="222222"/>
              <w:shd w:val="clear" w:color="auto" w:fill="FFFFFF"/>
              <w:lang w:val="en-US" w:eastAsia="zh-CN"/>
            </w:rPr>
            <w:br w:type="page"/>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31" w:name="_Toc24086"/>
          <w:r>
            <w:rPr>
              <w:rFonts w:hint="eastAsia" w:ascii="Calibri" w:hAnsi="Calibri" w:eastAsia="宋体" w:cs="Times New Roman"/>
              <w:kern w:val="2"/>
              <w:sz w:val="28"/>
              <w:szCs w:val="28"/>
              <w:lang w:val="en-US" w:eastAsia="zh-CN"/>
            </w:rPr>
            <w:t>6. Conclusions</w:t>
          </w:r>
          <w:bookmarkEnd w:id="31"/>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From the current perspective, Alibaba's transformation is relatively successful. Six business groups have started to split and integrate, such as Cloud Intelligence Group and Taobao Tmall Commerce Group, which have completed their reforms. The other N business companies are also operating effectively. Summarising the transformation of Alibaba, there are three major characteristics as follows:</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32" w:name="_Toc5501"/>
          <w:r>
            <w:rPr>
              <w:rFonts w:hint="eastAsia" w:ascii="Calibri" w:hAnsi="Calibri" w:eastAsia="宋体" w:cs="Times New Roman"/>
              <w:kern w:val="2"/>
              <w:sz w:val="24"/>
              <w:szCs w:val="24"/>
              <w:lang w:val="en-US" w:eastAsia="zh-CN"/>
            </w:rPr>
            <w:t>6.</w:t>
          </w:r>
          <w:r>
            <w:rPr>
              <w:rFonts w:hint="default" w:ascii="Calibri" w:hAnsi="Calibri" w:eastAsia="宋体" w:cs="Times New Roman"/>
              <w:kern w:val="2"/>
              <w:sz w:val="24"/>
              <w:szCs w:val="24"/>
              <w:lang w:val="en-US" w:eastAsia="zh-CN"/>
            </w:rPr>
            <w:t>1 Change must start at the top of the group</w:t>
          </w:r>
          <w:bookmarkEnd w:id="32"/>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This organisational governance change was initiated by Daniel Zhang and unanimously approved by the Alibaba Group senior management team, redefining and constructing the relationship between the Alibaba Group and various business groups. In practice, it is relatively successful. Therefore, as Alibaba CEO Daniel Zhang said, Change must start at the top of the group ( </w:t>
          </w:r>
          <w:r>
            <w:rPr>
              <w:rFonts w:hint="default" w:ascii="Calibri" w:hAnsi="Calibri" w:eastAsia="宋体" w:cs="Times New Roman"/>
              <w:kern w:val="2"/>
              <w:sz w:val="24"/>
              <w:szCs w:val="24"/>
              <w:lang w:val="en-US" w:eastAsia="zh-CN"/>
            </w:rPr>
            <w:fldChar w:fldCharType="begin"/>
          </w:r>
          <w:r>
            <w:rPr>
              <w:rFonts w:hint="default" w:ascii="Calibri" w:hAnsi="Calibri" w:eastAsia="宋体" w:cs="Times New Roman"/>
              <w:kern w:val="2"/>
              <w:sz w:val="24"/>
              <w:szCs w:val="24"/>
              <w:lang w:val="en-US" w:eastAsia="zh-CN"/>
            </w:rPr>
            <w:instrText xml:space="preserve"> HYPERLINK "https://www.alizila.com/author/alison-tudor-ackroyd/" </w:instrText>
          </w:r>
          <w:r>
            <w:rPr>
              <w:rFonts w:hint="default" w:ascii="Calibri" w:hAnsi="Calibri" w:eastAsia="宋体" w:cs="Times New Roman"/>
              <w:kern w:val="2"/>
              <w:sz w:val="24"/>
              <w:szCs w:val="24"/>
              <w:lang w:val="en-US" w:eastAsia="zh-CN"/>
            </w:rPr>
            <w:fldChar w:fldCharType="separate"/>
          </w:r>
          <w:r>
            <w:rPr>
              <w:rFonts w:hint="default" w:ascii="Calibri" w:hAnsi="Calibri" w:eastAsia="宋体" w:cs="Times New Roman"/>
              <w:kern w:val="2"/>
              <w:sz w:val="24"/>
              <w:szCs w:val="24"/>
              <w:lang w:val="en-US" w:eastAsia="zh-CN"/>
            </w:rPr>
            <w:t>Alison Tudor Ackroyd</w:t>
          </w:r>
          <w:r>
            <w:rPr>
              <w:rFonts w:hint="default" w:ascii="Calibri" w:hAnsi="Calibri" w:eastAsia="宋体" w:cs="Times New Roman"/>
              <w:kern w:val="2"/>
              <w:sz w:val="24"/>
              <w:szCs w:val="24"/>
              <w:lang w:val="en-US" w:eastAsia="zh-CN"/>
            </w:rPr>
            <w:fldChar w:fldCharType="end"/>
          </w:r>
          <w:r>
            <w:rPr>
              <w:rFonts w:hint="eastAsia" w:ascii="Calibri" w:hAnsi="Calibri" w:eastAsia="宋体" w:cs="Times New Roman"/>
              <w:kern w:val="2"/>
              <w:sz w:val="24"/>
              <w:szCs w:val="24"/>
              <w:lang w:val="en-US" w:eastAsia="zh-CN"/>
            </w:rPr>
            <w:t>, 2023).</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33" w:name="_Toc12861"/>
          <w:r>
            <w:rPr>
              <w:rFonts w:hint="eastAsia" w:ascii="Calibri" w:hAnsi="Calibri" w:eastAsia="宋体" w:cs="Times New Roman"/>
              <w:kern w:val="2"/>
              <w:sz w:val="24"/>
              <w:szCs w:val="24"/>
              <w:lang w:val="en-US" w:eastAsia="zh-CN"/>
            </w:rPr>
            <w:t>6.</w:t>
          </w:r>
          <w:r>
            <w:rPr>
              <w:rFonts w:hint="default" w:ascii="Calibri" w:hAnsi="Calibri" w:eastAsia="宋体" w:cs="Times New Roman"/>
              <w:kern w:val="2"/>
              <w:sz w:val="24"/>
              <w:szCs w:val="24"/>
              <w:lang w:val="en-US" w:eastAsia="zh-CN"/>
            </w:rPr>
            <w:t xml:space="preserve">2 To have a long-term accumulated </w:t>
          </w:r>
          <w:r>
            <w:rPr>
              <w:rFonts w:hint="eastAsia" w:ascii="Calibri" w:hAnsi="Calibri" w:eastAsia="宋体" w:cs="Times New Roman"/>
              <w:kern w:val="2"/>
              <w:sz w:val="24"/>
              <w:szCs w:val="24"/>
              <w:lang w:val="en-US" w:eastAsia="zh-CN"/>
            </w:rPr>
            <w:t>organisational</w:t>
          </w:r>
          <w:r>
            <w:rPr>
              <w:rFonts w:hint="default" w:ascii="Calibri" w:hAnsi="Calibri" w:eastAsia="宋体" w:cs="Times New Roman"/>
              <w:kern w:val="2"/>
              <w:sz w:val="24"/>
              <w:szCs w:val="24"/>
              <w:lang w:val="en-US" w:eastAsia="zh-CN"/>
            </w:rPr>
            <w:t xml:space="preserve"> culture</w:t>
          </w:r>
          <w:bookmarkEnd w:id="33"/>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 xml:space="preserve">As mentioned earlier, Alibaba is a huge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 with diverse and complex businesses, some mature and some immature. How to gather a consensus on change among all employees requires culture and driven by values.</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 xml:space="preserve">Therefore, using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al culture to unify ideas is particularly important. Unifying ideas is not only for employees who support change, but also for employees who do not understand or oppose change. It is necessary to unite all personnel and strive for change (Esther Cameron</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 xml:space="preserve">Mike Green, 2012, p277).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default" w:ascii="Calibri" w:hAnsi="Calibri" w:eastAsia="宋体" w:cs="Times New Roman"/>
              <w:kern w:val="2"/>
              <w:sz w:val="24"/>
              <w:szCs w:val="24"/>
              <w:lang w:val="en-US" w:eastAsia="zh-CN"/>
            </w:rPr>
          </w:pPr>
          <w:bookmarkStart w:id="34" w:name="_Toc12688"/>
          <w:r>
            <w:rPr>
              <w:rFonts w:hint="eastAsia" w:ascii="Calibri" w:hAnsi="Calibri" w:eastAsia="宋体" w:cs="Times New Roman"/>
              <w:kern w:val="2"/>
              <w:sz w:val="24"/>
              <w:szCs w:val="24"/>
              <w:lang w:val="en-US" w:eastAsia="zh-CN"/>
            </w:rPr>
            <w:t xml:space="preserve">6.3 </w:t>
          </w:r>
          <w:r>
            <w:rPr>
              <w:rFonts w:hint="default" w:ascii="Calibri" w:hAnsi="Calibri" w:eastAsia="宋体" w:cs="Times New Roman"/>
              <w:kern w:val="2"/>
              <w:sz w:val="24"/>
              <w:szCs w:val="24"/>
              <w:lang w:val="en-US" w:eastAsia="zh-CN"/>
            </w:rPr>
            <w:t>Change needs to be  gradual</w:t>
          </w:r>
          <w:bookmarkEnd w:id="34"/>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default" w:ascii="Calibri" w:hAnsi="Calibri" w:eastAsia="宋体" w:cs="Times New Roman"/>
              <w:kern w:val="2"/>
              <w:sz w:val="24"/>
              <w:szCs w:val="24"/>
              <w:lang w:val="en-US" w:eastAsia="zh-CN"/>
            </w:rPr>
            <w:t>Change is not overnight, Alibaba's current change is actually a natural outcome. Daniel Zhang mentioned that Alibaba's' 1+6+N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al change this time is precisely due to the diversification of governance in the past few years, which has given Alibaba the confidence to take this historic step forward. In order to implement this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xml:space="preserve">al change, Daniel Zhang laid out diversified governance many years in advance and advocated for 'agile </w:t>
          </w:r>
          <w:r>
            <w:rPr>
              <w:rFonts w:hint="eastAsia" w:ascii="Calibri" w:hAnsi="Calibri" w:eastAsia="宋体" w:cs="Times New Roman"/>
              <w:kern w:val="2"/>
              <w:sz w:val="24"/>
              <w:szCs w:val="24"/>
              <w:lang w:val="en-US" w:eastAsia="zh-CN"/>
            </w:rPr>
            <w:t>organisation</w:t>
          </w:r>
          <w:r>
            <w:rPr>
              <w:rFonts w:hint="default" w:ascii="Calibri" w:hAnsi="Calibri" w:eastAsia="宋体" w:cs="Times New Roman"/>
              <w:kern w:val="2"/>
              <w:sz w:val="24"/>
              <w:szCs w:val="24"/>
              <w:lang w:val="en-US" w:eastAsia="zh-CN"/>
            </w:rPr>
            <w:t>' within the group</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M</w:t>
          </w:r>
          <w:r>
            <w:rPr>
              <w:rFonts w:hint="eastAsia" w:ascii="Calibri" w:hAnsi="Calibri" w:eastAsia="宋体" w:cs="Times New Roman"/>
              <w:kern w:val="2"/>
              <w:sz w:val="24"/>
              <w:szCs w:val="24"/>
              <w:lang w:val="en-US" w:eastAsia="zh-CN"/>
            </w:rPr>
            <w:t>ichelle</w:t>
          </w:r>
          <w:r>
            <w:rPr>
              <w:rFonts w:hint="default" w:ascii="Calibri" w:hAnsi="Calibri" w:eastAsia="宋体" w:cs="Times New Roman"/>
              <w:kern w:val="2"/>
              <w:sz w:val="24"/>
              <w:szCs w:val="24"/>
              <w:lang w:val="en-US" w:eastAsia="zh-CN"/>
            </w:rPr>
            <w:t xml:space="preserve"> C</w:t>
          </w:r>
          <w:r>
            <w:rPr>
              <w:rFonts w:hint="eastAsia" w:ascii="Calibri" w:hAnsi="Calibri" w:eastAsia="宋体" w:cs="Times New Roman"/>
              <w:kern w:val="2"/>
              <w:sz w:val="24"/>
              <w:szCs w:val="24"/>
              <w:lang w:val="en-US" w:eastAsia="zh-CN"/>
            </w:rPr>
            <w:t>hapman, 2023)</w:t>
          </w:r>
          <w:r>
            <w:rPr>
              <w:rFonts w:hint="default"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0"/>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br w:type="page"/>
          </w:r>
          <w:bookmarkStart w:id="35" w:name="_Toc6035"/>
          <w:r>
            <w:rPr>
              <w:rFonts w:hint="eastAsia" w:ascii="Calibri" w:hAnsi="Calibri" w:eastAsia="宋体" w:cs="Times New Roman"/>
              <w:kern w:val="2"/>
              <w:sz w:val="28"/>
              <w:szCs w:val="28"/>
              <w:lang w:val="en-US" w:eastAsia="zh-CN"/>
            </w:rPr>
            <w:t>7. Suggestions for Alibaba to Deepen Change and Maintain Stability</w:t>
          </w:r>
          <w:bookmarkEnd w:id="35"/>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36" w:name="_Toc19335"/>
          <w:r>
            <w:rPr>
              <w:rFonts w:hint="eastAsia" w:ascii="Calibri" w:hAnsi="Calibri" w:eastAsia="宋体" w:cs="Times New Roman"/>
              <w:kern w:val="2"/>
              <w:sz w:val="24"/>
              <w:szCs w:val="24"/>
              <w:lang w:val="en-US" w:eastAsia="zh-CN"/>
            </w:rPr>
            <w:t>7.1 Ensure full autonomy of the six business group organisations.</w:t>
          </w:r>
          <w:bookmarkEnd w:id="36"/>
          <w:r>
            <w:rPr>
              <w:rFonts w:hint="eastAsia"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AI applications represented by ChatGPT have become the hottest topics in the global technology industry. In fact, the success of ChatGPT precisely proves that decentralised and flexible organisations are suitable for disruptive innovation. Although OpenAI, which developed ChatGPT, is affiliated with Microsoft, it essentially operates independently and enjoys enormous autonomy in technology and application research and development. If OpenAI were a department of Microsoft, subject to meticulous management and a culture of uniformity, then there might not be ChatGPT (Rotman David, 2023). Alibaba has just split its business group, and in its later development, it should learn from Microsoft's attitude towards OpenAI company.</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37" w:name="_Toc2020"/>
          <w:r>
            <w:rPr>
              <w:rFonts w:hint="eastAsia" w:ascii="Calibri" w:hAnsi="Calibri" w:eastAsia="宋体" w:cs="Times New Roman"/>
              <w:kern w:val="2"/>
              <w:sz w:val="24"/>
              <w:szCs w:val="24"/>
              <w:lang w:val="en-US" w:eastAsia="zh-CN"/>
            </w:rPr>
            <w:t>7.2 Pay close attention to the changes in the middle platform.</w:t>
          </w:r>
          <w:bookmarkEnd w:id="37"/>
          <w:r>
            <w:rPr>
              <w:rFonts w:hint="eastAsia"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The middle platform is an internet term commonly used in large internet enterprises. It refers to building a flexible and fast architecture to respond to changes, quickly meet front-end requirements, avoid duplicate construction, and achieve the goal of improving work efficiency (</w:t>
          </w:r>
          <w:r>
            <w:rPr>
              <w:rFonts w:hint="default" w:ascii="Calibri" w:hAnsi="Calibri" w:eastAsia="宋体" w:cs="Times New Roman"/>
              <w:kern w:val="2"/>
              <w:sz w:val="24"/>
              <w:szCs w:val="24"/>
              <w:lang w:val="en-US" w:eastAsia="zh-CN"/>
            </w:rPr>
            <w:t>Miklos Dietz</w:t>
          </w:r>
          <w:r>
            <w:rPr>
              <w:rFonts w:hint="eastAsia" w:ascii="Calibri" w:hAnsi="Calibri" w:eastAsia="宋体" w:cs="Times New Roman"/>
              <w:kern w:val="2"/>
              <w:sz w:val="24"/>
              <w:szCs w:val="24"/>
              <w:lang w:val="en-US" w:eastAsia="zh-CN"/>
            </w:rPr>
            <w:t xml:space="preserve">; </w:t>
          </w:r>
          <w:r>
            <w:rPr>
              <w:rFonts w:hint="default" w:ascii="Calibri" w:hAnsi="Calibri" w:eastAsia="宋体" w:cs="Times New Roman"/>
              <w:kern w:val="2"/>
              <w:sz w:val="24"/>
              <w:szCs w:val="24"/>
              <w:lang w:val="en-US" w:eastAsia="zh-CN"/>
            </w:rPr>
            <w:t>Hamza Khan</w:t>
          </w:r>
          <w:r>
            <w:rPr>
              <w:rFonts w:hint="eastAsia" w:ascii="Calibri" w:hAnsi="Calibri" w:eastAsia="宋体" w:cs="Times New Roman"/>
              <w:kern w:val="2"/>
              <w:sz w:val="24"/>
              <w:szCs w:val="24"/>
              <w:lang w:val="en-US" w:eastAsia="zh-CN"/>
            </w:rPr>
            <w:t>, 2020). The organisational change of Alibaba this time has broken down the middle platform and been absorbed by the new business group organisations. It can be imagined that in the short term, the total cost of various business group organisations may increase due to the reduced sharing and reuse capabilities of the middle platform. Therefore, Alibaba should pay attention and, if necessary, allow business group organisations to share the original middle platform in the short term.</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eastAsia" w:ascii="Calibri" w:hAnsi="Calibri" w:eastAsia="宋体" w:cs="Times New Roman"/>
              <w:kern w:val="2"/>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1"/>
            <w:rPr>
              <w:rFonts w:hint="eastAsia" w:ascii="Calibri" w:hAnsi="Calibri" w:eastAsia="宋体" w:cs="Times New Roman"/>
              <w:kern w:val="2"/>
              <w:sz w:val="24"/>
              <w:szCs w:val="24"/>
              <w:lang w:val="en-US" w:eastAsia="zh-CN"/>
            </w:rPr>
          </w:pPr>
          <w:bookmarkStart w:id="38" w:name="_Toc27536"/>
          <w:r>
            <w:rPr>
              <w:rFonts w:hint="eastAsia" w:ascii="Calibri" w:hAnsi="Calibri" w:eastAsia="宋体" w:cs="Times New Roman"/>
              <w:kern w:val="2"/>
              <w:sz w:val="24"/>
              <w:szCs w:val="24"/>
              <w:lang w:val="en-US" w:eastAsia="zh-CN"/>
            </w:rPr>
            <w:t>7.3 Always monitor customer satisfaction.</w:t>
          </w:r>
          <w:bookmarkEnd w:id="38"/>
          <w:r>
            <w:rPr>
              <w:rFonts w:hint="eastAsia" w:ascii="Calibri" w:hAnsi="Calibri" w:eastAsia="宋体" w:cs="Times New Roman"/>
              <w:kern w:val="2"/>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after="0" w:line="400" w:lineRule="exact"/>
            <w:jc w:val="both"/>
            <w:textAlignment w:val="auto"/>
            <w:outlineLvl w:val="9"/>
            <w:rPr>
              <w:rFonts w:hint="default" w:ascii="Calibri" w:hAnsi="Calibri" w:eastAsia="宋体" w:cs="Times New Roman"/>
              <w:kern w:val="2"/>
              <w:sz w:val="24"/>
              <w:szCs w:val="24"/>
              <w:lang w:val="en-US" w:eastAsia="zh-CN"/>
            </w:rPr>
          </w:pPr>
          <w:r>
            <w:rPr>
              <w:rFonts w:hint="eastAsia" w:ascii="Calibri" w:hAnsi="Calibri" w:eastAsia="宋体" w:cs="Times New Roman"/>
              <w:kern w:val="2"/>
              <w:sz w:val="24"/>
              <w:szCs w:val="24"/>
              <w:lang w:val="en-US" w:eastAsia="zh-CN"/>
            </w:rPr>
            <w:t>Just as Alibaba's core value is 'customer first', the design and creation of change are driven by customers, and the ultimate goal of change is to attract more customer satisfaction. Never let 'everything related to customers' become' this related to new plans' after the change truly begins. The new organisation also needs to regularly discuss the needs of customers and stakeholders. Ultimately, customer satisfaction is achieved by continuously improving organisational performance (</w:t>
          </w:r>
          <w:r>
            <w:rPr>
              <w:rFonts w:hint="default" w:ascii="Calibri" w:hAnsi="Calibri" w:eastAsia="宋体" w:cs="Times New Roman"/>
              <w:kern w:val="2"/>
              <w:sz w:val="24"/>
              <w:szCs w:val="24"/>
              <w:lang w:val="en-US" w:eastAsia="zh-CN"/>
            </w:rPr>
            <w:t>Reed Deshler</w:t>
          </w:r>
          <w:r>
            <w:rPr>
              <w:rFonts w:hint="eastAsia" w:ascii="Calibri" w:hAnsi="Calibri" w:eastAsia="宋体" w:cs="Times New Roman"/>
              <w:kern w:val="2"/>
              <w:sz w:val="24"/>
              <w:szCs w:val="24"/>
              <w:lang w:val="en-US" w:eastAsia="zh-CN"/>
            </w:rPr>
            <w:t>, 2022). Maintaining this perspective will lead change in the right direction.</w:t>
          </w:r>
        </w:p>
        <w:p>
          <w:pPr>
            <w:rPr>
              <w:rFonts w:hint="eastAsia"/>
              <w:color w:val="auto"/>
              <w:lang w:val="en-US" w:eastAsia="zh-CN"/>
            </w:rPr>
          </w:pPr>
          <w:r>
            <w:rPr>
              <w:rFonts w:hint="eastAsia"/>
              <w:color w:val="auto"/>
              <w:lang w:val="en-US" w:eastAsia="zh-CN"/>
            </w:rPr>
            <w:br w:type="page"/>
          </w:r>
        </w:p>
        <w:p>
          <w:pPr>
            <w:keepNext w:val="0"/>
            <w:keepLines w:val="0"/>
            <w:pageBreakBefore w:val="0"/>
            <w:widowControl w:val="0"/>
            <w:numPr>
              <w:ilvl w:val="0"/>
              <w:numId w:val="1"/>
            </w:numPr>
            <w:kinsoku/>
            <w:wordWrap/>
            <w:overflowPunct/>
            <w:topLinePunct w:val="0"/>
            <w:autoSpaceDE/>
            <w:autoSpaceDN/>
            <w:bidi w:val="0"/>
            <w:adjustRightInd/>
            <w:snapToGrid/>
            <w:spacing w:after="0" w:line="400" w:lineRule="exact"/>
            <w:jc w:val="both"/>
            <w:textAlignment w:val="auto"/>
            <w:outlineLvl w:val="0"/>
            <w:rPr>
              <w:rFonts w:hint="eastAsia" w:ascii="Calibri" w:hAnsi="Calibri" w:eastAsia="宋体" w:cs="Times New Roman"/>
              <w:kern w:val="2"/>
              <w:sz w:val="28"/>
              <w:szCs w:val="28"/>
              <w:lang w:val="en-US" w:eastAsia="zh-CN"/>
            </w:rPr>
          </w:pPr>
          <w:bookmarkStart w:id="39" w:name="_Toc20979"/>
          <w:r>
            <w:rPr>
              <w:rFonts w:hint="eastAsia" w:ascii="Calibri" w:hAnsi="Calibri" w:eastAsia="宋体" w:cs="Times New Roman"/>
              <w:kern w:val="2"/>
              <w:sz w:val="28"/>
              <w:szCs w:val="28"/>
              <w:lang w:val="en-US" w:eastAsia="zh-CN"/>
            </w:rPr>
            <w:t>References</w:t>
          </w:r>
          <w:bookmarkEnd w:id="39"/>
        </w:p>
        <w:p>
          <w:pPr>
            <w:rPr>
              <w:rFonts w:hint="default"/>
              <w:lang w:val="en-US" w:eastAsia="zh-CN"/>
            </w:rPr>
          </w:pPr>
        </w:p>
        <w:tbl>
          <w:tblPr>
            <w:tblStyle w:val="9"/>
            <w:tblW w:w="9149" w:type="dxa"/>
            <w:tblInd w:w="93"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autofit"/>
            <w:tblCellMar>
              <w:top w:w="0" w:type="dxa"/>
              <w:left w:w="108" w:type="dxa"/>
              <w:bottom w:w="0" w:type="dxa"/>
              <w:right w:w="108" w:type="dxa"/>
            </w:tblCellMar>
          </w:tblPr>
          <w:tblGrid>
            <w:gridCol w:w="9149"/>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9149" w:type="dxa"/>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 </w:t>
                </w:r>
                <w:r>
                  <w:rPr>
                    <w:rFonts w:hint="default" w:ascii="Calibri" w:hAnsi="Calibri" w:eastAsia="宋体" w:cs="Times New Roman"/>
                    <w:color w:val="auto"/>
                    <w:kern w:val="2"/>
                    <w:sz w:val="24"/>
                    <w:szCs w:val="24"/>
                    <w:u w:val="none"/>
                    <w:lang w:val="en-US" w:eastAsia="zh-CN"/>
                  </w:rPr>
                  <w:t>Adam Spatacco. (2023) Alibaba Looks Interesting Right Now. Here's Why. https://www.fool.com/investing/2023/04/26/alibaba-looks-interesting-right-now-heres-why/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 </w:t>
                </w:r>
                <w:r>
                  <w:rPr>
                    <w:rFonts w:hint="default" w:ascii="Calibri" w:hAnsi="Calibri" w:eastAsia="宋体" w:cs="Times New Roman"/>
                    <w:color w:val="auto"/>
                    <w:kern w:val="2"/>
                    <w:sz w:val="24"/>
                    <w:szCs w:val="24"/>
                    <w:u w:val="none"/>
                    <w:lang w:val="en-US" w:eastAsia="zh-CN"/>
                  </w:rPr>
                  <w:t>Alibaba. (2023) Alibaba International Digital Commerce Group Unveils Winners of 2023 Global E-commerce Challenge. https://www.prnewswire.co.uk/news-releases/alibaba-international-digital-commerce-group-unveils-winners-of-2023-global-e-commerce-challenge-301812642.html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 </w:t>
                </w:r>
                <w:r>
                  <w:rPr>
                    <w:rFonts w:hint="default" w:ascii="Calibri" w:hAnsi="Calibri" w:eastAsia="宋体" w:cs="Times New Roman"/>
                    <w:color w:val="auto"/>
                    <w:kern w:val="2"/>
                    <w:sz w:val="24"/>
                    <w:szCs w:val="24"/>
                    <w:u w:val="none"/>
                    <w:lang w:val="en-US" w:eastAsia="zh-CN"/>
                  </w:rPr>
                  <w:t>Toni Witt. (2023) How AI Is Changing Web3 Creativity in AR, VR, Virtual Humans, and Other 3D Content. https://accelerationeconomy.com/ai/how-ai-is-web3-creativity-in-ar-vr-virtual-humans-and-other-3d-content/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Alibaba. (2022) Responsible Technology, Sustainable Future. https://www.alibabagroup.com/en-US/esg</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Alibaba. (2023) </w:t>
                </w:r>
                <w:r>
                  <w:rPr>
                    <w:rFonts w:hint="default" w:ascii="Calibri" w:hAnsi="Calibri" w:eastAsia="宋体" w:cs="Times New Roman"/>
                    <w:color w:val="auto"/>
                    <w:kern w:val="2"/>
                    <w:sz w:val="24"/>
                    <w:szCs w:val="24"/>
                    <w:u w:val="none"/>
                    <w:lang w:val="en-US" w:eastAsia="zh-CN"/>
                  </w:rPr>
                  <w:t>Alibaba Group New organisational and Governance Structure Conference Call. https://www.alibabagroup.com/en-US/document-1577749947841773568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Alibaba</w:t>
                </w:r>
                <w:r>
                  <w:rPr>
                    <w:rFonts w:hint="default" w:ascii="Calibri" w:hAnsi="Calibri" w:eastAsia="宋体" w:cs="Times New Roman"/>
                    <w:color w:val="auto"/>
                    <w:kern w:val="2"/>
                    <w:sz w:val="24"/>
                    <w:szCs w:val="24"/>
                    <w:u w:val="none"/>
                    <w:lang w:val="en-US" w:eastAsia="zh-CN"/>
                  </w:rPr>
                  <w:t>. (2023) Consumption, Cloud and Globali</w:t>
                </w:r>
                <w:r>
                  <w:rPr>
                    <w:rFonts w:hint="eastAsia" w:ascii="Calibri" w:hAnsi="Calibri" w:eastAsia="宋体" w:cs="Times New Roman"/>
                    <w:color w:val="auto"/>
                    <w:kern w:val="2"/>
                    <w:sz w:val="24"/>
                    <w:szCs w:val="24"/>
                    <w:u w:val="none"/>
                    <w:lang w:val="en-US" w:eastAsia="zh-CN"/>
                  </w:rPr>
                  <w:t>s</w:t>
                </w:r>
                <w:r>
                  <w:rPr>
                    <w:rFonts w:hint="default" w:ascii="Calibri" w:hAnsi="Calibri" w:eastAsia="宋体" w:cs="Times New Roman"/>
                    <w:color w:val="auto"/>
                    <w:kern w:val="2"/>
                    <w:sz w:val="24"/>
                    <w:szCs w:val="24"/>
                    <w:u w:val="none"/>
                    <w:lang w:val="en-US" w:eastAsia="zh-CN"/>
                  </w:rPr>
                  <w:t>ation are our three strategic areas. https://www.alibabagroup.com/en-US/about-alibaba-businesses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Alibaba. (2023) </w:t>
                </w:r>
                <w:r>
                  <w:rPr>
                    <w:rFonts w:hint="default" w:ascii="Calibri" w:hAnsi="Calibri" w:eastAsia="宋体" w:cs="Times New Roman"/>
                    <w:color w:val="auto"/>
                    <w:kern w:val="2"/>
                    <w:sz w:val="24"/>
                    <w:szCs w:val="24"/>
                    <w:u w:val="none"/>
                    <w:lang w:val="en-US" w:eastAsia="zh-CN"/>
                  </w:rPr>
                  <w:t>Culture and Values. https://www.alibabagroup.com/en-US/about-alibaba</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Alibabacloud. (2023) Tech For Innovation-2023 Alibaba Cloud Developer Summit. https://www.alibabacloud.com/zh/developer/event/alibaba-cloud-developer-summit-2023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Alison Tudor Ackroyd. </w:t>
                </w:r>
                <w:r>
                  <w:rPr>
                    <w:rFonts w:hint="default" w:ascii="Calibri" w:hAnsi="Calibri" w:eastAsia="宋体" w:cs="Times New Roman"/>
                    <w:color w:val="auto"/>
                    <w:kern w:val="2"/>
                    <w:sz w:val="24"/>
                    <w:szCs w:val="24"/>
                    <w:u w:val="none"/>
                    <w:lang w:val="en-US" w:eastAsia="zh-CN"/>
                  </w:rPr>
                  <w:t>Alibaba Reorganises To Unlock Value. https://www.alizila.com/alibaba-reorganises-to-unlock-value/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Alizila Staff. (2020) Davos 2020: Daniel Zhang on What it Means to be a Global Company. https://www.alizila.com/video/davos-2020-daniel-zhang/</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Arjun Kharpal</w:t>
                </w:r>
                <w:r>
                  <w:rPr>
                    <w:rFonts w:hint="default" w:ascii="Calibri" w:hAnsi="Calibri" w:eastAsia="宋体" w:cs="Times New Roman"/>
                    <w:color w:val="auto"/>
                    <w:kern w:val="2"/>
                    <w:sz w:val="24"/>
                    <w:szCs w:val="24"/>
                    <w:u w:val="none"/>
                    <w:lang w:val="en-US" w:eastAsia="zh-CN"/>
                  </w:rPr>
                  <w:t>. (2022) China’s e-commerce giant Pinduoduo quietly launches U.S. shopping site in Amazon challenge. https://www.cnbc.com/2022/09/02/chinas-e-commerce-giant-pinduoduo-launches-us-shopping-site-temu.html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Bakari Haroon. (2017) How Does Authentic Leadership Influence Planned organisational Change? The Role of Employees' Perceptions: Integration of Theory of Planned Behavior and Lewin's Three Step Model. London: Routledge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Bernard Burnes. (2004) Kurt Lewin and the Planned Approach to Change: A Re-appraisal. Oxford, UK: Blackwell Publishing Ltd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Dame Vivian Hunt. (2022) </w:t>
                </w:r>
                <w:r>
                  <w:rPr>
                    <w:rFonts w:hint="default" w:ascii="Calibri" w:hAnsi="Calibri" w:eastAsia="宋体" w:cs="Times New Roman"/>
                    <w:color w:val="auto"/>
                    <w:kern w:val="2"/>
                    <w:sz w:val="24"/>
                    <w:szCs w:val="24"/>
                    <w:u w:val="none"/>
                    <w:lang w:val="en-US" w:eastAsia="zh-CN"/>
                  </w:rPr>
                  <w:t>Does ESG really matter—and why?. https://www.mckinsey.com/capabilities/sustainability/our-insights/does-esg-really-matter-and-why</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Daniel Zhang</w:t>
                </w:r>
                <w:r>
                  <w:rPr>
                    <w:rFonts w:hint="default" w:ascii="Calibri" w:hAnsi="Calibri" w:eastAsia="宋体" w:cs="Times New Roman"/>
                    <w:color w:val="auto"/>
                    <w:kern w:val="2"/>
                    <w:sz w:val="24"/>
                    <w:szCs w:val="24"/>
                    <w:u w:val="none"/>
                    <w:lang w:val="en-US" w:eastAsia="zh-CN"/>
                  </w:rPr>
                  <w:t>. (2019) Chairman and CEO’s Letter to Investors. https://www.alibabagroup.com/en-US/document-1491200644592173056</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Daniel Zhang. (2019) </w:t>
                </w:r>
                <w:r>
                  <w:rPr>
                    <w:rFonts w:hint="default" w:ascii="Calibri" w:hAnsi="Calibri" w:eastAsia="宋体" w:cs="Times New Roman"/>
                    <w:color w:val="auto"/>
                    <w:kern w:val="2"/>
                    <w:sz w:val="24"/>
                    <w:szCs w:val="24"/>
                    <w:u w:val="none"/>
                    <w:lang w:val="en-US" w:eastAsia="zh-CN"/>
                  </w:rPr>
                  <w:t>Compete with yourself and other tips for leaders from Alibaba CEO Daniel Zhang. https://www.cnbc.com/2018/09/04/7-leadership-principles-from-alibaba-ceo-daniel-zhang.html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Esther Cameron</w:t>
                </w:r>
                <w:r>
                  <w:rPr>
                    <w:rFonts w:hint="default" w:ascii="Calibri" w:hAnsi="Calibri" w:eastAsia="宋体" w:cs="Times New Roman"/>
                    <w:color w:val="auto"/>
                    <w:kern w:val="2"/>
                    <w:sz w:val="24"/>
                    <w:szCs w:val="24"/>
                    <w:u w:val="none"/>
                    <w:lang w:val="en-US" w:eastAsia="zh-CN"/>
                  </w:rPr>
                  <w:t>; Mike Green, 2012, p277. (2012) Making Sense Of Change Management---A complet guide to the medels, tools and techniques of organisational change, Third Edition. Printed and bound in India by Replika Press Pvt Ltd.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Fan Feifei</w:t>
                </w:r>
                <w:r>
                  <w:rPr>
                    <w:rFonts w:hint="default" w:ascii="Calibri" w:hAnsi="Calibri" w:eastAsia="宋体" w:cs="Times New Roman"/>
                    <w:color w:val="auto"/>
                    <w:kern w:val="2"/>
                    <w:sz w:val="24"/>
                    <w:szCs w:val="24"/>
                    <w:u w:val="none"/>
                    <w:lang w:val="en-US" w:eastAsia="zh-CN"/>
                  </w:rPr>
                  <w:t>. (2023) Alibaba begins company transformation. https://www.chinadaily.com.cn/a/202303/30/WS6424f2b5a31057c47ebb7632.html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Gerry Johnson; Kevan Scholes; Duncan Angwin; Patrick Regne</w:t>
                </w:r>
                <w:r>
                  <w:rPr>
                    <w:rFonts w:hint="default" w:ascii="Calibri" w:hAnsi="Calibri" w:eastAsia="宋体" w:cs="Times New Roman"/>
                    <w:color w:val="auto"/>
                    <w:kern w:val="2"/>
                    <w:sz w:val="24"/>
                    <w:szCs w:val="24"/>
                    <w:u w:val="none"/>
                    <w:lang w:val="en-US" w:eastAsia="zh-CN"/>
                  </w:rPr>
                  <w:t>́r. (2014) Exploring strategy : text &amp; cases (10th edition). Pearson.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Global Times</w:t>
                </w:r>
                <w:r>
                  <w:rPr>
                    <w:rFonts w:hint="default" w:ascii="Calibri" w:hAnsi="Calibri" w:eastAsia="宋体" w:cs="Times New Roman"/>
                    <w:color w:val="auto"/>
                    <w:kern w:val="2"/>
                    <w:sz w:val="24"/>
                    <w:szCs w:val="24"/>
                    <w:u w:val="none"/>
                    <w:lang w:val="en-US" w:eastAsia="zh-CN"/>
                  </w:rPr>
                  <w:t>. (2022) Alibaba reorganises e-commerce businesses amid pressure on earnings, share price. https://www.globaltimes.cn/page/202112/1240839.shtml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Hong Jiang</w:t>
                </w:r>
                <w:r>
                  <w:rPr>
                    <w:rFonts w:hint="default" w:ascii="Calibri" w:hAnsi="Calibri" w:eastAsia="宋体" w:cs="Times New Roman"/>
                    <w:color w:val="auto"/>
                    <w:kern w:val="2"/>
                    <w:sz w:val="24"/>
                    <w:szCs w:val="24"/>
                    <w:u w:val="none"/>
                    <w:lang w:val="en-US" w:eastAsia="zh-CN"/>
                  </w:rPr>
                  <w:t>; Johann Peter Murmann. (2022) The Rise of China's Digital Economy: An Overview. https://www.cambridge.org/core/journals/management-and-organisation-review/article/rise-of-chinas-digital-economy-an-overview/32772CECB41720A756F3F96D4839A059</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Howie Mann</w:t>
                </w:r>
                <w:r>
                  <w:rPr>
                    <w:rFonts w:hint="default" w:ascii="Calibri" w:hAnsi="Calibri" w:eastAsia="宋体" w:cs="Times New Roman"/>
                    <w:color w:val="auto"/>
                    <w:kern w:val="2"/>
                    <w:sz w:val="24"/>
                    <w:szCs w:val="24"/>
                    <w:u w:val="none"/>
                    <w:lang w:val="en-US" w:eastAsia="zh-CN"/>
                  </w:rPr>
                  <w:t>. (2021) How Much is Alibaba Worth? US$900 billion in 2021. https://mannhowie.com/alibaba-valuation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Huang Raffaele; Leong Clarence.  (2023) Alibaba To Split Six Ways And Look Into IPOs --- E-commerce company's reorganisation plan comes as co-founder Ma reappears in China. Wall Street Journal, Eastern edition; New York, N.Y. [New York, N.Y]. 29 Mar 2023: A.1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Jin Li</w:t>
                </w:r>
                <w:r>
                  <w:rPr>
                    <w:rFonts w:hint="default" w:ascii="Calibri" w:hAnsi="Calibri" w:eastAsia="宋体" w:cs="Times New Roman"/>
                    <w:color w:val="auto"/>
                    <w:kern w:val="2"/>
                    <w:sz w:val="24"/>
                    <w:szCs w:val="24"/>
                    <w:u w:val="none"/>
                    <w:lang w:val="en-US" w:eastAsia="zh-CN"/>
                  </w:rPr>
                  <w:t>; Angela Huyue Zhang. (2023) Alibaba restructuring targets anti-trust concerns. https://www.theasset.com/article/48942/alibaba-restructuring-targets-anti-trust-concerns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Jing Yang. (2021) </w:t>
                </w:r>
                <w:r>
                  <w:rPr>
                    <w:rFonts w:hint="default" w:ascii="Calibri" w:hAnsi="Calibri" w:eastAsia="宋体" w:cs="Times New Roman"/>
                    <w:color w:val="auto"/>
                    <w:kern w:val="2"/>
                    <w:sz w:val="24"/>
                    <w:szCs w:val="24"/>
                    <w:u w:val="none"/>
                    <w:lang w:val="en-US" w:eastAsia="zh-CN"/>
                  </w:rPr>
                  <w:t>Alibaba empowers business units to be more agile as challenges mount. https://www.foxbusiness.com/technology/alibaba-empowers-business-units-to-be-more-agile-as-challenges-mount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Kendra Cherry</w:t>
                </w:r>
                <w:r>
                  <w:rPr>
                    <w:rFonts w:hint="default" w:ascii="Calibri" w:hAnsi="Calibri" w:eastAsia="宋体" w:cs="Times New Roman"/>
                    <w:color w:val="auto"/>
                    <w:kern w:val="2"/>
                    <w:sz w:val="24"/>
                    <w:szCs w:val="24"/>
                    <w:u w:val="none"/>
                    <w:lang w:val="en-US" w:eastAsia="zh-CN"/>
                  </w:rPr>
                  <w:t>. (2022) What Is Parkinson's Law? https://www.verywellmind.com/what-is-parkinsons-law-6674423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Matthew Gooding. (2023) Alibaba six-way split will see Aliyun cloud division become a separate company. https://techmonitor.ai/technology/cloud/alibaba-split-cloud-intelligence-unit-china-big-tech</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Memon Farzana Akmal</w:t>
                </w:r>
                <w:r>
                  <w:rPr>
                    <w:rFonts w:hint="default" w:ascii="Calibri" w:hAnsi="Calibri" w:eastAsia="宋体" w:cs="Times New Roman"/>
                    <w:color w:val="auto"/>
                    <w:kern w:val="2"/>
                    <w:sz w:val="24"/>
                    <w:szCs w:val="24"/>
                    <w:u w:val="none"/>
                    <w:lang w:val="en-US" w:eastAsia="zh-CN"/>
                  </w:rPr>
                  <w:t>. (2021) Improving Employee's Engagement in Change: Reassessing Kurt Lewin's Model. City University Research Journal; Peshawar Vol. 11, Iss. 1, (2021): 144-164.</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M</w:t>
                </w:r>
                <w:r>
                  <w:rPr>
                    <w:rFonts w:hint="default" w:ascii="Calibri" w:hAnsi="Calibri" w:eastAsia="宋体" w:cs="Times New Roman"/>
                    <w:color w:val="auto"/>
                    <w:kern w:val="2"/>
                    <w:sz w:val="24"/>
                    <w:szCs w:val="24"/>
                    <w:u w:val="none"/>
                    <w:lang w:val="en-US" w:eastAsia="zh-CN"/>
                  </w:rPr>
                  <w:t>ichelle Chapman. (2023) Alibaba to split itself into 6 business groups. https://apnews.com/article/alibaba-ipo-taobao-cainiao-capital-fdf5fad762288d52114daed29d160582</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Miklos Dietz</w:t>
                </w:r>
                <w:r>
                  <w:rPr>
                    <w:rFonts w:hint="default" w:ascii="Calibri" w:hAnsi="Calibri" w:eastAsia="宋体" w:cs="Times New Roman"/>
                    <w:color w:val="auto"/>
                    <w:kern w:val="2"/>
                    <w:sz w:val="24"/>
                    <w:szCs w:val="24"/>
                    <w:u w:val="none"/>
                    <w:lang w:val="en-US" w:eastAsia="zh-CN"/>
                  </w:rPr>
                  <w:t>; Hamza Khan. (2020) How do companies create value from digital ecosystems? https://www.mckinsey.com/capabilities/mckinsey-digital/our-insights/how-do-companies-create-value-from-digital-ecosystems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Mind Tools Content Team. (2020) </w:t>
                </w:r>
                <w:r>
                  <w:rPr>
                    <w:rFonts w:hint="default" w:ascii="Calibri" w:hAnsi="Calibri" w:eastAsia="宋体" w:cs="Times New Roman"/>
                    <w:color w:val="auto"/>
                    <w:kern w:val="2"/>
                    <w:sz w:val="24"/>
                    <w:szCs w:val="24"/>
                    <w:u w:val="none"/>
                    <w:lang w:val="en-US" w:eastAsia="zh-CN"/>
                  </w:rPr>
                  <w:t>Kotter's 8-Step Change Model. https://www.mindtools.com/a8nu5v5/kotters-8-step-change-model</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Pandaily. (2023) Alibaba Initiates Significant organisational Changes. https://pandaily.com/alibaba-initiates-significant-organisational-changes/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Paul Leinwand</w:t>
                </w:r>
                <w:r>
                  <w:rPr>
                    <w:rFonts w:hint="default" w:ascii="Calibri" w:hAnsi="Calibri" w:eastAsia="宋体" w:cs="Times New Roman"/>
                    <w:color w:val="auto"/>
                    <w:kern w:val="2"/>
                    <w:sz w:val="24"/>
                    <w:szCs w:val="24"/>
                    <w:u w:val="none"/>
                    <w:lang w:val="en-US" w:eastAsia="zh-CN"/>
                  </w:rPr>
                  <w:t>; Mahadeva Matt Mani; Blair Sheppard. (2022) Reinventing Your Leadership Team. https://hbr.org/2022/01/reinventing-your-leadership-team</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300"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Phadermrod Boonyarat; Crowder Richard M; Wills Gary B.</w:t>
                </w:r>
                <w:r>
                  <w:rPr>
                    <w:rFonts w:hint="default" w:ascii="Calibri" w:hAnsi="Calibri" w:eastAsia="宋体" w:cs="Times New Roman"/>
                    <w:color w:val="auto"/>
                    <w:kern w:val="2"/>
                    <w:sz w:val="24"/>
                    <w:szCs w:val="24"/>
                    <w:u w:val="none"/>
                    <w:lang w:val="en-US" w:eastAsia="zh-CN"/>
                  </w:rPr>
                  <w:t> (2019) Importance-Performance Analysis based SWOT analysis. Kidlington: Elsevier Ltd.</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Qu Tracy. (2023) Alibaba, JD.com restructure operations: Changes made to improve flexibility amid sluggish market, expert says. South China Morning Post; Hong Kong [Hong Kong]. 17 Apr 2023: B1.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Reed Deshler</w:t>
                </w:r>
                <w:r>
                  <w:rPr>
                    <w:rFonts w:hint="default" w:ascii="Calibri" w:hAnsi="Calibri" w:eastAsia="宋体" w:cs="Times New Roman"/>
                    <w:color w:val="auto"/>
                    <w:kern w:val="2"/>
                    <w:sz w:val="24"/>
                    <w:szCs w:val="24"/>
                    <w:u w:val="none"/>
                    <w:lang w:val="en-US" w:eastAsia="zh-CN"/>
                  </w:rPr>
                  <w:t>. (2022) Maintaining Customer Satisfaction During Change Transformation. https://alignorg.com/maintaining-customer-satisfaction-during-change-transformation/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Reuters. (2023) Alibaba Cloud Cuts Prices by up to 50% for Core, Storage Products. https://www.usnews.com/news/technology/articles/2023-04-25/alibaba-cloud-cuts-prices-by-up-to-50-for-core-storage-products-securities-times</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Roland</w:t>
                </w:r>
                <w:r>
                  <w:rPr>
                    <w:rFonts w:hint="default" w:ascii="Calibri" w:hAnsi="Calibri" w:eastAsia="宋体" w:cs="Times New Roman"/>
                    <w:color w:val="auto"/>
                    <w:kern w:val="2"/>
                    <w:sz w:val="24"/>
                    <w:szCs w:val="24"/>
                    <w:u w:val="none"/>
                    <w:lang w:val="en-US" w:eastAsia="zh-CN"/>
                  </w:rPr>
                  <w:t xml:space="preserve"> Schmuck. (2020) An overview of innovation strategies and the case of Alibaba. https://www.sciencedirect.com/science/article/pii/S2351978920320333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Rotman David. (2023) ChatGPT is about to revolutionize the economy. We need to decide what that looks like. MIT Technology Review.com; Cambridge  Cambridge: Technology Review, Inc. (Mar 25, 2023)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p>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Shen Lu; Kubota Yoko. (2022) Business News: Alibaba, Hindered by Covid Curbs, Posts Slowdown. Wall Street Journal, Eastern edition; New York, N.Y. [New York, N.Y]. 27 May 2022: B.3.</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Tan Huileng. (2023) Jack Ma returned to China to visit a private school he founded, 2 years after he first vanished from public view amid Beijing's tech crackdown. Business Insider, US edition; New York [New York]. 28 Mar 2023.  </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The Asian Investor</w:t>
                </w:r>
                <w:r>
                  <w:rPr>
                    <w:rFonts w:hint="default" w:ascii="Calibri" w:hAnsi="Calibri" w:eastAsia="宋体" w:cs="Times New Roman"/>
                    <w:color w:val="auto"/>
                    <w:kern w:val="2"/>
                    <w:sz w:val="24"/>
                    <w:szCs w:val="24"/>
                    <w:u w:val="none"/>
                    <w:lang w:val="en-US" w:eastAsia="zh-CN"/>
                  </w:rPr>
                  <w:t>. (2023) Alibaba: Major Re-Rating Now Possible. https://seekingalpha.com/article/4590881-alibaba-major-re-rating-now-possible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Tianwei Zhang. (2023) </w:t>
                </w:r>
                <w:r>
                  <w:rPr>
                    <w:rFonts w:hint="default" w:ascii="Calibri" w:hAnsi="Calibri" w:eastAsia="宋体" w:cs="Times New Roman"/>
                    <w:color w:val="auto"/>
                    <w:kern w:val="2"/>
                    <w:sz w:val="24"/>
                    <w:szCs w:val="24"/>
                    <w:u w:val="none"/>
                    <w:lang w:val="en-US" w:eastAsia="zh-CN"/>
                  </w:rPr>
                  <w:t>Alvin Liu to Lead Tmall Fashion, Beauty, Global and Luxury Pavilion Business. https://wwd.com/business-news/human-resources/alvin-liu-alibaba-restructures-tmall-new-boss-1235615041/#!</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Todd Zenger</w:t>
                </w:r>
                <w:r>
                  <w:rPr>
                    <w:rFonts w:hint="default" w:ascii="Calibri" w:hAnsi="Calibri" w:eastAsia="宋体" w:cs="Times New Roman"/>
                    <w:color w:val="auto"/>
                    <w:kern w:val="2"/>
                    <w:sz w:val="24"/>
                    <w:szCs w:val="24"/>
                    <w:u w:val="none"/>
                    <w:lang w:val="en-US" w:eastAsia="zh-CN"/>
                  </w:rPr>
                  <w:t>. (2015) Why Google Became Alphabet. https://hbr.org/2015/08/why-google-became-alphabet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 xml:space="preserve">Yvonne Lau. (2021) </w:t>
                </w:r>
                <w:r>
                  <w:rPr>
                    <w:rFonts w:hint="default" w:ascii="Calibri" w:hAnsi="Calibri" w:eastAsia="宋体" w:cs="Times New Roman"/>
                    <w:color w:val="auto"/>
                    <w:kern w:val="2"/>
                    <w:sz w:val="24"/>
                    <w:szCs w:val="24"/>
                    <w:u w:val="none"/>
                    <w:lang w:val="en-US" w:eastAsia="zh-CN"/>
                  </w:rPr>
                  <w:t>Alibaba calls its $2.8 billion antitrust fine a ‘one-time impact’—but the risk of more regulation lingers. https://fortune.com/2021/05/14/alibaba-earnings-report-2021-antitrust-fine-regulation/</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Yvonne Tang</w:t>
                </w:r>
                <w:r>
                  <w:rPr>
                    <w:rFonts w:hint="default" w:ascii="Calibri" w:hAnsi="Calibri" w:eastAsia="宋体" w:cs="Times New Roman"/>
                    <w:color w:val="auto"/>
                    <w:kern w:val="2"/>
                    <w:sz w:val="24"/>
                    <w:szCs w:val="24"/>
                    <w:u w:val="none"/>
                    <w:lang w:val="en-US" w:eastAsia="zh-CN"/>
                  </w:rPr>
                  <w:t>. (2022) Alibaba launches its largest ever campus recruitment. https://cntechpost.com/2021/07/19/alibaba-launches-its-largest-ever-campus-recruitment/</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CellMar>
                <w:top w:w="0" w:type="dxa"/>
                <w:left w:w="108" w:type="dxa"/>
                <w:bottom w:w="0" w:type="dxa"/>
                <w:right w:w="108" w:type="dxa"/>
              </w:tblCellMar>
            </w:tblPrEx>
            <w:trPr>
              <w:trHeight w:val="285" w:hRule="atLeast"/>
            </w:trPr>
            <w:tc>
              <w:tcPr>
                <w:tcW w:w="0" w:type="auto"/>
                <w:tcBorders>
                  <w:top w:val="nil"/>
                  <w:left w:val="nil"/>
                  <w:bottom w:val="nil"/>
                  <w:right w:val="nil"/>
                </w:tcBorders>
                <w:shd w:val="clear" w:color="auto" w:fill="auto"/>
                <w:noWrap/>
                <w:vAlign w:val="center"/>
              </w:tcPr>
              <w:p>
                <w:pPr>
                  <w:keepNext w:val="0"/>
                  <w:keepLines w:val="0"/>
                  <w:pageBreakBefore w:val="0"/>
                  <w:widowControl/>
                  <w:suppressLineNumbers w:val="0"/>
                  <w:kinsoku/>
                  <w:wordWrap/>
                  <w:overflowPunct/>
                  <w:topLinePunct w:val="0"/>
                  <w:autoSpaceDE/>
                  <w:autoSpaceDN/>
                  <w:bidi w:val="0"/>
                  <w:adjustRightInd/>
                  <w:snapToGrid/>
                  <w:spacing w:after="0" w:line="400" w:lineRule="exact"/>
                  <w:ind w:left="0" w:hanging="240" w:hangingChars="100"/>
                  <w:jc w:val="left"/>
                  <w:textAlignment w:val="auto"/>
                  <w:outlineLvl w:val="9"/>
                  <w:rPr>
                    <w:rFonts w:hint="eastAsia" w:ascii="Calibri" w:hAnsi="Calibri" w:eastAsia="宋体" w:cs="Times New Roman"/>
                    <w:color w:val="auto"/>
                    <w:kern w:val="2"/>
                    <w:sz w:val="24"/>
                    <w:szCs w:val="24"/>
                    <w:u w:val="none"/>
                    <w:lang w:val="en-US" w:eastAsia="zh-CN"/>
                  </w:rPr>
                </w:pPr>
                <w:r>
                  <w:rPr>
                    <w:rFonts w:hint="eastAsia" w:ascii="Calibri" w:hAnsi="Calibri" w:eastAsia="宋体" w:cs="Times New Roman"/>
                    <w:color w:val="auto"/>
                    <w:kern w:val="2"/>
                    <w:sz w:val="24"/>
                    <w:szCs w:val="24"/>
                    <w:u w:val="none"/>
                    <w:lang w:val="en-US" w:eastAsia="zh-CN"/>
                  </w:rPr>
                  <w:t>Ziska Fields; Stefan Huesig. (2019) Responsible, sustainable, and globally aware management in the fourth industrial revolution. IGI Global Publisher</w:t>
                </w:r>
              </w:p>
            </w:tc>
          </w:tr>
        </w:tbl>
        <w:p>
          <w:pPr>
            <w:rPr>
              <w:rFonts w:hint="default"/>
              <w:lang w:val="en-US" w:eastAsia="zh-CN"/>
            </w:rPr>
          </w:pPr>
        </w:p>
      </w:sdtContent>
    </w:sdt>
    <w:sectPr>
      <w:pgSz w:w="11906" w:h="16838"/>
      <w:pgMar w:top="1440" w:right="1440" w:bottom="1440" w:left="1440" w:header="708" w:footer="708" w:gutter="0"/>
      <w:pgNumType w:start="0"/>
      <w:cols w:space="708" w:num="1"/>
      <w:titlePg/>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Corbel">
    <w:panose1 w:val="020B0503020204020204"/>
    <w:charset w:val="00"/>
    <w:family w:val="auto"/>
    <w:pitch w:val="default"/>
    <w:sig w:usb0="A00002EF" w:usb1="4000A44B" w:usb2="00000000" w:usb3="00000000" w:csb0="2000019F" w:csb1="00000000"/>
  </w:font>
  <w:font w:name="Helvetica">
    <w:altName w:val="Arial"/>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FD7BB9F"/>
    <w:multiLevelType w:val="singleLevel"/>
    <w:tmpl w:val="0FD7BB9F"/>
    <w:lvl w:ilvl="0" w:tentative="0">
      <w:start w:val="8"/>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ZjExNjhlNTU4ZjlkNDdlOGMyMWI2ZGUwYjBmMWI5YWYifQ=="/>
  </w:docVars>
  <w:rsids>
    <w:rsidRoot w:val="007D1947"/>
    <w:rsid w:val="00107936"/>
    <w:rsid w:val="00115B96"/>
    <w:rsid w:val="00324CCD"/>
    <w:rsid w:val="00480872"/>
    <w:rsid w:val="004A11F6"/>
    <w:rsid w:val="004D519C"/>
    <w:rsid w:val="007D1947"/>
    <w:rsid w:val="00931CAA"/>
    <w:rsid w:val="00A12B58"/>
    <w:rsid w:val="00AA2A91"/>
    <w:rsid w:val="00CA09F3"/>
    <w:rsid w:val="00CD1C88"/>
    <w:rsid w:val="00D854A5"/>
    <w:rsid w:val="00E15338"/>
    <w:rsid w:val="013C2A3E"/>
    <w:rsid w:val="01842DCD"/>
    <w:rsid w:val="035B240E"/>
    <w:rsid w:val="03934321"/>
    <w:rsid w:val="03FF6280"/>
    <w:rsid w:val="043F4306"/>
    <w:rsid w:val="05F03E6B"/>
    <w:rsid w:val="07074F0C"/>
    <w:rsid w:val="073A77D4"/>
    <w:rsid w:val="07FA6DCC"/>
    <w:rsid w:val="080061DC"/>
    <w:rsid w:val="08964522"/>
    <w:rsid w:val="0AF52007"/>
    <w:rsid w:val="0C5D683E"/>
    <w:rsid w:val="0CC71AB9"/>
    <w:rsid w:val="0D383183"/>
    <w:rsid w:val="0D6C5FEB"/>
    <w:rsid w:val="0D8670CB"/>
    <w:rsid w:val="0DAE46EF"/>
    <w:rsid w:val="0EB71331"/>
    <w:rsid w:val="0F4E3A6E"/>
    <w:rsid w:val="10284C2D"/>
    <w:rsid w:val="12DE52DC"/>
    <w:rsid w:val="139D445C"/>
    <w:rsid w:val="13DF59D6"/>
    <w:rsid w:val="13EA322F"/>
    <w:rsid w:val="15C92538"/>
    <w:rsid w:val="1733688E"/>
    <w:rsid w:val="1AA17AB6"/>
    <w:rsid w:val="1AB21608"/>
    <w:rsid w:val="1B820861"/>
    <w:rsid w:val="1BDA2F1C"/>
    <w:rsid w:val="1CC35FDD"/>
    <w:rsid w:val="1CD94503"/>
    <w:rsid w:val="1D364DDC"/>
    <w:rsid w:val="1D880FF1"/>
    <w:rsid w:val="1D9E652E"/>
    <w:rsid w:val="1DB75CE2"/>
    <w:rsid w:val="1F7F8945"/>
    <w:rsid w:val="1FEBE10A"/>
    <w:rsid w:val="21840834"/>
    <w:rsid w:val="21DA571C"/>
    <w:rsid w:val="233E3859"/>
    <w:rsid w:val="23C10D49"/>
    <w:rsid w:val="23FD49A0"/>
    <w:rsid w:val="24881347"/>
    <w:rsid w:val="25E62F0E"/>
    <w:rsid w:val="261536C1"/>
    <w:rsid w:val="26C60957"/>
    <w:rsid w:val="277009D3"/>
    <w:rsid w:val="278424C7"/>
    <w:rsid w:val="28122FAD"/>
    <w:rsid w:val="29B916BD"/>
    <w:rsid w:val="29D54912"/>
    <w:rsid w:val="2A321C4B"/>
    <w:rsid w:val="2AF53506"/>
    <w:rsid w:val="2B041D0A"/>
    <w:rsid w:val="2B3E48E7"/>
    <w:rsid w:val="2EA7310E"/>
    <w:rsid w:val="2EBB953B"/>
    <w:rsid w:val="2ED7451D"/>
    <w:rsid w:val="2EF758A4"/>
    <w:rsid w:val="2FDD6057"/>
    <w:rsid w:val="302519BF"/>
    <w:rsid w:val="335E6359"/>
    <w:rsid w:val="33CF6F6E"/>
    <w:rsid w:val="33D68010"/>
    <w:rsid w:val="341E5493"/>
    <w:rsid w:val="34A6655A"/>
    <w:rsid w:val="35431EF2"/>
    <w:rsid w:val="359BF46A"/>
    <w:rsid w:val="35D04FA4"/>
    <w:rsid w:val="35E7171B"/>
    <w:rsid w:val="360770BC"/>
    <w:rsid w:val="36A37B0E"/>
    <w:rsid w:val="36B34788"/>
    <w:rsid w:val="37385B47"/>
    <w:rsid w:val="382D3CC2"/>
    <w:rsid w:val="39C04D93"/>
    <w:rsid w:val="39D81C4D"/>
    <w:rsid w:val="39F22201"/>
    <w:rsid w:val="3A155D4F"/>
    <w:rsid w:val="3AB60530"/>
    <w:rsid w:val="3AE77F12"/>
    <w:rsid w:val="3BFFF6E5"/>
    <w:rsid w:val="3C652C42"/>
    <w:rsid w:val="3D463DEA"/>
    <w:rsid w:val="3E073C65"/>
    <w:rsid w:val="3E4D79F5"/>
    <w:rsid w:val="3EC63B3E"/>
    <w:rsid w:val="3EDFFD81"/>
    <w:rsid w:val="3EE14F15"/>
    <w:rsid w:val="3EFB217C"/>
    <w:rsid w:val="3FC835E1"/>
    <w:rsid w:val="406F1F89"/>
    <w:rsid w:val="417E1680"/>
    <w:rsid w:val="4357586F"/>
    <w:rsid w:val="45161DFB"/>
    <w:rsid w:val="458B6B01"/>
    <w:rsid w:val="45970686"/>
    <w:rsid w:val="46002C11"/>
    <w:rsid w:val="4A1672C9"/>
    <w:rsid w:val="4BDE8E85"/>
    <w:rsid w:val="4D445068"/>
    <w:rsid w:val="4D4A6B72"/>
    <w:rsid w:val="4D6B4C70"/>
    <w:rsid w:val="4DDD13C0"/>
    <w:rsid w:val="4EEB4DAA"/>
    <w:rsid w:val="4F5971C3"/>
    <w:rsid w:val="502F259B"/>
    <w:rsid w:val="50741DA9"/>
    <w:rsid w:val="511177A9"/>
    <w:rsid w:val="518B076E"/>
    <w:rsid w:val="54341998"/>
    <w:rsid w:val="54381793"/>
    <w:rsid w:val="55050666"/>
    <w:rsid w:val="557C70B8"/>
    <w:rsid w:val="55A35871"/>
    <w:rsid w:val="55FC8DF0"/>
    <w:rsid w:val="583D0870"/>
    <w:rsid w:val="59C553EB"/>
    <w:rsid w:val="59F8ADEB"/>
    <w:rsid w:val="5AB36E15"/>
    <w:rsid w:val="5C510F25"/>
    <w:rsid w:val="5D1DE931"/>
    <w:rsid w:val="5E7E626B"/>
    <w:rsid w:val="5EE6927E"/>
    <w:rsid w:val="5EE9B8D1"/>
    <w:rsid w:val="5F6E9D20"/>
    <w:rsid w:val="5FDBA398"/>
    <w:rsid w:val="5FDD39CB"/>
    <w:rsid w:val="5FFC08B7"/>
    <w:rsid w:val="61A66CA0"/>
    <w:rsid w:val="622951F7"/>
    <w:rsid w:val="62812A26"/>
    <w:rsid w:val="657BBC22"/>
    <w:rsid w:val="65EA4E38"/>
    <w:rsid w:val="66BE467C"/>
    <w:rsid w:val="66F56F95"/>
    <w:rsid w:val="6786280E"/>
    <w:rsid w:val="6793718C"/>
    <w:rsid w:val="67CE48E6"/>
    <w:rsid w:val="67CE4E34"/>
    <w:rsid w:val="67FF9F1E"/>
    <w:rsid w:val="6A05588B"/>
    <w:rsid w:val="6CC90893"/>
    <w:rsid w:val="6D361A86"/>
    <w:rsid w:val="6DB33E25"/>
    <w:rsid w:val="6E3FA854"/>
    <w:rsid w:val="6EF52ABB"/>
    <w:rsid w:val="6EFA3169"/>
    <w:rsid w:val="6FB5F4E7"/>
    <w:rsid w:val="6FEC9F52"/>
    <w:rsid w:val="6FEF6C09"/>
    <w:rsid w:val="6FEFE757"/>
    <w:rsid w:val="6FF563AF"/>
    <w:rsid w:val="6FF57C19"/>
    <w:rsid w:val="6FFF22C0"/>
    <w:rsid w:val="70753501"/>
    <w:rsid w:val="708D55DC"/>
    <w:rsid w:val="70C679A7"/>
    <w:rsid w:val="70F51F68"/>
    <w:rsid w:val="726702EE"/>
    <w:rsid w:val="73773087"/>
    <w:rsid w:val="777FAA0E"/>
    <w:rsid w:val="77DF5486"/>
    <w:rsid w:val="77EE8277"/>
    <w:rsid w:val="77FF4C8F"/>
    <w:rsid w:val="78DB58F8"/>
    <w:rsid w:val="7A497E20"/>
    <w:rsid w:val="7AEF094C"/>
    <w:rsid w:val="7B097CEF"/>
    <w:rsid w:val="7B6BB8E0"/>
    <w:rsid w:val="7B7BD084"/>
    <w:rsid w:val="7B7F3291"/>
    <w:rsid w:val="7B854D80"/>
    <w:rsid w:val="7BBF63E8"/>
    <w:rsid w:val="7BFFC846"/>
    <w:rsid w:val="7C004318"/>
    <w:rsid w:val="7D3B5E09"/>
    <w:rsid w:val="7D876775"/>
    <w:rsid w:val="7DBF974C"/>
    <w:rsid w:val="7E215A74"/>
    <w:rsid w:val="7EEFE033"/>
    <w:rsid w:val="7F3BBD90"/>
    <w:rsid w:val="7F56EA16"/>
    <w:rsid w:val="7F6FB235"/>
    <w:rsid w:val="7F8BED18"/>
    <w:rsid w:val="7F9957A2"/>
    <w:rsid w:val="7F9E025A"/>
    <w:rsid w:val="7FBFB37A"/>
    <w:rsid w:val="7FE940C3"/>
    <w:rsid w:val="7FFFD596"/>
    <w:rsid w:val="8EF322F9"/>
    <w:rsid w:val="9D5FE1EB"/>
    <w:rsid w:val="AA51F3D3"/>
    <w:rsid w:val="ABB7BA5B"/>
    <w:rsid w:val="AF7F2929"/>
    <w:rsid w:val="B3FFFCCC"/>
    <w:rsid w:val="B79ED2BB"/>
    <w:rsid w:val="B79FE693"/>
    <w:rsid w:val="BB9F8833"/>
    <w:rsid w:val="BED99034"/>
    <w:rsid w:val="BEEBB867"/>
    <w:rsid w:val="BFBF0CC6"/>
    <w:rsid w:val="BFCF6008"/>
    <w:rsid w:val="BFDD72FB"/>
    <w:rsid w:val="C9BF07BB"/>
    <w:rsid w:val="CBBB003F"/>
    <w:rsid w:val="CF7A7A73"/>
    <w:rsid w:val="CFBF88AB"/>
    <w:rsid w:val="CFC70164"/>
    <w:rsid w:val="CFCF7E6B"/>
    <w:rsid w:val="CFFFAE19"/>
    <w:rsid w:val="D3F6A0A6"/>
    <w:rsid w:val="D5DDB190"/>
    <w:rsid w:val="D7B6109F"/>
    <w:rsid w:val="D7F62E79"/>
    <w:rsid w:val="D7FB1267"/>
    <w:rsid w:val="DBF18C88"/>
    <w:rsid w:val="DCED21CA"/>
    <w:rsid w:val="DF77A10E"/>
    <w:rsid w:val="DF9E4F29"/>
    <w:rsid w:val="DFBF52C6"/>
    <w:rsid w:val="E0E734E0"/>
    <w:rsid w:val="E3F6A645"/>
    <w:rsid w:val="E4E35A1D"/>
    <w:rsid w:val="E7E93E5D"/>
    <w:rsid w:val="E9F7695E"/>
    <w:rsid w:val="EAFBEFD1"/>
    <w:rsid w:val="EBB70FAB"/>
    <w:rsid w:val="ECFFDF87"/>
    <w:rsid w:val="EE273254"/>
    <w:rsid w:val="EEFFEC20"/>
    <w:rsid w:val="EF6FD5BE"/>
    <w:rsid w:val="EFD6CE0A"/>
    <w:rsid w:val="F33C9AB5"/>
    <w:rsid w:val="F3EF0CA5"/>
    <w:rsid w:val="F4BD368C"/>
    <w:rsid w:val="F77FEFA7"/>
    <w:rsid w:val="F8FD1078"/>
    <w:rsid w:val="FACCDA29"/>
    <w:rsid w:val="FAD6CA7D"/>
    <w:rsid w:val="FB33656F"/>
    <w:rsid w:val="FB9E030D"/>
    <w:rsid w:val="FBAB3A05"/>
    <w:rsid w:val="FCFFD76D"/>
    <w:rsid w:val="FD5F7991"/>
    <w:rsid w:val="FD6DC9B3"/>
    <w:rsid w:val="FF7A9A36"/>
    <w:rsid w:val="FFAC8C63"/>
    <w:rsid w:val="FFAF8088"/>
    <w:rsid w:val="FFB612EA"/>
    <w:rsid w:val="FFDB3460"/>
    <w:rsid w:val="FFDD70FC"/>
    <w:rsid w:val="FFF7856F"/>
    <w:rsid w:val="FFFA27D5"/>
    <w:rsid w:val="FFFCAE4F"/>
    <w:rsid w:val="FFFF8618"/>
    <w:rsid w:val="FFFFCDF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nhideWhenUsed="0" w:uiPriority="0"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15"/>
    <w:qFormat/>
    <w:uiPriority w:val="9"/>
    <w:pPr>
      <w:keepNext/>
      <w:keepLines/>
      <w:spacing w:before="240" w:after="0"/>
      <w:outlineLvl w:val="0"/>
    </w:pPr>
    <w:rPr>
      <w:rFonts w:asciiTheme="majorHAnsi" w:hAnsiTheme="majorHAnsi" w:eastAsiaTheme="majorEastAsia" w:cstheme="majorBidi"/>
      <w:color w:val="2E75B6" w:themeColor="accent1" w:themeShade="BF"/>
      <w:sz w:val="32"/>
      <w:szCs w:val="32"/>
    </w:rPr>
  </w:style>
  <w:style w:type="paragraph" w:styleId="3">
    <w:name w:val="heading 2"/>
    <w:basedOn w:val="1"/>
    <w:next w:val="1"/>
    <w:link w:val="17"/>
    <w:unhideWhenUsed/>
    <w:qFormat/>
    <w:uiPriority w:val="9"/>
    <w:pPr>
      <w:keepNext/>
      <w:keepLines/>
      <w:spacing w:before="40" w:after="0"/>
      <w:outlineLvl w:val="1"/>
    </w:pPr>
    <w:rPr>
      <w:rFonts w:asciiTheme="majorHAnsi" w:hAnsiTheme="majorHAnsi" w:eastAsiaTheme="majorEastAsia" w:cstheme="majorBidi"/>
      <w:color w:val="2E75B6" w:themeColor="accent1" w:themeShade="BF"/>
      <w:sz w:val="26"/>
      <w:szCs w:val="26"/>
    </w:rPr>
  </w:style>
  <w:style w:type="paragraph" w:styleId="4">
    <w:name w:val="heading 3"/>
    <w:basedOn w:val="1"/>
    <w:next w:val="1"/>
    <w:semiHidden/>
    <w:unhideWhenUsed/>
    <w:qFormat/>
    <w:uiPriority w:val="9"/>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10">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qFormat/>
    <w:uiPriority w:val="0"/>
    <w:pPr>
      <w:ind w:left="840" w:leftChars="400"/>
    </w:pPr>
  </w:style>
  <w:style w:type="paragraph" w:styleId="6">
    <w:name w:val="toc 1"/>
    <w:basedOn w:val="1"/>
    <w:next w:val="1"/>
    <w:unhideWhenUsed/>
    <w:qFormat/>
    <w:uiPriority w:val="39"/>
    <w:pPr>
      <w:spacing w:after="100"/>
    </w:pPr>
  </w:style>
  <w:style w:type="paragraph" w:styleId="7">
    <w:name w:val="toc 2"/>
    <w:basedOn w:val="1"/>
    <w:next w:val="1"/>
    <w:unhideWhenUsed/>
    <w:qFormat/>
    <w:uiPriority w:val="39"/>
    <w:pPr>
      <w:spacing w:after="100"/>
      <w:ind w:left="220"/>
    </w:pPr>
  </w:style>
  <w:style w:type="paragraph" w:styleId="8">
    <w:name w:val="Normal (Web)"/>
    <w:basedOn w:val="1"/>
    <w:semiHidden/>
    <w:unhideWhenUsed/>
    <w:qFormat/>
    <w:uiPriority w:val="99"/>
    <w:pPr>
      <w:spacing w:before="0" w:beforeAutospacing="1" w:after="0" w:afterAutospacing="1"/>
      <w:ind w:left="0" w:right="0"/>
      <w:jc w:val="left"/>
    </w:pPr>
    <w:rPr>
      <w:kern w:val="0"/>
      <w:sz w:val="24"/>
      <w:lang w:val="en-US" w:eastAsia="zh-CN" w:bidi="ar"/>
    </w:rPr>
  </w:style>
  <w:style w:type="character" w:styleId="11">
    <w:name w:val="Strong"/>
    <w:basedOn w:val="10"/>
    <w:qFormat/>
    <w:uiPriority w:val="22"/>
    <w:rPr>
      <w:b/>
    </w:rPr>
  </w:style>
  <w:style w:type="character" w:styleId="12">
    <w:name w:val="Hyperlink"/>
    <w:basedOn w:val="10"/>
    <w:unhideWhenUsed/>
    <w:qFormat/>
    <w:uiPriority w:val="99"/>
    <w:rPr>
      <w:color w:val="0563C1" w:themeColor="hyperlink"/>
      <w:u w:val="single"/>
      <w14:textFill>
        <w14:solidFill>
          <w14:schemeClr w14:val="hlink"/>
        </w14:solidFill>
      </w14:textFill>
    </w:rPr>
  </w:style>
  <w:style w:type="paragraph" w:styleId="13">
    <w:name w:val="No Spacing"/>
    <w:link w:val="14"/>
    <w:qFormat/>
    <w:uiPriority w:val="1"/>
    <w:pPr>
      <w:spacing w:after="0" w:line="240" w:lineRule="auto"/>
    </w:pPr>
    <w:rPr>
      <w:rFonts w:asciiTheme="minorHAnsi" w:hAnsiTheme="minorHAnsi" w:eastAsiaTheme="minorEastAsia" w:cstheme="minorBidi"/>
      <w:sz w:val="22"/>
      <w:szCs w:val="22"/>
      <w:lang w:val="en-US" w:eastAsia="en-US" w:bidi="ar-SA"/>
    </w:rPr>
  </w:style>
  <w:style w:type="character" w:customStyle="1" w:styleId="14">
    <w:name w:val="No Spacing Char"/>
    <w:basedOn w:val="10"/>
    <w:link w:val="13"/>
    <w:qFormat/>
    <w:uiPriority w:val="1"/>
    <w:rPr>
      <w:rFonts w:eastAsiaTheme="minorEastAsia"/>
      <w:lang w:val="en-US"/>
    </w:rPr>
  </w:style>
  <w:style w:type="character" w:customStyle="1" w:styleId="15">
    <w:name w:val="Heading 1 Char"/>
    <w:basedOn w:val="10"/>
    <w:link w:val="2"/>
    <w:qFormat/>
    <w:uiPriority w:val="9"/>
    <w:rPr>
      <w:rFonts w:asciiTheme="majorHAnsi" w:hAnsiTheme="majorHAnsi" w:eastAsiaTheme="majorEastAsia" w:cstheme="majorBidi"/>
      <w:color w:val="2E75B6" w:themeColor="accent1" w:themeShade="BF"/>
      <w:sz w:val="32"/>
      <w:szCs w:val="32"/>
    </w:rPr>
  </w:style>
  <w:style w:type="paragraph" w:customStyle="1" w:styleId="16">
    <w:name w:val="TOC Heading"/>
    <w:basedOn w:val="2"/>
    <w:next w:val="1"/>
    <w:unhideWhenUsed/>
    <w:qFormat/>
    <w:uiPriority w:val="39"/>
    <w:pPr>
      <w:outlineLvl w:val="9"/>
    </w:pPr>
    <w:rPr>
      <w:lang w:val="en-US"/>
    </w:rPr>
  </w:style>
  <w:style w:type="character" w:customStyle="1" w:styleId="17">
    <w:name w:val="Heading 2 Char"/>
    <w:basedOn w:val="10"/>
    <w:link w:val="3"/>
    <w:qFormat/>
    <w:uiPriority w:val="9"/>
    <w:rPr>
      <w:rFonts w:asciiTheme="majorHAnsi" w:hAnsiTheme="majorHAnsi" w:eastAsiaTheme="majorEastAsia" w:cstheme="majorBidi"/>
      <w:color w:val="2E75B6" w:themeColor="accent1" w:themeShade="BF"/>
      <w:sz w:val="26"/>
      <w:szCs w:val="26"/>
    </w:rPr>
  </w:style>
  <w:style w:type="character" w:customStyle="1" w:styleId="18">
    <w:name w:val="font01"/>
    <w:basedOn w:val="10"/>
    <w:uiPriority w:val="0"/>
    <w:rPr>
      <w:rFonts w:hint="eastAsia" w:ascii="宋体" w:hAnsi="宋体" w:eastAsia="宋体" w:cs="宋体"/>
      <w:color w:val="000000"/>
      <w:sz w:val="24"/>
      <w:szCs w:val="24"/>
      <w:u w:val="none"/>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Company>University of Wales Trinity Saint David</Company>
  <Pages>21</Pages>
  <Words>4617</Words>
  <Characters>28952</Characters>
  <Lines>10</Lines>
  <Paragraphs>3</Paragraphs>
  <TotalTime>7</TotalTime>
  <ScaleCrop>false</ScaleCrop>
  <LinksUpToDate>false</LinksUpToDate>
  <CharactersWithSpaces>33493</CharactersWithSpaces>
  <Application>WPS Office_11.1.0.14036_F1E327BC-269C-435d-A152-05C5408002CA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2023-04-20T07:42:00Z</dcterms:created>
  <dc:creator>Marie Pitson</dc:creator>
  <cp:lastModifiedBy>Lenovo</cp:lastModifiedBy>
  <dcterms:modified xsi:type="dcterms:W3CDTF">2023-05-05T16:34:25Z</dcterms:modified>
  <dc:title>name of th ssignment</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2052-11.1.0.14036</vt:lpwstr>
  </property>
  <property fmtid="{D5CDD505-2E9C-101B-9397-08002B2CF9AE}" pid="3" name="ICV">
    <vt:lpwstr>46CF82FC4E7A7B7C723D5364CCE7C3BC</vt:lpwstr>
  </property>
</Properties>
</file>