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62D653" w14:textId="77777777" w:rsidR="00715E51" w:rsidRPr="008F1EB8" w:rsidRDefault="00715E51" w:rsidP="00715E51">
      <w:pPr>
        <w:spacing w:line="360" w:lineRule="auto"/>
        <w:rPr>
          <w:rFonts w:eastAsia="Times New Roman"/>
          <w:b/>
          <w:sz w:val="40"/>
          <w:szCs w:val="40"/>
        </w:rPr>
      </w:pPr>
    </w:p>
    <w:p w14:paraId="73FE6AE0" w14:textId="77777777" w:rsidR="00715E51" w:rsidRPr="008F1EB8" w:rsidRDefault="00715E51" w:rsidP="00715E51">
      <w:pPr>
        <w:spacing w:line="360" w:lineRule="auto"/>
        <w:rPr>
          <w:rFonts w:eastAsia="Times New Roman"/>
          <w:b/>
          <w:sz w:val="40"/>
          <w:szCs w:val="40"/>
        </w:rPr>
      </w:pPr>
    </w:p>
    <w:p w14:paraId="5D69969F" w14:textId="77777777" w:rsidR="00715E51" w:rsidRPr="008F1EB8" w:rsidRDefault="00715E51" w:rsidP="00715E51">
      <w:pPr>
        <w:spacing w:line="360" w:lineRule="auto"/>
        <w:rPr>
          <w:rFonts w:eastAsia="Times New Roman"/>
          <w:b/>
          <w:sz w:val="40"/>
          <w:szCs w:val="40"/>
        </w:rPr>
      </w:pPr>
    </w:p>
    <w:p w14:paraId="1F8A32F5" w14:textId="77777777" w:rsidR="00715E51" w:rsidRPr="008F1EB8" w:rsidRDefault="00715E51" w:rsidP="00715E51">
      <w:pPr>
        <w:spacing w:line="360" w:lineRule="auto"/>
        <w:rPr>
          <w:rFonts w:eastAsia="Times New Roman"/>
          <w:b/>
          <w:sz w:val="40"/>
          <w:szCs w:val="40"/>
        </w:rPr>
      </w:pPr>
    </w:p>
    <w:p w14:paraId="6D6A5FA0" w14:textId="77777777" w:rsidR="00715E51" w:rsidRPr="008F1EB8" w:rsidRDefault="00715E51" w:rsidP="00715E51">
      <w:pPr>
        <w:spacing w:line="360" w:lineRule="auto"/>
        <w:rPr>
          <w:rFonts w:eastAsia="Times New Roman"/>
          <w:b/>
          <w:sz w:val="40"/>
          <w:szCs w:val="40"/>
        </w:rPr>
      </w:pPr>
    </w:p>
    <w:p w14:paraId="7DB37E43" w14:textId="31832BC0" w:rsidR="00715E51" w:rsidRPr="008F1EB8" w:rsidRDefault="00715E51" w:rsidP="00715E51">
      <w:pPr>
        <w:rPr>
          <w:rFonts w:eastAsia="Times New Roman"/>
          <w:b/>
          <w:sz w:val="40"/>
          <w:szCs w:val="40"/>
        </w:rPr>
      </w:pPr>
      <w:r w:rsidRPr="008F1EB8">
        <w:rPr>
          <w:rFonts w:eastAsia="Times New Roman"/>
          <w:b/>
          <w:sz w:val="40"/>
          <w:szCs w:val="40"/>
        </w:rPr>
        <w:t xml:space="preserve">Name: </w:t>
      </w:r>
      <w:r w:rsidRPr="008F1EB8">
        <w:rPr>
          <w:rFonts w:eastAsia="Times New Roman"/>
          <w:b/>
          <w:sz w:val="40"/>
          <w:szCs w:val="40"/>
        </w:rPr>
        <w:t>Jorge Aires</w:t>
      </w:r>
    </w:p>
    <w:p w14:paraId="434F33AA" w14:textId="2B166832" w:rsidR="00715E51" w:rsidRPr="008F1EB8" w:rsidRDefault="00715E51" w:rsidP="00715E51">
      <w:pPr>
        <w:rPr>
          <w:rFonts w:eastAsia="Times New Roman"/>
          <w:b/>
          <w:sz w:val="40"/>
          <w:szCs w:val="40"/>
        </w:rPr>
      </w:pPr>
      <w:r w:rsidRPr="008F1EB8">
        <w:rPr>
          <w:rFonts w:eastAsia="Times New Roman"/>
          <w:b/>
          <w:sz w:val="40"/>
          <w:szCs w:val="40"/>
        </w:rPr>
        <w:t xml:space="preserve">Student Number: </w:t>
      </w:r>
      <w:r w:rsidRPr="008F1EB8">
        <w:rPr>
          <w:rFonts w:eastAsia="Times New Roman"/>
          <w:b/>
          <w:sz w:val="40"/>
          <w:szCs w:val="40"/>
        </w:rPr>
        <w:t>2129620</w:t>
      </w:r>
    </w:p>
    <w:p w14:paraId="59F7F7CF" w14:textId="40E604E8" w:rsidR="00715E51" w:rsidRPr="008F1EB8" w:rsidRDefault="00715E51" w:rsidP="00715E51">
      <w:pPr>
        <w:ind w:left="2160" w:hanging="2160"/>
        <w:rPr>
          <w:rFonts w:eastAsia="Times New Roman"/>
          <w:b/>
          <w:sz w:val="40"/>
          <w:szCs w:val="40"/>
        </w:rPr>
      </w:pPr>
      <w:r w:rsidRPr="008F1EB8">
        <w:rPr>
          <w:rFonts w:eastAsia="Times New Roman"/>
          <w:b/>
          <w:sz w:val="40"/>
          <w:szCs w:val="40"/>
        </w:rPr>
        <w:t xml:space="preserve">Module: </w:t>
      </w:r>
      <w:r w:rsidRPr="008F1EB8">
        <w:rPr>
          <w:rFonts w:eastAsia="Times New Roman"/>
          <w:b/>
          <w:sz w:val="40"/>
          <w:szCs w:val="40"/>
        </w:rPr>
        <w:t>LCMB 70</w:t>
      </w:r>
      <w:r w:rsidRPr="008F1EB8">
        <w:rPr>
          <w:rFonts w:eastAsia="Times New Roman"/>
          <w:b/>
          <w:sz w:val="40"/>
          <w:szCs w:val="40"/>
        </w:rPr>
        <w:t>1</w:t>
      </w:r>
      <w:r w:rsidR="009B087F" w:rsidRPr="008F1EB8">
        <w:rPr>
          <w:rFonts w:eastAsia="Times New Roman"/>
          <w:b/>
          <w:sz w:val="40"/>
          <w:szCs w:val="40"/>
        </w:rPr>
        <w:t>2</w:t>
      </w:r>
      <w:r w:rsidRPr="008F1EB8">
        <w:rPr>
          <w:rFonts w:eastAsia="Times New Roman"/>
          <w:b/>
          <w:sz w:val="40"/>
          <w:szCs w:val="40"/>
        </w:rPr>
        <w:t xml:space="preserve"> – </w:t>
      </w:r>
      <w:r w:rsidRPr="008F1EB8">
        <w:rPr>
          <w:rFonts w:eastAsia="Times New Roman"/>
          <w:b/>
          <w:sz w:val="40"/>
          <w:szCs w:val="40"/>
        </w:rPr>
        <w:t>Banking Financial</w:t>
      </w:r>
      <w:r w:rsidRPr="008F1EB8">
        <w:rPr>
          <w:rFonts w:eastAsia="Times New Roman"/>
          <w:b/>
          <w:sz w:val="40"/>
          <w:szCs w:val="40"/>
        </w:rPr>
        <w:t xml:space="preserve"> </w:t>
      </w:r>
    </w:p>
    <w:p w14:paraId="04008706" w14:textId="18EAA787" w:rsidR="00715E51" w:rsidRPr="008F1EB8" w:rsidRDefault="00715E51" w:rsidP="00715E51">
      <w:pPr>
        <w:ind w:left="2160" w:hanging="2160"/>
        <w:rPr>
          <w:rFonts w:eastAsia="Times New Roman"/>
          <w:b/>
          <w:sz w:val="40"/>
          <w:szCs w:val="40"/>
        </w:rPr>
      </w:pPr>
      <w:r w:rsidRPr="008F1EB8">
        <w:rPr>
          <w:rFonts w:eastAsia="Times New Roman"/>
          <w:b/>
          <w:sz w:val="40"/>
          <w:szCs w:val="40"/>
        </w:rPr>
        <w:t>Manageme</w:t>
      </w:r>
      <w:r w:rsidRPr="008F1EB8">
        <w:rPr>
          <w:rFonts w:eastAsia="Times New Roman"/>
          <w:b/>
          <w:sz w:val="40"/>
          <w:szCs w:val="40"/>
        </w:rPr>
        <w:t xml:space="preserve">nt and </w:t>
      </w:r>
      <w:r w:rsidRPr="008F1EB8">
        <w:rPr>
          <w:rFonts w:eastAsia="Times New Roman"/>
          <w:b/>
          <w:sz w:val="40"/>
          <w:szCs w:val="40"/>
        </w:rPr>
        <w:t>Financial Markets</w:t>
      </w:r>
    </w:p>
    <w:p w14:paraId="270048BE" w14:textId="5B82CE72" w:rsidR="008D0C0D" w:rsidRPr="008F1EB8" w:rsidRDefault="008D0C0D">
      <w:pPr>
        <w:jc w:val="center"/>
        <w:rPr>
          <w:rFonts w:eastAsia="Times New Roman"/>
          <w:b/>
          <w:sz w:val="40"/>
          <w:szCs w:val="40"/>
        </w:rPr>
      </w:pPr>
    </w:p>
    <w:p w14:paraId="4436D31D" w14:textId="064DE85D" w:rsidR="0064635C" w:rsidRPr="008F1EB8" w:rsidRDefault="0064635C">
      <w:pPr>
        <w:jc w:val="center"/>
        <w:rPr>
          <w:rFonts w:eastAsia="Times New Roman"/>
          <w:b/>
          <w:sz w:val="40"/>
          <w:szCs w:val="40"/>
        </w:rPr>
      </w:pPr>
    </w:p>
    <w:p w14:paraId="75D7EFAE" w14:textId="7812D361" w:rsidR="0064635C" w:rsidRPr="008F1EB8" w:rsidRDefault="0064635C">
      <w:pPr>
        <w:jc w:val="center"/>
        <w:rPr>
          <w:rFonts w:eastAsia="Times New Roman"/>
          <w:b/>
          <w:sz w:val="40"/>
          <w:szCs w:val="40"/>
        </w:rPr>
      </w:pPr>
    </w:p>
    <w:p w14:paraId="0544231B" w14:textId="220387D2" w:rsidR="0064635C" w:rsidRPr="008F1EB8" w:rsidRDefault="0064635C">
      <w:pPr>
        <w:jc w:val="center"/>
        <w:rPr>
          <w:rFonts w:eastAsia="Times New Roman"/>
          <w:b/>
          <w:sz w:val="40"/>
          <w:szCs w:val="40"/>
        </w:rPr>
      </w:pPr>
    </w:p>
    <w:p w14:paraId="7C7E41ED" w14:textId="12B41B9C" w:rsidR="0064635C" w:rsidRPr="008F1EB8" w:rsidRDefault="0064635C">
      <w:pPr>
        <w:jc w:val="center"/>
        <w:rPr>
          <w:rFonts w:eastAsia="Times New Roman"/>
          <w:b/>
          <w:sz w:val="40"/>
          <w:szCs w:val="40"/>
        </w:rPr>
      </w:pPr>
    </w:p>
    <w:p w14:paraId="30440D5A" w14:textId="77777777" w:rsidR="0064635C" w:rsidRPr="008F1EB8" w:rsidRDefault="0064635C" w:rsidP="0064635C">
      <w:pPr>
        <w:jc w:val="right"/>
        <w:rPr>
          <w:rFonts w:eastAsia="Times New Roman"/>
          <w:b/>
          <w:sz w:val="40"/>
          <w:szCs w:val="40"/>
        </w:rPr>
      </w:pPr>
    </w:p>
    <w:p w14:paraId="3116939C" w14:textId="77777777" w:rsidR="0064635C" w:rsidRPr="008F1EB8" w:rsidRDefault="0064635C" w:rsidP="0064635C">
      <w:pPr>
        <w:jc w:val="right"/>
        <w:rPr>
          <w:rFonts w:eastAsia="Times New Roman"/>
          <w:b/>
          <w:sz w:val="40"/>
          <w:szCs w:val="40"/>
        </w:rPr>
      </w:pPr>
    </w:p>
    <w:p w14:paraId="3B2E645D" w14:textId="77777777" w:rsidR="0064635C" w:rsidRPr="008F1EB8" w:rsidRDefault="0064635C" w:rsidP="0064635C">
      <w:pPr>
        <w:jc w:val="right"/>
        <w:rPr>
          <w:rFonts w:eastAsia="Times New Roman"/>
          <w:b/>
          <w:sz w:val="40"/>
          <w:szCs w:val="40"/>
        </w:rPr>
      </w:pPr>
    </w:p>
    <w:p w14:paraId="2293E28D" w14:textId="4A29A867" w:rsidR="0064635C" w:rsidRPr="008F1EB8" w:rsidRDefault="0064635C" w:rsidP="0064635C">
      <w:pPr>
        <w:jc w:val="right"/>
        <w:rPr>
          <w:rFonts w:eastAsia="Times New Roman"/>
          <w:b/>
          <w:sz w:val="40"/>
          <w:szCs w:val="40"/>
        </w:rPr>
      </w:pPr>
      <w:r w:rsidRPr="008F1EB8">
        <w:rPr>
          <w:rFonts w:eastAsia="Times New Roman"/>
          <w:b/>
          <w:sz w:val="40"/>
          <w:szCs w:val="40"/>
        </w:rPr>
        <w:t>January 2023</w:t>
      </w:r>
    </w:p>
    <w:p w14:paraId="50F37B3D" w14:textId="77777777" w:rsidR="008D0C0D" w:rsidRPr="008F1EB8" w:rsidRDefault="008D0C0D">
      <w:pPr>
        <w:jc w:val="center"/>
        <w:rPr>
          <w:rFonts w:eastAsia="Times New Roman"/>
          <w:b/>
          <w:sz w:val="40"/>
          <w:szCs w:val="40"/>
        </w:rPr>
      </w:pPr>
    </w:p>
    <w:p w14:paraId="27CBA150" w14:textId="77777777" w:rsidR="008D0C0D" w:rsidRPr="008F1EB8" w:rsidRDefault="008D0C0D">
      <w:pPr>
        <w:jc w:val="center"/>
        <w:rPr>
          <w:rFonts w:eastAsia="Times New Roman"/>
          <w:b/>
          <w:sz w:val="40"/>
          <w:szCs w:val="40"/>
        </w:rPr>
      </w:pPr>
    </w:p>
    <w:p w14:paraId="49F83ED9" w14:textId="77777777" w:rsidR="008D0C0D" w:rsidRPr="008F1EB8" w:rsidRDefault="008D0C0D">
      <w:pPr>
        <w:jc w:val="center"/>
        <w:rPr>
          <w:rFonts w:eastAsia="Times New Roman"/>
          <w:b/>
          <w:sz w:val="40"/>
          <w:szCs w:val="40"/>
        </w:rPr>
      </w:pPr>
    </w:p>
    <w:p w14:paraId="538FDAEE" w14:textId="77777777" w:rsidR="008D0C0D" w:rsidRPr="008F1EB8" w:rsidRDefault="008D0C0D">
      <w:pPr>
        <w:jc w:val="center"/>
        <w:rPr>
          <w:rFonts w:eastAsia="Times New Roman"/>
          <w:b/>
          <w:sz w:val="40"/>
          <w:szCs w:val="40"/>
        </w:rPr>
      </w:pPr>
    </w:p>
    <w:p w14:paraId="26344E23" w14:textId="77777777" w:rsidR="008D0C0D" w:rsidRPr="008F1EB8" w:rsidRDefault="00BD2D3C">
      <w:pPr>
        <w:spacing w:line="360" w:lineRule="auto"/>
        <w:jc w:val="both"/>
        <w:rPr>
          <w:rFonts w:eastAsia="Times New Roman"/>
          <w:b/>
          <w:sz w:val="28"/>
          <w:szCs w:val="28"/>
        </w:rPr>
      </w:pPr>
      <w:r w:rsidRPr="008F1EB8">
        <w:br w:type="page"/>
      </w:r>
    </w:p>
    <w:p w14:paraId="3FA6589A" w14:textId="62BEF1E6" w:rsidR="008D0C0D" w:rsidRPr="008F1EB8" w:rsidRDefault="00BD2D3C">
      <w:pPr>
        <w:spacing w:line="360" w:lineRule="auto"/>
        <w:jc w:val="center"/>
        <w:rPr>
          <w:rFonts w:eastAsia="Times New Roman"/>
          <w:b/>
          <w:sz w:val="28"/>
          <w:szCs w:val="28"/>
        </w:rPr>
      </w:pPr>
      <w:r w:rsidRPr="008F1EB8">
        <w:rPr>
          <w:rFonts w:eastAsia="Times New Roman"/>
          <w:b/>
          <w:sz w:val="28"/>
          <w:szCs w:val="28"/>
        </w:rPr>
        <w:lastRenderedPageBreak/>
        <w:t xml:space="preserve">Executive Summary </w:t>
      </w:r>
    </w:p>
    <w:p w14:paraId="5252E237" w14:textId="77777777" w:rsidR="009C72CC" w:rsidRPr="008F1EB8" w:rsidRDefault="009C72CC">
      <w:pPr>
        <w:spacing w:line="360" w:lineRule="auto"/>
        <w:jc w:val="center"/>
        <w:rPr>
          <w:rFonts w:eastAsia="Times New Roman"/>
          <w:b/>
          <w:sz w:val="28"/>
          <w:szCs w:val="28"/>
        </w:rPr>
      </w:pPr>
    </w:p>
    <w:p w14:paraId="4C4C54CE" w14:textId="4C48397F" w:rsidR="00F50BD7" w:rsidRPr="008F1EB8" w:rsidRDefault="004B5213">
      <w:pPr>
        <w:spacing w:line="360" w:lineRule="auto"/>
        <w:jc w:val="both"/>
        <w:rPr>
          <w:rFonts w:eastAsia="Times New Roman"/>
          <w:sz w:val="24"/>
          <w:szCs w:val="24"/>
        </w:rPr>
      </w:pPr>
      <w:r w:rsidRPr="008F1EB8">
        <w:rPr>
          <w:rFonts w:eastAsia="Times New Roman"/>
          <w:sz w:val="24"/>
          <w:szCs w:val="24"/>
        </w:rPr>
        <w:t>During</w:t>
      </w:r>
      <w:r w:rsidR="00BD2D3C" w:rsidRPr="008F1EB8">
        <w:rPr>
          <w:rFonts w:eastAsia="Times New Roman"/>
          <w:sz w:val="24"/>
          <w:szCs w:val="24"/>
        </w:rPr>
        <w:t xml:space="preserve"> the </w:t>
      </w:r>
      <w:r w:rsidR="00BD2D3C" w:rsidRPr="008F1EB8">
        <w:rPr>
          <w:rFonts w:eastAsia="Times New Roman"/>
          <w:b/>
          <w:bCs/>
          <w:sz w:val="24"/>
          <w:szCs w:val="24"/>
        </w:rPr>
        <w:t>200</w:t>
      </w:r>
      <w:r w:rsidR="001C65C2" w:rsidRPr="008F1EB8">
        <w:rPr>
          <w:rFonts w:eastAsia="Times New Roman"/>
          <w:b/>
          <w:bCs/>
          <w:sz w:val="24"/>
          <w:szCs w:val="24"/>
        </w:rPr>
        <w:t>8</w:t>
      </w:r>
      <w:r w:rsidR="00BD2D3C" w:rsidRPr="008F1EB8">
        <w:rPr>
          <w:rFonts w:eastAsia="Times New Roman"/>
          <w:b/>
          <w:bCs/>
          <w:sz w:val="24"/>
          <w:szCs w:val="24"/>
        </w:rPr>
        <w:t>’s financial crisis</w:t>
      </w:r>
      <w:r w:rsidR="00BD2D3C" w:rsidRPr="008F1EB8">
        <w:rPr>
          <w:rFonts w:eastAsia="Times New Roman"/>
          <w:sz w:val="24"/>
          <w:szCs w:val="24"/>
        </w:rPr>
        <w:t xml:space="preserve">, </w:t>
      </w:r>
      <w:r w:rsidR="00A538E4" w:rsidRPr="008F1EB8">
        <w:rPr>
          <w:rFonts w:eastAsia="Times New Roman"/>
          <w:sz w:val="24"/>
          <w:szCs w:val="24"/>
        </w:rPr>
        <w:t xml:space="preserve">caused mainly by the </w:t>
      </w:r>
      <w:r w:rsidR="00D804BD" w:rsidRPr="008F1EB8">
        <w:rPr>
          <w:rFonts w:eastAsia="Times New Roman"/>
          <w:b/>
          <w:bCs/>
          <w:sz w:val="24"/>
          <w:szCs w:val="24"/>
        </w:rPr>
        <w:t>Collateralized Debt Obligations (</w:t>
      </w:r>
      <w:r w:rsidR="00A538E4" w:rsidRPr="008F1EB8">
        <w:rPr>
          <w:rFonts w:eastAsia="Times New Roman"/>
          <w:b/>
          <w:bCs/>
          <w:sz w:val="24"/>
          <w:szCs w:val="24"/>
        </w:rPr>
        <w:t>CDO</w:t>
      </w:r>
      <w:r w:rsidR="00D804BD" w:rsidRPr="008F1EB8">
        <w:rPr>
          <w:rFonts w:eastAsia="Times New Roman"/>
          <w:b/>
          <w:bCs/>
          <w:sz w:val="24"/>
          <w:szCs w:val="24"/>
        </w:rPr>
        <w:t>)</w:t>
      </w:r>
      <w:r w:rsidRPr="008F1EB8">
        <w:rPr>
          <w:rFonts w:eastAsia="Times New Roman"/>
          <w:sz w:val="24"/>
          <w:szCs w:val="24"/>
        </w:rPr>
        <w:t xml:space="preserve"> in United States of America</w:t>
      </w:r>
      <w:r w:rsidR="00A538E4" w:rsidRPr="008F1EB8">
        <w:rPr>
          <w:rFonts w:eastAsia="Times New Roman"/>
          <w:sz w:val="24"/>
          <w:szCs w:val="24"/>
        </w:rPr>
        <w:t xml:space="preserve">, </w:t>
      </w:r>
      <w:r w:rsidR="001C65C2" w:rsidRPr="008F1EB8">
        <w:rPr>
          <w:rFonts w:eastAsia="Times New Roman"/>
          <w:sz w:val="24"/>
          <w:szCs w:val="24"/>
        </w:rPr>
        <w:t xml:space="preserve">world economy including </w:t>
      </w:r>
      <w:r w:rsidR="00BD2D3C" w:rsidRPr="008F1EB8">
        <w:rPr>
          <w:rFonts w:eastAsia="Times New Roman"/>
          <w:sz w:val="24"/>
          <w:szCs w:val="24"/>
        </w:rPr>
        <w:t>the U</w:t>
      </w:r>
      <w:r w:rsidR="00F50BD7" w:rsidRPr="008F1EB8">
        <w:rPr>
          <w:rFonts w:eastAsia="Times New Roman"/>
          <w:sz w:val="24"/>
          <w:szCs w:val="24"/>
        </w:rPr>
        <w:t xml:space="preserve">nited </w:t>
      </w:r>
      <w:r w:rsidR="00BD2D3C" w:rsidRPr="008F1EB8">
        <w:rPr>
          <w:rFonts w:eastAsia="Times New Roman"/>
          <w:sz w:val="24"/>
          <w:szCs w:val="24"/>
        </w:rPr>
        <w:t>K</w:t>
      </w:r>
      <w:r w:rsidR="00F50BD7" w:rsidRPr="008F1EB8">
        <w:rPr>
          <w:rFonts w:eastAsia="Times New Roman"/>
          <w:sz w:val="24"/>
          <w:szCs w:val="24"/>
        </w:rPr>
        <w:t>ingdom (UK)</w:t>
      </w:r>
      <w:r w:rsidR="00BD2D3C" w:rsidRPr="008F1EB8">
        <w:rPr>
          <w:rFonts w:eastAsia="Times New Roman"/>
          <w:sz w:val="24"/>
          <w:szCs w:val="24"/>
        </w:rPr>
        <w:t xml:space="preserve"> has collapsed</w:t>
      </w:r>
      <w:r w:rsidR="007C5204" w:rsidRPr="008F1EB8">
        <w:rPr>
          <w:rFonts w:eastAsia="Times New Roman"/>
          <w:sz w:val="24"/>
          <w:szCs w:val="24"/>
        </w:rPr>
        <w:t>,</w:t>
      </w:r>
      <w:r w:rsidR="00BD2D3C" w:rsidRPr="008F1EB8">
        <w:rPr>
          <w:rFonts w:eastAsia="Times New Roman"/>
          <w:sz w:val="24"/>
          <w:szCs w:val="24"/>
        </w:rPr>
        <w:t xml:space="preserve"> impact</w:t>
      </w:r>
      <w:r w:rsidR="00F50BD7" w:rsidRPr="008F1EB8">
        <w:rPr>
          <w:rFonts w:eastAsia="Times New Roman"/>
          <w:sz w:val="24"/>
          <w:szCs w:val="24"/>
        </w:rPr>
        <w:t>ing not only</w:t>
      </w:r>
      <w:r w:rsidR="00BD2D3C" w:rsidRPr="008F1EB8">
        <w:rPr>
          <w:rFonts w:eastAsia="Times New Roman"/>
          <w:sz w:val="24"/>
          <w:szCs w:val="24"/>
        </w:rPr>
        <w:t xml:space="preserve"> the market but also various financial institutions</w:t>
      </w:r>
      <w:r w:rsidR="00F50BD7" w:rsidRPr="008F1EB8">
        <w:rPr>
          <w:rFonts w:eastAsia="Times New Roman"/>
          <w:sz w:val="24"/>
          <w:szCs w:val="24"/>
        </w:rPr>
        <w:t>. B</w:t>
      </w:r>
      <w:r w:rsidR="00BD2D3C" w:rsidRPr="008F1EB8">
        <w:rPr>
          <w:rFonts w:eastAsia="Times New Roman"/>
          <w:sz w:val="24"/>
          <w:szCs w:val="24"/>
        </w:rPr>
        <w:t xml:space="preserve">anks were forced to freeze billions of </w:t>
      </w:r>
      <w:r w:rsidR="00F50BD7" w:rsidRPr="008F1EB8">
        <w:rPr>
          <w:rFonts w:eastAsia="Times New Roman"/>
          <w:sz w:val="24"/>
          <w:szCs w:val="24"/>
        </w:rPr>
        <w:t>dollars,</w:t>
      </w:r>
      <w:r w:rsidR="00BD2D3C" w:rsidRPr="008F1EB8">
        <w:rPr>
          <w:rFonts w:eastAsia="Times New Roman"/>
          <w:sz w:val="24"/>
          <w:szCs w:val="24"/>
        </w:rPr>
        <w:t xml:space="preserve"> and many </w:t>
      </w:r>
      <w:r w:rsidRPr="008F1EB8">
        <w:rPr>
          <w:rFonts w:eastAsia="Times New Roman"/>
          <w:sz w:val="24"/>
          <w:szCs w:val="24"/>
        </w:rPr>
        <w:t xml:space="preserve">people </w:t>
      </w:r>
      <w:r w:rsidR="00BD2D3C" w:rsidRPr="008F1EB8">
        <w:rPr>
          <w:rFonts w:eastAsia="Times New Roman"/>
          <w:sz w:val="24"/>
          <w:szCs w:val="24"/>
        </w:rPr>
        <w:t xml:space="preserve">lost their jobs as </w:t>
      </w:r>
      <w:r w:rsidR="00F50BD7" w:rsidRPr="008F1EB8">
        <w:rPr>
          <w:rFonts w:eastAsia="Times New Roman"/>
          <w:sz w:val="24"/>
          <w:szCs w:val="24"/>
        </w:rPr>
        <w:t>a result of this crisis</w:t>
      </w:r>
      <w:r w:rsidR="00BD2D3C" w:rsidRPr="008F1EB8">
        <w:rPr>
          <w:rFonts w:eastAsia="Times New Roman"/>
          <w:sz w:val="24"/>
          <w:szCs w:val="24"/>
        </w:rPr>
        <w:t>.</w:t>
      </w:r>
      <w:r w:rsidR="00F50BD7" w:rsidRPr="008F1EB8">
        <w:rPr>
          <w:rFonts w:eastAsia="Times New Roman"/>
          <w:sz w:val="24"/>
          <w:szCs w:val="24"/>
        </w:rPr>
        <w:t xml:space="preserve"> </w:t>
      </w:r>
      <w:r w:rsidRPr="008F1EB8">
        <w:rPr>
          <w:rFonts w:eastAsia="Times New Roman"/>
          <w:sz w:val="24"/>
          <w:szCs w:val="24"/>
        </w:rPr>
        <w:t>Furthermore, s</w:t>
      </w:r>
      <w:r w:rsidR="00F50BD7" w:rsidRPr="008F1EB8">
        <w:rPr>
          <w:rFonts w:eastAsia="Times New Roman"/>
          <w:sz w:val="24"/>
          <w:szCs w:val="24"/>
        </w:rPr>
        <w:t xml:space="preserve">everal banks faced bankruptcy, and some went bankrupt (Northern Rock, Lehmann Brothers, et.). </w:t>
      </w:r>
    </w:p>
    <w:p w14:paraId="6BA1D526" w14:textId="24A5AE59" w:rsidR="008D0C0D" w:rsidRPr="008F1EB8" w:rsidRDefault="003E1CCF">
      <w:pPr>
        <w:spacing w:line="360" w:lineRule="auto"/>
        <w:jc w:val="both"/>
        <w:rPr>
          <w:rFonts w:eastAsia="Times New Roman"/>
          <w:sz w:val="24"/>
          <w:szCs w:val="24"/>
        </w:rPr>
      </w:pPr>
      <w:r w:rsidRPr="008F1EB8">
        <w:rPr>
          <w:rFonts w:eastAsia="Times New Roman"/>
          <w:sz w:val="24"/>
          <w:szCs w:val="24"/>
        </w:rPr>
        <w:t>D</w:t>
      </w:r>
      <w:r w:rsidR="00BD2D3C" w:rsidRPr="008F1EB8">
        <w:rPr>
          <w:rFonts w:eastAsia="Times New Roman"/>
          <w:sz w:val="24"/>
          <w:szCs w:val="24"/>
        </w:rPr>
        <w:t>ue to currency fluctuations and collapsing</w:t>
      </w:r>
      <w:r w:rsidR="004B5213" w:rsidRPr="008F1EB8">
        <w:rPr>
          <w:rFonts w:eastAsia="Times New Roman"/>
          <w:sz w:val="24"/>
          <w:szCs w:val="24"/>
        </w:rPr>
        <w:t>, also</w:t>
      </w:r>
      <w:r w:rsidR="00BD2D3C" w:rsidRPr="008F1EB8">
        <w:rPr>
          <w:rFonts w:eastAsia="Times New Roman"/>
          <w:sz w:val="24"/>
          <w:szCs w:val="24"/>
        </w:rPr>
        <w:t xml:space="preserve"> the </w:t>
      </w:r>
      <w:r w:rsidRPr="008F1EB8">
        <w:rPr>
          <w:rFonts w:eastAsia="Times New Roman"/>
          <w:sz w:val="24"/>
          <w:szCs w:val="24"/>
        </w:rPr>
        <w:t>poor financial m</w:t>
      </w:r>
      <w:r w:rsidR="00BD2D3C" w:rsidRPr="008F1EB8">
        <w:rPr>
          <w:rFonts w:eastAsia="Times New Roman"/>
          <w:sz w:val="24"/>
          <w:szCs w:val="24"/>
        </w:rPr>
        <w:t>arket</w:t>
      </w:r>
      <w:r w:rsidRPr="008F1EB8">
        <w:rPr>
          <w:rFonts w:eastAsia="Times New Roman"/>
          <w:sz w:val="24"/>
          <w:szCs w:val="24"/>
        </w:rPr>
        <w:t xml:space="preserve"> </w:t>
      </w:r>
      <w:r w:rsidR="00BD2D3C" w:rsidRPr="008F1EB8">
        <w:rPr>
          <w:rFonts w:eastAsia="Times New Roman"/>
          <w:sz w:val="24"/>
          <w:szCs w:val="24"/>
        </w:rPr>
        <w:t xml:space="preserve">condition, the government and other authorities of the </w:t>
      </w:r>
      <w:r w:rsidRPr="008F1EB8">
        <w:rPr>
          <w:rFonts w:eastAsia="Times New Roman"/>
          <w:sz w:val="24"/>
          <w:szCs w:val="24"/>
        </w:rPr>
        <w:t xml:space="preserve"> European Union and the </w:t>
      </w:r>
      <w:r w:rsidR="00BD2D3C" w:rsidRPr="008F1EB8">
        <w:rPr>
          <w:rFonts w:eastAsia="Times New Roman"/>
          <w:sz w:val="24"/>
          <w:szCs w:val="24"/>
        </w:rPr>
        <w:t>U</w:t>
      </w:r>
      <w:r w:rsidR="00F50BD7" w:rsidRPr="008F1EB8">
        <w:rPr>
          <w:rFonts w:eastAsia="Times New Roman"/>
          <w:sz w:val="24"/>
          <w:szCs w:val="24"/>
        </w:rPr>
        <w:t>K</w:t>
      </w:r>
      <w:r w:rsidR="00BD2D3C" w:rsidRPr="008F1EB8">
        <w:rPr>
          <w:rFonts w:eastAsia="Times New Roman"/>
          <w:sz w:val="24"/>
          <w:szCs w:val="24"/>
        </w:rPr>
        <w:t xml:space="preserve"> decided to </w:t>
      </w:r>
      <w:r w:rsidR="00F50BD7" w:rsidRPr="008F1EB8">
        <w:rPr>
          <w:rFonts w:eastAsia="Times New Roman"/>
          <w:sz w:val="24"/>
          <w:szCs w:val="24"/>
        </w:rPr>
        <w:t>step in</w:t>
      </w:r>
      <w:r w:rsidR="00A538E4" w:rsidRPr="008F1EB8">
        <w:rPr>
          <w:rFonts w:eastAsia="Times New Roman"/>
          <w:sz w:val="24"/>
          <w:szCs w:val="24"/>
        </w:rPr>
        <w:t>,</w:t>
      </w:r>
      <w:r w:rsidRPr="008F1EB8">
        <w:rPr>
          <w:rFonts w:eastAsia="Times New Roman"/>
          <w:sz w:val="24"/>
          <w:szCs w:val="24"/>
        </w:rPr>
        <w:t xml:space="preserve"> and implemented sets of rules, regulations and guidance, such as the </w:t>
      </w:r>
      <w:r w:rsidRPr="008F1EB8">
        <w:rPr>
          <w:rFonts w:eastAsia="Times New Roman"/>
          <w:b/>
          <w:bCs/>
          <w:sz w:val="24"/>
          <w:szCs w:val="24"/>
        </w:rPr>
        <w:t xml:space="preserve">Basel III </w:t>
      </w:r>
      <w:r w:rsidR="007C5204" w:rsidRPr="008F1EB8">
        <w:rPr>
          <w:rFonts w:eastAsia="Times New Roman"/>
          <w:b/>
          <w:bCs/>
          <w:sz w:val="24"/>
          <w:szCs w:val="24"/>
        </w:rPr>
        <w:t>Accord</w:t>
      </w:r>
      <w:r w:rsidRPr="008F1EB8">
        <w:rPr>
          <w:rFonts w:eastAsia="Times New Roman"/>
          <w:sz w:val="24"/>
          <w:szCs w:val="24"/>
        </w:rPr>
        <w:t>,</w:t>
      </w:r>
      <w:r w:rsidR="00A538E4" w:rsidRPr="008F1EB8">
        <w:rPr>
          <w:rFonts w:eastAsia="Times New Roman"/>
          <w:sz w:val="24"/>
          <w:szCs w:val="24"/>
        </w:rPr>
        <w:t xml:space="preserve"> </w:t>
      </w:r>
      <w:r w:rsidR="00BD2D3C" w:rsidRPr="008F1EB8">
        <w:rPr>
          <w:rFonts w:eastAsia="Times New Roman"/>
          <w:sz w:val="24"/>
          <w:szCs w:val="24"/>
        </w:rPr>
        <w:t xml:space="preserve">where certain reforms will be undertaken to keep control and ensure </w:t>
      </w:r>
      <w:r w:rsidRPr="008F1EB8">
        <w:rPr>
          <w:rFonts w:eastAsia="Times New Roman"/>
          <w:sz w:val="24"/>
          <w:szCs w:val="24"/>
        </w:rPr>
        <w:t xml:space="preserve">banks maintain a certain liquidity level and </w:t>
      </w:r>
      <w:r w:rsidR="00BD2D3C" w:rsidRPr="008F1EB8">
        <w:rPr>
          <w:rFonts w:eastAsia="Times New Roman"/>
          <w:sz w:val="24"/>
          <w:szCs w:val="24"/>
        </w:rPr>
        <w:t>that different stakeholders are protected from the effects of the financial crisis.</w:t>
      </w:r>
    </w:p>
    <w:p w14:paraId="19D75F61" w14:textId="77777777" w:rsidR="00A97F67" w:rsidRPr="008F1EB8" w:rsidRDefault="00A97F67" w:rsidP="00A97F67">
      <w:pPr>
        <w:spacing w:line="360" w:lineRule="auto"/>
        <w:jc w:val="both"/>
        <w:rPr>
          <w:rFonts w:eastAsia="Times New Roman"/>
          <w:sz w:val="24"/>
          <w:szCs w:val="24"/>
        </w:rPr>
      </w:pPr>
      <w:r w:rsidRPr="008F1EB8">
        <w:rPr>
          <w:rFonts w:eastAsia="Times New Roman"/>
          <w:sz w:val="24"/>
          <w:szCs w:val="24"/>
        </w:rPr>
        <w:t xml:space="preserve">Barclays bank however, managed to avoid bankruptcy, but this was achieved by unfair market practice. Several former executives and Barclays PLC leadership were charged with fraud in connection with the 2008 financial crisis. Serious Fraud Office's case is related to the bank's raising of billions from Qatari investors, thereby avoiding government bailouts. </w:t>
      </w:r>
    </w:p>
    <w:p w14:paraId="5A4B67BB" w14:textId="77777777" w:rsidR="00A97F67" w:rsidRPr="008F1EB8" w:rsidRDefault="00A97F67">
      <w:pPr>
        <w:spacing w:line="360" w:lineRule="auto"/>
        <w:jc w:val="both"/>
        <w:rPr>
          <w:rFonts w:eastAsia="Times New Roman"/>
          <w:sz w:val="24"/>
          <w:szCs w:val="24"/>
        </w:rPr>
      </w:pPr>
    </w:p>
    <w:p w14:paraId="3A7AFE67" w14:textId="77777777" w:rsidR="008D0C0D" w:rsidRPr="008F1EB8" w:rsidRDefault="00BD2D3C" w:rsidP="00682359">
      <w:pPr>
        <w:spacing w:line="360" w:lineRule="auto"/>
        <w:jc w:val="both"/>
        <w:rPr>
          <w:rFonts w:eastAsia="Times New Roman"/>
          <w:b/>
          <w:sz w:val="24"/>
          <w:szCs w:val="24"/>
        </w:rPr>
      </w:pPr>
      <w:r w:rsidRPr="008F1EB8">
        <w:rPr>
          <w:sz w:val="24"/>
          <w:szCs w:val="24"/>
        </w:rPr>
        <w:br w:type="page"/>
      </w:r>
    </w:p>
    <w:bookmarkStart w:id="0" w:name="_Toc124120826" w:displacedByCustomXml="next"/>
    <w:sdt>
      <w:sdtPr>
        <w:rPr>
          <w:rFonts w:ascii="Arial" w:hAnsi="Arial"/>
          <w:b w:val="0"/>
          <w:sz w:val="22"/>
          <w:szCs w:val="22"/>
        </w:rPr>
        <w:id w:val="115257662"/>
        <w:docPartObj>
          <w:docPartGallery w:val="Table of Contents"/>
          <w:docPartUnique/>
        </w:docPartObj>
      </w:sdtPr>
      <w:sdtEndPr>
        <w:rPr>
          <w:bCs/>
          <w:noProof/>
        </w:rPr>
      </w:sdtEndPr>
      <w:sdtContent>
        <w:p w14:paraId="1B7E88F7" w14:textId="77777777" w:rsidR="00682359" w:rsidRPr="008F1EB8" w:rsidRDefault="00682359" w:rsidP="00682359">
          <w:pPr>
            <w:pStyle w:val="Heading1"/>
            <w:jc w:val="center"/>
            <w:rPr>
              <w:rFonts w:ascii="Arial" w:hAnsi="Arial"/>
            </w:rPr>
          </w:pPr>
          <w:r w:rsidRPr="008F1EB8">
            <w:rPr>
              <w:rFonts w:ascii="Arial" w:hAnsi="Arial"/>
            </w:rPr>
            <w:t>Table of Contents</w:t>
          </w:r>
          <w:bookmarkEnd w:id="0"/>
        </w:p>
        <w:p w14:paraId="1A3C74EE" w14:textId="3E67819B" w:rsidR="008F1EB8" w:rsidRDefault="00682359">
          <w:pPr>
            <w:pStyle w:val="TOC1"/>
            <w:tabs>
              <w:tab w:val="right" w:leader="dot" w:pos="9019"/>
            </w:tabs>
            <w:rPr>
              <w:rFonts w:asciiTheme="minorHAnsi" w:eastAsiaTheme="minorEastAsia" w:hAnsiTheme="minorHAnsi" w:cstheme="minorBidi"/>
              <w:noProof/>
              <w:lang w:val="en-GB" w:eastAsia="en-GB"/>
            </w:rPr>
          </w:pPr>
          <w:r w:rsidRPr="008F1EB8">
            <w:rPr>
              <w:sz w:val="24"/>
              <w:szCs w:val="24"/>
            </w:rPr>
            <w:fldChar w:fldCharType="begin"/>
          </w:r>
          <w:r w:rsidRPr="008F1EB8">
            <w:rPr>
              <w:sz w:val="24"/>
              <w:szCs w:val="24"/>
            </w:rPr>
            <w:instrText xml:space="preserve"> TOC \o "1-3" \h \z \u </w:instrText>
          </w:r>
          <w:r w:rsidRPr="008F1EB8">
            <w:rPr>
              <w:sz w:val="24"/>
              <w:szCs w:val="24"/>
            </w:rPr>
            <w:fldChar w:fldCharType="separate"/>
          </w:r>
          <w:hyperlink w:anchor="_Toc124120826" w:history="1">
            <w:r w:rsidR="008F1EB8" w:rsidRPr="00BB1455">
              <w:rPr>
                <w:rStyle w:val="Hyperlink"/>
                <w:noProof/>
              </w:rPr>
              <w:t>Table of Contents</w:t>
            </w:r>
            <w:r w:rsidR="008F1EB8">
              <w:rPr>
                <w:noProof/>
                <w:webHidden/>
              </w:rPr>
              <w:tab/>
            </w:r>
            <w:r w:rsidR="008F1EB8">
              <w:rPr>
                <w:noProof/>
                <w:webHidden/>
              </w:rPr>
              <w:fldChar w:fldCharType="begin"/>
            </w:r>
            <w:r w:rsidR="008F1EB8">
              <w:rPr>
                <w:noProof/>
                <w:webHidden/>
              </w:rPr>
              <w:instrText xml:space="preserve"> PAGEREF _Toc124120826 \h </w:instrText>
            </w:r>
            <w:r w:rsidR="008F1EB8">
              <w:rPr>
                <w:noProof/>
                <w:webHidden/>
              </w:rPr>
            </w:r>
            <w:r w:rsidR="008F1EB8">
              <w:rPr>
                <w:noProof/>
                <w:webHidden/>
              </w:rPr>
              <w:fldChar w:fldCharType="separate"/>
            </w:r>
            <w:r w:rsidR="008F1EB8">
              <w:rPr>
                <w:noProof/>
                <w:webHidden/>
              </w:rPr>
              <w:t>3</w:t>
            </w:r>
            <w:r w:rsidR="008F1EB8">
              <w:rPr>
                <w:noProof/>
                <w:webHidden/>
              </w:rPr>
              <w:fldChar w:fldCharType="end"/>
            </w:r>
          </w:hyperlink>
        </w:p>
        <w:p w14:paraId="1C5E962B" w14:textId="1B4BC7C8" w:rsidR="008F1EB8" w:rsidRDefault="008F1EB8">
          <w:pPr>
            <w:pStyle w:val="TOC1"/>
            <w:tabs>
              <w:tab w:val="right" w:leader="dot" w:pos="9019"/>
            </w:tabs>
            <w:rPr>
              <w:rFonts w:asciiTheme="minorHAnsi" w:eastAsiaTheme="minorEastAsia" w:hAnsiTheme="minorHAnsi" w:cstheme="minorBidi"/>
              <w:noProof/>
              <w:lang w:val="en-GB" w:eastAsia="en-GB"/>
            </w:rPr>
          </w:pPr>
          <w:hyperlink w:anchor="_Toc124120827" w:history="1">
            <w:r w:rsidRPr="00BB1455">
              <w:rPr>
                <w:rStyle w:val="Hyperlink"/>
                <w:noProof/>
              </w:rPr>
              <w:t>Introduction</w:t>
            </w:r>
            <w:r>
              <w:rPr>
                <w:noProof/>
                <w:webHidden/>
              </w:rPr>
              <w:tab/>
            </w:r>
            <w:r>
              <w:rPr>
                <w:noProof/>
                <w:webHidden/>
              </w:rPr>
              <w:fldChar w:fldCharType="begin"/>
            </w:r>
            <w:r>
              <w:rPr>
                <w:noProof/>
                <w:webHidden/>
              </w:rPr>
              <w:instrText xml:space="preserve"> PAGEREF _Toc124120827 \h </w:instrText>
            </w:r>
            <w:r>
              <w:rPr>
                <w:noProof/>
                <w:webHidden/>
              </w:rPr>
            </w:r>
            <w:r>
              <w:rPr>
                <w:noProof/>
                <w:webHidden/>
              </w:rPr>
              <w:fldChar w:fldCharType="separate"/>
            </w:r>
            <w:r>
              <w:rPr>
                <w:noProof/>
                <w:webHidden/>
              </w:rPr>
              <w:t>4</w:t>
            </w:r>
            <w:r>
              <w:rPr>
                <w:noProof/>
                <w:webHidden/>
              </w:rPr>
              <w:fldChar w:fldCharType="end"/>
            </w:r>
          </w:hyperlink>
        </w:p>
        <w:p w14:paraId="73B3C2F0" w14:textId="5A1763BB" w:rsidR="008F1EB8" w:rsidRDefault="008F1EB8">
          <w:pPr>
            <w:pStyle w:val="TOC1"/>
            <w:tabs>
              <w:tab w:val="right" w:leader="dot" w:pos="9019"/>
            </w:tabs>
            <w:rPr>
              <w:rFonts w:asciiTheme="minorHAnsi" w:eastAsiaTheme="minorEastAsia" w:hAnsiTheme="minorHAnsi" w:cstheme="minorBidi"/>
              <w:noProof/>
              <w:lang w:val="en-GB" w:eastAsia="en-GB"/>
            </w:rPr>
          </w:pPr>
          <w:hyperlink w:anchor="_Toc124120828" w:history="1">
            <w:r w:rsidRPr="00BB1455">
              <w:rPr>
                <w:rStyle w:val="Hyperlink"/>
                <w:noProof/>
              </w:rPr>
              <w:t>Important laws, rules, and regulations passed by the UK government in the occurrence of the financial crisis of 2008</w:t>
            </w:r>
            <w:r>
              <w:rPr>
                <w:noProof/>
                <w:webHidden/>
              </w:rPr>
              <w:tab/>
            </w:r>
            <w:r>
              <w:rPr>
                <w:noProof/>
                <w:webHidden/>
              </w:rPr>
              <w:fldChar w:fldCharType="begin"/>
            </w:r>
            <w:r>
              <w:rPr>
                <w:noProof/>
                <w:webHidden/>
              </w:rPr>
              <w:instrText xml:space="preserve"> PAGEREF _Toc124120828 \h </w:instrText>
            </w:r>
            <w:r>
              <w:rPr>
                <w:noProof/>
                <w:webHidden/>
              </w:rPr>
            </w:r>
            <w:r>
              <w:rPr>
                <w:noProof/>
                <w:webHidden/>
              </w:rPr>
              <w:fldChar w:fldCharType="separate"/>
            </w:r>
            <w:r>
              <w:rPr>
                <w:noProof/>
                <w:webHidden/>
              </w:rPr>
              <w:t>5</w:t>
            </w:r>
            <w:r>
              <w:rPr>
                <w:noProof/>
                <w:webHidden/>
              </w:rPr>
              <w:fldChar w:fldCharType="end"/>
            </w:r>
          </w:hyperlink>
        </w:p>
        <w:p w14:paraId="524A70CA" w14:textId="27FCF713" w:rsidR="008F1EB8" w:rsidRDefault="008F1EB8">
          <w:pPr>
            <w:pStyle w:val="TOC1"/>
            <w:tabs>
              <w:tab w:val="right" w:leader="dot" w:pos="9019"/>
            </w:tabs>
            <w:rPr>
              <w:rFonts w:asciiTheme="minorHAnsi" w:eastAsiaTheme="minorEastAsia" w:hAnsiTheme="minorHAnsi" w:cstheme="minorBidi"/>
              <w:noProof/>
              <w:lang w:val="en-GB" w:eastAsia="en-GB"/>
            </w:rPr>
          </w:pPr>
          <w:hyperlink w:anchor="_Toc124120829" w:history="1">
            <w:r w:rsidRPr="00BB1455">
              <w:rPr>
                <w:rStyle w:val="Hyperlink"/>
                <w:rFonts w:eastAsia="Times New Roman"/>
                <w:noProof/>
                <w:lang w:val="en-GB"/>
              </w:rPr>
              <w:t>The Basel III Pillar Accord</w:t>
            </w:r>
            <w:r>
              <w:rPr>
                <w:noProof/>
                <w:webHidden/>
              </w:rPr>
              <w:tab/>
            </w:r>
            <w:r>
              <w:rPr>
                <w:noProof/>
                <w:webHidden/>
              </w:rPr>
              <w:fldChar w:fldCharType="begin"/>
            </w:r>
            <w:r>
              <w:rPr>
                <w:noProof/>
                <w:webHidden/>
              </w:rPr>
              <w:instrText xml:space="preserve"> PAGEREF _Toc124120829 \h </w:instrText>
            </w:r>
            <w:r>
              <w:rPr>
                <w:noProof/>
                <w:webHidden/>
              </w:rPr>
            </w:r>
            <w:r>
              <w:rPr>
                <w:noProof/>
                <w:webHidden/>
              </w:rPr>
              <w:fldChar w:fldCharType="separate"/>
            </w:r>
            <w:r>
              <w:rPr>
                <w:noProof/>
                <w:webHidden/>
              </w:rPr>
              <w:t>5</w:t>
            </w:r>
            <w:r>
              <w:rPr>
                <w:noProof/>
                <w:webHidden/>
              </w:rPr>
              <w:fldChar w:fldCharType="end"/>
            </w:r>
          </w:hyperlink>
        </w:p>
        <w:p w14:paraId="0CD5DC1D" w14:textId="41FA1DAC" w:rsidR="008F1EB8" w:rsidRDefault="008F1EB8">
          <w:pPr>
            <w:pStyle w:val="TOC1"/>
            <w:tabs>
              <w:tab w:val="right" w:leader="dot" w:pos="9019"/>
            </w:tabs>
            <w:rPr>
              <w:rFonts w:asciiTheme="minorHAnsi" w:eastAsiaTheme="minorEastAsia" w:hAnsiTheme="minorHAnsi" w:cstheme="minorBidi"/>
              <w:noProof/>
              <w:lang w:val="en-GB" w:eastAsia="en-GB"/>
            </w:rPr>
          </w:pPr>
          <w:hyperlink w:anchor="_Toc124120830" w:history="1">
            <w:r w:rsidRPr="00BB1455">
              <w:rPr>
                <w:rStyle w:val="Hyperlink"/>
                <w:noProof/>
              </w:rPr>
              <w:t>Other key players in the financial system to end the financial crises.</w:t>
            </w:r>
            <w:r>
              <w:rPr>
                <w:noProof/>
                <w:webHidden/>
              </w:rPr>
              <w:tab/>
            </w:r>
            <w:r>
              <w:rPr>
                <w:noProof/>
                <w:webHidden/>
              </w:rPr>
              <w:fldChar w:fldCharType="begin"/>
            </w:r>
            <w:r>
              <w:rPr>
                <w:noProof/>
                <w:webHidden/>
              </w:rPr>
              <w:instrText xml:space="preserve"> PAGEREF _Toc124120830 \h </w:instrText>
            </w:r>
            <w:r>
              <w:rPr>
                <w:noProof/>
                <w:webHidden/>
              </w:rPr>
            </w:r>
            <w:r>
              <w:rPr>
                <w:noProof/>
                <w:webHidden/>
              </w:rPr>
              <w:fldChar w:fldCharType="separate"/>
            </w:r>
            <w:r>
              <w:rPr>
                <w:noProof/>
                <w:webHidden/>
              </w:rPr>
              <w:t>7</w:t>
            </w:r>
            <w:r>
              <w:rPr>
                <w:noProof/>
                <w:webHidden/>
              </w:rPr>
              <w:fldChar w:fldCharType="end"/>
            </w:r>
          </w:hyperlink>
        </w:p>
        <w:p w14:paraId="0369F924" w14:textId="73F85C1F" w:rsidR="008F1EB8" w:rsidRDefault="008F1EB8">
          <w:pPr>
            <w:pStyle w:val="TOC1"/>
            <w:tabs>
              <w:tab w:val="right" w:leader="dot" w:pos="9019"/>
            </w:tabs>
            <w:rPr>
              <w:rFonts w:asciiTheme="minorHAnsi" w:eastAsiaTheme="minorEastAsia" w:hAnsiTheme="minorHAnsi" w:cstheme="minorBidi"/>
              <w:noProof/>
              <w:lang w:val="en-GB" w:eastAsia="en-GB"/>
            </w:rPr>
          </w:pPr>
          <w:hyperlink w:anchor="_Toc124120831" w:history="1">
            <w:r w:rsidRPr="00BB1455">
              <w:rPr>
                <w:rStyle w:val="Hyperlink"/>
                <w:noProof/>
              </w:rPr>
              <w:t>The extent to which these reforms have contributed towards stabilizing the financial system</w:t>
            </w:r>
            <w:r>
              <w:rPr>
                <w:noProof/>
                <w:webHidden/>
              </w:rPr>
              <w:tab/>
            </w:r>
            <w:r>
              <w:rPr>
                <w:noProof/>
                <w:webHidden/>
              </w:rPr>
              <w:fldChar w:fldCharType="begin"/>
            </w:r>
            <w:r>
              <w:rPr>
                <w:noProof/>
                <w:webHidden/>
              </w:rPr>
              <w:instrText xml:space="preserve"> PAGEREF _Toc124120831 \h </w:instrText>
            </w:r>
            <w:r>
              <w:rPr>
                <w:noProof/>
                <w:webHidden/>
              </w:rPr>
            </w:r>
            <w:r>
              <w:rPr>
                <w:noProof/>
                <w:webHidden/>
              </w:rPr>
              <w:fldChar w:fldCharType="separate"/>
            </w:r>
            <w:r>
              <w:rPr>
                <w:noProof/>
                <w:webHidden/>
              </w:rPr>
              <w:t>9</w:t>
            </w:r>
            <w:r>
              <w:rPr>
                <w:noProof/>
                <w:webHidden/>
              </w:rPr>
              <w:fldChar w:fldCharType="end"/>
            </w:r>
          </w:hyperlink>
        </w:p>
        <w:p w14:paraId="13877AD3" w14:textId="76CF8784" w:rsidR="008F1EB8" w:rsidRDefault="008F1EB8">
          <w:pPr>
            <w:pStyle w:val="TOC1"/>
            <w:tabs>
              <w:tab w:val="right" w:leader="dot" w:pos="9019"/>
            </w:tabs>
            <w:rPr>
              <w:rFonts w:asciiTheme="minorHAnsi" w:eastAsiaTheme="minorEastAsia" w:hAnsiTheme="minorHAnsi" w:cstheme="minorBidi"/>
              <w:noProof/>
              <w:lang w:val="en-GB" w:eastAsia="en-GB"/>
            </w:rPr>
          </w:pPr>
          <w:hyperlink w:anchor="_Toc124120832" w:history="1">
            <w:r w:rsidRPr="00BB1455">
              <w:rPr>
                <w:rStyle w:val="Hyperlink"/>
                <w:noProof/>
              </w:rPr>
              <w:t>Different banking institutions post the 2008 crisis.</w:t>
            </w:r>
            <w:r>
              <w:rPr>
                <w:noProof/>
                <w:webHidden/>
              </w:rPr>
              <w:tab/>
            </w:r>
            <w:r>
              <w:rPr>
                <w:noProof/>
                <w:webHidden/>
              </w:rPr>
              <w:fldChar w:fldCharType="begin"/>
            </w:r>
            <w:r>
              <w:rPr>
                <w:noProof/>
                <w:webHidden/>
              </w:rPr>
              <w:instrText xml:space="preserve"> PAGEREF _Toc124120832 \h </w:instrText>
            </w:r>
            <w:r>
              <w:rPr>
                <w:noProof/>
                <w:webHidden/>
              </w:rPr>
            </w:r>
            <w:r>
              <w:rPr>
                <w:noProof/>
                <w:webHidden/>
              </w:rPr>
              <w:fldChar w:fldCharType="separate"/>
            </w:r>
            <w:r>
              <w:rPr>
                <w:noProof/>
                <w:webHidden/>
              </w:rPr>
              <w:t>11</w:t>
            </w:r>
            <w:r>
              <w:rPr>
                <w:noProof/>
                <w:webHidden/>
              </w:rPr>
              <w:fldChar w:fldCharType="end"/>
            </w:r>
          </w:hyperlink>
        </w:p>
        <w:p w14:paraId="4F7FB297" w14:textId="000058D5" w:rsidR="008F1EB8" w:rsidRDefault="008F1EB8">
          <w:pPr>
            <w:pStyle w:val="TOC1"/>
            <w:tabs>
              <w:tab w:val="right" w:leader="dot" w:pos="9019"/>
            </w:tabs>
            <w:rPr>
              <w:rFonts w:asciiTheme="minorHAnsi" w:eastAsiaTheme="minorEastAsia" w:hAnsiTheme="minorHAnsi" w:cstheme="minorBidi"/>
              <w:noProof/>
              <w:lang w:val="en-GB" w:eastAsia="en-GB"/>
            </w:rPr>
          </w:pPr>
          <w:hyperlink w:anchor="_Toc124120833" w:history="1">
            <w:r w:rsidRPr="00BB1455">
              <w:rPr>
                <w:rStyle w:val="Hyperlink"/>
                <w:noProof/>
              </w:rPr>
              <w:t>Background of Barclays Bank PLC</w:t>
            </w:r>
            <w:r>
              <w:rPr>
                <w:noProof/>
                <w:webHidden/>
              </w:rPr>
              <w:tab/>
            </w:r>
            <w:r>
              <w:rPr>
                <w:noProof/>
                <w:webHidden/>
              </w:rPr>
              <w:fldChar w:fldCharType="begin"/>
            </w:r>
            <w:r>
              <w:rPr>
                <w:noProof/>
                <w:webHidden/>
              </w:rPr>
              <w:instrText xml:space="preserve"> PAGEREF _Toc124120833 \h </w:instrText>
            </w:r>
            <w:r>
              <w:rPr>
                <w:noProof/>
                <w:webHidden/>
              </w:rPr>
            </w:r>
            <w:r>
              <w:rPr>
                <w:noProof/>
                <w:webHidden/>
              </w:rPr>
              <w:fldChar w:fldCharType="separate"/>
            </w:r>
            <w:r>
              <w:rPr>
                <w:noProof/>
                <w:webHidden/>
              </w:rPr>
              <w:t>13</w:t>
            </w:r>
            <w:r>
              <w:rPr>
                <w:noProof/>
                <w:webHidden/>
              </w:rPr>
              <w:fldChar w:fldCharType="end"/>
            </w:r>
          </w:hyperlink>
        </w:p>
        <w:p w14:paraId="70F31EB3" w14:textId="076F3703" w:rsidR="008F1EB8" w:rsidRDefault="008F1EB8">
          <w:pPr>
            <w:pStyle w:val="TOC1"/>
            <w:tabs>
              <w:tab w:val="right" w:leader="dot" w:pos="9019"/>
            </w:tabs>
            <w:rPr>
              <w:rFonts w:asciiTheme="minorHAnsi" w:eastAsiaTheme="minorEastAsia" w:hAnsiTheme="minorHAnsi" w:cstheme="minorBidi"/>
              <w:noProof/>
              <w:lang w:val="en-GB" w:eastAsia="en-GB"/>
            </w:rPr>
          </w:pPr>
          <w:hyperlink w:anchor="_Toc124120834" w:history="1">
            <w:r w:rsidRPr="00BB1455">
              <w:rPr>
                <w:rStyle w:val="Hyperlink"/>
                <w:noProof/>
              </w:rPr>
              <w:t>Impact of the post-2008 financial crisis on Barclays Bank</w:t>
            </w:r>
            <w:r>
              <w:rPr>
                <w:noProof/>
                <w:webHidden/>
              </w:rPr>
              <w:tab/>
            </w:r>
            <w:r>
              <w:rPr>
                <w:noProof/>
                <w:webHidden/>
              </w:rPr>
              <w:fldChar w:fldCharType="begin"/>
            </w:r>
            <w:r>
              <w:rPr>
                <w:noProof/>
                <w:webHidden/>
              </w:rPr>
              <w:instrText xml:space="preserve"> PAGEREF _Toc124120834 \h </w:instrText>
            </w:r>
            <w:r>
              <w:rPr>
                <w:noProof/>
                <w:webHidden/>
              </w:rPr>
            </w:r>
            <w:r>
              <w:rPr>
                <w:noProof/>
                <w:webHidden/>
              </w:rPr>
              <w:fldChar w:fldCharType="separate"/>
            </w:r>
            <w:r>
              <w:rPr>
                <w:noProof/>
                <w:webHidden/>
              </w:rPr>
              <w:t>13</w:t>
            </w:r>
            <w:r>
              <w:rPr>
                <w:noProof/>
                <w:webHidden/>
              </w:rPr>
              <w:fldChar w:fldCharType="end"/>
            </w:r>
          </w:hyperlink>
        </w:p>
        <w:p w14:paraId="39ED9CAF" w14:textId="38CD6545" w:rsidR="008F1EB8" w:rsidRDefault="008F1EB8">
          <w:pPr>
            <w:pStyle w:val="TOC1"/>
            <w:tabs>
              <w:tab w:val="right" w:leader="dot" w:pos="9019"/>
            </w:tabs>
            <w:rPr>
              <w:rFonts w:asciiTheme="minorHAnsi" w:eastAsiaTheme="minorEastAsia" w:hAnsiTheme="minorHAnsi" w:cstheme="minorBidi"/>
              <w:noProof/>
              <w:lang w:val="en-GB" w:eastAsia="en-GB"/>
            </w:rPr>
          </w:pPr>
          <w:hyperlink w:anchor="_Toc124120835" w:history="1">
            <w:r w:rsidRPr="00BB1455">
              <w:rPr>
                <w:rStyle w:val="Hyperlink"/>
                <w:noProof/>
              </w:rPr>
              <w:t>Level of compliance/non-compliance to these reforms</w:t>
            </w:r>
            <w:r>
              <w:rPr>
                <w:noProof/>
                <w:webHidden/>
              </w:rPr>
              <w:tab/>
            </w:r>
            <w:r>
              <w:rPr>
                <w:noProof/>
                <w:webHidden/>
              </w:rPr>
              <w:fldChar w:fldCharType="begin"/>
            </w:r>
            <w:r>
              <w:rPr>
                <w:noProof/>
                <w:webHidden/>
              </w:rPr>
              <w:instrText xml:space="preserve"> PAGEREF _Toc124120835 \h </w:instrText>
            </w:r>
            <w:r>
              <w:rPr>
                <w:noProof/>
                <w:webHidden/>
              </w:rPr>
            </w:r>
            <w:r>
              <w:rPr>
                <w:noProof/>
                <w:webHidden/>
              </w:rPr>
              <w:fldChar w:fldCharType="separate"/>
            </w:r>
            <w:r>
              <w:rPr>
                <w:noProof/>
                <w:webHidden/>
              </w:rPr>
              <w:t>16</w:t>
            </w:r>
            <w:r>
              <w:rPr>
                <w:noProof/>
                <w:webHidden/>
              </w:rPr>
              <w:fldChar w:fldCharType="end"/>
            </w:r>
          </w:hyperlink>
        </w:p>
        <w:p w14:paraId="6BA0AF87" w14:textId="3B0ABB15" w:rsidR="008F1EB8" w:rsidRDefault="008F1EB8">
          <w:pPr>
            <w:pStyle w:val="TOC1"/>
            <w:tabs>
              <w:tab w:val="right" w:leader="dot" w:pos="9019"/>
            </w:tabs>
            <w:rPr>
              <w:rFonts w:asciiTheme="minorHAnsi" w:eastAsiaTheme="minorEastAsia" w:hAnsiTheme="minorHAnsi" w:cstheme="minorBidi"/>
              <w:noProof/>
              <w:lang w:val="en-GB" w:eastAsia="en-GB"/>
            </w:rPr>
          </w:pPr>
          <w:hyperlink w:anchor="_Toc124120836" w:history="1">
            <w:r w:rsidRPr="00BB1455">
              <w:rPr>
                <w:rStyle w:val="Hyperlink"/>
                <w:noProof/>
              </w:rPr>
              <w:t>Recommendation</w:t>
            </w:r>
            <w:r>
              <w:rPr>
                <w:noProof/>
                <w:webHidden/>
              </w:rPr>
              <w:tab/>
            </w:r>
            <w:r>
              <w:rPr>
                <w:noProof/>
                <w:webHidden/>
              </w:rPr>
              <w:fldChar w:fldCharType="begin"/>
            </w:r>
            <w:r>
              <w:rPr>
                <w:noProof/>
                <w:webHidden/>
              </w:rPr>
              <w:instrText xml:space="preserve"> PAGEREF _Toc124120836 \h </w:instrText>
            </w:r>
            <w:r>
              <w:rPr>
                <w:noProof/>
                <w:webHidden/>
              </w:rPr>
            </w:r>
            <w:r>
              <w:rPr>
                <w:noProof/>
                <w:webHidden/>
              </w:rPr>
              <w:fldChar w:fldCharType="separate"/>
            </w:r>
            <w:r>
              <w:rPr>
                <w:noProof/>
                <w:webHidden/>
              </w:rPr>
              <w:t>17</w:t>
            </w:r>
            <w:r>
              <w:rPr>
                <w:noProof/>
                <w:webHidden/>
              </w:rPr>
              <w:fldChar w:fldCharType="end"/>
            </w:r>
          </w:hyperlink>
        </w:p>
        <w:p w14:paraId="0E7AB29A" w14:textId="2361A940" w:rsidR="008F1EB8" w:rsidRDefault="008F1EB8">
          <w:pPr>
            <w:pStyle w:val="TOC1"/>
            <w:tabs>
              <w:tab w:val="right" w:leader="dot" w:pos="9019"/>
            </w:tabs>
            <w:rPr>
              <w:rFonts w:asciiTheme="minorHAnsi" w:eastAsiaTheme="minorEastAsia" w:hAnsiTheme="minorHAnsi" w:cstheme="minorBidi"/>
              <w:noProof/>
              <w:lang w:val="en-GB" w:eastAsia="en-GB"/>
            </w:rPr>
          </w:pPr>
          <w:hyperlink w:anchor="_Toc124120837" w:history="1">
            <w:r w:rsidRPr="00BB1455">
              <w:rPr>
                <w:rStyle w:val="Hyperlink"/>
                <w:noProof/>
              </w:rPr>
              <w:t>Conclusion</w:t>
            </w:r>
            <w:r>
              <w:rPr>
                <w:noProof/>
                <w:webHidden/>
              </w:rPr>
              <w:tab/>
            </w:r>
            <w:r>
              <w:rPr>
                <w:noProof/>
                <w:webHidden/>
              </w:rPr>
              <w:fldChar w:fldCharType="begin"/>
            </w:r>
            <w:r>
              <w:rPr>
                <w:noProof/>
                <w:webHidden/>
              </w:rPr>
              <w:instrText xml:space="preserve"> PAGEREF _Toc124120837 \h </w:instrText>
            </w:r>
            <w:r>
              <w:rPr>
                <w:noProof/>
                <w:webHidden/>
              </w:rPr>
            </w:r>
            <w:r>
              <w:rPr>
                <w:noProof/>
                <w:webHidden/>
              </w:rPr>
              <w:fldChar w:fldCharType="separate"/>
            </w:r>
            <w:r>
              <w:rPr>
                <w:noProof/>
                <w:webHidden/>
              </w:rPr>
              <w:t>18</w:t>
            </w:r>
            <w:r>
              <w:rPr>
                <w:noProof/>
                <w:webHidden/>
              </w:rPr>
              <w:fldChar w:fldCharType="end"/>
            </w:r>
          </w:hyperlink>
        </w:p>
        <w:p w14:paraId="1422686F" w14:textId="2A25EBBB" w:rsidR="008F1EB8" w:rsidRDefault="008F1EB8">
          <w:pPr>
            <w:pStyle w:val="TOC1"/>
            <w:tabs>
              <w:tab w:val="right" w:leader="dot" w:pos="9019"/>
            </w:tabs>
            <w:rPr>
              <w:rFonts w:asciiTheme="minorHAnsi" w:eastAsiaTheme="minorEastAsia" w:hAnsiTheme="minorHAnsi" w:cstheme="minorBidi"/>
              <w:noProof/>
              <w:lang w:val="en-GB" w:eastAsia="en-GB"/>
            </w:rPr>
          </w:pPr>
          <w:hyperlink w:anchor="_Toc124120838" w:history="1">
            <w:r w:rsidRPr="00BB1455">
              <w:rPr>
                <w:rStyle w:val="Hyperlink"/>
                <w:noProof/>
              </w:rPr>
              <w:t>References</w:t>
            </w:r>
            <w:r>
              <w:rPr>
                <w:noProof/>
                <w:webHidden/>
              </w:rPr>
              <w:tab/>
            </w:r>
            <w:r>
              <w:rPr>
                <w:noProof/>
                <w:webHidden/>
              </w:rPr>
              <w:fldChar w:fldCharType="begin"/>
            </w:r>
            <w:r>
              <w:rPr>
                <w:noProof/>
                <w:webHidden/>
              </w:rPr>
              <w:instrText xml:space="preserve"> PAGEREF _Toc124120838 \h </w:instrText>
            </w:r>
            <w:r>
              <w:rPr>
                <w:noProof/>
                <w:webHidden/>
              </w:rPr>
            </w:r>
            <w:r>
              <w:rPr>
                <w:noProof/>
                <w:webHidden/>
              </w:rPr>
              <w:fldChar w:fldCharType="separate"/>
            </w:r>
            <w:r>
              <w:rPr>
                <w:noProof/>
                <w:webHidden/>
              </w:rPr>
              <w:t>19</w:t>
            </w:r>
            <w:r>
              <w:rPr>
                <w:noProof/>
                <w:webHidden/>
              </w:rPr>
              <w:fldChar w:fldCharType="end"/>
            </w:r>
          </w:hyperlink>
        </w:p>
        <w:p w14:paraId="1720C9FE" w14:textId="070D1D6E" w:rsidR="00682359" w:rsidRPr="008F1EB8" w:rsidRDefault="00682359" w:rsidP="00682359">
          <w:pPr>
            <w:spacing w:line="360" w:lineRule="auto"/>
            <w:jc w:val="both"/>
          </w:pPr>
          <w:r w:rsidRPr="008F1EB8">
            <w:rPr>
              <w:b/>
              <w:bCs/>
              <w:noProof/>
              <w:sz w:val="24"/>
              <w:szCs w:val="24"/>
            </w:rPr>
            <w:fldChar w:fldCharType="end"/>
          </w:r>
        </w:p>
      </w:sdtContent>
    </w:sdt>
    <w:p w14:paraId="5FF1DF27" w14:textId="77777777" w:rsidR="00682359" w:rsidRPr="008F1EB8" w:rsidRDefault="00682359">
      <w:pPr>
        <w:rPr>
          <w:b/>
          <w:sz w:val="28"/>
          <w:szCs w:val="40"/>
        </w:rPr>
      </w:pPr>
      <w:r w:rsidRPr="008F1EB8">
        <w:br w:type="page"/>
      </w:r>
    </w:p>
    <w:p w14:paraId="5D0AB8C1" w14:textId="77777777" w:rsidR="008D0C0D" w:rsidRPr="008F1EB8" w:rsidRDefault="00BD2D3C" w:rsidP="00682359">
      <w:pPr>
        <w:pStyle w:val="Heading1"/>
        <w:rPr>
          <w:rFonts w:ascii="Arial" w:hAnsi="Arial"/>
        </w:rPr>
      </w:pPr>
      <w:bookmarkStart w:id="1" w:name="_Toc124120827"/>
      <w:r w:rsidRPr="008F1EB8">
        <w:rPr>
          <w:rFonts w:ascii="Arial" w:hAnsi="Arial"/>
        </w:rPr>
        <w:lastRenderedPageBreak/>
        <w:t>Introduction</w:t>
      </w:r>
      <w:bookmarkEnd w:id="1"/>
    </w:p>
    <w:p w14:paraId="7F5E98EE" w14:textId="4449E4A9" w:rsidR="008D0C0D" w:rsidRPr="008F1EB8" w:rsidRDefault="00BD2D3C">
      <w:pPr>
        <w:spacing w:line="360" w:lineRule="auto"/>
        <w:jc w:val="both"/>
        <w:rPr>
          <w:rFonts w:eastAsia="Times New Roman"/>
          <w:sz w:val="24"/>
          <w:szCs w:val="24"/>
        </w:rPr>
      </w:pPr>
      <w:r w:rsidRPr="008F1EB8">
        <w:rPr>
          <w:rFonts w:eastAsia="Times New Roman"/>
          <w:sz w:val="24"/>
          <w:szCs w:val="24"/>
        </w:rPr>
        <w:t xml:space="preserve">Financial management is a key element for running any business successfully and in this respect, the banking sector is no exception. </w:t>
      </w:r>
      <w:r w:rsidR="00D01513">
        <w:rPr>
          <w:rFonts w:eastAsia="Times New Roman"/>
          <w:sz w:val="24"/>
          <w:szCs w:val="24"/>
        </w:rPr>
        <w:t>Therefore,</w:t>
      </w:r>
      <w:r w:rsidRPr="008F1EB8">
        <w:rPr>
          <w:rFonts w:eastAsia="Times New Roman"/>
          <w:sz w:val="24"/>
          <w:szCs w:val="24"/>
        </w:rPr>
        <w:t xml:space="preserve"> finance if not managed efficiently can lead to the development of a financial crisis</w:t>
      </w:r>
      <w:r w:rsidR="00D01513">
        <w:rPr>
          <w:rFonts w:eastAsia="Times New Roman"/>
          <w:sz w:val="24"/>
          <w:szCs w:val="24"/>
        </w:rPr>
        <w:t>,</w:t>
      </w:r>
      <w:r w:rsidRPr="008F1EB8">
        <w:rPr>
          <w:rFonts w:eastAsia="Times New Roman"/>
          <w:sz w:val="24"/>
          <w:szCs w:val="24"/>
        </w:rPr>
        <w:t xml:space="preserve"> that in turn can cause several issues in the survival of a business. The financial crisis of 2008 took place due to the collapse of the real estate market which led to underwritten mortgage delinquencies. Thus, a recession in the UK economy took place and banks started restraining themselves from investing in various mortgages (</w:t>
      </w:r>
      <w:r w:rsidRPr="008F1EB8">
        <w:rPr>
          <w:rFonts w:eastAsia="Times New Roman"/>
          <w:sz w:val="24"/>
          <w:szCs w:val="24"/>
          <w:highlight w:val="white"/>
        </w:rPr>
        <w:t>Murphy and O’Brennan, 2019)</w:t>
      </w:r>
      <w:r w:rsidRPr="008F1EB8">
        <w:rPr>
          <w:rFonts w:eastAsia="Times New Roman"/>
          <w:sz w:val="24"/>
          <w:szCs w:val="24"/>
        </w:rPr>
        <w:t>. The legislation based on which the financial crisis occurred was the cheap credits along with the standard of lax lending. But following the financial crisis the legislations which are implemented are- The financial service Act, the Bank resolution regime implementation, and the Banking Act of 2009.</w:t>
      </w:r>
    </w:p>
    <w:p w14:paraId="6B1DD3FA" w14:textId="69823418" w:rsidR="008D0C0D" w:rsidRPr="008F1EB8" w:rsidRDefault="00BD2D3C">
      <w:pPr>
        <w:spacing w:line="360" w:lineRule="auto"/>
        <w:jc w:val="both"/>
        <w:rPr>
          <w:rFonts w:eastAsia="Times New Roman"/>
          <w:sz w:val="24"/>
          <w:szCs w:val="24"/>
        </w:rPr>
      </w:pPr>
      <w:r w:rsidRPr="008F1EB8">
        <w:rPr>
          <w:rFonts w:eastAsia="Times New Roman"/>
          <w:sz w:val="24"/>
          <w:szCs w:val="24"/>
        </w:rPr>
        <w:t>In this study, a focus will be given on the discussion of the</w:t>
      </w:r>
      <w:r w:rsidR="000214AE" w:rsidRPr="008F1EB8">
        <w:rPr>
          <w:rFonts w:eastAsia="Times New Roman"/>
          <w:sz w:val="24"/>
          <w:szCs w:val="24"/>
        </w:rPr>
        <w:t xml:space="preserve"> post</w:t>
      </w:r>
      <w:r w:rsidRPr="008F1EB8">
        <w:rPr>
          <w:rFonts w:eastAsia="Times New Roman"/>
          <w:sz w:val="24"/>
          <w:szCs w:val="24"/>
        </w:rPr>
        <w:t xml:space="preserve"> </w:t>
      </w:r>
      <w:r w:rsidR="000214AE" w:rsidRPr="008F1EB8">
        <w:rPr>
          <w:rFonts w:eastAsia="Times New Roman"/>
          <w:sz w:val="24"/>
          <w:szCs w:val="24"/>
        </w:rPr>
        <w:t xml:space="preserve">2008 </w:t>
      </w:r>
      <w:r w:rsidRPr="008F1EB8">
        <w:rPr>
          <w:rFonts w:eastAsia="Times New Roman"/>
          <w:sz w:val="24"/>
          <w:szCs w:val="24"/>
        </w:rPr>
        <w:t xml:space="preserve">financial crisis, </w:t>
      </w:r>
      <w:r w:rsidR="000214AE" w:rsidRPr="008F1EB8">
        <w:rPr>
          <w:rFonts w:eastAsia="Times New Roman"/>
          <w:sz w:val="24"/>
          <w:szCs w:val="24"/>
        </w:rPr>
        <w:t>mainly with regards to</w:t>
      </w:r>
      <w:r w:rsidR="000214AE" w:rsidRPr="008F1EB8">
        <w:rPr>
          <w:rFonts w:eastAsia="Times New Roman"/>
          <w:sz w:val="24"/>
          <w:szCs w:val="24"/>
        </w:rPr>
        <w:t xml:space="preserve"> the </w:t>
      </w:r>
      <w:r w:rsidR="000214AE" w:rsidRPr="008F1EB8">
        <w:rPr>
          <w:rFonts w:eastAsia="Times New Roman"/>
          <w:sz w:val="24"/>
          <w:szCs w:val="24"/>
        </w:rPr>
        <w:t xml:space="preserve">laws, </w:t>
      </w:r>
      <w:r w:rsidR="000214AE" w:rsidRPr="008F1EB8">
        <w:rPr>
          <w:rFonts w:eastAsia="Times New Roman"/>
          <w:sz w:val="24"/>
          <w:szCs w:val="24"/>
        </w:rPr>
        <w:t xml:space="preserve">regulations, </w:t>
      </w:r>
      <w:r w:rsidR="000214AE" w:rsidRPr="008F1EB8">
        <w:rPr>
          <w:rFonts w:eastAsia="Times New Roman"/>
          <w:sz w:val="24"/>
          <w:szCs w:val="24"/>
        </w:rPr>
        <w:t>guidelines`</w:t>
      </w:r>
      <w:r w:rsidR="000214AE" w:rsidRPr="008F1EB8">
        <w:rPr>
          <w:rFonts w:eastAsia="Times New Roman"/>
          <w:sz w:val="24"/>
          <w:szCs w:val="24"/>
        </w:rPr>
        <w:t xml:space="preserve">, as well as </w:t>
      </w:r>
      <w:r w:rsidR="000214AE" w:rsidRPr="008F1EB8">
        <w:rPr>
          <w:rFonts w:eastAsia="Times New Roman"/>
          <w:sz w:val="24"/>
          <w:szCs w:val="24"/>
        </w:rPr>
        <w:t>enactments</w:t>
      </w:r>
      <w:r w:rsidR="000214AE" w:rsidRPr="008F1EB8">
        <w:rPr>
          <w:rFonts w:eastAsia="Times New Roman"/>
          <w:sz w:val="24"/>
          <w:szCs w:val="24"/>
        </w:rPr>
        <w:t xml:space="preserve"> that were implemented in the post-financial crisis era of 2008 by the authorities of the UK</w:t>
      </w:r>
      <w:r w:rsidR="000214AE" w:rsidRPr="008F1EB8">
        <w:rPr>
          <w:rFonts w:eastAsia="Times New Roman"/>
          <w:sz w:val="24"/>
          <w:szCs w:val="24"/>
        </w:rPr>
        <w:t>.</w:t>
      </w:r>
      <w:r w:rsidR="000214AE" w:rsidRPr="008F1EB8">
        <w:rPr>
          <w:rFonts w:eastAsia="Times New Roman"/>
          <w:sz w:val="24"/>
          <w:szCs w:val="24"/>
        </w:rPr>
        <w:t xml:space="preserve"> </w:t>
      </w:r>
      <w:r w:rsidR="000214AE" w:rsidRPr="008F1EB8">
        <w:rPr>
          <w:rFonts w:eastAsia="Times New Roman"/>
          <w:sz w:val="24"/>
          <w:szCs w:val="24"/>
        </w:rPr>
        <w:t>The</w:t>
      </w:r>
      <w:r w:rsidRPr="008F1EB8">
        <w:rPr>
          <w:rFonts w:eastAsia="Times New Roman"/>
          <w:sz w:val="24"/>
          <w:szCs w:val="24"/>
        </w:rPr>
        <w:t xml:space="preserve"> study will include a background analysis of Barclays Bank</w:t>
      </w:r>
      <w:r w:rsidR="000214AE" w:rsidRPr="008F1EB8">
        <w:rPr>
          <w:rFonts w:eastAsia="Times New Roman"/>
          <w:sz w:val="24"/>
          <w:szCs w:val="24"/>
        </w:rPr>
        <w:t>, and also</w:t>
      </w:r>
      <w:r w:rsidRPr="008F1EB8">
        <w:rPr>
          <w:rFonts w:eastAsia="Times New Roman"/>
          <w:sz w:val="24"/>
          <w:szCs w:val="24"/>
        </w:rPr>
        <w:t xml:space="preserve"> the evaluation of the enacted reforms</w:t>
      </w:r>
      <w:r w:rsidR="000214AE" w:rsidRPr="008F1EB8">
        <w:rPr>
          <w:rFonts w:eastAsia="Times New Roman"/>
          <w:sz w:val="24"/>
          <w:szCs w:val="24"/>
        </w:rPr>
        <w:t>, to better</w:t>
      </w:r>
      <w:r w:rsidRPr="008F1EB8">
        <w:rPr>
          <w:rFonts w:eastAsia="Times New Roman"/>
          <w:sz w:val="24"/>
          <w:szCs w:val="24"/>
        </w:rPr>
        <w:t xml:space="preserve"> understand the efficiency of the reforms in stabilizing the system of finance of the UK. Lastly, a set of recommendations will be given </w:t>
      </w:r>
      <w:r w:rsidR="000214AE" w:rsidRPr="008F1EB8">
        <w:rPr>
          <w:rFonts w:eastAsia="Times New Roman"/>
          <w:sz w:val="24"/>
          <w:szCs w:val="24"/>
        </w:rPr>
        <w:t>on how</w:t>
      </w:r>
      <w:r w:rsidRPr="008F1EB8">
        <w:rPr>
          <w:rFonts w:eastAsia="Times New Roman"/>
          <w:sz w:val="24"/>
          <w:szCs w:val="24"/>
        </w:rPr>
        <w:t xml:space="preserve">  Barclays Bank </w:t>
      </w:r>
      <w:r w:rsidR="000214AE" w:rsidRPr="008F1EB8">
        <w:rPr>
          <w:rFonts w:eastAsia="Times New Roman"/>
          <w:sz w:val="24"/>
          <w:szCs w:val="24"/>
        </w:rPr>
        <w:t>can</w:t>
      </w:r>
      <w:r w:rsidRPr="008F1EB8">
        <w:rPr>
          <w:rFonts w:eastAsia="Times New Roman"/>
          <w:sz w:val="24"/>
          <w:szCs w:val="24"/>
        </w:rPr>
        <w:t xml:space="preserve"> improve its financial position in the post-financial crisis era.</w:t>
      </w:r>
    </w:p>
    <w:p w14:paraId="431569AA" w14:textId="2618881A" w:rsidR="008F1EB8" w:rsidRPr="008F1EB8" w:rsidRDefault="008F1EB8">
      <w:pPr>
        <w:spacing w:line="360" w:lineRule="auto"/>
        <w:jc w:val="both"/>
        <w:rPr>
          <w:rFonts w:eastAsia="Times New Roman"/>
          <w:sz w:val="24"/>
          <w:szCs w:val="24"/>
        </w:rPr>
      </w:pPr>
    </w:p>
    <w:p w14:paraId="162A099E" w14:textId="66CFF7BA" w:rsidR="008F1EB8" w:rsidRPr="008F1EB8" w:rsidRDefault="008F1EB8">
      <w:pPr>
        <w:spacing w:line="360" w:lineRule="auto"/>
        <w:jc w:val="both"/>
        <w:rPr>
          <w:rFonts w:eastAsia="Times New Roman"/>
          <w:sz w:val="24"/>
          <w:szCs w:val="24"/>
        </w:rPr>
      </w:pPr>
    </w:p>
    <w:p w14:paraId="535F9A2C" w14:textId="66C56FD8" w:rsidR="008F1EB8" w:rsidRPr="008F1EB8" w:rsidRDefault="008F1EB8">
      <w:pPr>
        <w:spacing w:line="360" w:lineRule="auto"/>
        <w:jc w:val="both"/>
        <w:rPr>
          <w:rFonts w:eastAsia="Times New Roman"/>
          <w:sz w:val="24"/>
          <w:szCs w:val="24"/>
        </w:rPr>
      </w:pPr>
    </w:p>
    <w:p w14:paraId="3F609965" w14:textId="720D9256" w:rsidR="008F1EB8" w:rsidRPr="008F1EB8" w:rsidRDefault="008F1EB8">
      <w:pPr>
        <w:spacing w:line="360" w:lineRule="auto"/>
        <w:jc w:val="both"/>
        <w:rPr>
          <w:rFonts w:eastAsia="Times New Roman"/>
          <w:sz w:val="24"/>
          <w:szCs w:val="24"/>
        </w:rPr>
      </w:pPr>
    </w:p>
    <w:p w14:paraId="0DB3DC70" w14:textId="4C7CD0CC" w:rsidR="008F1EB8" w:rsidRPr="008F1EB8" w:rsidRDefault="008F1EB8">
      <w:pPr>
        <w:spacing w:line="360" w:lineRule="auto"/>
        <w:jc w:val="both"/>
        <w:rPr>
          <w:rFonts w:eastAsia="Times New Roman"/>
          <w:sz w:val="24"/>
          <w:szCs w:val="24"/>
        </w:rPr>
      </w:pPr>
    </w:p>
    <w:p w14:paraId="6B630E01" w14:textId="6C156015" w:rsidR="008F1EB8" w:rsidRPr="008F1EB8" w:rsidRDefault="008F1EB8">
      <w:pPr>
        <w:spacing w:line="360" w:lineRule="auto"/>
        <w:jc w:val="both"/>
        <w:rPr>
          <w:rFonts w:eastAsia="Times New Roman"/>
          <w:sz w:val="24"/>
          <w:szCs w:val="24"/>
        </w:rPr>
      </w:pPr>
    </w:p>
    <w:p w14:paraId="0B13EEE8" w14:textId="79BD4C9A" w:rsidR="008F1EB8" w:rsidRPr="008F1EB8" w:rsidRDefault="008F1EB8">
      <w:pPr>
        <w:spacing w:line="360" w:lineRule="auto"/>
        <w:jc w:val="both"/>
        <w:rPr>
          <w:rFonts w:eastAsia="Times New Roman"/>
          <w:sz w:val="24"/>
          <w:szCs w:val="24"/>
        </w:rPr>
      </w:pPr>
    </w:p>
    <w:p w14:paraId="6E30A5E1" w14:textId="16C92438" w:rsidR="008F1EB8" w:rsidRPr="008F1EB8" w:rsidRDefault="008F1EB8">
      <w:pPr>
        <w:spacing w:line="360" w:lineRule="auto"/>
        <w:jc w:val="both"/>
        <w:rPr>
          <w:rFonts w:eastAsia="Times New Roman"/>
          <w:sz w:val="24"/>
          <w:szCs w:val="24"/>
        </w:rPr>
      </w:pPr>
    </w:p>
    <w:p w14:paraId="3D7F309E" w14:textId="2D0F33AE" w:rsidR="008F1EB8" w:rsidRPr="008F1EB8" w:rsidRDefault="008F1EB8">
      <w:pPr>
        <w:spacing w:line="360" w:lineRule="auto"/>
        <w:jc w:val="both"/>
        <w:rPr>
          <w:rFonts w:eastAsia="Times New Roman"/>
          <w:sz w:val="24"/>
          <w:szCs w:val="24"/>
        </w:rPr>
      </w:pPr>
    </w:p>
    <w:p w14:paraId="3B3E6AC2" w14:textId="72CFCEB5" w:rsidR="008F1EB8" w:rsidRPr="008F1EB8" w:rsidRDefault="008F1EB8">
      <w:pPr>
        <w:spacing w:line="360" w:lineRule="auto"/>
        <w:jc w:val="both"/>
        <w:rPr>
          <w:rFonts w:eastAsia="Times New Roman"/>
          <w:sz w:val="24"/>
          <w:szCs w:val="24"/>
        </w:rPr>
      </w:pPr>
    </w:p>
    <w:p w14:paraId="2939F68F" w14:textId="2A0E5CE6" w:rsidR="008F1EB8" w:rsidRPr="008F1EB8" w:rsidRDefault="008F1EB8">
      <w:pPr>
        <w:spacing w:line="360" w:lineRule="auto"/>
        <w:jc w:val="both"/>
        <w:rPr>
          <w:rFonts w:eastAsia="Times New Roman"/>
          <w:sz w:val="24"/>
          <w:szCs w:val="24"/>
        </w:rPr>
      </w:pPr>
    </w:p>
    <w:p w14:paraId="040EB9E0" w14:textId="29AA1D0B" w:rsidR="008F1EB8" w:rsidRPr="008F1EB8" w:rsidRDefault="008F1EB8">
      <w:pPr>
        <w:spacing w:line="360" w:lineRule="auto"/>
        <w:jc w:val="both"/>
        <w:rPr>
          <w:rFonts w:eastAsia="Times New Roman"/>
          <w:sz w:val="24"/>
          <w:szCs w:val="24"/>
        </w:rPr>
      </w:pPr>
    </w:p>
    <w:p w14:paraId="7E2906E2" w14:textId="56837282" w:rsidR="008F1EB8" w:rsidRPr="008F1EB8" w:rsidRDefault="008F1EB8">
      <w:pPr>
        <w:spacing w:line="360" w:lineRule="auto"/>
        <w:jc w:val="both"/>
        <w:rPr>
          <w:rFonts w:eastAsia="Times New Roman"/>
          <w:sz w:val="24"/>
          <w:szCs w:val="24"/>
        </w:rPr>
      </w:pPr>
    </w:p>
    <w:p w14:paraId="0BCCBFD2" w14:textId="6E7060F5" w:rsidR="008F1EB8" w:rsidRPr="008F1EB8" w:rsidRDefault="008F1EB8">
      <w:pPr>
        <w:spacing w:line="360" w:lineRule="auto"/>
        <w:jc w:val="both"/>
        <w:rPr>
          <w:rFonts w:eastAsia="Times New Roman"/>
          <w:sz w:val="24"/>
          <w:szCs w:val="24"/>
        </w:rPr>
      </w:pPr>
    </w:p>
    <w:p w14:paraId="1B1D3F0A" w14:textId="77777777" w:rsidR="008F1EB8" w:rsidRPr="008F1EB8" w:rsidRDefault="008F1EB8">
      <w:pPr>
        <w:spacing w:line="360" w:lineRule="auto"/>
        <w:jc w:val="both"/>
        <w:rPr>
          <w:rFonts w:eastAsia="Times New Roman"/>
          <w:sz w:val="24"/>
          <w:szCs w:val="24"/>
        </w:rPr>
      </w:pPr>
    </w:p>
    <w:p w14:paraId="78D15B03" w14:textId="77777777" w:rsidR="008D0C0D" w:rsidRPr="008F1EB8" w:rsidRDefault="00BD2D3C" w:rsidP="00682359">
      <w:pPr>
        <w:pStyle w:val="Heading1"/>
        <w:rPr>
          <w:rFonts w:ascii="Arial" w:hAnsi="Arial"/>
        </w:rPr>
      </w:pPr>
      <w:bookmarkStart w:id="2" w:name="_Toc124120828"/>
      <w:r w:rsidRPr="008F1EB8">
        <w:rPr>
          <w:rFonts w:ascii="Arial" w:hAnsi="Arial"/>
        </w:rPr>
        <w:lastRenderedPageBreak/>
        <w:t>Important laws, rules, and regulations passed by the UK government in the occurrence of the financial crisis of 2008</w:t>
      </w:r>
      <w:bookmarkEnd w:id="2"/>
    </w:p>
    <w:p w14:paraId="151CFE85" w14:textId="7079DB28" w:rsidR="0005398F" w:rsidRPr="008F1EB8" w:rsidRDefault="00BD2D3C">
      <w:pPr>
        <w:spacing w:line="360" w:lineRule="auto"/>
        <w:jc w:val="both"/>
        <w:rPr>
          <w:rFonts w:eastAsia="Times New Roman"/>
          <w:sz w:val="24"/>
          <w:szCs w:val="24"/>
        </w:rPr>
      </w:pPr>
      <w:r w:rsidRPr="008F1EB8">
        <w:rPr>
          <w:rFonts w:eastAsia="Times New Roman"/>
          <w:sz w:val="24"/>
          <w:szCs w:val="24"/>
        </w:rPr>
        <w:t xml:space="preserve">The financial crisis that emerged in 2008 </w:t>
      </w:r>
      <w:r w:rsidR="00F458C3" w:rsidRPr="008F1EB8">
        <w:rPr>
          <w:rFonts w:eastAsia="Times New Roman"/>
          <w:sz w:val="24"/>
          <w:szCs w:val="24"/>
        </w:rPr>
        <w:t xml:space="preserve">also </w:t>
      </w:r>
      <w:r w:rsidRPr="008F1EB8">
        <w:rPr>
          <w:rFonts w:eastAsia="Times New Roman"/>
          <w:sz w:val="24"/>
          <w:szCs w:val="24"/>
        </w:rPr>
        <w:t xml:space="preserve">known </w:t>
      </w:r>
      <w:r w:rsidR="00F458C3" w:rsidRPr="008F1EB8">
        <w:rPr>
          <w:rFonts w:eastAsia="Times New Roman"/>
          <w:sz w:val="24"/>
          <w:szCs w:val="24"/>
        </w:rPr>
        <w:t>as</w:t>
      </w:r>
      <w:r w:rsidRPr="008F1EB8">
        <w:rPr>
          <w:rFonts w:eastAsia="Times New Roman"/>
          <w:sz w:val="24"/>
          <w:szCs w:val="24"/>
        </w:rPr>
        <w:t xml:space="preserve"> the subprime mortgage crisis</w:t>
      </w:r>
      <w:r w:rsidR="00F458C3" w:rsidRPr="008F1EB8">
        <w:rPr>
          <w:rFonts w:eastAsia="Times New Roman"/>
          <w:sz w:val="24"/>
          <w:szCs w:val="24"/>
        </w:rPr>
        <w:t>,</w:t>
      </w:r>
      <w:r w:rsidRPr="008F1EB8">
        <w:rPr>
          <w:rFonts w:eastAsia="Times New Roman"/>
          <w:sz w:val="24"/>
          <w:szCs w:val="24"/>
        </w:rPr>
        <w:t xml:space="preserve"> as this occurred due to the collapse of the real estate market </w:t>
      </w:r>
      <w:r w:rsidR="007178DD" w:rsidRPr="008F1EB8">
        <w:rPr>
          <w:rFonts w:eastAsia="Times New Roman"/>
          <w:sz w:val="24"/>
          <w:szCs w:val="24"/>
        </w:rPr>
        <w:t>and Collateralized Debt Obligations (CDOs),</w:t>
      </w:r>
      <w:r w:rsidRPr="008F1EB8">
        <w:rPr>
          <w:rFonts w:eastAsia="Times New Roman"/>
          <w:sz w:val="24"/>
          <w:szCs w:val="24"/>
        </w:rPr>
        <w:t>which led to underwritten mortgage delinquencies. The crisis led to a drastic fall in the value of currency for which the nation</w:t>
      </w:r>
      <w:r w:rsidR="007178DD" w:rsidRPr="008F1EB8">
        <w:rPr>
          <w:rFonts w:eastAsia="Times New Roman"/>
          <w:sz w:val="24"/>
          <w:szCs w:val="24"/>
        </w:rPr>
        <w:t>s</w:t>
      </w:r>
      <w:r w:rsidRPr="008F1EB8">
        <w:rPr>
          <w:rFonts w:eastAsia="Times New Roman"/>
          <w:sz w:val="24"/>
          <w:szCs w:val="24"/>
        </w:rPr>
        <w:t xml:space="preserve"> had to pay more for having necessary commodities like agricultural products, natural gas, oil, and others (</w:t>
      </w:r>
      <w:r w:rsidRPr="008F1EB8">
        <w:rPr>
          <w:rFonts w:eastAsia="Times New Roman"/>
          <w:sz w:val="24"/>
          <w:szCs w:val="24"/>
          <w:highlight w:val="white"/>
        </w:rPr>
        <w:t>Taskinsoy, 2019)</w:t>
      </w:r>
      <w:r w:rsidRPr="008F1EB8">
        <w:rPr>
          <w:rFonts w:eastAsia="Times New Roman"/>
          <w:sz w:val="24"/>
          <w:szCs w:val="24"/>
        </w:rPr>
        <w:t xml:space="preserve">. For the rapid mitigation of the issues, the </w:t>
      </w:r>
      <w:r w:rsidR="004B5213" w:rsidRPr="008F1EB8">
        <w:rPr>
          <w:rFonts w:eastAsia="Times New Roman"/>
          <w:sz w:val="24"/>
          <w:szCs w:val="24"/>
        </w:rPr>
        <w:t>government</w:t>
      </w:r>
      <w:r w:rsidRPr="008F1EB8">
        <w:rPr>
          <w:rFonts w:eastAsia="Times New Roman"/>
          <w:sz w:val="24"/>
          <w:szCs w:val="24"/>
        </w:rPr>
        <w:t xml:space="preserve"> cannot help but bring certain changes in the legislation so that the financial status of the UK can be recovered from the crisis.</w:t>
      </w:r>
    </w:p>
    <w:p w14:paraId="7DF8893A" w14:textId="3D43B69D" w:rsidR="00A97F67" w:rsidRPr="008F1EB8" w:rsidRDefault="00BD2D3C">
      <w:pPr>
        <w:spacing w:line="360" w:lineRule="auto"/>
        <w:jc w:val="both"/>
        <w:rPr>
          <w:rFonts w:eastAsia="Times New Roman"/>
          <w:sz w:val="24"/>
          <w:szCs w:val="24"/>
        </w:rPr>
      </w:pPr>
      <w:r w:rsidRPr="008F1EB8">
        <w:rPr>
          <w:rFonts w:eastAsia="Times New Roman"/>
          <w:b/>
          <w:sz w:val="24"/>
          <w:szCs w:val="24"/>
        </w:rPr>
        <w:t xml:space="preserve">Banking Act of 2009: </w:t>
      </w:r>
      <w:r w:rsidRPr="008F1EB8">
        <w:rPr>
          <w:rFonts w:eastAsia="Times New Roman"/>
          <w:sz w:val="24"/>
          <w:szCs w:val="24"/>
        </w:rPr>
        <w:t>This act was passed by the UK parliament on 21st February 2009 to replace the then-prevalent Banking act of 2008 which was focused on special provisions. This act created provisions that can ensure the nationalization of the banking system of the UK. Moreover, the act also amended the legislation related to bank administration as well as insolvency (</w:t>
      </w:r>
      <w:r w:rsidRPr="008F1EB8">
        <w:rPr>
          <w:rFonts w:eastAsia="Times New Roman"/>
          <w:sz w:val="24"/>
          <w:szCs w:val="24"/>
          <w:highlight w:val="white"/>
        </w:rPr>
        <w:t xml:space="preserve">De-Ramon </w:t>
      </w:r>
      <w:r w:rsidRPr="008F1EB8">
        <w:rPr>
          <w:rFonts w:eastAsia="Times New Roman"/>
          <w:i/>
          <w:sz w:val="24"/>
          <w:szCs w:val="24"/>
          <w:highlight w:val="white"/>
        </w:rPr>
        <w:t>et al</w:t>
      </w:r>
      <w:r w:rsidRPr="008F1EB8">
        <w:rPr>
          <w:rFonts w:eastAsia="Times New Roman"/>
          <w:sz w:val="24"/>
          <w:szCs w:val="24"/>
        </w:rPr>
        <w:t>. 2018). It was due to the implementation of this law that a compensation scheme of Financial Services was created</w:t>
      </w:r>
      <w:r w:rsidR="004B5213" w:rsidRPr="008F1EB8">
        <w:rPr>
          <w:rFonts w:eastAsia="Times New Roman"/>
          <w:sz w:val="24"/>
          <w:szCs w:val="24"/>
        </w:rPr>
        <w:t xml:space="preserve">, ensuring </w:t>
      </w:r>
      <w:r w:rsidR="007178DD" w:rsidRPr="008F1EB8">
        <w:rPr>
          <w:rFonts w:eastAsia="Times New Roman"/>
          <w:sz w:val="24"/>
          <w:szCs w:val="24"/>
        </w:rPr>
        <w:t xml:space="preserve">that </w:t>
      </w:r>
      <w:r w:rsidR="00711388" w:rsidRPr="008F1EB8">
        <w:rPr>
          <w:rFonts w:eastAsia="Times New Roman"/>
          <w:sz w:val="24"/>
          <w:szCs w:val="24"/>
        </w:rPr>
        <w:t>deposits of up to £8</w:t>
      </w:r>
      <w:r w:rsidR="00F458C3" w:rsidRPr="008F1EB8">
        <w:rPr>
          <w:rFonts w:eastAsia="Times New Roman"/>
          <w:sz w:val="24"/>
          <w:szCs w:val="24"/>
        </w:rPr>
        <w:t>5</w:t>
      </w:r>
      <w:r w:rsidR="00711388" w:rsidRPr="008F1EB8">
        <w:rPr>
          <w:rFonts w:eastAsia="Times New Roman"/>
          <w:sz w:val="24"/>
          <w:szCs w:val="24"/>
        </w:rPr>
        <w:t>.000.00 are protected</w:t>
      </w:r>
      <w:r w:rsidRPr="008F1EB8">
        <w:rPr>
          <w:rFonts w:eastAsia="Times New Roman"/>
          <w:sz w:val="24"/>
          <w:szCs w:val="24"/>
        </w:rPr>
        <w:t>. But the greatest advancement of the banking sector was achieved</w:t>
      </w:r>
      <w:r w:rsidR="00711388" w:rsidRPr="008F1EB8">
        <w:rPr>
          <w:rFonts w:eastAsia="Times New Roman"/>
          <w:sz w:val="24"/>
          <w:szCs w:val="24"/>
        </w:rPr>
        <w:t>,</w:t>
      </w:r>
      <w:r w:rsidRPr="008F1EB8">
        <w:rPr>
          <w:rFonts w:eastAsia="Times New Roman"/>
          <w:sz w:val="24"/>
          <w:szCs w:val="24"/>
        </w:rPr>
        <w:t xml:space="preserve"> due to the implementation of the legislation</w:t>
      </w:r>
      <w:r w:rsidR="00711388" w:rsidRPr="008F1EB8">
        <w:rPr>
          <w:rFonts w:eastAsia="Times New Roman"/>
          <w:sz w:val="24"/>
          <w:szCs w:val="24"/>
        </w:rPr>
        <w:t>,</w:t>
      </w:r>
      <w:r w:rsidRPr="008F1EB8">
        <w:rPr>
          <w:rFonts w:eastAsia="Times New Roman"/>
          <w:sz w:val="24"/>
          <w:szCs w:val="24"/>
        </w:rPr>
        <w:t xml:space="preserve"> </w:t>
      </w:r>
      <w:r w:rsidR="00711388" w:rsidRPr="008F1EB8">
        <w:rPr>
          <w:rFonts w:eastAsia="Times New Roman"/>
          <w:sz w:val="24"/>
          <w:szCs w:val="24"/>
        </w:rPr>
        <w:t>was the</w:t>
      </w:r>
      <w:r w:rsidRPr="008F1EB8">
        <w:rPr>
          <w:rFonts w:eastAsia="Times New Roman"/>
          <w:sz w:val="24"/>
          <w:szCs w:val="24"/>
        </w:rPr>
        <w:t xml:space="preserve"> creat</w:t>
      </w:r>
      <w:r w:rsidR="00711388" w:rsidRPr="008F1EB8">
        <w:rPr>
          <w:rFonts w:eastAsia="Times New Roman"/>
          <w:sz w:val="24"/>
          <w:szCs w:val="24"/>
        </w:rPr>
        <w:t>ion of</w:t>
      </w:r>
      <w:r w:rsidRPr="008F1EB8">
        <w:rPr>
          <w:rFonts w:eastAsia="Times New Roman"/>
          <w:sz w:val="24"/>
          <w:szCs w:val="24"/>
        </w:rPr>
        <w:t xml:space="preserve"> provisions for interbank schemes of payment such as BACS</w:t>
      </w:r>
      <w:r w:rsidR="000214AE" w:rsidRPr="008F1EB8">
        <w:rPr>
          <w:rFonts w:eastAsia="Times New Roman"/>
          <w:sz w:val="24"/>
          <w:szCs w:val="24"/>
        </w:rPr>
        <w:t xml:space="preserve"> (figure 1)</w:t>
      </w:r>
      <w:r w:rsidRPr="008F1EB8">
        <w:rPr>
          <w:rFonts w:eastAsia="Times New Roman"/>
          <w:sz w:val="24"/>
          <w:szCs w:val="24"/>
        </w:rPr>
        <w:t xml:space="preserve">. Due to the enactment of the banking act, HM treasury got the empowerment to take </w:t>
      </w:r>
      <w:r w:rsidR="00711388" w:rsidRPr="008F1EB8">
        <w:rPr>
          <w:rFonts w:eastAsia="Times New Roman"/>
          <w:sz w:val="24"/>
          <w:szCs w:val="24"/>
        </w:rPr>
        <w:t xml:space="preserve">strict </w:t>
      </w:r>
      <w:r w:rsidRPr="008F1EB8">
        <w:rPr>
          <w:rFonts w:eastAsia="Times New Roman"/>
          <w:sz w:val="24"/>
          <w:szCs w:val="24"/>
        </w:rPr>
        <w:t xml:space="preserve">control </w:t>
      </w:r>
      <w:r w:rsidR="00711388" w:rsidRPr="008F1EB8">
        <w:rPr>
          <w:rFonts w:eastAsia="Times New Roman"/>
          <w:sz w:val="24"/>
          <w:szCs w:val="24"/>
        </w:rPr>
        <w:t>in</w:t>
      </w:r>
      <w:r w:rsidRPr="008F1EB8">
        <w:rPr>
          <w:rFonts w:eastAsia="Times New Roman"/>
          <w:sz w:val="24"/>
          <w:szCs w:val="24"/>
        </w:rPr>
        <w:t xml:space="preserve"> the </w:t>
      </w:r>
      <w:r w:rsidR="00711388" w:rsidRPr="008F1EB8">
        <w:rPr>
          <w:rFonts w:eastAsia="Times New Roman"/>
          <w:sz w:val="24"/>
          <w:szCs w:val="24"/>
        </w:rPr>
        <w:t xml:space="preserve">issuing of </w:t>
      </w:r>
      <w:r w:rsidRPr="008F1EB8">
        <w:rPr>
          <w:rFonts w:eastAsia="Times New Roman"/>
          <w:sz w:val="24"/>
          <w:szCs w:val="24"/>
        </w:rPr>
        <w:t>banknote. This made it compulsory for the banks issuing commercial notes to maintain all sorts of backing assets (</w:t>
      </w:r>
      <w:r w:rsidRPr="008F1EB8">
        <w:rPr>
          <w:rFonts w:eastAsia="Times New Roman"/>
          <w:sz w:val="24"/>
          <w:szCs w:val="24"/>
          <w:highlight w:val="white"/>
        </w:rPr>
        <w:t>Taskinsoy, 2019)</w:t>
      </w:r>
      <w:r w:rsidRPr="008F1EB8">
        <w:rPr>
          <w:rFonts w:eastAsia="Times New Roman"/>
          <w:sz w:val="24"/>
          <w:szCs w:val="24"/>
        </w:rPr>
        <w:t>. The act also added that no other bank</w:t>
      </w:r>
      <w:r w:rsidR="007178DD" w:rsidRPr="008F1EB8">
        <w:rPr>
          <w:rFonts w:eastAsia="Times New Roman"/>
          <w:sz w:val="24"/>
          <w:szCs w:val="24"/>
        </w:rPr>
        <w:t>,</w:t>
      </w:r>
      <w:r w:rsidRPr="008F1EB8">
        <w:rPr>
          <w:rFonts w:eastAsia="Times New Roman"/>
          <w:sz w:val="24"/>
          <w:szCs w:val="24"/>
        </w:rPr>
        <w:t xml:space="preserve"> except those who are authorized under the legislation of 1845/1928</w:t>
      </w:r>
      <w:r w:rsidR="007178DD" w:rsidRPr="008F1EB8">
        <w:rPr>
          <w:rFonts w:eastAsia="Times New Roman"/>
          <w:sz w:val="24"/>
          <w:szCs w:val="24"/>
        </w:rPr>
        <w:t>,</w:t>
      </w:r>
      <w:r w:rsidRPr="008F1EB8">
        <w:rPr>
          <w:rFonts w:eastAsia="Times New Roman"/>
          <w:sz w:val="24"/>
          <w:szCs w:val="24"/>
        </w:rPr>
        <w:t xml:space="preserve"> have the authority to issue banknotes.</w:t>
      </w:r>
    </w:p>
    <w:p w14:paraId="7CA4A191" w14:textId="20DDBD93" w:rsidR="00F458C3" w:rsidRPr="008F1EB8" w:rsidRDefault="00F458C3" w:rsidP="007178DD">
      <w:pPr>
        <w:pStyle w:val="Heading1"/>
        <w:spacing w:before="0" w:after="0"/>
        <w:rPr>
          <w:rFonts w:ascii="Arial" w:eastAsia="Times New Roman" w:hAnsi="Arial"/>
          <w:sz w:val="24"/>
          <w:szCs w:val="24"/>
          <w:lang w:val="en-GB"/>
        </w:rPr>
      </w:pPr>
      <w:bookmarkStart w:id="3" w:name="_Toc124120829"/>
      <w:r w:rsidRPr="00F458C3">
        <w:rPr>
          <w:rFonts w:ascii="Arial" w:eastAsia="Times New Roman" w:hAnsi="Arial"/>
          <w:sz w:val="24"/>
          <w:szCs w:val="24"/>
          <w:lang w:val="en-GB"/>
        </w:rPr>
        <w:t xml:space="preserve">The Basel III </w:t>
      </w:r>
      <w:r w:rsidR="00493DEF" w:rsidRPr="008F1EB8">
        <w:rPr>
          <w:rFonts w:ascii="Arial" w:eastAsia="Times New Roman" w:hAnsi="Arial"/>
          <w:sz w:val="24"/>
          <w:szCs w:val="24"/>
          <w:lang w:val="en-GB"/>
        </w:rPr>
        <w:t xml:space="preserve">Pillar </w:t>
      </w:r>
      <w:r w:rsidRPr="008F1EB8">
        <w:rPr>
          <w:rFonts w:ascii="Arial" w:eastAsia="Times New Roman" w:hAnsi="Arial"/>
          <w:sz w:val="24"/>
          <w:szCs w:val="24"/>
          <w:lang w:val="en-GB"/>
        </w:rPr>
        <w:t>A</w:t>
      </w:r>
      <w:r w:rsidRPr="00F458C3">
        <w:rPr>
          <w:rFonts w:ascii="Arial" w:eastAsia="Times New Roman" w:hAnsi="Arial"/>
          <w:sz w:val="24"/>
          <w:szCs w:val="24"/>
          <w:lang w:val="en-GB"/>
        </w:rPr>
        <w:t>ccord</w:t>
      </w:r>
      <w:bookmarkEnd w:id="3"/>
      <w:r w:rsidRPr="00F458C3">
        <w:rPr>
          <w:rFonts w:ascii="Arial" w:eastAsia="Times New Roman" w:hAnsi="Arial"/>
          <w:sz w:val="24"/>
          <w:szCs w:val="24"/>
          <w:lang w:val="en-GB"/>
        </w:rPr>
        <w:t xml:space="preserve"> </w:t>
      </w:r>
    </w:p>
    <w:p w14:paraId="58E76867" w14:textId="4EA19BD6" w:rsidR="007C5204" w:rsidRPr="007C5204" w:rsidRDefault="007C5204" w:rsidP="007C5204">
      <w:pPr>
        <w:spacing w:line="360" w:lineRule="auto"/>
        <w:jc w:val="both"/>
        <w:rPr>
          <w:rFonts w:eastAsia="Times New Roman"/>
          <w:sz w:val="24"/>
          <w:szCs w:val="24"/>
          <w:lang w:val="en-GB"/>
        </w:rPr>
      </w:pPr>
      <w:r w:rsidRPr="007C5204">
        <w:rPr>
          <w:rFonts w:eastAsia="Times New Roman"/>
          <w:sz w:val="24"/>
          <w:szCs w:val="24"/>
          <w:lang w:val="en-GB"/>
        </w:rPr>
        <w:t xml:space="preserve">Basel III </w:t>
      </w:r>
      <w:r w:rsidRPr="008F1EB8">
        <w:rPr>
          <w:rFonts w:eastAsia="Times New Roman"/>
          <w:sz w:val="24"/>
          <w:szCs w:val="24"/>
          <w:lang w:val="en-GB"/>
        </w:rPr>
        <w:t xml:space="preserve">Accord </w:t>
      </w:r>
      <w:r w:rsidRPr="007C5204">
        <w:rPr>
          <w:rFonts w:eastAsia="Times New Roman"/>
          <w:sz w:val="24"/>
          <w:szCs w:val="24"/>
          <w:lang w:val="en-GB"/>
        </w:rPr>
        <w:t>is an internationally agreed set of measures developed by the Basel Committee on Banking Supervision</w:t>
      </w:r>
      <w:r w:rsidRPr="008F1EB8">
        <w:rPr>
          <w:rFonts w:eastAsia="Times New Roman"/>
          <w:sz w:val="24"/>
          <w:szCs w:val="24"/>
          <w:lang w:val="en-GB"/>
        </w:rPr>
        <w:t>,</w:t>
      </w:r>
      <w:r w:rsidRPr="007C5204">
        <w:rPr>
          <w:rFonts w:eastAsia="Times New Roman"/>
          <w:sz w:val="24"/>
          <w:szCs w:val="24"/>
          <w:lang w:val="en-GB"/>
        </w:rPr>
        <w:t xml:space="preserve"> in response to the financial crisis of 2008. The measures aim to strengthen the regulation, supervision and risk management of banks.</w:t>
      </w:r>
      <w:r w:rsidR="0005398F" w:rsidRPr="008F1EB8">
        <w:rPr>
          <w:rFonts w:eastAsia="Times New Roman"/>
          <w:sz w:val="24"/>
          <w:szCs w:val="24"/>
          <w:lang w:val="en-GB"/>
        </w:rPr>
        <w:t xml:space="preserve"> (“Basel III: international regulatory framework for banks”)</w:t>
      </w:r>
    </w:p>
    <w:p w14:paraId="409D1527" w14:textId="77777777" w:rsidR="007C5204" w:rsidRPr="007C5204" w:rsidRDefault="007C5204" w:rsidP="007C5204">
      <w:pPr>
        <w:spacing w:line="360" w:lineRule="auto"/>
        <w:jc w:val="both"/>
        <w:rPr>
          <w:rFonts w:eastAsia="Times New Roman"/>
          <w:sz w:val="24"/>
          <w:szCs w:val="24"/>
          <w:lang w:val="en-GB"/>
        </w:rPr>
      </w:pPr>
      <w:r w:rsidRPr="007C5204">
        <w:rPr>
          <w:rFonts w:eastAsia="Times New Roman"/>
          <w:b/>
          <w:bCs/>
          <w:sz w:val="24"/>
          <w:szCs w:val="24"/>
          <w:lang w:val="en-GB"/>
        </w:rPr>
        <w:t>Pillar 1:</w:t>
      </w:r>
      <w:r w:rsidRPr="007C5204">
        <w:rPr>
          <w:rFonts w:eastAsia="Times New Roman"/>
          <w:sz w:val="24"/>
          <w:szCs w:val="24"/>
          <w:lang w:val="en-GB"/>
        </w:rPr>
        <w:t xml:space="preserve"> covers the regulatory capital requirements including the calculation of risk weighted assets for credit risk, counterparty credit risk, market risk and operational risk.</w:t>
      </w:r>
    </w:p>
    <w:p w14:paraId="65415BEC" w14:textId="28E450C3" w:rsidR="007C5204" w:rsidRPr="007C5204" w:rsidRDefault="007C5204" w:rsidP="007C5204">
      <w:pPr>
        <w:spacing w:line="360" w:lineRule="auto"/>
        <w:jc w:val="both"/>
        <w:rPr>
          <w:rFonts w:eastAsia="Times New Roman"/>
          <w:sz w:val="24"/>
          <w:szCs w:val="24"/>
          <w:lang w:val="en-GB"/>
        </w:rPr>
      </w:pPr>
      <w:r w:rsidRPr="007C5204">
        <w:rPr>
          <w:rFonts w:eastAsia="Times New Roman"/>
          <w:b/>
          <w:bCs/>
          <w:sz w:val="24"/>
          <w:szCs w:val="24"/>
          <w:lang w:val="en-GB"/>
        </w:rPr>
        <w:t>Pillar 2:</w:t>
      </w:r>
      <w:r w:rsidRPr="007C5204">
        <w:rPr>
          <w:rFonts w:eastAsia="Times New Roman"/>
          <w:sz w:val="24"/>
          <w:szCs w:val="24"/>
          <w:lang w:val="en-GB"/>
        </w:rPr>
        <w:t xml:space="preserve"> covers the consideration of whether additional capital is required over and above the Pillar 1 risk calculations.</w:t>
      </w:r>
      <w:r w:rsidR="0005398F" w:rsidRPr="008F1EB8">
        <w:rPr>
          <w:rFonts w:eastAsia="Times New Roman"/>
          <w:sz w:val="24"/>
          <w:szCs w:val="24"/>
          <w:lang w:val="en-GB"/>
        </w:rPr>
        <w:t xml:space="preserve"> (“SpareBank 1 Boligkreditt AS Pillar 3 – Risk and </w:t>
      </w:r>
      <w:r w:rsidR="0005398F" w:rsidRPr="008F1EB8">
        <w:rPr>
          <w:rFonts w:eastAsia="Times New Roman"/>
          <w:sz w:val="24"/>
          <w:szCs w:val="24"/>
          <w:lang w:val="en-GB"/>
        </w:rPr>
        <w:lastRenderedPageBreak/>
        <w:t>Capital Management”)</w:t>
      </w:r>
      <w:r w:rsidRPr="007C5204">
        <w:rPr>
          <w:rFonts w:eastAsia="Times New Roman"/>
          <w:sz w:val="24"/>
          <w:szCs w:val="24"/>
          <w:lang w:val="en-GB"/>
        </w:rPr>
        <w:t xml:space="preserve"> A firm’s own internal models and assessments support this process.</w:t>
      </w:r>
    </w:p>
    <w:p w14:paraId="17705603" w14:textId="77777777" w:rsidR="007C5204" w:rsidRPr="007C5204" w:rsidRDefault="007C5204" w:rsidP="007C5204">
      <w:pPr>
        <w:spacing w:line="360" w:lineRule="auto"/>
        <w:jc w:val="both"/>
        <w:rPr>
          <w:rFonts w:eastAsia="Times New Roman"/>
          <w:sz w:val="24"/>
          <w:szCs w:val="24"/>
          <w:lang w:val="en-GB"/>
        </w:rPr>
      </w:pPr>
      <w:r w:rsidRPr="007C5204">
        <w:rPr>
          <w:rFonts w:eastAsia="Times New Roman"/>
          <w:b/>
          <w:bCs/>
          <w:sz w:val="24"/>
          <w:szCs w:val="24"/>
          <w:lang w:val="en-GB"/>
        </w:rPr>
        <w:t>Pillar 3:</w:t>
      </w:r>
      <w:r w:rsidRPr="007C5204">
        <w:rPr>
          <w:rFonts w:eastAsia="Times New Roman"/>
          <w:sz w:val="24"/>
          <w:szCs w:val="24"/>
          <w:lang w:val="en-GB"/>
        </w:rPr>
        <w:t xml:space="preserve"> covers external communication of risk and capital information by banks as specified in the Basel rules to promote transparency and good risk management.</w:t>
      </w:r>
    </w:p>
    <w:p w14:paraId="3136C29E" w14:textId="475F6D5D" w:rsidR="00F458C3" w:rsidRPr="00F458C3" w:rsidRDefault="007C5204" w:rsidP="00F458C3">
      <w:pPr>
        <w:spacing w:line="360" w:lineRule="auto"/>
        <w:jc w:val="both"/>
        <w:rPr>
          <w:rFonts w:eastAsia="Times New Roman"/>
          <w:sz w:val="24"/>
          <w:szCs w:val="24"/>
          <w:lang w:val="en-GB"/>
        </w:rPr>
      </w:pPr>
      <w:r w:rsidRPr="008F1EB8">
        <w:rPr>
          <w:rFonts w:eastAsia="Times New Roman"/>
          <w:sz w:val="24"/>
          <w:szCs w:val="24"/>
          <w:lang w:val="en-GB"/>
        </w:rPr>
        <w:t>Basel III i</w:t>
      </w:r>
      <w:r w:rsidR="00F458C3" w:rsidRPr="00F458C3">
        <w:rPr>
          <w:rFonts w:eastAsia="Times New Roman"/>
          <w:sz w:val="24"/>
          <w:szCs w:val="24"/>
          <w:lang w:val="en-GB"/>
        </w:rPr>
        <w:t>ncreased the minimum Basel III capital requirements for banks from 2% in Basel II to </w:t>
      </w:r>
      <w:r w:rsidR="00F458C3" w:rsidRPr="00F458C3">
        <w:rPr>
          <w:rFonts w:eastAsia="Times New Roman"/>
          <w:b/>
          <w:bCs/>
          <w:sz w:val="24"/>
          <w:szCs w:val="24"/>
          <w:lang w:val="en-GB"/>
        </w:rPr>
        <w:t>4.5% of common equity</w:t>
      </w:r>
      <w:r w:rsidR="00F458C3" w:rsidRPr="00F458C3">
        <w:rPr>
          <w:rFonts w:eastAsia="Times New Roman"/>
          <w:sz w:val="24"/>
          <w:szCs w:val="24"/>
          <w:lang w:val="en-GB"/>
        </w:rPr>
        <w:t>, as a percentage of the bank's risk-weighted assets. There is also an extra 2.5% buffer capital requirement that brings the total minimum requirement to 7% in order to be Basel compliant.</w:t>
      </w:r>
    </w:p>
    <w:p w14:paraId="2304F09E" w14:textId="1C888F59" w:rsidR="00A97F67" w:rsidRPr="008F1EB8" w:rsidRDefault="00493DEF">
      <w:pPr>
        <w:spacing w:line="360" w:lineRule="auto"/>
        <w:jc w:val="both"/>
        <w:rPr>
          <w:rFonts w:eastAsia="Times New Roman"/>
          <w:sz w:val="24"/>
          <w:szCs w:val="24"/>
          <w:lang w:val="en-GB"/>
        </w:rPr>
      </w:pPr>
      <w:r w:rsidRPr="008F1EB8">
        <w:rPr>
          <w:rFonts w:eastAsia="Times New Roman"/>
          <w:sz w:val="24"/>
          <w:szCs w:val="24"/>
        </w:rPr>
        <w:drawing>
          <wp:anchor distT="0" distB="0" distL="114300" distR="114300" simplePos="0" relativeHeight="251658240" behindDoc="1" locked="0" layoutInCell="1" allowOverlap="1" wp14:anchorId="20FB4EC2" wp14:editId="0ED8C145">
            <wp:simplePos x="0" y="0"/>
            <wp:positionH relativeFrom="margin">
              <wp:posOffset>-142875</wp:posOffset>
            </wp:positionH>
            <wp:positionV relativeFrom="paragraph">
              <wp:posOffset>1434465</wp:posOffset>
            </wp:positionV>
            <wp:extent cx="5906135" cy="3310255"/>
            <wp:effectExtent l="0" t="0" r="0" b="4445"/>
            <wp:wrapTight wrapText="bothSides">
              <wp:wrapPolygon edited="0">
                <wp:start x="0" y="0"/>
                <wp:lineTo x="0" y="21505"/>
                <wp:lineTo x="21528" y="21505"/>
                <wp:lineTo x="21528" y="0"/>
                <wp:lineTo x="0" y="0"/>
              </wp:wrapPolygon>
            </wp:wrapTight>
            <wp:docPr id="2" name="Picture 2"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Diagram&#10;&#10;Description automatically generated"/>
                    <pic:cNvPicPr/>
                  </pic:nvPicPr>
                  <pic:blipFill rotWithShape="1">
                    <a:blip r:embed="rId8" cstate="print">
                      <a:extLst>
                        <a:ext uri="{28A0092B-C50C-407E-A947-70E740481C1C}">
                          <a14:useLocalDpi xmlns:a14="http://schemas.microsoft.com/office/drawing/2010/main" val="0"/>
                        </a:ext>
                      </a:extLst>
                    </a:blip>
                    <a:srcRect t="7058"/>
                    <a:stretch/>
                  </pic:blipFill>
                  <pic:spPr bwMode="auto">
                    <a:xfrm>
                      <a:off x="0" y="0"/>
                      <a:ext cx="5906135" cy="331025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05398F" w:rsidRPr="008F1EB8">
        <w:rPr>
          <w:rFonts w:eastAsia="Times New Roman"/>
          <w:sz w:val="24"/>
          <w:szCs w:val="24"/>
          <w:lang w:val="en-GB"/>
        </w:rPr>
        <w:t>"</w:t>
      </w:r>
      <w:r w:rsidR="00F458C3" w:rsidRPr="00F458C3">
        <w:rPr>
          <w:rFonts w:eastAsia="Times New Roman"/>
          <w:sz w:val="24"/>
          <w:szCs w:val="24"/>
          <w:lang w:val="en-GB"/>
        </w:rPr>
        <w:t>Basel III's leverage ratio is defined as the "capital measure" (the numerator) divided by the "exposure measure" (the denominator) and is expressed as a percentage.</w:t>
      </w:r>
      <w:r w:rsidR="0005398F" w:rsidRPr="008F1EB8">
        <w:rPr>
          <w:rFonts w:eastAsia="Times New Roman"/>
          <w:sz w:val="24"/>
          <w:szCs w:val="24"/>
          <w:lang w:val="en-GB"/>
        </w:rPr>
        <w:t>" (“Basel III leverage ratio framework and disclosure requirements”)</w:t>
      </w:r>
      <w:r w:rsidR="00F458C3" w:rsidRPr="00F458C3">
        <w:rPr>
          <w:rFonts w:eastAsia="Times New Roman"/>
          <w:sz w:val="24"/>
          <w:szCs w:val="24"/>
          <w:lang w:val="en-GB"/>
        </w:rPr>
        <w:t xml:space="preserve"> The capital measure is currently defined as Tier 1 capital and the minimum leverage ratio is 3%.</w:t>
      </w:r>
      <w:r w:rsidR="00330D7A" w:rsidRPr="008F1EB8">
        <w:rPr>
          <w:rFonts w:eastAsia="Times New Roman"/>
          <w:sz w:val="24"/>
          <w:szCs w:val="24"/>
          <w:lang w:val="en-GB"/>
        </w:rPr>
        <w:t xml:space="preserve"> </w:t>
      </w:r>
      <w:sdt>
        <w:sdtPr>
          <w:rPr>
            <w:rFonts w:eastAsia="Times New Roman"/>
            <w:sz w:val="24"/>
            <w:szCs w:val="24"/>
            <w:lang w:val="en-GB"/>
          </w:rPr>
          <w:id w:val="524524233"/>
          <w:citation/>
        </w:sdtPr>
        <w:sdtContent>
          <w:r w:rsidR="00330D7A" w:rsidRPr="008F1EB8">
            <w:rPr>
              <w:rFonts w:eastAsia="Times New Roman"/>
              <w:sz w:val="24"/>
              <w:szCs w:val="24"/>
              <w:lang w:val="en-GB"/>
            </w:rPr>
            <w:fldChar w:fldCharType="begin"/>
          </w:r>
          <w:r w:rsidR="009C72CC" w:rsidRPr="008F1EB8">
            <w:rPr>
              <w:rFonts w:eastAsia="Times New Roman"/>
              <w:sz w:val="24"/>
              <w:szCs w:val="24"/>
              <w:lang w:val="en-GB"/>
            </w:rPr>
            <w:instrText xml:space="preserve">CITATION Ban22 \l 2057 </w:instrText>
          </w:r>
          <w:r w:rsidR="00330D7A" w:rsidRPr="008F1EB8">
            <w:rPr>
              <w:rFonts w:eastAsia="Times New Roman"/>
              <w:sz w:val="24"/>
              <w:szCs w:val="24"/>
              <w:lang w:val="en-GB"/>
            </w:rPr>
            <w:fldChar w:fldCharType="separate"/>
          </w:r>
          <w:r w:rsidR="009C72CC" w:rsidRPr="008F1EB8">
            <w:rPr>
              <w:rFonts w:eastAsia="Times New Roman"/>
              <w:noProof/>
              <w:sz w:val="24"/>
              <w:szCs w:val="24"/>
              <w:lang w:val="en-GB"/>
            </w:rPr>
            <w:t>(Bank for International Setlements, 2022)</w:t>
          </w:r>
          <w:r w:rsidR="00330D7A" w:rsidRPr="008F1EB8">
            <w:rPr>
              <w:rFonts w:eastAsia="Times New Roman"/>
              <w:sz w:val="24"/>
              <w:szCs w:val="24"/>
              <w:lang w:val="en-GB"/>
            </w:rPr>
            <w:fldChar w:fldCharType="end"/>
          </w:r>
        </w:sdtContent>
      </w:sdt>
    </w:p>
    <w:p w14:paraId="3EDC7D30" w14:textId="77777777" w:rsidR="00493DEF" w:rsidRPr="00314D46" w:rsidRDefault="00493DEF" w:rsidP="00493DEF">
      <w:pPr>
        <w:spacing w:line="360" w:lineRule="auto"/>
        <w:rPr>
          <w:rFonts w:ascii="Times New Roman" w:eastAsia="Times New Roman" w:hAnsi="Times New Roman" w:cs="Times New Roman"/>
          <w:sz w:val="20"/>
          <w:szCs w:val="20"/>
        </w:rPr>
      </w:pPr>
      <w:r>
        <w:rPr>
          <w:rFonts w:eastAsia="Times New Roman"/>
          <w:b/>
          <w:bCs/>
          <w:sz w:val="24"/>
          <w:szCs w:val="24"/>
        </w:rPr>
        <w:t xml:space="preserve">Figure 1: </w:t>
      </w:r>
      <w:r w:rsidRPr="00314D46">
        <w:rPr>
          <w:rFonts w:eastAsia="Times New Roman"/>
          <w:b/>
          <w:bCs/>
          <w:sz w:val="24"/>
          <w:szCs w:val="24"/>
        </w:rPr>
        <w:t>Payment schemes used in the UK</w:t>
      </w:r>
      <w:r>
        <w:rPr>
          <w:rFonts w:eastAsia="Times New Roman"/>
          <w:b/>
          <w:bCs/>
          <w:sz w:val="24"/>
          <w:szCs w:val="24"/>
        </w:rPr>
        <w:t xml:space="preserve"> </w:t>
      </w:r>
      <w:sdt>
        <w:sdtPr>
          <w:rPr>
            <w:rFonts w:ascii="Times New Roman" w:eastAsia="Times New Roman" w:hAnsi="Times New Roman" w:cs="Times New Roman"/>
            <w:sz w:val="24"/>
            <w:szCs w:val="24"/>
          </w:rPr>
          <w:id w:val="905490370"/>
          <w:citation/>
        </w:sdtPr>
        <w:sdtEndPr>
          <w:rPr>
            <w:sz w:val="20"/>
            <w:szCs w:val="20"/>
          </w:rPr>
        </w:sdtEndPr>
        <w:sdtContent>
          <w:r w:rsidRPr="00314D46">
            <w:rPr>
              <w:rFonts w:ascii="Times New Roman" w:eastAsia="Times New Roman" w:hAnsi="Times New Roman" w:cs="Times New Roman"/>
              <w:sz w:val="20"/>
              <w:szCs w:val="20"/>
            </w:rPr>
            <w:fldChar w:fldCharType="begin"/>
          </w:r>
          <w:r>
            <w:rPr>
              <w:rFonts w:ascii="Times New Roman" w:eastAsia="Times New Roman" w:hAnsi="Times New Roman" w:cs="Times New Roman"/>
              <w:sz w:val="20"/>
              <w:szCs w:val="20"/>
              <w:lang w:val="en-GB"/>
            </w:rPr>
            <w:instrText xml:space="preserve">CITATION AnI22 \l 2057 </w:instrText>
          </w:r>
          <w:r w:rsidRPr="00314D46">
            <w:rPr>
              <w:rFonts w:ascii="Times New Roman" w:eastAsia="Times New Roman" w:hAnsi="Times New Roman" w:cs="Times New Roman"/>
              <w:sz w:val="20"/>
              <w:szCs w:val="20"/>
            </w:rPr>
            <w:fldChar w:fldCharType="separate"/>
          </w:r>
          <w:r w:rsidRPr="009C72CC">
            <w:rPr>
              <w:rFonts w:ascii="Times New Roman" w:eastAsia="Times New Roman" w:hAnsi="Times New Roman" w:cs="Times New Roman"/>
              <w:noProof/>
              <w:sz w:val="20"/>
              <w:szCs w:val="20"/>
              <w:lang w:val="en-GB"/>
            </w:rPr>
            <w:t>(psr.org.uk, 2016)</w:t>
          </w:r>
          <w:r w:rsidRPr="00314D46">
            <w:rPr>
              <w:rFonts w:ascii="Times New Roman" w:eastAsia="Times New Roman" w:hAnsi="Times New Roman" w:cs="Times New Roman"/>
              <w:sz w:val="20"/>
              <w:szCs w:val="20"/>
            </w:rPr>
            <w:fldChar w:fldCharType="end"/>
          </w:r>
        </w:sdtContent>
      </w:sdt>
    </w:p>
    <w:p w14:paraId="3DBC9076" w14:textId="2BBB6F8F" w:rsidR="00493DEF" w:rsidRPr="008F1EB8" w:rsidRDefault="00493DEF" w:rsidP="00493DEF">
      <w:pPr>
        <w:spacing w:line="360" w:lineRule="auto"/>
        <w:rPr>
          <w:rFonts w:eastAsia="Times New Roman"/>
          <w:b/>
          <w:bCs/>
          <w:sz w:val="24"/>
          <w:szCs w:val="24"/>
        </w:rPr>
      </w:pPr>
    </w:p>
    <w:p w14:paraId="3C654323" w14:textId="70700E50" w:rsidR="008D0C0D" w:rsidRPr="008F1EB8" w:rsidRDefault="00BD2D3C">
      <w:pPr>
        <w:spacing w:line="360" w:lineRule="auto"/>
        <w:jc w:val="both"/>
        <w:rPr>
          <w:rFonts w:eastAsia="Times New Roman"/>
          <w:sz w:val="24"/>
          <w:szCs w:val="24"/>
        </w:rPr>
      </w:pPr>
      <w:r w:rsidRPr="008F1EB8">
        <w:rPr>
          <w:rFonts w:eastAsia="Times New Roman"/>
          <w:b/>
          <w:sz w:val="24"/>
          <w:szCs w:val="24"/>
        </w:rPr>
        <w:t xml:space="preserve">Financial service act: </w:t>
      </w:r>
      <w:r w:rsidRPr="008F1EB8">
        <w:rPr>
          <w:rFonts w:eastAsia="Times New Roman"/>
          <w:sz w:val="24"/>
          <w:szCs w:val="24"/>
        </w:rPr>
        <w:t xml:space="preserve">This act was published in 2012 and was enforced from 1st April 2013 it aimed to bring necessary reforms in the UK government’s financial regulations. This act also is responsible for the betterment of the regulatory framework for the maintenance of the functioning of the banking sector of the UK. This can help in the improvement of the nation’s banking service and at the same time can also help in the management of the nation’s financial services which is quite essential to restraining </w:t>
      </w:r>
      <w:r w:rsidRPr="008F1EB8">
        <w:rPr>
          <w:rFonts w:eastAsia="Times New Roman"/>
          <w:sz w:val="24"/>
          <w:szCs w:val="24"/>
        </w:rPr>
        <w:lastRenderedPageBreak/>
        <w:t>the preparation of the ground for the financial crisis (</w:t>
      </w:r>
      <w:r w:rsidRPr="008F1EB8">
        <w:rPr>
          <w:rFonts w:eastAsia="Times New Roman"/>
          <w:sz w:val="24"/>
          <w:szCs w:val="24"/>
          <w:highlight w:val="white"/>
        </w:rPr>
        <w:t>Minhat and Dzolkarnaini, 2021)</w:t>
      </w:r>
      <w:r w:rsidRPr="008F1EB8">
        <w:rPr>
          <w:rFonts w:eastAsia="Times New Roman"/>
          <w:sz w:val="24"/>
          <w:szCs w:val="24"/>
        </w:rPr>
        <w:t>. Due to the implementation of this act, the bank of England was given the responsibility of macro-prudentialisation which helped in oversight of the entire financial system of the nation by mitigating the balance sheet risks. The act also led to the foundation of three different bodies which are assigned with different tasks for the better running of the financial functions which are the key to success for every nation. This is due to the reason that the betterment of financial functions can help in the stabilization of the economy. The names of the three bodies which are created are- Financial Policy Committee, Financial conduct authority, and Prudential regulatory authority. The proper functioning of all these three newly formed bodies led to the occurrence of changes in the act of financial service and market of the UK (</w:t>
      </w:r>
      <w:r w:rsidRPr="008F1EB8">
        <w:rPr>
          <w:rFonts w:eastAsia="Times New Roman"/>
          <w:sz w:val="24"/>
          <w:szCs w:val="24"/>
          <w:highlight w:val="white"/>
        </w:rPr>
        <w:t>Lui and Lamb, 2018)</w:t>
      </w:r>
      <w:r w:rsidRPr="008F1EB8">
        <w:rPr>
          <w:rFonts w:eastAsia="Times New Roman"/>
          <w:sz w:val="24"/>
          <w:szCs w:val="24"/>
        </w:rPr>
        <w:t>. Based on the implementation of various amendments to the legislation of the banking sector, the entire regulatory structure of financial services is changed. These changes were crucial for modifying the old financial laws which can in turn help in strengthening the economy of the nation. The implementation of this law also helped in enabling the transfer of the regulation of consumer credit by the UK government starting from OFT and ending with FCA (</w:t>
      </w:r>
      <w:r w:rsidRPr="008F1EB8">
        <w:rPr>
          <w:rFonts w:eastAsia="Times New Roman"/>
          <w:sz w:val="24"/>
          <w:szCs w:val="24"/>
          <w:highlight w:val="white"/>
        </w:rPr>
        <w:t xml:space="preserve">Appleyard </w:t>
      </w:r>
      <w:r w:rsidRPr="008F1EB8">
        <w:rPr>
          <w:rFonts w:eastAsia="Times New Roman"/>
          <w:i/>
          <w:sz w:val="24"/>
          <w:szCs w:val="24"/>
          <w:highlight w:val="white"/>
        </w:rPr>
        <w:t>et al</w:t>
      </w:r>
      <w:r w:rsidRPr="008F1EB8">
        <w:rPr>
          <w:rFonts w:eastAsia="Times New Roman"/>
          <w:sz w:val="24"/>
          <w:szCs w:val="24"/>
        </w:rPr>
        <w:t>. 2021). From the implementation of this law, the focus is given to the fines paid by different financial services obtained by the exchequer (</w:t>
      </w:r>
      <w:r w:rsidRPr="008F1EB8">
        <w:rPr>
          <w:rFonts w:eastAsia="Times New Roman"/>
          <w:sz w:val="24"/>
          <w:szCs w:val="24"/>
          <w:highlight w:val="white"/>
        </w:rPr>
        <w:t xml:space="preserve">Ioannou </w:t>
      </w:r>
      <w:r w:rsidRPr="008F1EB8">
        <w:rPr>
          <w:rFonts w:eastAsia="Times New Roman"/>
          <w:i/>
          <w:sz w:val="24"/>
          <w:szCs w:val="24"/>
          <w:highlight w:val="white"/>
        </w:rPr>
        <w:t>et al</w:t>
      </w:r>
      <w:r w:rsidRPr="008F1EB8">
        <w:rPr>
          <w:rFonts w:eastAsia="Times New Roman"/>
          <w:sz w:val="24"/>
          <w:szCs w:val="24"/>
        </w:rPr>
        <w:t>. 2019). Thus, the fines obtained from different financial services cannot be used by annual levy.</w:t>
      </w:r>
    </w:p>
    <w:p w14:paraId="13CD6405" w14:textId="77777777" w:rsidR="008D0C0D" w:rsidRPr="008F1EB8" w:rsidRDefault="00BD2D3C" w:rsidP="00682359">
      <w:pPr>
        <w:pStyle w:val="Heading1"/>
        <w:rPr>
          <w:rFonts w:ascii="Arial" w:hAnsi="Arial"/>
        </w:rPr>
      </w:pPr>
      <w:bookmarkStart w:id="4" w:name="_Toc124120830"/>
      <w:r w:rsidRPr="008F1EB8">
        <w:rPr>
          <w:rFonts w:ascii="Arial" w:hAnsi="Arial"/>
        </w:rPr>
        <w:t>Other key players in the financial system to end the financial crises.</w:t>
      </w:r>
      <w:bookmarkEnd w:id="4"/>
    </w:p>
    <w:p w14:paraId="4982C02C" w14:textId="3D8FC486" w:rsidR="008D0C0D" w:rsidRPr="008F1EB8" w:rsidRDefault="00BD2D3C">
      <w:pPr>
        <w:spacing w:line="360" w:lineRule="auto"/>
        <w:jc w:val="both"/>
        <w:rPr>
          <w:rFonts w:eastAsia="Times New Roman"/>
          <w:sz w:val="24"/>
          <w:szCs w:val="24"/>
        </w:rPr>
      </w:pPr>
      <w:r w:rsidRPr="008F1EB8">
        <w:rPr>
          <w:rFonts w:eastAsia="Times New Roman"/>
          <w:sz w:val="24"/>
          <w:szCs w:val="24"/>
        </w:rPr>
        <w:t xml:space="preserve">During the time the UK was hit hard by the global financial crisis and the subsequent recession, the British government and the Bank of England came up with several ambitious plans to help the country get back on its feet. It was challenging to differentiate between monetary and financial acts amidst the avalanche of operations that were taking place. During the period from September 2007 to December 2009, which is now referred to as the Global Financial Crisis, the government of the United Kingdom implemented several financial measures to assist four British banks and the banking sector of the United Kingdom (O’Brien and Pike, 2019). These measures included a variety of different types of financial aid. These interventions cost a total of 137 billion </w:t>
      </w:r>
      <w:r w:rsidR="00493DEF" w:rsidRPr="008F1EB8">
        <w:rPr>
          <w:rFonts w:eastAsia="Times New Roman"/>
          <w:sz w:val="24"/>
          <w:szCs w:val="24"/>
        </w:rPr>
        <w:t>pounds</w:t>
      </w:r>
      <w:r w:rsidRPr="008F1EB8">
        <w:rPr>
          <w:rFonts w:eastAsia="Times New Roman"/>
          <w:sz w:val="24"/>
          <w:szCs w:val="24"/>
        </w:rPr>
        <w:t xml:space="preserve"> at their height, which the government gave to banks in the form of loans and additional capital. The vast majority of these costs have, as time has passed, </w:t>
      </w:r>
      <w:r w:rsidRPr="008F1EB8">
        <w:rPr>
          <w:rFonts w:eastAsia="Times New Roman"/>
          <w:sz w:val="24"/>
          <w:szCs w:val="24"/>
        </w:rPr>
        <w:lastRenderedPageBreak/>
        <w:t>been reco</w:t>
      </w:r>
      <w:r w:rsidR="00493DEF" w:rsidRPr="008F1EB8">
        <w:rPr>
          <w:rFonts w:eastAsia="Times New Roman"/>
          <w:sz w:val="24"/>
          <w:szCs w:val="24"/>
        </w:rPr>
        <w:t>vered</w:t>
      </w:r>
      <w:r w:rsidRPr="008F1EB8">
        <w:rPr>
          <w:rFonts w:eastAsia="Times New Roman"/>
          <w:sz w:val="24"/>
          <w:szCs w:val="24"/>
        </w:rPr>
        <w:t xml:space="preserve"> in full. The public was made aware of the situation for the first time in July 2007 (Cashfloat.co.uk, 2020).</w:t>
      </w:r>
    </w:p>
    <w:p w14:paraId="38134634" w14:textId="7DD47633" w:rsidR="008D0C0D" w:rsidRPr="008F1EB8" w:rsidRDefault="00BD2D3C">
      <w:pPr>
        <w:spacing w:line="360" w:lineRule="auto"/>
        <w:jc w:val="both"/>
        <w:rPr>
          <w:rFonts w:eastAsia="Times New Roman"/>
          <w:sz w:val="24"/>
          <w:szCs w:val="24"/>
        </w:rPr>
      </w:pPr>
      <w:r w:rsidRPr="008F1EB8">
        <w:rPr>
          <w:rFonts w:eastAsia="Times New Roman"/>
          <w:sz w:val="24"/>
          <w:szCs w:val="24"/>
        </w:rPr>
        <w:t xml:space="preserve">In response to this, a chain of events unfolded all around the world, the culmination of which was the suspension of trading on interbank credit markets. According to Stoker </w:t>
      </w:r>
      <w:r w:rsidRPr="008F1EB8">
        <w:rPr>
          <w:rFonts w:eastAsia="Times New Roman"/>
          <w:i/>
          <w:sz w:val="24"/>
          <w:szCs w:val="24"/>
        </w:rPr>
        <w:t>et al.</w:t>
      </w:r>
      <w:r w:rsidRPr="008F1EB8">
        <w:rPr>
          <w:rFonts w:eastAsia="Times New Roman"/>
          <w:sz w:val="24"/>
          <w:szCs w:val="24"/>
        </w:rPr>
        <w:t xml:space="preserve"> (2019), Northern Rock, a retail bank in the United Kingdom that is extremely reliant on short-term borrowing, had approached the Bank of England with an urgent plea for assistance. As soon as news of this agreement spread, the bank was hit with what is believed to have been the first-ever run on a British bank in the previous 150 years. Customers of the bank formed long lines in front of its branches to withdraw their deposits, which captured the attention of media outlets around the world. In September 2007, the then</w:t>
      </w:r>
      <w:r w:rsidR="00493DEF" w:rsidRPr="008F1EB8">
        <w:rPr>
          <w:rFonts w:eastAsia="Times New Roman"/>
          <w:sz w:val="24"/>
          <w:szCs w:val="24"/>
        </w:rPr>
        <w:t xml:space="preserve"> </w:t>
      </w:r>
      <w:r w:rsidRPr="008F1EB8">
        <w:rPr>
          <w:rFonts w:eastAsia="Times New Roman"/>
          <w:sz w:val="24"/>
          <w:szCs w:val="24"/>
        </w:rPr>
        <w:t xml:space="preserve">UK Chancellor of the Exchequer, Alistair Darling, announced that the government will guarantee all Northern Rock deposits to </w:t>
      </w:r>
      <w:r w:rsidR="00493DEF" w:rsidRPr="008F1EB8">
        <w:rPr>
          <w:rFonts w:eastAsia="Times New Roman"/>
          <w:sz w:val="24"/>
          <w:szCs w:val="24"/>
        </w:rPr>
        <w:t>ease</w:t>
      </w:r>
      <w:r w:rsidRPr="008F1EB8">
        <w:rPr>
          <w:rFonts w:eastAsia="Times New Roman"/>
          <w:sz w:val="24"/>
          <w:szCs w:val="24"/>
        </w:rPr>
        <w:t xml:space="preserve"> concerns that were being raised. </w:t>
      </w:r>
    </w:p>
    <w:p w14:paraId="56791A26" w14:textId="77777777" w:rsidR="008D0C0D" w:rsidRPr="008F1EB8" w:rsidRDefault="00BD2D3C">
      <w:pPr>
        <w:spacing w:line="360" w:lineRule="auto"/>
        <w:jc w:val="both"/>
        <w:rPr>
          <w:rFonts w:eastAsia="Times New Roman"/>
          <w:sz w:val="24"/>
          <w:szCs w:val="24"/>
        </w:rPr>
      </w:pPr>
      <w:r w:rsidRPr="008F1EB8">
        <w:rPr>
          <w:rFonts w:eastAsia="Times New Roman"/>
          <w:sz w:val="24"/>
          <w:szCs w:val="24"/>
        </w:rPr>
        <w:t xml:space="preserve">Specifically, RBS (now NatWest), Bradford &amp; Bingley, Lloyds Banking Group (LBG), and Northern Rock received additional assistance from the United Kingdom government. These additional measures were implemented during the years 2007 and 2009 (Kohler and Stockhammer, 2022). The government acquired full ownership of Northern Rock and Bradford &amp; Bingley, majority ownership of RBS, and a minority holding in LBG to regain the public's faith in the nation's banking industry. These contingent liabilities did not call for any payments to be made at any point. During the height of the aid, the National Audit Office (NAO) estimated that the overall guarantees were greater than one trillion pounds. The Treasury Department started the process of bank recapitalization by buying stock in failing companies and then nationalizing those companies. In addition to this, they contributed to the Financial Services Compensation Scheme so that they could assure customers that their savings would not be lost (Bernanke, 2018). </w:t>
      </w:r>
    </w:p>
    <w:p w14:paraId="7EECF4CC" w14:textId="5AC7807B" w:rsidR="008D0C0D" w:rsidRPr="008F1EB8" w:rsidRDefault="00BD2D3C">
      <w:pPr>
        <w:spacing w:line="360" w:lineRule="auto"/>
        <w:jc w:val="both"/>
        <w:rPr>
          <w:rFonts w:eastAsia="Times New Roman"/>
          <w:sz w:val="24"/>
          <w:szCs w:val="24"/>
        </w:rPr>
      </w:pPr>
      <w:r w:rsidRPr="008F1EB8">
        <w:rPr>
          <w:rFonts w:eastAsia="Times New Roman"/>
          <w:sz w:val="24"/>
          <w:szCs w:val="24"/>
        </w:rPr>
        <w:t xml:space="preserve">The amount of money available in banks was raised by the Bank of England. They purchased some Treasury bills with the money they received from the conversion of some of their subprime mortgages. As stated by Hussain </w:t>
      </w:r>
      <w:r w:rsidRPr="008F1EB8">
        <w:rPr>
          <w:rFonts w:eastAsia="Times New Roman"/>
          <w:i/>
          <w:sz w:val="24"/>
          <w:szCs w:val="24"/>
        </w:rPr>
        <w:t>et al.</w:t>
      </w:r>
      <w:r w:rsidRPr="008F1EB8">
        <w:rPr>
          <w:rFonts w:eastAsia="Times New Roman"/>
          <w:sz w:val="24"/>
          <w:szCs w:val="24"/>
        </w:rPr>
        <w:t xml:space="preserve"> (2018), a Credit Guarantee Scheme was devised as a means of regaining the confidence of the market. This plan took into account several different kinds of unsecured indebtedness. The government proceeded to take more actions, such as regulating interest rates and engaging in quantitative easing. In addition, a fiscal stimulus program was initiated to assist in the process of the economy's recovery. The government set</w:t>
      </w:r>
      <w:r w:rsidR="00493DEF" w:rsidRPr="008F1EB8">
        <w:rPr>
          <w:rFonts w:eastAsia="Times New Roman"/>
          <w:sz w:val="24"/>
          <w:szCs w:val="24"/>
        </w:rPr>
        <w:t>s</w:t>
      </w:r>
      <w:r w:rsidRPr="008F1EB8">
        <w:rPr>
          <w:rFonts w:eastAsia="Times New Roman"/>
          <w:sz w:val="24"/>
          <w:szCs w:val="24"/>
        </w:rPr>
        <w:t xml:space="preserve"> limits on institutions that received public financing to guarantee that nationalized banks did not </w:t>
      </w:r>
      <w:r w:rsidRPr="008F1EB8">
        <w:rPr>
          <w:rFonts w:eastAsia="Times New Roman"/>
          <w:sz w:val="24"/>
          <w:szCs w:val="24"/>
        </w:rPr>
        <w:lastRenderedPageBreak/>
        <w:t>have a competitive edge over other financial organizations. The UK has been making progress toward a full recovery from the severe financial meltdown owing to the outstanding reaction that the British government provided to the financial crisis.</w:t>
      </w:r>
    </w:p>
    <w:p w14:paraId="637843DF" w14:textId="00EA3B71" w:rsidR="008D0C0D" w:rsidRPr="008F1EB8" w:rsidRDefault="00BD2D3C" w:rsidP="00682359">
      <w:pPr>
        <w:pStyle w:val="Heading1"/>
        <w:rPr>
          <w:rFonts w:ascii="Arial" w:hAnsi="Arial"/>
        </w:rPr>
      </w:pPr>
      <w:bookmarkStart w:id="5" w:name="_Toc124120831"/>
      <w:r w:rsidRPr="008F1EB8">
        <w:rPr>
          <w:rFonts w:ascii="Arial" w:hAnsi="Arial"/>
        </w:rPr>
        <w:t>The extent to which these reforms have contributed towards stabilizing the financial system</w:t>
      </w:r>
      <w:bookmarkEnd w:id="5"/>
    </w:p>
    <w:p w14:paraId="17D0B554" w14:textId="6DBB733D" w:rsidR="008D0C0D" w:rsidRPr="008F1EB8" w:rsidRDefault="00BD2D3C">
      <w:pPr>
        <w:spacing w:line="360" w:lineRule="auto"/>
        <w:jc w:val="both"/>
        <w:rPr>
          <w:rFonts w:eastAsia="Times New Roman"/>
          <w:sz w:val="24"/>
          <w:szCs w:val="24"/>
        </w:rPr>
      </w:pPr>
      <w:r w:rsidRPr="008F1EB8">
        <w:rPr>
          <w:rFonts w:eastAsia="Times New Roman"/>
          <w:sz w:val="24"/>
          <w:szCs w:val="24"/>
        </w:rPr>
        <w:t>Major structural transformations in the financial sector have transpired over the ten years since the commencement of the global economic meltdown. Because of overly borrowing and the contingency lack of sufficient cash reserve and bank liquidity ca</w:t>
      </w:r>
      <w:r w:rsidR="00493DEF" w:rsidRPr="008F1EB8">
        <w:rPr>
          <w:rFonts w:eastAsia="Times New Roman"/>
          <w:sz w:val="24"/>
          <w:szCs w:val="24"/>
        </w:rPr>
        <w:t>sh equivalent</w:t>
      </w:r>
      <w:r w:rsidRPr="008F1EB8">
        <w:rPr>
          <w:rFonts w:eastAsia="Times New Roman"/>
          <w:sz w:val="24"/>
          <w:szCs w:val="24"/>
        </w:rPr>
        <w:t xml:space="preserve">, </w:t>
      </w:r>
      <w:r w:rsidRPr="008F1EB8">
        <w:rPr>
          <w:rFonts w:eastAsia="Times New Roman"/>
          <w:sz w:val="24"/>
          <w:szCs w:val="24"/>
          <w:highlight w:val="white"/>
        </w:rPr>
        <w:t xml:space="preserve">Ziolo </w:t>
      </w:r>
      <w:r w:rsidRPr="008F1EB8">
        <w:rPr>
          <w:rFonts w:eastAsia="Times New Roman"/>
          <w:i/>
          <w:sz w:val="24"/>
          <w:szCs w:val="24"/>
          <w:highlight w:val="white"/>
        </w:rPr>
        <w:t xml:space="preserve">et al. </w:t>
      </w:r>
      <w:r w:rsidRPr="008F1EB8">
        <w:rPr>
          <w:rFonts w:eastAsia="Times New Roman"/>
          <w:sz w:val="24"/>
          <w:szCs w:val="24"/>
        </w:rPr>
        <w:t xml:space="preserve">(2019), postulated that the recession unveiled critical flaws in the financial industry as well as the regulation and supervision regime. Even though the ramifications of the recession have tended to ameliorate, they have however had a significant impact on banking operations, economic stability, and wealth creation in many states and countries. As stated by </w:t>
      </w:r>
      <w:r w:rsidRPr="008F1EB8">
        <w:rPr>
          <w:rFonts w:eastAsia="Times New Roman"/>
          <w:sz w:val="24"/>
          <w:szCs w:val="24"/>
          <w:highlight w:val="white"/>
        </w:rPr>
        <w:t xml:space="preserve">Theodore, </w:t>
      </w:r>
      <w:r w:rsidRPr="008F1EB8">
        <w:rPr>
          <w:rFonts w:eastAsia="Times New Roman"/>
          <w:sz w:val="24"/>
          <w:szCs w:val="24"/>
        </w:rPr>
        <w:t>(2020), the financial sector is still confronted with increasing ecological threats due to technological advances, growing non-bank rivalry, and alterations in the global economy.</w:t>
      </w:r>
    </w:p>
    <w:p w14:paraId="3CC91FE6" w14:textId="77777777" w:rsidR="008D0C0D" w:rsidRPr="008F1EB8" w:rsidRDefault="00BD2D3C">
      <w:pPr>
        <w:spacing w:line="360" w:lineRule="auto"/>
        <w:jc w:val="both"/>
        <w:rPr>
          <w:rFonts w:eastAsia="Times New Roman"/>
          <w:sz w:val="24"/>
          <w:szCs w:val="24"/>
        </w:rPr>
      </w:pPr>
      <w:r w:rsidRPr="008F1EB8">
        <w:rPr>
          <w:rFonts w:eastAsia="Times New Roman"/>
          <w:sz w:val="24"/>
          <w:szCs w:val="24"/>
        </w:rPr>
        <w:t xml:space="preserve">On the other hand, </w:t>
      </w:r>
      <w:r w:rsidRPr="008F1EB8">
        <w:rPr>
          <w:rFonts w:eastAsia="Times New Roman"/>
          <w:sz w:val="24"/>
          <w:szCs w:val="24"/>
          <w:highlight w:val="white"/>
        </w:rPr>
        <w:t xml:space="preserve">Semieniuk </w:t>
      </w:r>
      <w:r w:rsidRPr="008F1EB8">
        <w:rPr>
          <w:rFonts w:eastAsia="Times New Roman"/>
          <w:i/>
          <w:sz w:val="24"/>
          <w:szCs w:val="24"/>
          <w:highlight w:val="white"/>
        </w:rPr>
        <w:t>et al.</w:t>
      </w:r>
      <w:r w:rsidRPr="008F1EB8">
        <w:rPr>
          <w:rFonts w:eastAsia="Times New Roman"/>
          <w:sz w:val="24"/>
          <w:szCs w:val="24"/>
          <w:highlight w:val="white"/>
        </w:rPr>
        <w:t xml:space="preserve"> </w:t>
      </w:r>
      <w:r w:rsidRPr="008F1EB8">
        <w:rPr>
          <w:rFonts w:eastAsia="Times New Roman"/>
          <w:sz w:val="24"/>
          <w:szCs w:val="24"/>
        </w:rPr>
        <w:t xml:space="preserve">(2021), highlights the fact that the service's flexible resilience as well as the emergence of novel vulnerabilities necessitate continual surveillance. Financial institutions have been re-evaluating and altering existing organizational frameworks and standards, notably their financial statement structure, total liabilities, the reach of their operations, and global coverage, to conform to their altered operational environment. </w:t>
      </w:r>
      <w:r w:rsidRPr="008F1EB8">
        <w:rPr>
          <w:rFonts w:eastAsia="Times New Roman"/>
          <w:sz w:val="24"/>
          <w:szCs w:val="24"/>
          <w:highlight w:val="white"/>
        </w:rPr>
        <w:t xml:space="preserve">Laeven and Valencia, </w:t>
      </w:r>
      <w:r w:rsidRPr="008F1EB8">
        <w:rPr>
          <w:rFonts w:eastAsia="Times New Roman"/>
          <w:sz w:val="24"/>
          <w:szCs w:val="24"/>
        </w:rPr>
        <w:t xml:space="preserve">(2020), strongly contend that even though several modifications have also been profound and continue to be unfolding, certain financial institutions in the UK's developed markets are also contending with inadequate revenue and generational liabilities. </w:t>
      </w:r>
    </w:p>
    <w:p w14:paraId="0AD97FDE" w14:textId="609BC158" w:rsidR="008D0C0D" w:rsidRPr="008F1EB8" w:rsidRDefault="00BD2D3C">
      <w:pPr>
        <w:spacing w:line="360" w:lineRule="auto"/>
        <w:jc w:val="both"/>
        <w:rPr>
          <w:rFonts w:eastAsia="Times New Roman"/>
          <w:sz w:val="24"/>
          <w:szCs w:val="24"/>
        </w:rPr>
      </w:pPr>
      <w:r w:rsidRPr="008F1EB8">
        <w:rPr>
          <w:rFonts w:eastAsia="Times New Roman"/>
          <w:sz w:val="24"/>
          <w:szCs w:val="24"/>
        </w:rPr>
        <w:t xml:space="preserve">Throughout regions of the UK, the recession </w:t>
      </w:r>
      <w:r w:rsidR="00493DEF" w:rsidRPr="008F1EB8">
        <w:rPr>
          <w:rFonts w:eastAsia="Times New Roman"/>
          <w:sz w:val="24"/>
          <w:szCs w:val="24"/>
        </w:rPr>
        <w:t>stopped</w:t>
      </w:r>
      <w:r w:rsidRPr="008F1EB8">
        <w:rPr>
          <w:rFonts w:eastAsia="Times New Roman"/>
          <w:sz w:val="24"/>
          <w:szCs w:val="24"/>
        </w:rPr>
        <w:t xml:space="preserve"> a flurry of rapid investment returns in the financial industry, referred to as the </w:t>
      </w:r>
      <w:r w:rsidRPr="008F1EB8">
        <w:rPr>
          <w:rFonts w:eastAsia="Times New Roman"/>
          <w:b/>
          <w:sz w:val="24"/>
          <w:szCs w:val="24"/>
        </w:rPr>
        <w:t>“alterations to the capabilities and composition of the financial industry”</w:t>
      </w:r>
      <w:r w:rsidRPr="008F1EB8">
        <w:rPr>
          <w:rFonts w:eastAsia="Times New Roman"/>
          <w:sz w:val="24"/>
          <w:szCs w:val="24"/>
        </w:rPr>
        <w:t xml:space="preserve">. According to </w:t>
      </w:r>
      <w:r w:rsidR="00493DEF" w:rsidRPr="008F1EB8">
        <w:rPr>
          <w:rFonts w:eastAsia="Times New Roman"/>
          <w:sz w:val="24"/>
          <w:szCs w:val="24"/>
          <w:highlight w:val="white"/>
        </w:rPr>
        <w:t>L</w:t>
      </w:r>
      <w:r w:rsidRPr="008F1EB8">
        <w:rPr>
          <w:rFonts w:eastAsia="Times New Roman"/>
          <w:sz w:val="24"/>
          <w:szCs w:val="24"/>
          <w:highlight w:val="white"/>
        </w:rPr>
        <w:t xml:space="preserve">oannou </w:t>
      </w:r>
      <w:r w:rsidRPr="008F1EB8">
        <w:rPr>
          <w:rFonts w:eastAsia="Times New Roman"/>
          <w:i/>
          <w:sz w:val="24"/>
          <w:szCs w:val="24"/>
          <w:highlight w:val="white"/>
        </w:rPr>
        <w:t>et al.</w:t>
      </w:r>
      <w:r w:rsidRPr="008F1EB8">
        <w:rPr>
          <w:rFonts w:eastAsia="Times New Roman"/>
          <w:sz w:val="24"/>
          <w:szCs w:val="24"/>
          <w:highlight w:val="white"/>
        </w:rPr>
        <w:t xml:space="preserve"> </w:t>
      </w:r>
      <w:r w:rsidRPr="008F1EB8">
        <w:rPr>
          <w:rFonts w:eastAsia="Times New Roman"/>
          <w:sz w:val="24"/>
          <w:szCs w:val="24"/>
        </w:rPr>
        <w:t xml:space="preserve">(2019), economies of the UK which were significantly affected by the recession, several performance indices demonstrate that financial institutions in the UK have fallen in the context of economic output. Instead of industries departing from the market, this transition predominantly transpired because of a decline in market share. In </w:t>
      </w:r>
      <w:r w:rsidR="00493DEF" w:rsidRPr="008F1EB8">
        <w:rPr>
          <w:rFonts w:eastAsia="Times New Roman"/>
          <w:sz w:val="24"/>
          <w:szCs w:val="24"/>
        </w:rPr>
        <w:t>regions</w:t>
      </w:r>
      <w:r w:rsidRPr="008F1EB8">
        <w:rPr>
          <w:rFonts w:eastAsia="Times New Roman"/>
          <w:sz w:val="24"/>
          <w:szCs w:val="24"/>
        </w:rPr>
        <w:t xml:space="preserve"> of the UK that have been less devastated by the recession, </w:t>
      </w:r>
      <w:r w:rsidRPr="008F1EB8">
        <w:rPr>
          <w:rFonts w:eastAsia="Times New Roman"/>
          <w:sz w:val="24"/>
          <w:szCs w:val="24"/>
          <w:highlight w:val="white"/>
        </w:rPr>
        <w:t xml:space="preserve">Knight, </w:t>
      </w:r>
      <w:r w:rsidRPr="008F1EB8">
        <w:rPr>
          <w:rFonts w:eastAsia="Times New Roman"/>
          <w:sz w:val="24"/>
          <w:szCs w:val="24"/>
        </w:rPr>
        <w:t xml:space="preserve">(2018), prioritizes that especially in the major market regions of the UK that are operating internationally, </w:t>
      </w:r>
      <w:r w:rsidRPr="008F1EB8">
        <w:rPr>
          <w:rFonts w:eastAsia="Times New Roman"/>
          <w:sz w:val="24"/>
          <w:szCs w:val="24"/>
        </w:rPr>
        <w:lastRenderedPageBreak/>
        <w:t xml:space="preserve">financial institutions have thrived. In general terms, with specific differences, financial system consolidation has strengthened. </w:t>
      </w:r>
    </w:p>
    <w:p w14:paraId="550B1BCC" w14:textId="0E31A1E7" w:rsidR="008D0C0D" w:rsidRPr="008F1EB8" w:rsidRDefault="00BD2D3C">
      <w:pPr>
        <w:spacing w:line="360" w:lineRule="auto"/>
        <w:jc w:val="both"/>
        <w:rPr>
          <w:rFonts w:eastAsia="Times New Roman"/>
          <w:sz w:val="24"/>
          <w:szCs w:val="24"/>
        </w:rPr>
      </w:pPr>
      <w:r w:rsidRPr="008F1EB8">
        <w:rPr>
          <w:rFonts w:eastAsia="Times New Roman"/>
          <w:sz w:val="24"/>
          <w:szCs w:val="24"/>
        </w:rPr>
        <w:t xml:space="preserve">In compliance with this, </w:t>
      </w:r>
      <w:r w:rsidRPr="008F1EB8">
        <w:rPr>
          <w:rFonts w:eastAsia="Times New Roman"/>
          <w:sz w:val="24"/>
          <w:szCs w:val="24"/>
          <w:highlight w:val="white"/>
        </w:rPr>
        <w:t xml:space="preserve">Byrne, </w:t>
      </w:r>
      <w:r w:rsidRPr="008F1EB8">
        <w:rPr>
          <w:rFonts w:eastAsia="Times New Roman"/>
          <w:sz w:val="24"/>
          <w:szCs w:val="24"/>
        </w:rPr>
        <w:t xml:space="preserve">(2020), states that </w:t>
      </w:r>
      <w:r w:rsidRPr="008F1EB8">
        <w:rPr>
          <w:rFonts w:eastAsia="Times New Roman"/>
          <w:b/>
          <w:sz w:val="24"/>
          <w:szCs w:val="24"/>
        </w:rPr>
        <w:t xml:space="preserve">“reforms to financial institution strategic plans” </w:t>
      </w:r>
      <w:r w:rsidRPr="008F1EB8">
        <w:rPr>
          <w:rFonts w:eastAsia="Times New Roman"/>
          <w:sz w:val="24"/>
          <w:szCs w:val="24"/>
        </w:rPr>
        <w:t xml:space="preserve">reveal that financial firms in advanced economies incorporating the UK's financial sector tend to diversify their expertise from "dealing" </w:t>
      </w:r>
      <w:r w:rsidR="00493DEF" w:rsidRPr="008F1EB8">
        <w:rPr>
          <w:rFonts w:eastAsia="Times New Roman"/>
          <w:sz w:val="24"/>
          <w:szCs w:val="24"/>
        </w:rPr>
        <w:t>to</w:t>
      </w:r>
      <w:r w:rsidRPr="008F1EB8">
        <w:rPr>
          <w:rFonts w:eastAsia="Times New Roman"/>
          <w:sz w:val="24"/>
          <w:szCs w:val="24"/>
        </w:rPr>
        <w:t xml:space="preserve"> even more extensive exposure towards less "capital-intensive" operations, such as corporate finance. The fluctuations in capital adequacy inventories, earnings diversification, and growing dependence on client depositors as a financing source exhibit this dynamic. Correspondingly, </w:t>
      </w:r>
      <w:r w:rsidRPr="008F1EB8">
        <w:rPr>
          <w:rFonts w:eastAsia="Times New Roman"/>
          <w:sz w:val="24"/>
          <w:szCs w:val="24"/>
          <w:highlight w:val="white"/>
        </w:rPr>
        <w:t xml:space="preserve">Seyfang and Gilbert-Squires, </w:t>
      </w:r>
      <w:r w:rsidRPr="008F1EB8">
        <w:rPr>
          <w:rFonts w:eastAsia="Times New Roman"/>
          <w:sz w:val="24"/>
          <w:szCs w:val="24"/>
        </w:rPr>
        <w:t>(2019), underpinned the fact that while financial institutions from the major Capital inflows and economies less devastated by the recession have operated overseas, major UK financial institutions are also becoming increasingly cautious and concentrated in expanding offshore banking operations.</w:t>
      </w:r>
    </w:p>
    <w:p w14:paraId="26364B23" w14:textId="291ABC3A" w:rsidR="008D0C0D" w:rsidRPr="008F1EB8" w:rsidRDefault="00BD2D3C">
      <w:pPr>
        <w:spacing w:line="360" w:lineRule="auto"/>
        <w:jc w:val="both"/>
        <w:rPr>
          <w:rFonts w:eastAsia="Times New Roman"/>
          <w:sz w:val="24"/>
          <w:szCs w:val="24"/>
        </w:rPr>
      </w:pPr>
      <w:r w:rsidRPr="008F1EB8">
        <w:rPr>
          <w:rFonts w:eastAsia="Times New Roman"/>
          <w:sz w:val="24"/>
          <w:szCs w:val="24"/>
        </w:rPr>
        <w:t>Through a substantial improvement in capital and liquid</w:t>
      </w:r>
      <w:r w:rsidR="00493DEF" w:rsidRPr="008F1EB8">
        <w:rPr>
          <w:rFonts w:eastAsia="Times New Roman"/>
          <w:sz w:val="24"/>
          <w:szCs w:val="24"/>
        </w:rPr>
        <w:t>ity</w:t>
      </w:r>
      <w:r w:rsidRPr="008F1EB8">
        <w:rPr>
          <w:rFonts w:eastAsia="Times New Roman"/>
          <w:sz w:val="24"/>
          <w:szCs w:val="24"/>
        </w:rPr>
        <w:t xml:space="preserve"> reserves, the UK's financial institutions have reinforced their susceptibility to potential dangers, which referred to underpinning the broad heading of </w:t>
      </w:r>
      <w:r w:rsidRPr="008F1EB8">
        <w:rPr>
          <w:rFonts w:eastAsia="Times New Roman"/>
          <w:b/>
          <w:sz w:val="24"/>
          <w:szCs w:val="24"/>
        </w:rPr>
        <w:t xml:space="preserve">“Perseverance and contingency in financial institutions”. </w:t>
      </w:r>
      <w:r w:rsidRPr="008F1EB8">
        <w:rPr>
          <w:rFonts w:eastAsia="Times New Roman"/>
          <w:sz w:val="24"/>
          <w:szCs w:val="24"/>
        </w:rPr>
        <w:t xml:space="preserve">Since the recession, </w:t>
      </w:r>
      <w:r w:rsidRPr="008F1EB8">
        <w:rPr>
          <w:rFonts w:eastAsia="Times New Roman"/>
          <w:sz w:val="24"/>
          <w:szCs w:val="24"/>
          <w:highlight w:val="white"/>
        </w:rPr>
        <w:t xml:space="preserve">Hancké </w:t>
      </w:r>
      <w:r w:rsidRPr="008F1EB8">
        <w:rPr>
          <w:rFonts w:eastAsia="Times New Roman"/>
          <w:i/>
          <w:sz w:val="24"/>
          <w:szCs w:val="24"/>
          <w:highlight w:val="white"/>
        </w:rPr>
        <w:t xml:space="preserve">et al. </w:t>
      </w:r>
      <w:r w:rsidRPr="008F1EB8">
        <w:rPr>
          <w:rFonts w:eastAsia="Times New Roman"/>
          <w:sz w:val="24"/>
          <w:szCs w:val="24"/>
        </w:rPr>
        <w:t xml:space="preserve">(2022), postulated that financial institutions and governments have intensified their usage of available cyclic loading procedures related to the testing of stress, which enhances adaptability in the long haul and therefore should underpin credit flows across both positive and negative situations. As depicted by </w:t>
      </w:r>
      <w:r w:rsidRPr="008F1EB8">
        <w:rPr>
          <w:rFonts w:eastAsia="Times New Roman"/>
          <w:sz w:val="24"/>
          <w:szCs w:val="24"/>
          <w:highlight w:val="white"/>
        </w:rPr>
        <w:t xml:space="preserve">Lombardi </w:t>
      </w:r>
      <w:r w:rsidRPr="008F1EB8">
        <w:rPr>
          <w:rFonts w:eastAsia="Times New Roman"/>
          <w:i/>
          <w:sz w:val="24"/>
          <w:szCs w:val="24"/>
          <w:highlight w:val="white"/>
        </w:rPr>
        <w:t>et al.</w:t>
      </w:r>
      <w:r w:rsidRPr="008F1EB8">
        <w:rPr>
          <w:rFonts w:eastAsia="Times New Roman"/>
          <w:sz w:val="24"/>
          <w:szCs w:val="24"/>
          <w:highlight w:val="white"/>
        </w:rPr>
        <w:t xml:space="preserve"> </w:t>
      </w:r>
      <w:r w:rsidRPr="008F1EB8">
        <w:rPr>
          <w:rFonts w:eastAsia="Times New Roman"/>
          <w:sz w:val="24"/>
          <w:szCs w:val="24"/>
        </w:rPr>
        <w:t xml:space="preserve">(2018), in consequence, financial institutions in major nations of the UK have engaged in sturdier and uncomplicated commodities and transitioned to ever more consistent income streams. Several of these alterations could have periodic qualities, like supportive financial regulation, and they may have become less relevant as part of the reform. </w:t>
      </w:r>
    </w:p>
    <w:p w14:paraId="0BED3205" w14:textId="4F9FFB63" w:rsidR="008D0C0D" w:rsidRPr="008F1EB8" w:rsidRDefault="00BD2D3C">
      <w:pPr>
        <w:spacing w:line="360" w:lineRule="auto"/>
        <w:jc w:val="both"/>
        <w:rPr>
          <w:rFonts w:eastAsia="Times New Roman"/>
          <w:sz w:val="24"/>
          <w:szCs w:val="24"/>
        </w:rPr>
      </w:pPr>
      <w:r w:rsidRPr="008F1EB8">
        <w:rPr>
          <w:rFonts w:eastAsia="Times New Roman"/>
          <w:sz w:val="24"/>
          <w:szCs w:val="24"/>
        </w:rPr>
        <w:t xml:space="preserve">A descriptive analysis </w:t>
      </w:r>
      <w:r w:rsidR="008F1EB8" w:rsidRPr="008F1EB8">
        <w:rPr>
          <w:rFonts w:eastAsia="Times New Roman"/>
          <w:sz w:val="24"/>
          <w:szCs w:val="24"/>
        </w:rPr>
        <w:t>conducted</w:t>
      </w:r>
      <w:r w:rsidRPr="008F1EB8">
        <w:rPr>
          <w:rFonts w:eastAsia="Times New Roman"/>
          <w:sz w:val="24"/>
          <w:szCs w:val="24"/>
        </w:rPr>
        <w:t xml:space="preserve"> by </w:t>
      </w:r>
      <w:r w:rsidRPr="008F1EB8">
        <w:rPr>
          <w:rFonts w:eastAsia="Times New Roman"/>
          <w:sz w:val="24"/>
          <w:szCs w:val="24"/>
          <w:highlight w:val="white"/>
        </w:rPr>
        <w:t xml:space="preserve">Nasreen </w:t>
      </w:r>
      <w:r w:rsidRPr="008F1EB8">
        <w:rPr>
          <w:rFonts w:eastAsia="Times New Roman"/>
          <w:i/>
          <w:sz w:val="24"/>
          <w:szCs w:val="24"/>
          <w:highlight w:val="white"/>
        </w:rPr>
        <w:t xml:space="preserve">et al. </w:t>
      </w:r>
      <w:r w:rsidRPr="008F1EB8">
        <w:rPr>
          <w:rFonts w:eastAsia="Times New Roman"/>
          <w:sz w:val="24"/>
          <w:szCs w:val="24"/>
        </w:rPr>
        <w:t xml:space="preserve">(2020), shows that financial institutions have drastically enhanced their corporate governance and regulatory compliance practices, which ultimately represent the </w:t>
      </w:r>
      <w:r w:rsidRPr="008F1EB8">
        <w:rPr>
          <w:rFonts w:eastAsia="Times New Roman"/>
          <w:b/>
          <w:sz w:val="24"/>
          <w:szCs w:val="24"/>
        </w:rPr>
        <w:t>“existing market dynamics and impending financial performance of the banks”</w:t>
      </w:r>
      <w:r w:rsidRPr="008F1EB8">
        <w:rPr>
          <w:rFonts w:eastAsia="Times New Roman"/>
          <w:sz w:val="24"/>
          <w:szCs w:val="24"/>
        </w:rPr>
        <w:t xml:space="preserve">. Venture capitalists remain to be apprehensive of certain financial institutions of the UK having low-profit margins, albeit with a recent improvement in market-based gauges of inflation expectations concerning big banks in the UK. </w:t>
      </w:r>
    </w:p>
    <w:p w14:paraId="25A4950D" w14:textId="77777777" w:rsidR="008D0C0D" w:rsidRPr="008F1EB8" w:rsidRDefault="00BD2D3C" w:rsidP="00682359">
      <w:pPr>
        <w:pStyle w:val="Heading1"/>
        <w:rPr>
          <w:rFonts w:ascii="Arial" w:hAnsi="Arial"/>
          <w:sz w:val="24"/>
          <w:szCs w:val="24"/>
        </w:rPr>
      </w:pPr>
      <w:bookmarkStart w:id="6" w:name="_Toc124120832"/>
      <w:r w:rsidRPr="008F1EB8">
        <w:rPr>
          <w:rFonts w:ascii="Arial" w:hAnsi="Arial"/>
        </w:rPr>
        <w:lastRenderedPageBreak/>
        <w:t>Different banking institutions post the 2008 crisis.</w:t>
      </w:r>
      <w:bookmarkEnd w:id="6"/>
      <w:r w:rsidRPr="008F1EB8">
        <w:rPr>
          <w:rFonts w:ascii="Arial" w:hAnsi="Arial"/>
        </w:rPr>
        <w:t xml:space="preserve"> </w:t>
      </w:r>
    </w:p>
    <w:p w14:paraId="35F6E625" w14:textId="17154134" w:rsidR="008D0C0D" w:rsidRPr="008F1EB8" w:rsidRDefault="00BD2D3C">
      <w:pPr>
        <w:spacing w:line="360" w:lineRule="auto"/>
        <w:jc w:val="both"/>
        <w:rPr>
          <w:rFonts w:eastAsia="Times New Roman"/>
          <w:sz w:val="24"/>
          <w:szCs w:val="24"/>
        </w:rPr>
      </w:pPr>
      <w:r w:rsidRPr="008F1EB8">
        <w:rPr>
          <w:rFonts w:eastAsia="Times New Roman"/>
          <w:sz w:val="24"/>
          <w:szCs w:val="24"/>
        </w:rPr>
        <w:t xml:space="preserve">According to </w:t>
      </w:r>
      <w:r w:rsidRPr="008F1EB8">
        <w:rPr>
          <w:rFonts w:eastAsia="Times New Roman"/>
          <w:sz w:val="24"/>
          <w:szCs w:val="24"/>
          <w:highlight w:val="white"/>
        </w:rPr>
        <w:t xml:space="preserve">Darvas </w:t>
      </w:r>
      <w:r w:rsidRPr="008F1EB8">
        <w:rPr>
          <w:rFonts w:eastAsia="Times New Roman"/>
          <w:i/>
          <w:sz w:val="24"/>
          <w:szCs w:val="24"/>
          <w:highlight w:val="white"/>
        </w:rPr>
        <w:t>et al</w:t>
      </w:r>
      <w:r w:rsidRPr="008F1EB8">
        <w:rPr>
          <w:rFonts w:eastAsia="Times New Roman"/>
          <w:sz w:val="24"/>
          <w:szCs w:val="24"/>
          <w:highlight w:val="white"/>
        </w:rPr>
        <w:t xml:space="preserve">. (2018), </w:t>
      </w:r>
      <w:r w:rsidRPr="008F1EB8">
        <w:rPr>
          <w:rFonts w:eastAsia="Times New Roman"/>
          <w:sz w:val="24"/>
          <w:szCs w:val="24"/>
        </w:rPr>
        <w:t xml:space="preserve">after 2008, UK's monetary policy performed reform and it has positively impacted the economy. Despite the financial and economic crisis that began in 2008, monetary policy in the UK has remained relatively stable. in addition to the central bank, these institutions have responded to this issue by implementing monetary policy so that restoration in this macroeconomic situation can be visible. </w:t>
      </w:r>
      <w:r w:rsidRPr="008F1EB8">
        <w:rPr>
          <w:rFonts w:eastAsia="Times New Roman"/>
          <w:sz w:val="24"/>
          <w:szCs w:val="24"/>
          <w:highlight w:val="white"/>
        </w:rPr>
        <w:t xml:space="preserve">Shkodina </w:t>
      </w:r>
      <w:r w:rsidRPr="008F1EB8">
        <w:rPr>
          <w:rFonts w:eastAsia="Times New Roman"/>
          <w:i/>
          <w:sz w:val="24"/>
          <w:szCs w:val="24"/>
          <w:highlight w:val="white"/>
        </w:rPr>
        <w:t>et al</w:t>
      </w:r>
      <w:r w:rsidRPr="008F1EB8">
        <w:rPr>
          <w:rFonts w:eastAsia="Times New Roman"/>
          <w:sz w:val="24"/>
          <w:szCs w:val="24"/>
          <w:highlight w:val="white"/>
        </w:rPr>
        <w:t xml:space="preserve">. (2020), stated that </w:t>
      </w:r>
      <w:r w:rsidRPr="008F1EB8">
        <w:rPr>
          <w:rFonts w:eastAsia="Times New Roman"/>
          <w:sz w:val="24"/>
          <w:szCs w:val="24"/>
        </w:rPr>
        <w:t xml:space="preserve">due to conventional monetary policy's ineffectiveness in boosting the economy post-crisis, the Bank of England introduced quantitative easing. Between September 2008 and March 2009, the short-term interest rate decreased from 5% to 0.5%; after that, it decreased to 0.25% in August 2016. According to </w:t>
      </w:r>
      <w:r w:rsidRPr="008F1EB8">
        <w:rPr>
          <w:rFonts w:eastAsia="Times New Roman"/>
          <w:sz w:val="24"/>
          <w:szCs w:val="24"/>
          <w:highlight w:val="white"/>
        </w:rPr>
        <w:t xml:space="preserve">Resende </w:t>
      </w:r>
      <w:r w:rsidRPr="008F1EB8">
        <w:rPr>
          <w:rFonts w:eastAsia="Times New Roman"/>
          <w:i/>
          <w:sz w:val="24"/>
          <w:szCs w:val="24"/>
          <w:highlight w:val="white"/>
        </w:rPr>
        <w:t>et al</w:t>
      </w:r>
      <w:r w:rsidRPr="008F1EB8">
        <w:rPr>
          <w:rFonts w:eastAsia="Times New Roman"/>
          <w:sz w:val="24"/>
          <w:szCs w:val="24"/>
          <w:highlight w:val="white"/>
        </w:rPr>
        <w:t xml:space="preserve">. (2021), </w:t>
      </w:r>
      <w:r w:rsidRPr="008F1EB8">
        <w:rPr>
          <w:rFonts w:eastAsia="Times New Roman"/>
          <w:sz w:val="24"/>
          <w:szCs w:val="24"/>
        </w:rPr>
        <w:t>the Bank of England</w:t>
      </w:r>
      <w:r w:rsidR="00493DEF" w:rsidRPr="008F1EB8">
        <w:rPr>
          <w:rFonts w:eastAsia="Times New Roman"/>
          <w:sz w:val="24"/>
          <w:szCs w:val="24"/>
        </w:rPr>
        <w:t xml:space="preserve"> (BOE)</w:t>
      </w:r>
      <w:r w:rsidRPr="008F1EB8">
        <w:rPr>
          <w:rFonts w:eastAsia="Times New Roman"/>
          <w:sz w:val="24"/>
          <w:szCs w:val="24"/>
        </w:rPr>
        <w:t xml:space="preserve"> purchases financial assets via money creation, primarily UK government bonds on the secondary market. By shifting government bonds from the bond owner's balance sheet to the asset purchase facility's balance sheet, new deposits are replaced with government bonds held by the BOE. During the process, reserve deposits are also created at commercial banks to back up the newly created deposits. As a result of QE, commercial banks are keeping more reserves at the Bank of England, boosting spending and some economic growth (</w:t>
      </w:r>
      <w:r w:rsidRPr="008F1EB8">
        <w:rPr>
          <w:rFonts w:eastAsia="Times New Roman"/>
          <w:sz w:val="24"/>
          <w:szCs w:val="24"/>
          <w:highlight w:val="white"/>
        </w:rPr>
        <w:t>Sokol, 2022)</w:t>
      </w:r>
      <w:r w:rsidRPr="008F1EB8">
        <w:rPr>
          <w:rFonts w:eastAsia="Times New Roman"/>
          <w:sz w:val="24"/>
          <w:szCs w:val="24"/>
        </w:rPr>
        <w:t>.</w:t>
      </w:r>
    </w:p>
    <w:p w14:paraId="5BE7EBC9" w14:textId="77777777" w:rsidR="008D0C0D" w:rsidRPr="008F1EB8" w:rsidRDefault="00BD2D3C">
      <w:pPr>
        <w:spacing w:before="240" w:after="240" w:line="360" w:lineRule="auto"/>
        <w:jc w:val="both"/>
        <w:rPr>
          <w:rFonts w:eastAsia="Times New Roman"/>
          <w:sz w:val="24"/>
          <w:szCs w:val="24"/>
        </w:rPr>
      </w:pPr>
      <w:r w:rsidRPr="008F1EB8">
        <w:rPr>
          <w:rFonts w:eastAsia="Times New Roman"/>
          <w:sz w:val="24"/>
          <w:szCs w:val="24"/>
        </w:rPr>
        <w:t xml:space="preserve">As per </w:t>
      </w:r>
      <w:r w:rsidRPr="008F1EB8">
        <w:rPr>
          <w:rFonts w:eastAsia="Times New Roman"/>
          <w:sz w:val="24"/>
          <w:szCs w:val="24"/>
          <w:highlight w:val="white"/>
        </w:rPr>
        <w:t xml:space="preserve">Johannes </w:t>
      </w:r>
      <w:r w:rsidRPr="008F1EB8">
        <w:rPr>
          <w:rFonts w:eastAsia="Times New Roman"/>
          <w:i/>
          <w:sz w:val="24"/>
          <w:szCs w:val="24"/>
          <w:highlight w:val="white"/>
        </w:rPr>
        <w:t>et al</w:t>
      </w:r>
      <w:r w:rsidRPr="008F1EB8">
        <w:rPr>
          <w:rFonts w:eastAsia="Times New Roman"/>
          <w:sz w:val="24"/>
          <w:szCs w:val="24"/>
          <w:highlight w:val="white"/>
        </w:rPr>
        <w:t xml:space="preserve">. (2018), </w:t>
      </w:r>
      <w:r w:rsidRPr="008F1EB8">
        <w:rPr>
          <w:rFonts w:eastAsia="Times New Roman"/>
          <w:sz w:val="24"/>
          <w:szCs w:val="24"/>
        </w:rPr>
        <w:t xml:space="preserve"> speaking of HSBC, very significant measures have been taken to protect their business, for instance, in the beginning, the company introduced lending criteria that were geared towards conservation. Reducing unsecured lending and reducing loan-to-value ratios, for example. However, despite this, financial institutions like HSBC focused on certain banking principles in 2008 post-crisis which was essential as a result. Moreover, keeping their capital intact and keep advances conservative with 84% deposits, thus, self-funded as a result. Additionally, the bank has been actively reducing its non-core wholesale and subprime consumer assets. Risk-weighted assets are carefully managed by HSBC to protect its capital position (</w:t>
      </w:r>
      <w:r w:rsidRPr="008F1EB8">
        <w:rPr>
          <w:rFonts w:eastAsia="Times New Roman"/>
          <w:sz w:val="24"/>
          <w:szCs w:val="24"/>
          <w:highlight w:val="white"/>
        </w:rPr>
        <w:t>Ganderson, 2020)</w:t>
      </w:r>
      <w:r w:rsidRPr="008F1EB8">
        <w:rPr>
          <w:rFonts w:eastAsia="Times New Roman"/>
          <w:sz w:val="24"/>
          <w:szCs w:val="24"/>
        </w:rPr>
        <w:t xml:space="preserve">. </w:t>
      </w:r>
    </w:p>
    <w:p w14:paraId="6B4D6FC2" w14:textId="1C98E088" w:rsidR="00682359" w:rsidRPr="008F1EB8" w:rsidRDefault="00BD2D3C">
      <w:pPr>
        <w:spacing w:before="240" w:after="240" w:line="360" w:lineRule="auto"/>
        <w:jc w:val="both"/>
        <w:rPr>
          <w:rFonts w:eastAsia="Times New Roman"/>
          <w:sz w:val="24"/>
          <w:szCs w:val="24"/>
        </w:rPr>
      </w:pPr>
      <w:r w:rsidRPr="008F1EB8">
        <w:rPr>
          <w:rFonts w:eastAsia="Times New Roman"/>
          <w:sz w:val="24"/>
          <w:szCs w:val="24"/>
        </w:rPr>
        <w:t>However, in addition to Barclays bank, a total of four former executives of Barclays PLC are facing fraud charges for their actions during the 2008 financial crisis (</w:t>
      </w:r>
      <w:r w:rsidRPr="008F1EB8">
        <w:rPr>
          <w:rFonts w:eastAsia="Times New Roman"/>
          <w:sz w:val="24"/>
          <w:szCs w:val="24"/>
          <w:highlight w:val="white"/>
        </w:rPr>
        <w:t xml:space="preserve">Francis </w:t>
      </w:r>
      <w:r w:rsidRPr="008F1EB8">
        <w:rPr>
          <w:rFonts w:eastAsia="Times New Roman"/>
          <w:i/>
          <w:sz w:val="24"/>
          <w:szCs w:val="24"/>
          <w:highlight w:val="white"/>
        </w:rPr>
        <w:t>et al</w:t>
      </w:r>
      <w:r w:rsidRPr="008F1EB8">
        <w:rPr>
          <w:rFonts w:eastAsia="Times New Roman"/>
          <w:sz w:val="24"/>
          <w:szCs w:val="24"/>
          <w:highlight w:val="white"/>
        </w:rPr>
        <w:t>. 2018)</w:t>
      </w:r>
      <w:r w:rsidRPr="008F1EB8">
        <w:rPr>
          <w:rFonts w:eastAsia="Times New Roman"/>
          <w:sz w:val="24"/>
          <w:szCs w:val="24"/>
        </w:rPr>
        <w:t xml:space="preserve">. As a result of the 2008 global financial crisis, the US Justice Department has fined British banking giant Barclays $2 billion for selling mortgage derivatives in the run-up. The company "intentionally misrepresented" certain facts regarding the </w:t>
      </w:r>
      <w:r w:rsidRPr="008F1EB8">
        <w:rPr>
          <w:rFonts w:eastAsia="Times New Roman"/>
          <w:sz w:val="24"/>
          <w:szCs w:val="24"/>
        </w:rPr>
        <w:lastRenderedPageBreak/>
        <w:t xml:space="preserve">mortgages underlying the investment vehicles. </w:t>
      </w:r>
      <w:r w:rsidRPr="008F1EB8">
        <w:rPr>
          <w:rFonts w:eastAsia="Times New Roman"/>
          <w:sz w:val="24"/>
          <w:szCs w:val="24"/>
          <w:highlight w:val="white"/>
        </w:rPr>
        <w:t xml:space="preserve">Bratton </w:t>
      </w:r>
      <w:r w:rsidRPr="008F1EB8">
        <w:rPr>
          <w:rFonts w:eastAsia="Times New Roman"/>
          <w:i/>
          <w:sz w:val="24"/>
          <w:szCs w:val="24"/>
          <w:highlight w:val="white"/>
        </w:rPr>
        <w:t>et al</w:t>
      </w:r>
      <w:r w:rsidRPr="008F1EB8">
        <w:rPr>
          <w:rFonts w:eastAsia="Times New Roman"/>
          <w:sz w:val="24"/>
          <w:szCs w:val="24"/>
          <w:highlight w:val="white"/>
        </w:rPr>
        <w:t xml:space="preserve">. (2020), stated that </w:t>
      </w:r>
      <w:r w:rsidRPr="008F1EB8">
        <w:rPr>
          <w:rFonts w:eastAsia="Times New Roman"/>
          <w:sz w:val="24"/>
          <w:szCs w:val="24"/>
        </w:rPr>
        <w:t xml:space="preserve">two former Barclays executives have also settled with federal prosecutors on charges of selling </w:t>
      </w:r>
      <w:r w:rsidR="00493DEF" w:rsidRPr="008F1EB8">
        <w:rPr>
          <w:rFonts w:eastAsia="Times New Roman"/>
          <w:b/>
          <w:bCs/>
          <w:sz w:val="24"/>
          <w:szCs w:val="24"/>
        </w:rPr>
        <w:t>R</w:t>
      </w:r>
      <w:r w:rsidRPr="008F1EB8">
        <w:rPr>
          <w:rFonts w:eastAsia="Times New Roman"/>
          <w:b/>
          <w:bCs/>
          <w:sz w:val="24"/>
          <w:szCs w:val="24"/>
        </w:rPr>
        <w:t xml:space="preserve">esidential </w:t>
      </w:r>
      <w:r w:rsidR="00493DEF" w:rsidRPr="008F1EB8">
        <w:rPr>
          <w:rFonts w:eastAsia="Times New Roman"/>
          <w:b/>
          <w:bCs/>
          <w:sz w:val="24"/>
          <w:szCs w:val="24"/>
        </w:rPr>
        <w:t>M</w:t>
      </w:r>
      <w:r w:rsidRPr="008F1EB8">
        <w:rPr>
          <w:rFonts w:eastAsia="Times New Roman"/>
          <w:b/>
          <w:bCs/>
          <w:sz w:val="24"/>
          <w:szCs w:val="24"/>
        </w:rPr>
        <w:t>ortgage-</w:t>
      </w:r>
      <w:r w:rsidR="00493DEF" w:rsidRPr="008F1EB8">
        <w:rPr>
          <w:rFonts w:eastAsia="Times New Roman"/>
          <w:b/>
          <w:bCs/>
          <w:sz w:val="24"/>
          <w:szCs w:val="24"/>
        </w:rPr>
        <w:t>B</w:t>
      </w:r>
      <w:r w:rsidRPr="008F1EB8">
        <w:rPr>
          <w:rFonts w:eastAsia="Times New Roman"/>
          <w:b/>
          <w:bCs/>
          <w:sz w:val="24"/>
          <w:szCs w:val="24"/>
        </w:rPr>
        <w:t xml:space="preserve">acked </w:t>
      </w:r>
      <w:r w:rsidR="00493DEF" w:rsidRPr="008F1EB8">
        <w:rPr>
          <w:rFonts w:eastAsia="Times New Roman"/>
          <w:b/>
          <w:bCs/>
          <w:sz w:val="24"/>
          <w:szCs w:val="24"/>
        </w:rPr>
        <w:t>S</w:t>
      </w:r>
      <w:r w:rsidRPr="008F1EB8">
        <w:rPr>
          <w:rFonts w:eastAsia="Times New Roman"/>
          <w:b/>
          <w:bCs/>
          <w:sz w:val="24"/>
          <w:szCs w:val="24"/>
        </w:rPr>
        <w:t>ecurities (RMBS)</w:t>
      </w:r>
      <w:r w:rsidRPr="008F1EB8">
        <w:rPr>
          <w:rFonts w:eastAsia="Times New Roman"/>
          <w:sz w:val="24"/>
          <w:szCs w:val="24"/>
        </w:rPr>
        <w:t xml:space="preserve"> and trading them. Therefore, In a review of Barclays' business practices further, independent analysts recommend strengthening the bank's board, increasing collaboration with City watchdogs, and tying pay to performance. As mentioned before, due to the crisis certain institutions collapsed one of those being RBS. Furthermore, the Royal Bank of Scotland has been plagued by problems since it bought ABN Amro in 2007 for a record-breaking £49 billion. Despite a £12bn cash call to boost RBS' finances in April 2008, the state had to bail out the bank for £45bn within six months (</w:t>
      </w:r>
      <w:r w:rsidRPr="008F1EB8">
        <w:rPr>
          <w:rFonts w:eastAsia="Times New Roman"/>
          <w:sz w:val="24"/>
          <w:szCs w:val="24"/>
          <w:highlight w:val="white"/>
        </w:rPr>
        <w:t xml:space="preserve">Buchholtz </w:t>
      </w:r>
      <w:r w:rsidRPr="008F1EB8">
        <w:rPr>
          <w:rFonts w:eastAsia="Times New Roman"/>
          <w:i/>
          <w:sz w:val="24"/>
          <w:szCs w:val="24"/>
          <w:highlight w:val="white"/>
        </w:rPr>
        <w:t>et al</w:t>
      </w:r>
      <w:r w:rsidRPr="008F1EB8">
        <w:rPr>
          <w:rFonts w:eastAsia="Times New Roman"/>
          <w:sz w:val="24"/>
          <w:szCs w:val="24"/>
          <w:highlight w:val="white"/>
        </w:rPr>
        <w:t>. 2020)</w:t>
      </w:r>
      <w:r w:rsidRPr="008F1EB8">
        <w:rPr>
          <w:rFonts w:eastAsia="Times New Roman"/>
          <w:sz w:val="24"/>
          <w:szCs w:val="24"/>
        </w:rPr>
        <w:t>. It has not made a profit since being rescued by the government and is expected to report losses for the next 10 years.</w:t>
      </w:r>
    </w:p>
    <w:p w14:paraId="14C55B57" w14:textId="2168B6E4" w:rsidR="008D0C0D" w:rsidRPr="008F1EB8" w:rsidRDefault="00BD2D3C">
      <w:pPr>
        <w:spacing w:before="240" w:after="240" w:line="360" w:lineRule="auto"/>
        <w:jc w:val="both"/>
        <w:rPr>
          <w:rFonts w:eastAsia="Times New Roman"/>
          <w:sz w:val="24"/>
          <w:szCs w:val="24"/>
        </w:rPr>
      </w:pPr>
      <w:r w:rsidRPr="008F1EB8">
        <w:rPr>
          <w:rFonts w:eastAsia="Times New Roman"/>
          <w:sz w:val="24"/>
          <w:szCs w:val="24"/>
        </w:rPr>
        <w:t xml:space="preserve">In addition to </w:t>
      </w:r>
      <w:r w:rsidRPr="008F1EB8">
        <w:rPr>
          <w:rFonts w:eastAsia="Times New Roman"/>
          <w:b/>
          <w:sz w:val="24"/>
          <w:szCs w:val="24"/>
        </w:rPr>
        <w:t xml:space="preserve"> </w:t>
      </w:r>
      <w:r w:rsidRPr="008F1EB8">
        <w:rPr>
          <w:rFonts w:eastAsia="Times New Roman"/>
          <w:sz w:val="24"/>
          <w:szCs w:val="24"/>
        </w:rPr>
        <w:t xml:space="preserve">Lloyds Banking Group, with their combined capital raising of £17 billion, HBOS and Lloyds TSB issued £20.4 billion in ordinary shares and £20.8 billion in preference shares. For a total investment of £13.5 billion, the Fund bought the preference shares outright and underwrote the ordinary share issuances. However, It has been referred to as a "Big Bang” which is another deregulation of financial services, as part of proposed plans to ease regulations. In light of the economic and social damage caused by the 2008 financial crisis, the G20 committed to fundamental financial reforms. The global crisis was hoped to be solved and more secure, resilient sources of finance would provide greater economic benefit. Global financial regulation and oversight are now under the supervision of the </w:t>
      </w:r>
      <w:r w:rsidR="00493DEF" w:rsidRPr="008F1EB8">
        <w:rPr>
          <w:rFonts w:eastAsia="Times New Roman"/>
          <w:sz w:val="24"/>
          <w:szCs w:val="24"/>
        </w:rPr>
        <w:t xml:space="preserve">Financial Stability Board </w:t>
      </w:r>
      <w:r w:rsidR="00493DEF" w:rsidRPr="008F1EB8">
        <w:rPr>
          <w:rFonts w:eastAsia="Times New Roman"/>
          <w:sz w:val="24"/>
          <w:szCs w:val="24"/>
        </w:rPr>
        <w:t>(</w:t>
      </w:r>
      <w:r w:rsidRPr="008F1EB8">
        <w:rPr>
          <w:rFonts w:eastAsia="Times New Roman"/>
          <w:sz w:val="24"/>
          <w:szCs w:val="24"/>
        </w:rPr>
        <w:t>FSB</w:t>
      </w:r>
      <w:r w:rsidR="00493DEF" w:rsidRPr="008F1EB8">
        <w:rPr>
          <w:rFonts w:eastAsia="Times New Roman"/>
          <w:sz w:val="24"/>
          <w:szCs w:val="24"/>
        </w:rPr>
        <w:t>)</w:t>
      </w:r>
      <w:r w:rsidRPr="008F1EB8">
        <w:rPr>
          <w:rFonts w:eastAsia="Times New Roman"/>
          <w:sz w:val="24"/>
          <w:szCs w:val="24"/>
        </w:rPr>
        <w:t>, a body formed by the G20. These reforms contributed to G20's primary objective of strong, sustainable, and balanced growth by reducing future financial crises and the consequences of financial instability.</w:t>
      </w:r>
      <w:r w:rsidR="0005398F" w:rsidRPr="008F1EB8">
        <w:rPr>
          <w:rFonts w:eastAsia="Times New Roman"/>
          <w:sz w:val="24"/>
          <w:szCs w:val="24"/>
        </w:rPr>
        <w:t xml:space="preserve"> (“Post-2008 financial crisis reforms - Financial Stability Board - FSB”)</w:t>
      </w:r>
      <w:r w:rsidRPr="008F1EB8">
        <w:rPr>
          <w:rFonts w:eastAsia="Times New Roman"/>
          <w:sz w:val="24"/>
          <w:szCs w:val="24"/>
        </w:rPr>
        <w:t xml:space="preserve"> </w:t>
      </w:r>
    </w:p>
    <w:p w14:paraId="2251EF3E" w14:textId="77777777" w:rsidR="00493DEF" w:rsidRPr="008F1EB8" w:rsidRDefault="00BD2D3C" w:rsidP="00682359">
      <w:pPr>
        <w:spacing w:line="360" w:lineRule="auto"/>
        <w:jc w:val="both"/>
        <w:rPr>
          <w:sz w:val="24"/>
          <w:szCs w:val="24"/>
        </w:rPr>
      </w:pPr>
      <w:bookmarkStart w:id="7" w:name="_9aa8z0mm5i19" w:colFirst="0" w:colLast="0"/>
      <w:bookmarkEnd w:id="7"/>
      <w:r w:rsidRPr="008F1EB8">
        <w:rPr>
          <w:sz w:val="24"/>
          <w:szCs w:val="24"/>
        </w:rPr>
        <w:t>However, the overall reforms the institution has implemented can be considered such as: institutionalizing resilience in the financial sector and overcoming the too-big-to-fail syndrome. Additionally, toxic too-big-to-fail companies must be ended and supervision needs to be strengthened (</w:t>
      </w:r>
      <w:r w:rsidRPr="008F1EB8">
        <w:rPr>
          <w:sz w:val="24"/>
          <w:szCs w:val="24"/>
          <w:highlight w:val="white"/>
        </w:rPr>
        <w:t>Aidnik, 2020)</w:t>
      </w:r>
      <w:r w:rsidRPr="008F1EB8">
        <w:rPr>
          <w:sz w:val="24"/>
          <w:szCs w:val="24"/>
        </w:rPr>
        <w:t>. Moreover, providing a safe environment for derivatives markets and intermediation by non-banks to become more resilient. In addition to providing authorities with a clearer view of the interconnectedness of the</w:t>
      </w:r>
    </w:p>
    <w:p w14:paraId="77B47B06" w14:textId="77777777" w:rsidR="00493DEF" w:rsidRPr="008F1EB8" w:rsidRDefault="00BD2D3C" w:rsidP="00682359">
      <w:pPr>
        <w:spacing w:line="360" w:lineRule="auto"/>
        <w:jc w:val="both"/>
        <w:rPr>
          <w:sz w:val="24"/>
          <w:szCs w:val="24"/>
        </w:rPr>
      </w:pPr>
      <w:r w:rsidRPr="008F1EB8">
        <w:rPr>
          <w:sz w:val="24"/>
          <w:szCs w:val="24"/>
        </w:rPr>
        <w:t xml:space="preserve">largest financial institutions, the initiative improves the framework for assessing </w:t>
      </w:r>
    </w:p>
    <w:p w14:paraId="724DE7CD" w14:textId="1C39FD3B" w:rsidR="008D0C0D" w:rsidRPr="008F1EB8" w:rsidRDefault="00BD2D3C" w:rsidP="00682359">
      <w:pPr>
        <w:spacing w:line="360" w:lineRule="auto"/>
        <w:jc w:val="both"/>
        <w:rPr>
          <w:sz w:val="24"/>
          <w:szCs w:val="24"/>
        </w:rPr>
      </w:pPr>
      <w:r w:rsidRPr="008F1EB8">
        <w:rPr>
          <w:sz w:val="24"/>
          <w:szCs w:val="24"/>
        </w:rPr>
        <w:t>potential systemic risks.</w:t>
      </w:r>
    </w:p>
    <w:p w14:paraId="14898D29" w14:textId="77CA8FD0" w:rsidR="008F1EB8" w:rsidRPr="00A97F67" w:rsidRDefault="008F1EB8" w:rsidP="008F1EB8">
      <w:pPr>
        <w:pStyle w:val="Heading1"/>
        <w:rPr>
          <w:rFonts w:ascii="Arial" w:hAnsi="Arial"/>
        </w:rPr>
      </w:pPr>
      <w:bookmarkStart w:id="8" w:name="_Toc124120833"/>
      <w:r w:rsidRPr="00A97F67">
        <w:rPr>
          <w:rFonts w:ascii="Arial" w:hAnsi="Arial"/>
        </w:rPr>
        <w:lastRenderedPageBreak/>
        <w:t xml:space="preserve">Background of </w:t>
      </w:r>
      <w:r>
        <w:rPr>
          <w:rFonts w:ascii="Arial" w:hAnsi="Arial"/>
        </w:rPr>
        <w:t>Barclays Bank PLC</w:t>
      </w:r>
      <w:bookmarkEnd w:id="8"/>
      <w:r w:rsidRPr="00A97F67">
        <w:rPr>
          <w:rFonts w:ascii="Arial" w:hAnsi="Arial"/>
        </w:rPr>
        <w:t xml:space="preserve"> </w:t>
      </w:r>
    </w:p>
    <w:p w14:paraId="33127D7C" w14:textId="49DE1A57" w:rsidR="008F1EB8" w:rsidRDefault="008F1EB8">
      <w:pPr>
        <w:spacing w:line="360" w:lineRule="auto"/>
        <w:jc w:val="both"/>
        <w:rPr>
          <w:rFonts w:eastAsia="Times New Roman"/>
          <w:sz w:val="24"/>
          <w:szCs w:val="24"/>
        </w:rPr>
      </w:pPr>
      <w:r w:rsidRPr="00A97F67">
        <w:rPr>
          <w:rFonts w:eastAsia="Times New Roman"/>
          <w:sz w:val="24"/>
          <w:szCs w:val="24"/>
        </w:rPr>
        <w:t xml:space="preserve">According to </w:t>
      </w:r>
      <w:r w:rsidRPr="00A97F67">
        <w:rPr>
          <w:rFonts w:eastAsia="Times New Roman"/>
          <w:sz w:val="24"/>
          <w:szCs w:val="24"/>
          <w:highlight w:val="white"/>
        </w:rPr>
        <w:t xml:space="preserve">Ocra, (2021), </w:t>
      </w:r>
      <w:r w:rsidRPr="00A97F67">
        <w:rPr>
          <w:rFonts w:eastAsia="Times New Roman"/>
          <w:sz w:val="24"/>
          <w:szCs w:val="24"/>
        </w:rPr>
        <w:t xml:space="preserve">when few people were literate, buildings were identified by signs; when a building changed ownership, the sign remained. As of 1728, Barclays was located at 54 Lombard Street, now referred to as the Black Spread Eagle. Thus, Barclays became known as Barclays Spread Eagle, adopted in 1937 as its official coat of arms (Referenceforbusiness, 2022). The bank is now a popular British </w:t>
      </w:r>
      <w:r>
        <w:rPr>
          <w:rFonts w:eastAsia="Times New Roman"/>
          <w:sz w:val="24"/>
          <w:szCs w:val="24"/>
        </w:rPr>
        <w:t>global</w:t>
      </w:r>
      <w:r w:rsidRPr="00A97F67">
        <w:rPr>
          <w:rFonts w:eastAsia="Times New Roman"/>
          <w:sz w:val="24"/>
          <w:szCs w:val="24"/>
        </w:rPr>
        <w:t xml:space="preserve"> bank that supports consumers</w:t>
      </w:r>
      <w:r>
        <w:rPr>
          <w:rFonts w:eastAsia="Times New Roman"/>
          <w:sz w:val="24"/>
          <w:szCs w:val="24"/>
        </w:rPr>
        <w:t>,</w:t>
      </w:r>
      <w:r w:rsidRPr="00A97F67">
        <w:rPr>
          <w:rFonts w:eastAsia="Times New Roman"/>
          <w:sz w:val="24"/>
          <w:szCs w:val="24"/>
        </w:rPr>
        <w:t xml:space="preserve"> small and medium businesses with its retail banking services and other financial institutions. </w:t>
      </w:r>
    </w:p>
    <w:p w14:paraId="2BF6FA0A" w14:textId="125B0BBD" w:rsidR="008F1EB8" w:rsidRPr="008F1EB8" w:rsidRDefault="008F1EB8" w:rsidP="008F1EB8">
      <w:pPr>
        <w:pStyle w:val="Heading1"/>
        <w:rPr>
          <w:rFonts w:ascii="Arial" w:hAnsi="Arial"/>
          <w:sz w:val="32"/>
          <w:szCs w:val="32"/>
        </w:rPr>
      </w:pPr>
      <w:bookmarkStart w:id="9" w:name="_Toc124120834"/>
      <w:r w:rsidRPr="008F1EB8">
        <w:rPr>
          <w:rFonts w:ascii="Arial" w:hAnsi="Arial"/>
        </w:rPr>
        <w:t xml:space="preserve">Impact of the post-2008 financial crisis on </w:t>
      </w:r>
      <w:r>
        <w:rPr>
          <w:rFonts w:ascii="Arial" w:hAnsi="Arial"/>
        </w:rPr>
        <w:t>Barclays Bank</w:t>
      </w:r>
      <w:bookmarkEnd w:id="9"/>
    </w:p>
    <w:p w14:paraId="130555E9" w14:textId="28837B53" w:rsidR="008D0C0D" w:rsidRPr="008F1EB8" w:rsidRDefault="00BD2D3C">
      <w:pPr>
        <w:spacing w:line="360" w:lineRule="auto"/>
        <w:jc w:val="both"/>
        <w:rPr>
          <w:rFonts w:eastAsia="Times New Roman"/>
          <w:sz w:val="24"/>
          <w:szCs w:val="24"/>
        </w:rPr>
      </w:pPr>
      <w:r w:rsidRPr="008F1EB8">
        <w:rPr>
          <w:rFonts w:eastAsia="Times New Roman"/>
          <w:sz w:val="24"/>
          <w:szCs w:val="24"/>
        </w:rPr>
        <w:t xml:space="preserve">Barclay’s Bank is a British multinational bank that follows the ‘business to customer’ business model under which it maintains “advisory and underwriting services” which provide the bank with advice regarding managing the financial and debt-equity services. Along with that, it also provides the bank with “sales and trading” that helps to maintain the sales and trading services offered to the customers based on a fixed income, investment businesses, assets, and so on. However, </w:t>
      </w:r>
      <w:r w:rsidRPr="008F1EB8">
        <w:rPr>
          <w:rFonts w:eastAsia="Times New Roman"/>
          <w:sz w:val="24"/>
          <w:szCs w:val="24"/>
          <w:highlight w:val="white"/>
        </w:rPr>
        <w:t xml:space="preserve">Wang </w:t>
      </w:r>
      <w:r w:rsidRPr="008F1EB8">
        <w:rPr>
          <w:rFonts w:eastAsia="Times New Roman"/>
          <w:i/>
          <w:sz w:val="24"/>
          <w:szCs w:val="24"/>
          <w:highlight w:val="white"/>
        </w:rPr>
        <w:t xml:space="preserve">et al. </w:t>
      </w:r>
      <w:r w:rsidRPr="008F1EB8">
        <w:rPr>
          <w:rFonts w:eastAsia="Times New Roman"/>
          <w:sz w:val="24"/>
          <w:szCs w:val="24"/>
          <w:highlight w:val="white"/>
        </w:rPr>
        <w:t>(2020</w:t>
      </w:r>
      <w:r w:rsidRPr="008F1EB8">
        <w:rPr>
          <w:rFonts w:eastAsia="Times New Roman"/>
          <w:sz w:val="24"/>
          <w:szCs w:val="24"/>
        </w:rPr>
        <w:t>) stated that the post-2008 financial crisis UK reforms has impacted the business model of Barclay’s Bank in a significant way.</w:t>
      </w:r>
    </w:p>
    <w:p w14:paraId="4EBD8B09" w14:textId="557986DC" w:rsidR="008D0C0D" w:rsidRPr="008F1EB8" w:rsidRDefault="00BD2D3C">
      <w:pPr>
        <w:spacing w:line="360" w:lineRule="auto"/>
        <w:jc w:val="both"/>
        <w:rPr>
          <w:rFonts w:eastAsia="Times New Roman"/>
          <w:sz w:val="24"/>
          <w:szCs w:val="24"/>
        </w:rPr>
      </w:pPr>
      <w:r w:rsidRPr="008F1EB8">
        <w:rPr>
          <w:rFonts w:eastAsia="Times New Roman"/>
          <w:sz w:val="24"/>
          <w:szCs w:val="24"/>
        </w:rPr>
        <w:t xml:space="preserve">The post-2008 financial crisis UK reforms has </w:t>
      </w:r>
      <w:r w:rsidR="00493DEF" w:rsidRPr="008F1EB8">
        <w:rPr>
          <w:rFonts w:eastAsia="Times New Roman"/>
          <w:sz w:val="24"/>
          <w:szCs w:val="24"/>
        </w:rPr>
        <w:t xml:space="preserve">also </w:t>
      </w:r>
      <w:r w:rsidRPr="008F1EB8">
        <w:rPr>
          <w:rFonts w:eastAsia="Times New Roman"/>
          <w:sz w:val="24"/>
          <w:szCs w:val="24"/>
        </w:rPr>
        <w:t xml:space="preserve">impacted the </w:t>
      </w:r>
      <w:r w:rsidRPr="008F1EB8">
        <w:rPr>
          <w:rFonts w:eastAsia="Times New Roman"/>
          <w:b/>
          <w:sz w:val="24"/>
          <w:szCs w:val="24"/>
        </w:rPr>
        <w:t>“governance”</w:t>
      </w:r>
      <w:r w:rsidRPr="008F1EB8">
        <w:rPr>
          <w:rFonts w:eastAsia="Times New Roman"/>
          <w:sz w:val="24"/>
          <w:szCs w:val="24"/>
        </w:rPr>
        <w:t xml:space="preserve"> of the business model. As per </w:t>
      </w:r>
      <w:r w:rsidRPr="008F1EB8">
        <w:rPr>
          <w:rFonts w:eastAsia="Times New Roman"/>
          <w:sz w:val="24"/>
          <w:szCs w:val="24"/>
          <w:highlight w:val="white"/>
        </w:rPr>
        <w:t xml:space="preserve">Habanabakize, </w:t>
      </w:r>
      <w:r w:rsidRPr="008F1EB8">
        <w:rPr>
          <w:rFonts w:eastAsia="Times New Roman"/>
          <w:sz w:val="24"/>
          <w:szCs w:val="24"/>
        </w:rPr>
        <w:t>(2020), a “program governance structure” has been incorporated to assure the efficient distribution of the work for improving and resolving the issues faced by Barclay’s to look after the boards of ‘BPLC’, ‘BBPLC’ and ‘BBUKPLC’ along with the risk management committee.</w:t>
      </w:r>
      <w:r w:rsidRPr="008F1EB8">
        <w:rPr>
          <w:rFonts w:eastAsia="Times New Roman"/>
          <w:b/>
          <w:sz w:val="24"/>
          <w:szCs w:val="24"/>
        </w:rPr>
        <w:t xml:space="preserve"> </w:t>
      </w:r>
      <w:r w:rsidRPr="008F1EB8">
        <w:rPr>
          <w:rFonts w:eastAsia="Times New Roman"/>
          <w:sz w:val="24"/>
          <w:szCs w:val="24"/>
        </w:rPr>
        <w:t xml:space="preserve">The arena of ‘BBI’ and ‘BUSLLC’ are committed to resolving the general issues and activities occurring within the UK. For efficient governance, the business organization divides the task and responsibilities under the management of the UK and finance management to develop strategies for recovering the organization.  </w:t>
      </w:r>
    </w:p>
    <w:p w14:paraId="588BA55F" w14:textId="77777777" w:rsidR="008D0C0D" w:rsidRPr="008F1EB8" w:rsidRDefault="00BD2D3C">
      <w:pPr>
        <w:spacing w:line="360" w:lineRule="auto"/>
        <w:jc w:val="both"/>
        <w:rPr>
          <w:rFonts w:eastAsia="Times New Roman"/>
          <w:sz w:val="24"/>
          <w:szCs w:val="24"/>
        </w:rPr>
      </w:pPr>
      <w:r w:rsidRPr="008F1EB8">
        <w:rPr>
          <w:rFonts w:eastAsia="Times New Roman"/>
          <w:sz w:val="24"/>
          <w:szCs w:val="24"/>
        </w:rPr>
        <w:t xml:space="preserve">As per </w:t>
      </w:r>
      <w:r w:rsidRPr="008F1EB8">
        <w:rPr>
          <w:rFonts w:eastAsia="Times New Roman"/>
          <w:sz w:val="24"/>
          <w:szCs w:val="24"/>
          <w:highlight w:val="white"/>
        </w:rPr>
        <w:t>Crafts and Mills, (2020</w:t>
      </w:r>
      <w:r w:rsidRPr="008F1EB8">
        <w:rPr>
          <w:rFonts w:eastAsia="Times New Roman"/>
          <w:sz w:val="24"/>
          <w:szCs w:val="24"/>
        </w:rPr>
        <w:t>), the post-2008 reforms have assisted the business to comprehend</w:t>
      </w:r>
      <w:r w:rsidRPr="008F1EB8">
        <w:rPr>
          <w:rFonts w:eastAsia="Times New Roman"/>
          <w:b/>
          <w:sz w:val="24"/>
          <w:szCs w:val="24"/>
        </w:rPr>
        <w:t xml:space="preserve"> the new structure</w:t>
      </w:r>
      <w:r w:rsidRPr="008F1EB8">
        <w:rPr>
          <w:rFonts w:eastAsia="Times New Roman"/>
          <w:sz w:val="24"/>
          <w:szCs w:val="24"/>
        </w:rPr>
        <w:t xml:space="preserve"> incorporated within the business model. The new business structure has some remarkable changes and comprises five sectors while the earlier system used to have six sectors. The new structure within the business model tends to focus more on the retail business functions in the UK and Africa and will concentrate less on the sectors of Asia and Europe (</w:t>
      </w:r>
      <w:r w:rsidRPr="008F1EB8">
        <w:rPr>
          <w:rFonts w:eastAsia="Times New Roman"/>
          <w:sz w:val="24"/>
          <w:szCs w:val="24"/>
          <w:highlight w:val="white"/>
        </w:rPr>
        <w:t xml:space="preserve">Sainidis </w:t>
      </w:r>
      <w:r w:rsidRPr="008F1EB8">
        <w:rPr>
          <w:rFonts w:eastAsia="Times New Roman"/>
          <w:i/>
          <w:sz w:val="24"/>
          <w:szCs w:val="24"/>
          <w:highlight w:val="white"/>
        </w:rPr>
        <w:t xml:space="preserve">et al. </w:t>
      </w:r>
      <w:r w:rsidRPr="008F1EB8">
        <w:rPr>
          <w:rFonts w:eastAsia="Times New Roman"/>
          <w:sz w:val="24"/>
          <w:szCs w:val="24"/>
          <w:highlight w:val="white"/>
        </w:rPr>
        <w:t>2019</w:t>
      </w:r>
      <w:r w:rsidRPr="008F1EB8">
        <w:rPr>
          <w:rFonts w:eastAsia="Times New Roman"/>
          <w:sz w:val="24"/>
          <w:szCs w:val="24"/>
        </w:rPr>
        <w:t xml:space="preserve">). Barclay played an important role in developing its </w:t>
      </w:r>
      <w:r w:rsidRPr="008F1EB8">
        <w:rPr>
          <w:rFonts w:eastAsia="Times New Roman"/>
          <w:b/>
          <w:sz w:val="24"/>
          <w:szCs w:val="24"/>
        </w:rPr>
        <w:t>“credit card industry”</w:t>
      </w:r>
      <w:r w:rsidRPr="008F1EB8">
        <w:rPr>
          <w:rFonts w:eastAsia="Times New Roman"/>
          <w:sz w:val="24"/>
          <w:szCs w:val="24"/>
        </w:rPr>
        <w:t xml:space="preserve"> because it makes </w:t>
      </w:r>
      <w:r w:rsidRPr="008F1EB8">
        <w:rPr>
          <w:rFonts w:eastAsia="Times New Roman"/>
          <w:sz w:val="24"/>
          <w:szCs w:val="24"/>
        </w:rPr>
        <w:lastRenderedPageBreak/>
        <w:t>an efficient business in cards in both UK and US and as per research more than 16% of the total income of the bank is due to its business on cards.</w:t>
      </w:r>
    </w:p>
    <w:p w14:paraId="005403D5" w14:textId="77777777" w:rsidR="008D0C0D" w:rsidRPr="008F1EB8" w:rsidRDefault="00BD2D3C">
      <w:pPr>
        <w:spacing w:line="360" w:lineRule="auto"/>
        <w:jc w:val="both"/>
        <w:rPr>
          <w:rFonts w:eastAsia="Times New Roman"/>
          <w:sz w:val="24"/>
          <w:szCs w:val="24"/>
        </w:rPr>
      </w:pPr>
      <w:r w:rsidRPr="008F1EB8">
        <w:rPr>
          <w:rFonts w:eastAsia="Times New Roman"/>
          <w:sz w:val="24"/>
          <w:szCs w:val="24"/>
        </w:rPr>
        <w:t xml:space="preserve">As per </w:t>
      </w:r>
      <w:r w:rsidRPr="008F1EB8">
        <w:rPr>
          <w:rFonts w:eastAsia="Times New Roman"/>
          <w:sz w:val="24"/>
          <w:szCs w:val="24"/>
          <w:highlight w:val="white"/>
        </w:rPr>
        <w:t xml:space="preserve">Salim </w:t>
      </w:r>
      <w:r w:rsidRPr="008F1EB8">
        <w:rPr>
          <w:rFonts w:eastAsia="Times New Roman"/>
          <w:i/>
          <w:sz w:val="24"/>
          <w:szCs w:val="24"/>
          <w:highlight w:val="white"/>
        </w:rPr>
        <w:t xml:space="preserve">et al. </w:t>
      </w:r>
      <w:r w:rsidRPr="008F1EB8">
        <w:rPr>
          <w:rFonts w:eastAsia="Times New Roman"/>
          <w:sz w:val="24"/>
          <w:szCs w:val="24"/>
        </w:rPr>
        <w:t xml:space="preserve">(2021), since the 2008 financial crisis, the business is targeted towards developing the business model which impacted Barclay’s and thereby assisted in maintaining the trends and </w:t>
      </w:r>
      <w:r w:rsidRPr="008F1EB8">
        <w:rPr>
          <w:rFonts w:eastAsia="Times New Roman"/>
          <w:b/>
          <w:sz w:val="24"/>
          <w:szCs w:val="24"/>
        </w:rPr>
        <w:t>“developed the bank credits”</w:t>
      </w:r>
      <w:r w:rsidRPr="008F1EB8">
        <w:rPr>
          <w:rFonts w:eastAsia="Times New Roman"/>
          <w:sz w:val="24"/>
          <w:szCs w:val="24"/>
        </w:rPr>
        <w:t xml:space="preserve">. After the crisis, credit from banks has extended significantly within the customers because post-crisis, the measures for lending funds degraded due to the involvement of immense influence and enhancement of the valuation of resources. However, a “substantial share of lending funds”, on the other hand, assisted with the debtors, which have a comparatively low capacity for repaying. </w:t>
      </w:r>
    </w:p>
    <w:p w14:paraId="3223BF72" w14:textId="0BA9E8F3" w:rsidR="008D0C0D" w:rsidRPr="008F1EB8" w:rsidRDefault="00BD2D3C">
      <w:pPr>
        <w:spacing w:line="360" w:lineRule="auto"/>
        <w:jc w:val="both"/>
        <w:rPr>
          <w:rFonts w:eastAsia="Times New Roman"/>
          <w:sz w:val="24"/>
          <w:szCs w:val="24"/>
        </w:rPr>
      </w:pPr>
      <w:r w:rsidRPr="008F1EB8">
        <w:rPr>
          <w:rFonts w:eastAsia="Times New Roman"/>
          <w:sz w:val="24"/>
          <w:szCs w:val="24"/>
        </w:rPr>
        <w:t xml:space="preserve">As per </w:t>
      </w:r>
      <w:r w:rsidRPr="008F1EB8">
        <w:rPr>
          <w:rFonts w:eastAsia="Times New Roman"/>
          <w:sz w:val="24"/>
          <w:szCs w:val="24"/>
          <w:highlight w:val="white"/>
        </w:rPr>
        <w:t xml:space="preserve">Rehman </w:t>
      </w:r>
      <w:r w:rsidRPr="008F1EB8">
        <w:rPr>
          <w:rFonts w:eastAsia="Times New Roman"/>
          <w:i/>
          <w:sz w:val="24"/>
          <w:szCs w:val="24"/>
          <w:highlight w:val="white"/>
        </w:rPr>
        <w:t xml:space="preserve">et al. </w:t>
      </w:r>
      <w:r w:rsidRPr="008F1EB8">
        <w:rPr>
          <w:rFonts w:eastAsia="Times New Roman"/>
          <w:sz w:val="24"/>
          <w:szCs w:val="24"/>
        </w:rPr>
        <w:t xml:space="preserve">(2020), the banking business model has also adopted </w:t>
      </w:r>
      <w:r w:rsidRPr="008F1EB8">
        <w:rPr>
          <w:rFonts w:eastAsia="Times New Roman"/>
          <w:b/>
          <w:sz w:val="24"/>
          <w:szCs w:val="24"/>
        </w:rPr>
        <w:t>“global regulatory reforms”</w:t>
      </w:r>
      <w:r w:rsidRPr="008F1EB8">
        <w:rPr>
          <w:rFonts w:eastAsia="Times New Roman"/>
          <w:sz w:val="24"/>
          <w:szCs w:val="24"/>
        </w:rPr>
        <w:t xml:space="preserve"> which altered the supply of credit. It is based on how imposing a restriction specific regulations were for specific banks and financial systems. Substantial evidence suggests that stringent capital regulations have a deleterious influence on bank borrowing, with the effect being higher for banks with minimal capital buffers. The evidence, however, seems to point only to a short drop in supply because, after a few years, bank loan growth largely recover</w:t>
      </w:r>
      <w:r w:rsidR="00493DEF" w:rsidRPr="008F1EB8">
        <w:rPr>
          <w:rFonts w:eastAsia="Times New Roman"/>
          <w:sz w:val="24"/>
          <w:szCs w:val="24"/>
        </w:rPr>
        <w:t>ed</w:t>
      </w:r>
      <w:r w:rsidRPr="008F1EB8">
        <w:rPr>
          <w:rFonts w:eastAsia="Times New Roman"/>
          <w:sz w:val="24"/>
          <w:szCs w:val="24"/>
        </w:rPr>
        <w:t xml:space="preserve"> its former trend. Moreover, it indicates a long-term beneficial relationship between bank equity and credit. However, </w:t>
      </w:r>
      <w:r w:rsidRPr="008F1EB8">
        <w:rPr>
          <w:rFonts w:eastAsia="Times New Roman"/>
          <w:sz w:val="24"/>
          <w:szCs w:val="24"/>
          <w:highlight w:val="white"/>
        </w:rPr>
        <w:t>Majid and Ulina, (2020</w:t>
      </w:r>
      <w:r w:rsidRPr="008F1EB8">
        <w:rPr>
          <w:rFonts w:eastAsia="Times New Roman"/>
          <w:sz w:val="24"/>
          <w:szCs w:val="24"/>
        </w:rPr>
        <w:t xml:space="preserve">) stated that the business organization post-crisis has started to concentrate more on the </w:t>
      </w:r>
      <w:r w:rsidRPr="008F1EB8">
        <w:rPr>
          <w:rFonts w:eastAsia="Times New Roman"/>
          <w:b/>
          <w:sz w:val="24"/>
          <w:szCs w:val="24"/>
        </w:rPr>
        <w:t>“implementation of  new innovative technologies”</w:t>
      </w:r>
      <w:r w:rsidRPr="008F1EB8">
        <w:rPr>
          <w:rFonts w:eastAsia="Times New Roman"/>
          <w:sz w:val="24"/>
          <w:szCs w:val="24"/>
        </w:rPr>
        <w:t xml:space="preserve"> which will assist the business to reduce expenses and comprehend the risks and will try to resolve them. The incorporation of new technologies has boosted the performance of the bank and also build a bridge between ‘bank credit supply’ and agents for technological incorporation. </w:t>
      </w:r>
    </w:p>
    <w:p w14:paraId="207453AE" w14:textId="105A61C9" w:rsidR="008D0C0D" w:rsidRPr="008F1EB8" w:rsidRDefault="00BD2D3C">
      <w:pPr>
        <w:spacing w:line="360" w:lineRule="auto"/>
        <w:jc w:val="both"/>
        <w:rPr>
          <w:rFonts w:eastAsia="Times New Roman"/>
          <w:sz w:val="24"/>
          <w:szCs w:val="24"/>
        </w:rPr>
      </w:pPr>
      <w:r w:rsidRPr="008F1EB8">
        <w:rPr>
          <w:rFonts w:eastAsia="Times New Roman"/>
          <w:sz w:val="24"/>
          <w:szCs w:val="24"/>
        </w:rPr>
        <w:t xml:space="preserve">According to </w:t>
      </w:r>
      <w:r w:rsidRPr="008F1EB8">
        <w:rPr>
          <w:rFonts w:eastAsia="Times New Roman"/>
          <w:sz w:val="24"/>
          <w:szCs w:val="24"/>
          <w:highlight w:val="white"/>
        </w:rPr>
        <w:t xml:space="preserve">Ibrahim </w:t>
      </w:r>
      <w:r w:rsidRPr="008F1EB8">
        <w:rPr>
          <w:rFonts w:eastAsia="Times New Roman"/>
          <w:i/>
          <w:sz w:val="24"/>
          <w:szCs w:val="24"/>
          <w:highlight w:val="white"/>
        </w:rPr>
        <w:t>et al.</w:t>
      </w:r>
      <w:r w:rsidRPr="008F1EB8">
        <w:rPr>
          <w:rFonts w:eastAsia="Times New Roman"/>
          <w:sz w:val="24"/>
          <w:szCs w:val="24"/>
        </w:rPr>
        <w:t xml:space="preserve"> (2019), after the crisis, the business organization played a major role in </w:t>
      </w:r>
      <w:r w:rsidRPr="008F1EB8">
        <w:rPr>
          <w:rFonts w:eastAsia="Times New Roman"/>
          <w:b/>
          <w:sz w:val="24"/>
          <w:szCs w:val="24"/>
        </w:rPr>
        <w:t>“capital marketing”</w:t>
      </w:r>
      <w:r w:rsidRPr="008F1EB8">
        <w:rPr>
          <w:rFonts w:eastAsia="Times New Roman"/>
          <w:sz w:val="24"/>
          <w:szCs w:val="24"/>
        </w:rPr>
        <w:t xml:space="preserve"> thereby assisting in boosting funds through debt and equity markets because it produces a significant amount of returns on investment. </w:t>
      </w:r>
    </w:p>
    <w:p w14:paraId="29BB0537" w14:textId="5974C09C" w:rsidR="008D0C0D" w:rsidRPr="008F1EB8" w:rsidRDefault="00BD2D3C">
      <w:pPr>
        <w:spacing w:line="360" w:lineRule="auto"/>
        <w:jc w:val="both"/>
        <w:rPr>
          <w:rFonts w:eastAsia="Times New Roman"/>
          <w:sz w:val="24"/>
          <w:szCs w:val="24"/>
        </w:rPr>
      </w:pPr>
      <w:r w:rsidRPr="008F1EB8">
        <w:rPr>
          <w:rFonts w:eastAsia="Times New Roman"/>
          <w:sz w:val="24"/>
          <w:szCs w:val="24"/>
        </w:rPr>
        <w:t>After the financial deterioration in 2008, the financial management sector within the business started following strict rules to manage the finances and th</w:t>
      </w:r>
      <w:r w:rsidR="00493DEF" w:rsidRPr="008F1EB8">
        <w:rPr>
          <w:rFonts w:eastAsia="Times New Roman"/>
          <w:sz w:val="24"/>
          <w:szCs w:val="24"/>
        </w:rPr>
        <w:t>us,</w:t>
      </w:r>
      <w:r w:rsidRPr="008F1EB8">
        <w:rPr>
          <w:rFonts w:eastAsia="Times New Roman"/>
          <w:sz w:val="24"/>
          <w:szCs w:val="24"/>
        </w:rPr>
        <w:t xml:space="preserve"> makes a close watch on the business operations and collaborators regarding the funds. According to </w:t>
      </w:r>
      <w:r w:rsidRPr="008F1EB8">
        <w:rPr>
          <w:rFonts w:eastAsia="Times New Roman"/>
          <w:sz w:val="24"/>
          <w:szCs w:val="24"/>
          <w:highlight w:val="white"/>
        </w:rPr>
        <w:t xml:space="preserve">Mell, </w:t>
      </w:r>
      <w:r w:rsidRPr="008F1EB8">
        <w:rPr>
          <w:rFonts w:eastAsia="Times New Roman"/>
          <w:sz w:val="24"/>
          <w:szCs w:val="24"/>
        </w:rPr>
        <w:t>(2020), the collaborators have a notion that Barclay’s has lagg</w:t>
      </w:r>
      <w:r w:rsidR="00493DEF" w:rsidRPr="008F1EB8">
        <w:rPr>
          <w:rFonts w:eastAsia="Times New Roman"/>
          <w:sz w:val="24"/>
          <w:szCs w:val="24"/>
        </w:rPr>
        <w:t>e</w:t>
      </w:r>
      <w:r w:rsidRPr="008F1EB8">
        <w:rPr>
          <w:rFonts w:eastAsia="Times New Roman"/>
          <w:sz w:val="24"/>
          <w:szCs w:val="24"/>
        </w:rPr>
        <w:t xml:space="preserve">d various “global systemically important financial institutions (G-SIFIs)” and thereby the business to manage its funds has incorporated </w:t>
      </w:r>
      <w:r w:rsidRPr="008F1EB8">
        <w:rPr>
          <w:rFonts w:eastAsia="Times New Roman"/>
          <w:b/>
          <w:sz w:val="24"/>
          <w:szCs w:val="24"/>
        </w:rPr>
        <w:t>“capital ratio and dividend payout targets”</w:t>
      </w:r>
      <w:r w:rsidRPr="008F1EB8">
        <w:rPr>
          <w:rFonts w:eastAsia="Times New Roman"/>
          <w:sz w:val="24"/>
          <w:szCs w:val="24"/>
        </w:rPr>
        <w:t xml:space="preserve">. As per research, it is clear that the bank has compensated a year's worth of 11% per share in the year 2013, which is a portion of 57% per share that the bank had to pay </w:t>
      </w:r>
      <w:r w:rsidRPr="008F1EB8">
        <w:rPr>
          <w:rFonts w:eastAsia="Times New Roman"/>
          <w:sz w:val="24"/>
          <w:szCs w:val="24"/>
        </w:rPr>
        <w:lastRenderedPageBreak/>
        <w:t>in the year 2008 (</w:t>
      </w:r>
      <w:r w:rsidRPr="008F1EB8">
        <w:rPr>
          <w:rFonts w:eastAsia="Times New Roman"/>
          <w:sz w:val="24"/>
          <w:szCs w:val="24"/>
          <w:highlight w:val="white"/>
        </w:rPr>
        <w:t>forbes.com, 2022</w:t>
      </w:r>
      <w:r w:rsidRPr="008F1EB8">
        <w:rPr>
          <w:rFonts w:eastAsia="Times New Roman"/>
          <w:sz w:val="24"/>
          <w:szCs w:val="24"/>
        </w:rPr>
        <w:t>). After all these, the bank in 2016 has been expecting to reach the “capital return target with a payout ratio between 40-50%”.</w:t>
      </w:r>
    </w:p>
    <w:p w14:paraId="06C3E201" w14:textId="77777777" w:rsidR="008D0C0D" w:rsidRPr="008F1EB8" w:rsidRDefault="00BD2D3C">
      <w:pPr>
        <w:spacing w:line="360" w:lineRule="auto"/>
        <w:jc w:val="center"/>
        <w:rPr>
          <w:rFonts w:eastAsia="Times New Roman"/>
          <w:sz w:val="24"/>
          <w:szCs w:val="24"/>
        </w:rPr>
      </w:pPr>
      <w:r w:rsidRPr="008F1EB8">
        <w:rPr>
          <w:rFonts w:eastAsia="Times New Roman"/>
          <w:noProof/>
          <w:sz w:val="24"/>
          <w:szCs w:val="24"/>
        </w:rPr>
        <w:drawing>
          <wp:inline distT="114300" distB="114300" distL="114300" distR="114300" wp14:anchorId="6B7056F2" wp14:editId="4FC46B6A">
            <wp:extent cx="3314700" cy="2524125"/>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9"/>
                    <a:srcRect/>
                    <a:stretch>
                      <a:fillRect/>
                    </a:stretch>
                  </pic:blipFill>
                  <pic:spPr>
                    <a:xfrm>
                      <a:off x="0" y="0"/>
                      <a:ext cx="3314700" cy="2524125"/>
                    </a:xfrm>
                    <a:prstGeom prst="rect">
                      <a:avLst/>
                    </a:prstGeom>
                    <a:ln/>
                  </pic:spPr>
                </pic:pic>
              </a:graphicData>
            </a:graphic>
          </wp:inline>
        </w:drawing>
      </w:r>
    </w:p>
    <w:p w14:paraId="23C1FDBB" w14:textId="77777777" w:rsidR="008D0C0D" w:rsidRPr="008F1EB8" w:rsidRDefault="00BD2D3C">
      <w:pPr>
        <w:spacing w:line="360" w:lineRule="auto"/>
        <w:jc w:val="center"/>
        <w:rPr>
          <w:rFonts w:eastAsia="Times New Roman"/>
          <w:b/>
          <w:sz w:val="24"/>
          <w:szCs w:val="24"/>
        </w:rPr>
      </w:pPr>
      <w:r w:rsidRPr="008F1EB8">
        <w:rPr>
          <w:rFonts w:eastAsia="Times New Roman"/>
          <w:b/>
          <w:sz w:val="24"/>
          <w:szCs w:val="24"/>
        </w:rPr>
        <w:t>Figure: Capital ratio and dividend payout targets</w:t>
      </w:r>
    </w:p>
    <w:p w14:paraId="642FBFB4" w14:textId="77777777" w:rsidR="008D0C0D" w:rsidRPr="008F1EB8" w:rsidRDefault="00BD2D3C">
      <w:pPr>
        <w:spacing w:line="360" w:lineRule="auto"/>
        <w:jc w:val="center"/>
        <w:rPr>
          <w:rFonts w:eastAsia="Times New Roman"/>
          <w:sz w:val="24"/>
          <w:szCs w:val="24"/>
        </w:rPr>
      </w:pPr>
      <w:r w:rsidRPr="008F1EB8">
        <w:rPr>
          <w:rFonts w:eastAsia="Times New Roman"/>
          <w:sz w:val="24"/>
          <w:szCs w:val="24"/>
        </w:rPr>
        <w:t xml:space="preserve">(Source: </w:t>
      </w:r>
      <w:r w:rsidRPr="008F1EB8">
        <w:rPr>
          <w:rFonts w:eastAsia="Times New Roman"/>
          <w:sz w:val="24"/>
          <w:szCs w:val="24"/>
          <w:highlight w:val="white"/>
        </w:rPr>
        <w:t>forbes, 2022</w:t>
      </w:r>
      <w:r w:rsidRPr="008F1EB8">
        <w:rPr>
          <w:rFonts w:eastAsia="Times New Roman"/>
          <w:sz w:val="24"/>
          <w:szCs w:val="24"/>
        </w:rPr>
        <w:t>)</w:t>
      </w:r>
    </w:p>
    <w:p w14:paraId="589B8EB7" w14:textId="77777777" w:rsidR="009C72CC" w:rsidRPr="008F1EB8" w:rsidRDefault="009C72CC">
      <w:pPr>
        <w:spacing w:line="360" w:lineRule="auto"/>
        <w:jc w:val="both"/>
        <w:rPr>
          <w:rFonts w:eastAsia="Times New Roman"/>
          <w:sz w:val="24"/>
          <w:szCs w:val="24"/>
        </w:rPr>
      </w:pPr>
    </w:p>
    <w:p w14:paraId="16DA5541" w14:textId="764F3B1C" w:rsidR="008D0C0D" w:rsidRPr="008F1EB8" w:rsidRDefault="00BD2D3C">
      <w:pPr>
        <w:spacing w:line="360" w:lineRule="auto"/>
        <w:jc w:val="both"/>
        <w:rPr>
          <w:rFonts w:eastAsia="Times New Roman"/>
          <w:b/>
          <w:sz w:val="24"/>
          <w:szCs w:val="24"/>
        </w:rPr>
      </w:pPr>
      <w:r w:rsidRPr="008F1EB8">
        <w:rPr>
          <w:rFonts w:eastAsia="Times New Roman"/>
          <w:sz w:val="24"/>
          <w:szCs w:val="24"/>
        </w:rPr>
        <w:t xml:space="preserve">As per </w:t>
      </w:r>
      <w:r w:rsidRPr="008F1EB8">
        <w:rPr>
          <w:rFonts w:eastAsia="Times New Roman"/>
          <w:sz w:val="24"/>
          <w:szCs w:val="24"/>
          <w:highlight w:val="white"/>
        </w:rPr>
        <w:t>Kohler and Stockhammer, (2022</w:t>
      </w:r>
      <w:r w:rsidRPr="008F1EB8">
        <w:rPr>
          <w:rFonts w:eastAsia="Times New Roman"/>
          <w:sz w:val="24"/>
          <w:szCs w:val="24"/>
        </w:rPr>
        <w:t xml:space="preserve">), the business believes that maintaining the expenses is an essential factor to obtain goals and thereby incorporating </w:t>
      </w:r>
      <w:r w:rsidRPr="008F1EB8">
        <w:rPr>
          <w:rFonts w:eastAsia="Times New Roman"/>
          <w:b/>
          <w:sz w:val="24"/>
          <w:szCs w:val="24"/>
        </w:rPr>
        <w:t xml:space="preserve">“expense target” </w:t>
      </w:r>
      <w:r w:rsidRPr="008F1EB8">
        <w:rPr>
          <w:rFonts w:eastAsia="Times New Roman"/>
          <w:sz w:val="24"/>
          <w:szCs w:val="24"/>
        </w:rPr>
        <w:t xml:space="preserve">within its business functions. The business comprehended that the incorporation of ‘dividend payout targets’ assist the business organization in achieving its goals and boosting the revenue rates. Therefore, Barclay’s provided a proposal for lowering its annual business expenses to £14.5 billion in the year 2013. </w:t>
      </w:r>
    </w:p>
    <w:p w14:paraId="51055190" w14:textId="77777777" w:rsidR="008D0C0D" w:rsidRPr="008F1EB8" w:rsidRDefault="00BD2D3C">
      <w:pPr>
        <w:spacing w:line="360" w:lineRule="auto"/>
        <w:jc w:val="both"/>
        <w:rPr>
          <w:rFonts w:eastAsia="Times New Roman"/>
          <w:sz w:val="24"/>
          <w:szCs w:val="24"/>
        </w:rPr>
      </w:pPr>
      <w:r w:rsidRPr="008F1EB8">
        <w:rPr>
          <w:rFonts w:eastAsia="Times New Roman"/>
          <w:sz w:val="24"/>
          <w:szCs w:val="24"/>
        </w:rPr>
        <w:t xml:space="preserve">The post-crisis-affected business model also incorporated an </w:t>
      </w:r>
      <w:r w:rsidRPr="008F1EB8">
        <w:rPr>
          <w:rFonts w:eastAsia="Times New Roman"/>
          <w:b/>
          <w:sz w:val="24"/>
          <w:szCs w:val="24"/>
        </w:rPr>
        <w:t>“assurance framework”</w:t>
      </w:r>
      <w:r w:rsidRPr="008F1EB8">
        <w:rPr>
          <w:rFonts w:eastAsia="Times New Roman"/>
          <w:sz w:val="24"/>
          <w:szCs w:val="24"/>
        </w:rPr>
        <w:t xml:space="preserve"> regarding the action performed in developing and resolving the issues and assisting the abilities. As per </w:t>
      </w:r>
      <w:r w:rsidRPr="008F1EB8">
        <w:rPr>
          <w:rFonts w:eastAsia="Times New Roman"/>
          <w:sz w:val="24"/>
          <w:szCs w:val="24"/>
          <w:highlight w:val="white"/>
        </w:rPr>
        <w:t>Craig, (2020</w:t>
      </w:r>
      <w:r w:rsidRPr="008F1EB8">
        <w:rPr>
          <w:rFonts w:eastAsia="Times New Roman"/>
          <w:sz w:val="24"/>
          <w:szCs w:val="24"/>
        </w:rPr>
        <w:t xml:space="preserve">), this strategy is designed in such a way that it is looked after the ‘RRP’ team positioned on the “RAF assurance needs” aided with the implementation of several factors of procurement performed by executives at different levels. The actions of assurance are performed by the higher executives or first-line teams and the risk and agreement functions are performed by the second-line teams the internal audits of Barclay were performed by the third-line teams for looking after the audit plans and developmental processes. This framework is however monitored by the ‘BPLC boards’. </w:t>
      </w:r>
    </w:p>
    <w:p w14:paraId="5416EEEF" w14:textId="77777777" w:rsidR="008D0C0D" w:rsidRPr="008F1EB8" w:rsidRDefault="00BD2D3C" w:rsidP="00682359">
      <w:pPr>
        <w:pStyle w:val="Heading1"/>
        <w:rPr>
          <w:rFonts w:ascii="Arial" w:hAnsi="Arial"/>
        </w:rPr>
      </w:pPr>
      <w:bookmarkStart w:id="10" w:name="_Toc124120835"/>
      <w:r w:rsidRPr="008F1EB8">
        <w:rPr>
          <w:rFonts w:ascii="Arial" w:hAnsi="Arial"/>
        </w:rPr>
        <w:lastRenderedPageBreak/>
        <w:t>Level of compliance/non-compliance to these reforms</w:t>
      </w:r>
      <w:bookmarkEnd w:id="10"/>
      <w:r w:rsidRPr="008F1EB8">
        <w:rPr>
          <w:rFonts w:ascii="Arial" w:hAnsi="Arial"/>
        </w:rPr>
        <w:t xml:space="preserve"> </w:t>
      </w:r>
    </w:p>
    <w:p w14:paraId="0ED916B3" w14:textId="1A16C34E" w:rsidR="008D0C0D" w:rsidRPr="008F1EB8" w:rsidRDefault="00BD2D3C">
      <w:pPr>
        <w:spacing w:line="360" w:lineRule="auto"/>
        <w:jc w:val="both"/>
        <w:rPr>
          <w:rFonts w:eastAsia="Times New Roman"/>
          <w:sz w:val="24"/>
          <w:szCs w:val="24"/>
        </w:rPr>
      </w:pPr>
      <w:r w:rsidRPr="008F1EB8">
        <w:rPr>
          <w:rFonts w:eastAsia="Times New Roman"/>
          <w:sz w:val="24"/>
          <w:szCs w:val="24"/>
        </w:rPr>
        <w:t>With a greater prevalence in two respective domestic markets of the “UK” and the “US”, “Barclay’s” is a transcontinental commercial and retailing financial institution with a worldwide reach that offers a variety of services in private, corporate, and trade finance, card payments, and financial advisory (</w:t>
      </w:r>
      <w:r w:rsidRPr="008F1EB8">
        <w:rPr>
          <w:rFonts w:eastAsia="Times New Roman"/>
          <w:sz w:val="24"/>
          <w:szCs w:val="24"/>
          <w:highlight w:val="white"/>
        </w:rPr>
        <w:t>Burdon and Sorour, 2020</w:t>
      </w:r>
      <w:r w:rsidRPr="008F1EB8">
        <w:rPr>
          <w:rFonts w:eastAsia="Times New Roman"/>
          <w:sz w:val="24"/>
          <w:szCs w:val="24"/>
        </w:rPr>
        <w:t xml:space="preserve">). Barclays has been operating in the financial sector </w:t>
      </w:r>
      <w:r w:rsidR="009C72CC" w:rsidRPr="008F1EB8">
        <w:rPr>
          <w:rFonts w:eastAsia="Times New Roman"/>
          <w:sz w:val="24"/>
          <w:szCs w:val="24"/>
        </w:rPr>
        <w:t>for</w:t>
      </w:r>
      <w:r w:rsidRPr="008F1EB8">
        <w:rPr>
          <w:rFonts w:eastAsia="Times New Roman"/>
          <w:sz w:val="24"/>
          <w:szCs w:val="24"/>
        </w:rPr>
        <w:t xml:space="preserve"> </w:t>
      </w:r>
      <w:r w:rsidR="009C72CC" w:rsidRPr="008F1EB8">
        <w:rPr>
          <w:rFonts w:eastAsia="Times New Roman"/>
          <w:sz w:val="24"/>
          <w:szCs w:val="24"/>
        </w:rPr>
        <w:t xml:space="preserve">over </w:t>
      </w:r>
      <w:r w:rsidRPr="008F1EB8">
        <w:rPr>
          <w:rFonts w:eastAsia="Times New Roman"/>
          <w:sz w:val="24"/>
          <w:szCs w:val="24"/>
        </w:rPr>
        <w:t>3</w:t>
      </w:r>
      <w:r w:rsidR="009C72CC" w:rsidRPr="008F1EB8">
        <w:rPr>
          <w:rFonts w:eastAsia="Times New Roman"/>
          <w:sz w:val="24"/>
          <w:szCs w:val="24"/>
        </w:rPr>
        <w:t>30</w:t>
      </w:r>
      <w:r w:rsidRPr="008F1EB8">
        <w:rPr>
          <w:rFonts w:eastAsia="Times New Roman"/>
          <w:sz w:val="24"/>
          <w:szCs w:val="24"/>
        </w:rPr>
        <w:t xml:space="preserve"> years, engages about 85,000 employees, and also has operational processes across over 40 countries. Barclay</w:t>
      </w:r>
      <w:r w:rsidR="009C72CC" w:rsidRPr="008F1EB8">
        <w:rPr>
          <w:rFonts w:eastAsia="Times New Roman"/>
          <w:sz w:val="24"/>
          <w:szCs w:val="24"/>
        </w:rPr>
        <w:t xml:space="preserve">s </w:t>
      </w:r>
      <w:r w:rsidRPr="008F1EB8">
        <w:rPr>
          <w:rFonts w:eastAsia="Times New Roman"/>
          <w:sz w:val="24"/>
          <w:szCs w:val="24"/>
        </w:rPr>
        <w:t xml:space="preserve">works directly to loan, trade, and secure wealth for customers and potential clients throughout the world. In the aftermath of the crisis, </w:t>
      </w:r>
      <w:r w:rsidRPr="008F1EB8">
        <w:rPr>
          <w:rFonts w:eastAsia="Times New Roman"/>
          <w:sz w:val="24"/>
          <w:szCs w:val="24"/>
          <w:highlight w:val="white"/>
        </w:rPr>
        <w:t xml:space="preserve">Lokanan and Sharma, </w:t>
      </w:r>
      <w:r w:rsidRPr="008F1EB8">
        <w:rPr>
          <w:rFonts w:eastAsia="Times New Roman"/>
          <w:sz w:val="24"/>
          <w:szCs w:val="24"/>
        </w:rPr>
        <w:t>(2018), demonstrates that officials of Barclays have reinforced enforcement and overhauled the worldwide prudential paradigm. The primary priorities of these reforms have sought to enhance liquidation and capital reserves in financial institutions to make them increasingly resistant and even to tighten restoration and resolving frameworks to minimize the impact of financial distress on the economic model and tax officials in addition to reducing the latent demand and pressure they entail (</w:t>
      </w:r>
      <w:r w:rsidRPr="008F1EB8">
        <w:rPr>
          <w:rFonts w:eastAsia="Times New Roman"/>
          <w:sz w:val="24"/>
          <w:szCs w:val="24"/>
          <w:highlight w:val="white"/>
        </w:rPr>
        <w:t>Jordanoska, 2021</w:t>
      </w:r>
      <w:r w:rsidRPr="008F1EB8">
        <w:rPr>
          <w:rFonts w:eastAsia="Times New Roman"/>
          <w:sz w:val="24"/>
          <w:szCs w:val="24"/>
        </w:rPr>
        <w:t>).</w:t>
      </w:r>
    </w:p>
    <w:p w14:paraId="39489CA1" w14:textId="77777777" w:rsidR="008D0C0D" w:rsidRPr="008F1EB8" w:rsidRDefault="00BD2D3C">
      <w:pPr>
        <w:spacing w:line="360" w:lineRule="auto"/>
        <w:jc w:val="both"/>
        <w:rPr>
          <w:rFonts w:eastAsia="Times New Roman"/>
          <w:sz w:val="24"/>
          <w:szCs w:val="24"/>
        </w:rPr>
      </w:pPr>
      <w:r w:rsidRPr="008F1EB8">
        <w:rPr>
          <w:rFonts w:eastAsia="Times New Roman"/>
          <w:sz w:val="24"/>
          <w:szCs w:val="24"/>
        </w:rPr>
        <w:t xml:space="preserve">Barclay's Bank appears to exist under a "business to customer" financial model, sustaining "consultation and reinsurance operations" that enables the financial institution advice on how to effectively manage its financial and budget deficit facilities. Correspondingly, it affords the bank "marketing and exchanging" that facilitates the management of the proprietary trading facilities offered to its customers utilizing fixed output, venture commercial enterprises, capital, and so forth. Nevertheless, according to </w:t>
      </w:r>
      <w:r w:rsidRPr="008F1EB8">
        <w:rPr>
          <w:rFonts w:eastAsia="Times New Roman"/>
          <w:sz w:val="24"/>
          <w:szCs w:val="24"/>
          <w:highlight w:val="white"/>
        </w:rPr>
        <w:t xml:space="preserve">Muchimba, </w:t>
      </w:r>
      <w:r w:rsidRPr="008F1EB8">
        <w:rPr>
          <w:rFonts w:eastAsia="Times New Roman"/>
          <w:sz w:val="24"/>
          <w:szCs w:val="24"/>
        </w:rPr>
        <w:t xml:space="preserve">(2022), Barclay's Bank's value chain has been severely influenced by the UK reforms initiated in the wake of the 2008 global recession. </w:t>
      </w:r>
    </w:p>
    <w:p w14:paraId="31ADB0E5" w14:textId="196BB71C" w:rsidR="008D0C0D" w:rsidRPr="008F1EB8" w:rsidRDefault="00BD2D3C">
      <w:pPr>
        <w:spacing w:line="360" w:lineRule="auto"/>
        <w:jc w:val="both"/>
        <w:rPr>
          <w:rFonts w:eastAsia="Times New Roman"/>
          <w:sz w:val="24"/>
          <w:szCs w:val="24"/>
        </w:rPr>
      </w:pPr>
      <w:r w:rsidRPr="008F1EB8">
        <w:rPr>
          <w:rFonts w:eastAsia="Times New Roman"/>
          <w:sz w:val="24"/>
          <w:szCs w:val="24"/>
        </w:rPr>
        <w:t>Increased market capitalization and a much more enduring statement of cash flow are two key potential causes of financial instability, in conjunction with recurring dynamics. Banks and their stockholders must however respond to the "new normal". Economic uncertainties concerning slow growth might rob a bank of a key source of additional financing or drive banking institutions to take on additional risks including using borrowing, which might stress the importance of managing risks, governance, and inspection (</w:t>
      </w:r>
      <w:r w:rsidRPr="008F1EB8">
        <w:rPr>
          <w:rFonts w:eastAsia="Times New Roman"/>
          <w:sz w:val="24"/>
          <w:szCs w:val="24"/>
          <w:highlight w:val="white"/>
        </w:rPr>
        <w:t>Jackson and Tamuke, 2022</w:t>
      </w:r>
      <w:r w:rsidRPr="008F1EB8">
        <w:rPr>
          <w:rFonts w:eastAsia="Times New Roman"/>
          <w:sz w:val="24"/>
          <w:szCs w:val="24"/>
        </w:rPr>
        <w:t>). Return on assets may</w:t>
      </w:r>
      <w:r w:rsidR="008F1EB8" w:rsidRPr="008F1EB8">
        <w:rPr>
          <w:rFonts w:eastAsia="Times New Roman"/>
          <w:sz w:val="24"/>
          <w:szCs w:val="24"/>
        </w:rPr>
        <w:t xml:space="preserve"> in addition, be </w:t>
      </w:r>
      <w:r w:rsidRPr="008F1EB8">
        <w:rPr>
          <w:rFonts w:eastAsia="Times New Roman"/>
          <w:sz w:val="24"/>
          <w:szCs w:val="24"/>
        </w:rPr>
        <w:t>frequently a reflection of institutional barriers to exiting and capacity utilization for specific banks, urging an immediate regulatory change to enforce the requisite regulatory requirements.</w:t>
      </w:r>
    </w:p>
    <w:p w14:paraId="6F6803F3" w14:textId="77777777" w:rsidR="008D0C0D" w:rsidRPr="008F1EB8" w:rsidRDefault="00BD2D3C">
      <w:pPr>
        <w:spacing w:line="360" w:lineRule="auto"/>
        <w:jc w:val="both"/>
        <w:rPr>
          <w:rFonts w:eastAsia="Times New Roman"/>
          <w:sz w:val="24"/>
          <w:szCs w:val="24"/>
        </w:rPr>
      </w:pPr>
      <w:r w:rsidRPr="008F1EB8">
        <w:rPr>
          <w:rFonts w:eastAsia="Times New Roman"/>
          <w:sz w:val="24"/>
          <w:szCs w:val="24"/>
        </w:rPr>
        <w:lastRenderedPageBreak/>
        <w:t xml:space="preserve">According to </w:t>
      </w:r>
      <w:r w:rsidRPr="008F1EB8">
        <w:rPr>
          <w:rFonts w:eastAsia="Times New Roman"/>
          <w:sz w:val="24"/>
          <w:szCs w:val="24"/>
          <w:highlight w:val="white"/>
        </w:rPr>
        <w:t xml:space="preserve">Barnoussi </w:t>
      </w:r>
      <w:r w:rsidRPr="008F1EB8">
        <w:rPr>
          <w:rFonts w:eastAsia="Times New Roman"/>
          <w:i/>
          <w:sz w:val="24"/>
          <w:szCs w:val="24"/>
          <w:highlight w:val="white"/>
        </w:rPr>
        <w:t xml:space="preserve">et al. </w:t>
      </w:r>
      <w:r w:rsidRPr="008F1EB8">
        <w:rPr>
          <w:rFonts w:eastAsia="Times New Roman"/>
          <w:sz w:val="24"/>
          <w:szCs w:val="24"/>
        </w:rPr>
        <w:t>(2020), the post-2008 reforms helped the business understand the new structure built into the business model. The former system had six sectors, however, the new business structure includes significant notable alterations and has five. The new structure within the business model tends to concentrate less on the markets in Asia and Europe and more on the retail business operations in the “UK” and “Africa” (</w:t>
      </w:r>
      <w:r w:rsidRPr="008F1EB8">
        <w:rPr>
          <w:rFonts w:eastAsia="Times New Roman"/>
          <w:sz w:val="24"/>
          <w:szCs w:val="24"/>
          <w:highlight w:val="white"/>
        </w:rPr>
        <w:t>Raynor, 2022</w:t>
      </w:r>
      <w:r w:rsidRPr="008F1EB8">
        <w:rPr>
          <w:rFonts w:eastAsia="Times New Roman"/>
          <w:sz w:val="24"/>
          <w:szCs w:val="24"/>
        </w:rPr>
        <w:t>). Barclay was instrumental in the growth of the "credit card industry" because it operates a successful card business in the US and the UK, accounting for “more than 16%” of the bank's overall revenue. Increased market capitalization and a much more enduring statement of cash flow.</w:t>
      </w:r>
    </w:p>
    <w:p w14:paraId="046C7B6A" w14:textId="03332D4B" w:rsidR="008D0C0D" w:rsidRPr="008F1EB8" w:rsidRDefault="00BD2D3C">
      <w:pPr>
        <w:spacing w:line="360" w:lineRule="auto"/>
        <w:jc w:val="both"/>
        <w:rPr>
          <w:rFonts w:eastAsia="Times New Roman"/>
          <w:b/>
          <w:sz w:val="28"/>
          <w:szCs w:val="28"/>
        </w:rPr>
      </w:pPr>
      <w:r w:rsidRPr="008F1EB8">
        <w:rPr>
          <w:rFonts w:eastAsia="Times New Roman"/>
          <w:sz w:val="24"/>
          <w:szCs w:val="24"/>
        </w:rPr>
        <w:t>This trend is seen in the variations in capital adequacy inventories, the diversification of earnings, and the increasing reliance on customer deposits as a source of financing. Major UK financial institutions, name</w:t>
      </w:r>
      <w:r w:rsidR="00850B4E" w:rsidRPr="008F1EB8">
        <w:rPr>
          <w:rFonts w:eastAsia="Times New Roman"/>
          <w:sz w:val="24"/>
          <w:szCs w:val="24"/>
        </w:rPr>
        <w:t>ly</w:t>
      </w:r>
      <w:r w:rsidRPr="008F1EB8">
        <w:rPr>
          <w:rFonts w:eastAsia="Times New Roman"/>
          <w:sz w:val="24"/>
          <w:szCs w:val="24"/>
        </w:rPr>
        <w:t xml:space="preserve"> “Bar</w:t>
      </w:r>
      <w:r w:rsidR="00330D7A" w:rsidRPr="008F1EB8">
        <w:rPr>
          <w:rFonts w:eastAsia="Times New Roman"/>
          <w:sz w:val="24"/>
          <w:szCs w:val="24"/>
        </w:rPr>
        <w:t>c</w:t>
      </w:r>
      <w:r w:rsidRPr="008F1EB8">
        <w:rPr>
          <w:rFonts w:eastAsia="Times New Roman"/>
          <w:sz w:val="24"/>
          <w:szCs w:val="24"/>
        </w:rPr>
        <w:t>l</w:t>
      </w:r>
      <w:r w:rsidR="00330D7A" w:rsidRPr="008F1EB8">
        <w:rPr>
          <w:rFonts w:eastAsia="Times New Roman"/>
          <w:sz w:val="24"/>
          <w:szCs w:val="24"/>
        </w:rPr>
        <w:t>a</w:t>
      </w:r>
      <w:r w:rsidRPr="008F1EB8">
        <w:rPr>
          <w:rFonts w:eastAsia="Times New Roman"/>
          <w:sz w:val="24"/>
          <w:szCs w:val="24"/>
        </w:rPr>
        <w:t>y’s Bank” is likewise becoming more cautious and concentrating on growing their offshore banking activities, whilst financial institutions from the major economies less affected by the recession have operated overseas.</w:t>
      </w:r>
    </w:p>
    <w:p w14:paraId="50C747FB" w14:textId="77777777" w:rsidR="008D0C0D" w:rsidRPr="008F1EB8" w:rsidRDefault="00BD2D3C" w:rsidP="00682359">
      <w:pPr>
        <w:pStyle w:val="Heading1"/>
        <w:rPr>
          <w:rFonts w:ascii="Arial" w:hAnsi="Arial"/>
        </w:rPr>
      </w:pPr>
      <w:bookmarkStart w:id="11" w:name="_Toc124120836"/>
      <w:r w:rsidRPr="008F1EB8">
        <w:rPr>
          <w:rFonts w:ascii="Arial" w:hAnsi="Arial"/>
        </w:rPr>
        <w:t>Recommendation</w:t>
      </w:r>
      <w:bookmarkEnd w:id="11"/>
    </w:p>
    <w:p w14:paraId="537A66EE" w14:textId="6BF12AF8" w:rsidR="00C10216" w:rsidRPr="008F1EB8" w:rsidRDefault="00BD2D3C">
      <w:pPr>
        <w:spacing w:line="360" w:lineRule="auto"/>
        <w:jc w:val="both"/>
        <w:rPr>
          <w:rFonts w:eastAsia="Times New Roman"/>
          <w:sz w:val="24"/>
          <w:szCs w:val="24"/>
        </w:rPr>
      </w:pPr>
      <w:r w:rsidRPr="008F1EB8">
        <w:rPr>
          <w:rFonts w:eastAsia="Times New Roman"/>
          <w:sz w:val="24"/>
          <w:szCs w:val="24"/>
        </w:rPr>
        <w:t xml:space="preserve">The global financial sector has been significantly impacted by the global financial crisis, the market climate that has emerged in its wake, and the changes that have been made to regulatory frameworks. Banks such as Barclays have rethought and revised their business strategies and models as a response to the altered operating environment that has arisen. At the same time, a lot of the financial systems that are used in industrialized nations are underperforming and have legacy problems (Sironi, 2018). For Barclays bank to readjust to the new operating environment in the aftermath of the crisis, continuous and stringent auditing is required. As a result of the fact that banks are exposed to a wide range of threats, Barclays Bank is highly recommended to have well-built risk management infrastructures and is expected to conform with regulatory criteria. The majority of a bank's market risk comes from the activities it conducts in the capital markets. </w:t>
      </w:r>
    </w:p>
    <w:p w14:paraId="0EF827CF" w14:textId="77777777" w:rsidR="00DA78A4" w:rsidRPr="008F1EB8" w:rsidRDefault="00BD2D3C" w:rsidP="00682359">
      <w:pPr>
        <w:spacing w:line="360" w:lineRule="auto"/>
        <w:jc w:val="both"/>
        <w:rPr>
          <w:rFonts w:eastAsia="Times New Roman"/>
          <w:sz w:val="24"/>
          <w:szCs w:val="24"/>
        </w:rPr>
      </w:pPr>
      <w:r w:rsidRPr="008F1EB8">
        <w:rPr>
          <w:rFonts w:eastAsia="Times New Roman"/>
          <w:sz w:val="24"/>
          <w:szCs w:val="24"/>
        </w:rPr>
        <w:t xml:space="preserve">The volatility of stock markets, interest rates, commodity prices, and credit spreads are all factors that contribute to this phenomenon. Consequently, it is essential to have a diversified portfolio of </w:t>
      </w:r>
      <w:r w:rsidR="00C10216" w:rsidRPr="008F1EB8">
        <w:rPr>
          <w:rFonts w:eastAsia="Times New Roman"/>
          <w:sz w:val="24"/>
          <w:szCs w:val="24"/>
        </w:rPr>
        <w:t>investments and</w:t>
      </w:r>
      <w:r w:rsidRPr="008F1EB8">
        <w:rPr>
          <w:rFonts w:eastAsia="Times New Roman"/>
          <w:sz w:val="24"/>
          <w:szCs w:val="24"/>
        </w:rPr>
        <w:t xml:space="preserve"> doing so</w:t>
      </w:r>
      <w:r w:rsidR="00C10216" w:rsidRPr="008F1EB8">
        <w:rPr>
          <w:rFonts w:eastAsia="Times New Roman"/>
          <w:sz w:val="24"/>
          <w:szCs w:val="24"/>
        </w:rPr>
        <w:t>,</w:t>
      </w:r>
      <w:r w:rsidRPr="008F1EB8">
        <w:rPr>
          <w:rFonts w:eastAsia="Times New Roman"/>
          <w:sz w:val="24"/>
          <w:szCs w:val="24"/>
        </w:rPr>
        <w:t xml:space="preserve"> is strongly recommended to reduce exposure to market risk. Hedging their investments with investments that are inversely related is another method for banks to lower their risk exposure (Alhadrami and </w:t>
      </w:r>
      <w:r w:rsidRPr="008F1EB8">
        <w:rPr>
          <w:rFonts w:eastAsia="Times New Roman"/>
          <w:sz w:val="24"/>
          <w:szCs w:val="24"/>
        </w:rPr>
        <w:lastRenderedPageBreak/>
        <w:t xml:space="preserve">Nobanee, 2019). In addition, even though banking firms such as Barclays Bank have significantly more capital than they did before the financial crisis of 2008, they nevertheless need to have an even higher level of confidence in their liquidity. </w:t>
      </w:r>
    </w:p>
    <w:p w14:paraId="7F3C4E5B" w14:textId="33A397DA" w:rsidR="00682359" w:rsidRPr="008F1EB8" w:rsidRDefault="00DA78A4" w:rsidP="00682359">
      <w:pPr>
        <w:spacing w:line="360" w:lineRule="auto"/>
        <w:jc w:val="both"/>
        <w:rPr>
          <w:rFonts w:eastAsia="Times New Roman"/>
          <w:sz w:val="24"/>
          <w:szCs w:val="24"/>
        </w:rPr>
      </w:pPr>
      <w:r w:rsidRPr="008F1EB8">
        <w:rPr>
          <w:rFonts w:eastAsia="Times New Roman"/>
          <w:sz w:val="24"/>
          <w:szCs w:val="24"/>
        </w:rPr>
        <w:t>Barclays must continue to adhere to the Basel III recommendations, and r</w:t>
      </w:r>
      <w:r w:rsidR="00BD2D3C" w:rsidRPr="008F1EB8">
        <w:rPr>
          <w:rFonts w:eastAsia="Times New Roman"/>
          <w:sz w:val="24"/>
          <w:szCs w:val="24"/>
        </w:rPr>
        <w:t xml:space="preserve">isk </w:t>
      </w:r>
      <w:r w:rsidRPr="008F1EB8">
        <w:rPr>
          <w:rFonts w:eastAsia="Times New Roman"/>
          <w:sz w:val="24"/>
          <w:szCs w:val="24"/>
        </w:rPr>
        <w:t>managers</w:t>
      </w:r>
      <w:r w:rsidR="00BD2D3C" w:rsidRPr="008F1EB8">
        <w:rPr>
          <w:rFonts w:eastAsia="Times New Roman"/>
          <w:sz w:val="24"/>
          <w:szCs w:val="24"/>
        </w:rPr>
        <w:t xml:space="preserve"> must conduct regular stress testing given the unpredictability and the quick changes in </w:t>
      </w:r>
      <w:r w:rsidRPr="008F1EB8">
        <w:rPr>
          <w:rFonts w:eastAsia="Times New Roman"/>
          <w:sz w:val="24"/>
          <w:szCs w:val="24"/>
        </w:rPr>
        <w:t>financial markets</w:t>
      </w:r>
      <w:r w:rsidR="00BD2D3C" w:rsidRPr="008F1EB8">
        <w:rPr>
          <w:rFonts w:eastAsia="Times New Roman"/>
          <w:sz w:val="24"/>
          <w:szCs w:val="24"/>
        </w:rPr>
        <w:t>. Within the context of this industry, artificial intelligence can be of substantial assistance to banks in the modeling of dynamic situations that contain a large number of different variables (Burkhanov, 2020).</w:t>
      </w:r>
    </w:p>
    <w:p w14:paraId="4796FCA2" w14:textId="77777777" w:rsidR="008D0C0D" w:rsidRPr="008F1EB8" w:rsidRDefault="00BD2D3C" w:rsidP="00682359">
      <w:pPr>
        <w:pStyle w:val="Heading1"/>
        <w:rPr>
          <w:rFonts w:ascii="Arial" w:eastAsia="Times New Roman" w:hAnsi="Arial"/>
          <w:sz w:val="24"/>
          <w:szCs w:val="24"/>
        </w:rPr>
      </w:pPr>
      <w:bookmarkStart w:id="12" w:name="_Toc124120837"/>
      <w:r w:rsidRPr="008F1EB8">
        <w:rPr>
          <w:rFonts w:ascii="Arial" w:hAnsi="Arial"/>
        </w:rPr>
        <w:t>Conclusion</w:t>
      </w:r>
      <w:bookmarkEnd w:id="12"/>
    </w:p>
    <w:p w14:paraId="0666AB32" w14:textId="26CD5E94" w:rsidR="008D0C0D" w:rsidRPr="008F1EB8" w:rsidRDefault="00BD2D3C">
      <w:pPr>
        <w:spacing w:line="360" w:lineRule="auto"/>
        <w:jc w:val="both"/>
        <w:rPr>
          <w:rFonts w:eastAsia="Times New Roman"/>
          <w:sz w:val="24"/>
          <w:szCs w:val="24"/>
        </w:rPr>
      </w:pPr>
      <w:r w:rsidRPr="008F1EB8">
        <w:rPr>
          <w:rFonts w:eastAsia="Times New Roman"/>
          <w:sz w:val="24"/>
          <w:szCs w:val="24"/>
        </w:rPr>
        <w:t xml:space="preserve">In conclusion, the initial warning sign of the 2008 global financial crisis was the complete and total collapse of the real estate market, which in turn brought the financial systems of the majority of industrialized nations to their knees. A study of the history of Barclays Bank was conducted </w:t>
      </w:r>
      <w:r w:rsidR="00493DEF" w:rsidRPr="008F1EB8">
        <w:rPr>
          <w:rFonts w:eastAsia="Times New Roman"/>
          <w:sz w:val="24"/>
          <w:szCs w:val="24"/>
        </w:rPr>
        <w:t>and revealed, how it</w:t>
      </w:r>
      <w:r w:rsidRPr="008F1EB8">
        <w:rPr>
          <w:rFonts w:eastAsia="Times New Roman"/>
          <w:sz w:val="24"/>
          <w:szCs w:val="24"/>
        </w:rPr>
        <w:t xml:space="preserve"> was impacted </w:t>
      </w:r>
      <w:r w:rsidR="00493DEF" w:rsidRPr="008F1EB8">
        <w:rPr>
          <w:rFonts w:eastAsia="Times New Roman"/>
          <w:sz w:val="24"/>
          <w:szCs w:val="24"/>
        </w:rPr>
        <w:t>by</w:t>
      </w:r>
      <w:r w:rsidRPr="008F1EB8">
        <w:rPr>
          <w:rFonts w:eastAsia="Times New Roman"/>
          <w:sz w:val="24"/>
          <w:szCs w:val="24"/>
        </w:rPr>
        <w:t xml:space="preserve"> the financial crisis, </w:t>
      </w:r>
      <w:r w:rsidR="00493DEF" w:rsidRPr="008F1EB8">
        <w:rPr>
          <w:rFonts w:eastAsia="Times New Roman"/>
          <w:sz w:val="24"/>
          <w:szCs w:val="24"/>
        </w:rPr>
        <w:t xml:space="preserve">causing </w:t>
      </w:r>
      <w:r w:rsidRPr="008F1EB8">
        <w:rPr>
          <w:rFonts w:eastAsia="Times New Roman"/>
          <w:sz w:val="24"/>
          <w:szCs w:val="24"/>
        </w:rPr>
        <w:t xml:space="preserve">a considerable backlash to the bank's actions. A comprehensive study was conducted to look into the laws, regulations, and contracts enacted by the UK government in response to the 2008 financial crisis. Moreover, recommendations to </w:t>
      </w:r>
      <w:r w:rsidR="00493DEF" w:rsidRPr="008F1EB8">
        <w:rPr>
          <w:rFonts w:eastAsia="Times New Roman"/>
          <w:sz w:val="24"/>
          <w:szCs w:val="24"/>
        </w:rPr>
        <w:t>stabilize</w:t>
      </w:r>
      <w:r w:rsidRPr="008F1EB8">
        <w:rPr>
          <w:rFonts w:eastAsia="Times New Roman"/>
          <w:sz w:val="24"/>
          <w:szCs w:val="24"/>
        </w:rPr>
        <w:t xml:space="preserve"> the financial condition of Barclays bank</w:t>
      </w:r>
      <w:r w:rsidR="00493DEF" w:rsidRPr="008F1EB8">
        <w:rPr>
          <w:rFonts w:eastAsia="Times New Roman"/>
          <w:sz w:val="24"/>
          <w:szCs w:val="24"/>
        </w:rPr>
        <w:t xml:space="preserve">, have been </w:t>
      </w:r>
      <w:r w:rsidRPr="008F1EB8">
        <w:rPr>
          <w:rFonts w:eastAsia="Times New Roman"/>
          <w:sz w:val="24"/>
          <w:szCs w:val="24"/>
        </w:rPr>
        <w:t>provided.</w:t>
      </w:r>
    </w:p>
    <w:p w14:paraId="2BC25690" w14:textId="77777777" w:rsidR="008D0C0D" w:rsidRPr="008F1EB8" w:rsidRDefault="00BD2D3C">
      <w:pPr>
        <w:spacing w:line="360" w:lineRule="auto"/>
        <w:jc w:val="both"/>
        <w:rPr>
          <w:rFonts w:eastAsia="Times New Roman"/>
          <w:sz w:val="24"/>
          <w:szCs w:val="24"/>
        </w:rPr>
      </w:pPr>
      <w:r w:rsidRPr="008F1EB8">
        <w:br w:type="page"/>
      </w:r>
    </w:p>
    <w:p w14:paraId="597F8B08" w14:textId="77777777" w:rsidR="008D0C0D" w:rsidRPr="008F1EB8" w:rsidRDefault="00BD2D3C" w:rsidP="00682359">
      <w:pPr>
        <w:pStyle w:val="Heading1"/>
        <w:rPr>
          <w:rFonts w:ascii="Arial" w:hAnsi="Arial"/>
        </w:rPr>
      </w:pPr>
      <w:bookmarkStart w:id="13" w:name="_Toc124120838"/>
      <w:r w:rsidRPr="008F1EB8">
        <w:rPr>
          <w:rFonts w:ascii="Arial" w:hAnsi="Arial"/>
        </w:rPr>
        <w:lastRenderedPageBreak/>
        <w:t>References</w:t>
      </w:r>
      <w:bookmarkEnd w:id="13"/>
    </w:p>
    <w:p w14:paraId="0D059F01" w14:textId="77777777" w:rsidR="00682359" w:rsidRPr="008F1EB8" w:rsidRDefault="00682359">
      <w:pPr>
        <w:spacing w:line="360" w:lineRule="auto"/>
        <w:jc w:val="both"/>
        <w:rPr>
          <w:rFonts w:eastAsia="Times New Roman"/>
          <w:sz w:val="24"/>
          <w:szCs w:val="24"/>
        </w:rPr>
      </w:pPr>
    </w:p>
    <w:p w14:paraId="2BB1AED3" w14:textId="77777777" w:rsidR="00682359" w:rsidRPr="008F1EB8" w:rsidRDefault="00682359">
      <w:pPr>
        <w:spacing w:before="240" w:after="240" w:line="360" w:lineRule="auto"/>
        <w:jc w:val="both"/>
        <w:rPr>
          <w:rFonts w:eastAsia="Times New Roman"/>
          <w:sz w:val="24"/>
          <w:szCs w:val="24"/>
        </w:rPr>
      </w:pPr>
      <w:r w:rsidRPr="008F1EB8">
        <w:rPr>
          <w:rFonts w:eastAsia="Times New Roman"/>
          <w:sz w:val="24"/>
          <w:szCs w:val="24"/>
          <w:highlight w:val="white"/>
        </w:rPr>
        <w:t>Aidnik, M., (2020). Structural reforms and business ethos in universities under Estonia’s post-2008 austerity regime. Policy Futures in Education, 18(8), pp.957-975.</w:t>
      </w:r>
    </w:p>
    <w:p w14:paraId="5A8C96BD" w14:textId="77777777" w:rsidR="00682359" w:rsidRPr="008F1EB8" w:rsidRDefault="00682359">
      <w:pPr>
        <w:spacing w:before="240" w:after="240" w:line="360" w:lineRule="auto"/>
        <w:jc w:val="both"/>
        <w:rPr>
          <w:rFonts w:eastAsia="Times New Roman"/>
          <w:sz w:val="24"/>
          <w:szCs w:val="24"/>
        </w:rPr>
      </w:pPr>
      <w:r w:rsidRPr="008F1EB8">
        <w:rPr>
          <w:rFonts w:eastAsia="Times New Roman"/>
          <w:sz w:val="24"/>
          <w:szCs w:val="24"/>
        </w:rPr>
        <w:t>Alhadhrami, A. and Nobanee, H., (2019). Sustainability Practices and Sustainable Financial Growth. Available at SSRN 3472413.</w:t>
      </w:r>
    </w:p>
    <w:p w14:paraId="5E7FB271" w14:textId="77777777" w:rsidR="00682359" w:rsidRPr="008F1EB8" w:rsidRDefault="00682359">
      <w:pPr>
        <w:spacing w:line="360" w:lineRule="auto"/>
        <w:jc w:val="both"/>
        <w:rPr>
          <w:rFonts w:eastAsia="Times New Roman"/>
          <w:sz w:val="24"/>
          <w:szCs w:val="24"/>
          <w:highlight w:val="white"/>
        </w:rPr>
      </w:pPr>
      <w:r w:rsidRPr="008F1EB8">
        <w:rPr>
          <w:rFonts w:eastAsia="Times New Roman"/>
          <w:sz w:val="24"/>
          <w:szCs w:val="24"/>
          <w:highlight w:val="white"/>
        </w:rPr>
        <w:t xml:space="preserve">Appleyard, L., Packman, C., Lazell, J. and Aslam, H., (2021). The Lived Experience of Financialization at the UK Financial Fringe. </w:t>
      </w:r>
      <w:r w:rsidRPr="008F1EB8">
        <w:rPr>
          <w:rFonts w:eastAsia="Times New Roman"/>
          <w:i/>
          <w:sz w:val="24"/>
          <w:szCs w:val="24"/>
          <w:highlight w:val="white"/>
        </w:rPr>
        <w:t>Journal of Social Policy</w:t>
      </w:r>
      <w:r w:rsidRPr="008F1EB8">
        <w:rPr>
          <w:rFonts w:eastAsia="Times New Roman"/>
          <w:sz w:val="24"/>
          <w:szCs w:val="24"/>
          <w:highlight w:val="white"/>
        </w:rPr>
        <w:t>, pp.1-22.</w:t>
      </w:r>
    </w:p>
    <w:p w14:paraId="6D25B19D" w14:textId="6B134F82" w:rsidR="009B044C" w:rsidRPr="008F1EB8" w:rsidRDefault="009B044C" w:rsidP="009B044C">
      <w:pPr>
        <w:spacing w:before="240" w:line="360" w:lineRule="auto"/>
        <w:jc w:val="both"/>
        <w:rPr>
          <w:rFonts w:eastAsia="Times New Roman"/>
          <w:sz w:val="24"/>
          <w:szCs w:val="24"/>
          <w:highlight w:val="white"/>
        </w:rPr>
      </w:pPr>
      <w:r w:rsidRPr="008F1EB8">
        <w:rPr>
          <w:rFonts w:eastAsia="Times New Roman"/>
          <w:sz w:val="24"/>
          <w:szCs w:val="24"/>
          <w:highlight w:val="white"/>
        </w:rPr>
        <w:t xml:space="preserve">Bank for International </w:t>
      </w:r>
      <w:r w:rsidR="00183929" w:rsidRPr="008F1EB8">
        <w:rPr>
          <w:rFonts w:eastAsia="Times New Roman"/>
          <w:sz w:val="24"/>
          <w:szCs w:val="24"/>
          <w:highlight w:val="white"/>
        </w:rPr>
        <w:t>Settlements</w:t>
      </w:r>
      <w:r w:rsidRPr="008F1EB8">
        <w:rPr>
          <w:rFonts w:eastAsia="Times New Roman"/>
          <w:sz w:val="24"/>
          <w:szCs w:val="24"/>
          <w:highlight w:val="white"/>
        </w:rPr>
        <w:t xml:space="preserve"> (2022), Basel framework</w:t>
      </w:r>
    </w:p>
    <w:p w14:paraId="74D6E7D3" w14:textId="1E5E4BE3" w:rsidR="009B044C" w:rsidRPr="008F1EB8" w:rsidRDefault="009B044C" w:rsidP="009B044C">
      <w:pPr>
        <w:spacing w:line="360" w:lineRule="auto"/>
        <w:jc w:val="both"/>
        <w:rPr>
          <w:rFonts w:eastAsia="Times New Roman"/>
          <w:sz w:val="24"/>
          <w:szCs w:val="24"/>
        </w:rPr>
      </w:pPr>
      <w:r w:rsidRPr="008F1EB8">
        <w:rPr>
          <w:rFonts w:eastAsia="Times New Roman"/>
          <w:sz w:val="24"/>
          <w:szCs w:val="24"/>
          <w:highlight w:val="white"/>
        </w:rPr>
        <w:t xml:space="preserve">[Accessed from: </w:t>
      </w:r>
      <w:r w:rsidRPr="008F1EB8">
        <w:rPr>
          <w:rFonts w:eastAsia="Times New Roman"/>
          <w:sz w:val="24"/>
          <w:szCs w:val="24"/>
        </w:rPr>
        <w:t>https://www.bis.org/basel_framework/</w:t>
      </w:r>
      <w:r w:rsidRPr="008F1EB8">
        <w:rPr>
          <w:rFonts w:eastAsia="Times New Roman"/>
          <w:sz w:val="24"/>
          <w:szCs w:val="24"/>
        </w:rPr>
        <w:t>]</w:t>
      </w:r>
    </w:p>
    <w:p w14:paraId="4AD5328B" w14:textId="6AB194A9" w:rsidR="009B044C" w:rsidRPr="008F1EB8" w:rsidRDefault="009B044C" w:rsidP="009B044C">
      <w:pPr>
        <w:spacing w:line="360" w:lineRule="auto"/>
        <w:jc w:val="both"/>
        <w:rPr>
          <w:rFonts w:eastAsia="Times New Roman"/>
          <w:sz w:val="24"/>
          <w:szCs w:val="24"/>
        </w:rPr>
      </w:pPr>
      <w:r w:rsidRPr="008F1EB8">
        <w:rPr>
          <w:rFonts w:eastAsia="Times New Roman"/>
          <w:sz w:val="24"/>
          <w:szCs w:val="24"/>
        </w:rPr>
        <w:t>[Accessed on: 03/12/2022]</w:t>
      </w:r>
    </w:p>
    <w:p w14:paraId="5AFCA40F" w14:textId="77777777" w:rsidR="009B044C" w:rsidRPr="008F1EB8" w:rsidRDefault="009B044C">
      <w:pPr>
        <w:spacing w:before="240" w:after="240" w:line="360" w:lineRule="auto"/>
        <w:jc w:val="both"/>
        <w:rPr>
          <w:rFonts w:eastAsia="Times New Roman"/>
          <w:sz w:val="24"/>
          <w:szCs w:val="24"/>
          <w:highlight w:val="white"/>
        </w:rPr>
      </w:pPr>
    </w:p>
    <w:p w14:paraId="63ED7476" w14:textId="007D9765" w:rsidR="00682359" w:rsidRPr="008F1EB8" w:rsidRDefault="00682359">
      <w:pPr>
        <w:spacing w:before="240" w:after="240" w:line="360" w:lineRule="auto"/>
        <w:jc w:val="both"/>
        <w:rPr>
          <w:rFonts w:eastAsia="Times New Roman"/>
          <w:sz w:val="24"/>
          <w:szCs w:val="24"/>
          <w:highlight w:val="white"/>
        </w:rPr>
      </w:pPr>
      <w:r w:rsidRPr="008F1EB8">
        <w:rPr>
          <w:rFonts w:eastAsia="Times New Roman"/>
          <w:sz w:val="24"/>
          <w:szCs w:val="24"/>
          <w:highlight w:val="white"/>
        </w:rPr>
        <w:t>Barnoussi, A.E., Howieson, B. and van Beest, F., (2020). Prudential Application of IFRS 9:(Un) Fair Reporting in COVID</w:t>
      </w:r>
      <w:r w:rsidRPr="008F1EB8">
        <w:rPr>
          <w:rFonts w:ascii="Cambria Math" w:eastAsia="Times New Roman" w:hAnsi="Cambria Math" w:cs="Cambria Math"/>
          <w:sz w:val="24"/>
          <w:szCs w:val="24"/>
          <w:highlight w:val="white"/>
        </w:rPr>
        <w:t>‐</w:t>
      </w:r>
      <w:r w:rsidRPr="008F1EB8">
        <w:rPr>
          <w:rFonts w:eastAsia="Times New Roman"/>
          <w:sz w:val="24"/>
          <w:szCs w:val="24"/>
          <w:highlight w:val="white"/>
        </w:rPr>
        <w:t xml:space="preserve">19 Crisis for Banks Worldwide?!. </w:t>
      </w:r>
      <w:r w:rsidRPr="008F1EB8">
        <w:rPr>
          <w:rFonts w:eastAsia="Times New Roman"/>
          <w:i/>
          <w:sz w:val="24"/>
          <w:szCs w:val="24"/>
          <w:highlight w:val="white"/>
        </w:rPr>
        <w:t>Australian Accounting Review</w:t>
      </w:r>
      <w:r w:rsidRPr="008F1EB8">
        <w:rPr>
          <w:rFonts w:eastAsia="Times New Roman"/>
          <w:sz w:val="24"/>
          <w:szCs w:val="24"/>
          <w:highlight w:val="white"/>
        </w:rPr>
        <w:t xml:space="preserve">, </w:t>
      </w:r>
      <w:r w:rsidRPr="008F1EB8">
        <w:rPr>
          <w:rFonts w:eastAsia="Times New Roman"/>
          <w:i/>
          <w:sz w:val="24"/>
          <w:szCs w:val="24"/>
          <w:highlight w:val="white"/>
        </w:rPr>
        <w:t>30</w:t>
      </w:r>
      <w:r w:rsidRPr="008F1EB8">
        <w:rPr>
          <w:rFonts w:eastAsia="Times New Roman"/>
          <w:sz w:val="24"/>
          <w:szCs w:val="24"/>
          <w:highlight w:val="white"/>
        </w:rPr>
        <w:t>(3), pp.178-192.</w:t>
      </w:r>
    </w:p>
    <w:p w14:paraId="2799C3C9" w14:textId="77777777" w:rsidR="00682359" w:rsidRPr="008F1EB8" w:rsidRDefault="00682359">
      <w:pPr>
        <w:spacing w:before="240" w:after="240" w:line="360" w:lineRule="auto"/>
        <w:jc w:val="both"/>
        <w:rPr>
          <w:rFonts w:eastAsia="Times New Roman"/>
          <w:sz w:val="24"/>
          <w:szCs w:val="24"/>
        </w:rPr>
      </w:pPr>
      <w:r w:rsidRPr="008F1EB8">
        <w:rPr>
          <w:rFonts w:eastAsia="Times New Roman"/>
          <w:sz w:val="24"/>
          <w:szCs w:val="24"/>
        </w:rPr>
        <w:t>Bernanke, B.S., (2018). The real effects of disrupted credit: Evidence from the global financial crisis. Brookings Papers on Economic Activity, 2018(2), pp.251-342.</w:t>
      </w:r>
    </w:p>
    <w:p w14:paraId="50F8C598" w14:textId="77777777" w:rsidR="00682359" w:rsidRPr="008F1EB8" w:rsidRDefault="00682359">
      <w:pPr>
        <w:spacing w:before="240" w:after="240" w:line="360" w:lineRule="auto"/>
        <w:jc w:val="both"/>
        <w:rPr>
          <w:rFonts w:eastAsia="Times New Roman"/>
          <w:sz w:val="24"/>
          <w:szCs w:val="24"/>
          <w:highlight w:val="white"/>
        </w:rPr>
      </w:pPr>
      <w:r w:rsidRPr="008F1EB8">
        <w:rPr>
          <w:rFonts w:eastAsia="Times New Roman"/>
          <w:sz w:val="24"/>
          <w:szCs w:val="24"/>
          <w:highlight w:val="white"/>
        </w:rPr>
        <w:t>Bratton, W.W. and Levitin, A.J., (2020). a tale of two markets: Regulation and innovation in post-crisis mortgage and structured finance markets. U. Ill. L. Rev., p.47.</w:t>
      </w:r>
    </w:p>
    <w:p w14:paraId="72C12E4F" w14:textId="77777777" w:rsidR="00682359" w:rsidRPr="008F1EB8" w:rsidRDefault="00682359">
      <w:pPr>
        <w:spacing w:before="240" w:after="240" w:line="360" w:lineRule="auto"/>
        <w:jc w:val="both"/>
        <w:rPr>
          <w:rFonts w:eastAsia="Times New Roman"/>
          <w:sz w:val="24"/>
          <w:szCs w:val="24"/>
          <w:highlight w:val="white"/>
        </w:rPr>
      </w:pPr>
      <w:r w:rsidRPr="008F1EB8">
        <w:rPr>
          <w:rFonts w:eastAsia="Times New Roman"/>
          <w:sz w:val="24"/>
          <w:szCs w:val="24"/>
          <w:highlight w:val="white"/>
        </w:rPr>
        <w:t>Buchholtz, A., (2021). UK Bank Recapitalisation Scheme. The Journal of Financial Crises, 3(3), pp.720-737.</w:t>
      </w:r>
    </w:p>
    <w:p w14:paraId="781A8196" w14:textId="77777777" w:rsidR="00682359" w:rsidRPr="008F1EB8" w:rsidRDefault="00682359">
      <w:pPr>
        <w:spacing w:before="240" w:after="240" w:line="360" w:lineRule="auto"/>
        <w:jc w:val="both"/>
        <w:rPr>
          <w:rFonts w:eastAsia="Times New Roman"/>
          <w:sz w:val="24"/>
          <w:szCs w:val="24"/>
          <w:highlight w:val="white"/>
        </w:rPr>
      </w:pPr>
      <w:r w:rsidRPr="008F1EB8">
        <w:rPr>
          <w:rFonts w:eastAsia="Times New Roman"/>
          <w:sz w:val="24"/>
          <w:szCs w:val="24"/>
          <w:highlight w:val="white"/>
        </w:rPr>
        <w:t xml:space="preserve">Burdon, W.M. and Sorour, M.K., (2020). Institutional theory and evolution of ‘a legitimate’compliance culture: The case of the UK financial service sector. </w:t>
      </w:r>
      <w:r w:rsidRPr="008F1EB8">
        <w:rPr>
          <w:rFonts w:eastAsia="Times New Roman"/>
          <w:i/>
          <w:sz w:val="24"/>
          <w:szCs w:val="24"/>
          <w:highlight w:val="white"/>
        </w:rPr>
        <w:t>Journal of Business Ethics</w:t>
      </w:r>
      <w:r w:rsidRPr="008F1EB8">
        <w:rPr>
          <w:rFonts w:eastAsia="Times New Roman"/>
          <w:sz w:val="24"/>
          <w:szCs w:val="24"/>
          <w:highlight w:val="white"/>
        </w:rPr>
        <w:t xml:space="preserve">, </w:t>
      </w:r>
      <w:r w:rsidRPr="008F1EB8">
        <w:rPr>
          <w:rFonts w:eastAsia="Times New Roman"/>
          <w:i/>
          <w:sz w:val="24"/>
          <w:szCs w:val="24"/>
          <w:highlight w:val="white"/>
        </w:rPr>
        <w:t>162</w:t>
      </w:r>
      <w:r w:rsidRPr="008F1EB8">
        <w:rPr>
          <w:rFonts w:eastAsia="Times New Roman"/>
          <w:sz w:val="24"/>
          <w:szCs w:val="24"/>
          <w:highlight w:val="white"/>
        </w:rPr>
        <w:t>(1), pp.47-80.</w:t>
      </w:r>
    </w:p>
    <w:p w14:paraId="2BEA3F1F" w14:textId="77777777" w:rsidR="00682359" w:rsidRPr="008F1EB8" w:rsidRDefault="00682359">
      <w:pPr>
        <w:spacing w:before="240" w:after="240" w:line="360" w:lineRule="auto"/>
        <w:jc w:val="both"/>
        <w:rPr>
          <w:rFonts w:eastAsia="Times New Roman"/>
          <w:sz w:val="24"/>
          <w:szCs w:val="24"/>
        </w:rPr>
      </w:pPr>
      <w:r w:rsidRPr="008F1EB8">
        <w:rPr>
          <w:rFonts w:eastAsia="Times New Roman"/>
          <w:sz w:val="24"/>
          <w:szCs w:val="24"/>
        </w:rPr>
        <w:t>Burkhanov, A., (2020). Indicators to assess financial security of the banks. Архив научных исследований, (27).</w:t>
      </w:r>
    </w:p>
    <w:p w14:paraId="548443D4" w14:textId="77777777" w:rsidR="00682359" w:rsidRPr="008F1EB8" w:rsidRDefault="00682359">
      <w:pPr>
        <w:spacing w:before="240" w:after="240" w:line="360" w:lineRule="auto"/>
        <w:jc w:val="both"/>
        <w:rPr>
          <w:rFonts w:eastAsia="Times New Roman"/>
          <w:sz w:val="24"/>
          <w:szCs w:val="24"/>
          <w:highlight w:val="white"/>
        </w:rPr>
      </w:pPr>
      <w:r w:rsidRPr="008F1EB8">
        <w:rPr>
          <w:rFonts w:eastAsia="Times New Roman"/>
          <w:sz w:val="24"/>
          <w:szCs w:val="24"/>
          <w:highlight w:val="white"/>
        </w:rPr>
        <w:lastRenderedPageBreak/>
        <w:t xml:space="preserve">Byrne, M., (2020). Generation rent and the financialization of housing: A comparative exploration of the growth of the private rental sector in Ireland, the UK and Spain. </w:t>
      </w:r>
      <w:r w:rsidRPr="008F1EB8">
        <w:rPr>
          <w:rFonts w:eastAsia="Times New Roman"/>
          <w:i/>
          <w:sz w:val="24"/>
          <w:szCs w:val="24"/>
          <w:highlight w:val="white"/>
        </w:rPr>
        <w:t>Housing Studies</w:t>
      </w:r>
      <w:r w:rsidRPr="008F1EB8">
        <w:rPr>
          <w:rFonts w:eastAsia="Times New Roman"/>
          <w:sz w:val="24"/>
          <w:szCs w:val="24"/>
          <w:highlight w:val="white"/>
        </w:rPr>
        <w:t xml:space="preserve">, </w:t>
      </w:r>
      <w:r w:rsidRPr="008F1EB8">
        <w:rPr>
          <w:rFonts w:eastAsia="Times New Roman"/>
          <w:i/>
          <w:sz w:val="24"/>
          <w:szCs w:val="24"/>
          <w:highlight w:val="white"/>
        </w:rPr>
        <w:t>35</w:t>
      </w:r>
      <w:r w:rsidRPr="008F1EB8">
        <w:rPr>
          <w:rFonts w:eastAsia="Times New Roman"/>
          <w:sz w:val="24"/>
          <w:szCs w:val="24"/>
          <w:highlight w:val="white"/>
        </w:rPr>
        <w:t>(4), pp.743-765.</w:t>
      </w:r>
    </w:p>
    <w:p w14:paraId="712B055D" w14:textId="77777777" w:rsidR="00682359" w:rsidRPr="008F1EB8" w:rsidRDefault="00682359">
      <w:pPr>
        <w:spacing w:before="240" w:after="240" w:line="360" w:lineRule="auto"/>
        <w:jc w:val="both"/>
        <w:rPr>
          <w:rFonts w:eastAsia="Times New Roman"/>
          <w:sz w:val="24"/>
          <w:szCs w:val="24"/>
        </w:rPr>
      </w:pPr>
      <w:bookmarkStart w:id="14" w:name="_ami2xgm39jns" w:colFirst="0" w:colLast="0"/>
      <w:bookmarkEnd w:id="14"/>
      <w:r w:rsidRPr="008F1EB8">
        <w:rPr>
          <w:rFonts w:eastAsia="Times New Roman"/>
          <w:sz w:val="24"/>
          <w:szCs w:val="24"/>
        </w:rPr>
        <w:t>cashfloat.co.uk,(2020.government-measures-crisis.Availableat:https://www.cashfloat.co.uk/blog/money-saving/government-measures-crisis/.[Accessed on: 30.11.2022]</w:t>
      </w:r>
    </w:p>
    <w:p w14:paraId="1A79A976" w14:textId="77777777" w:rsidR="00682359" w:rsidRPr="008F1EB8" w:rsidRDefault="00682359">
      <w:pPr>
        <w:spacing w:before="240" w:after="240" w:line="360" w:lineRule="auto"/>
        <w:jc w:val="both"/>
        <w:rPr>
          <w:rFonts w:eastAsia="Times New Roman"/>
          <w:sz w:val="24"/>
          <w:szCs w:val="24"/>
          <w:highlight w:val="white"/>
        </w:rPr>
      </w:pPr>
      <w:r w:rsidRPr="008F1EB8">
        <w:rPr>
          <w:rFonts w:eastAsia="Times New Roman"/>
          <w:sz w:val="24"/>
          <w:szCs w:val="24"/>
          <w:highlight w:val="white"/>
        </w:rPr>
        <w:t xml:space="preserve">Crafts, N. and Mills, T.C., (2020). Is the UK productivity slowdown unprecedented?. </w:t>
      </w:r>
      <w:r w:rsidRPr="008F1EB8">
        <w:rPr>
          <w:rFonts w:eastAsia="Times New Roman"/>
          <w:i/>
          <w:sz w:val="24"/>
          <w:szCs w:val="24"/>
          <w:highlight w:val="white"/>
        </w:rPr>
        <w:t>National Institute Economic Review</w:t>
      </w:r>
      <w:r w:rsidRPr="008F1EB8">
        <w:rPr>
          <w:rFonts w:eastAsia="Times New Roman"/>
          <w:sz w:val="24"/>
          <w:szCs w:val="24"/>
          <w:highlight w:val="white"/>
        </w:rPr>
        <w:t xml:space="preserve">, </w:t>
      </w:r>
      <w:r w:rsidRPr="008F1EB8">
        <w:rPr>
          <w:rFonts w:eastAsia="Times New Roman"/>
          <w:i/>
          <w:sz w:val="24"/>
          <w:szCs w:val="24"/>
          <w:highlight w:val="white"/>
        </w:rPr>
        <w:t>251</w:t>
      </w:r>
      <w:r w:rsidRPr="008F1EB8">
        <w:rPr>
          <w:rFonts w:eastAsia="Times New Roman"/>
          <w:sz w:val="24"/>
          <w:szCs w:val="24"/>
          <w:highlight w:val="white"/>
        </w:rPr>
        <w:t>, pp.R47-R53.</w:t>
      </w:r>
    </w:p>
    <w:p w14:paraId="4866E444" w14:textId="77777777" w:rsidR="00682359" w:rsidRPr="008F1EB8" w:rsidRDefault="00682359">
      <w:pPr>
        <w:spacing w:line="360" w:lineRule="auto"/>
        <w:jc w:val="both"/>
        <w:rPr>
          <w:rFonts w:eastAsia="Times New Roman"/>
          <w:sz w:val="24"/>
          <w:szCs w:val="24"/>
          <w:highlight w:val="white"/>
        </w:rPr>
      </w:pPr>
      <w:r w:rsidRPr="008F1EB8">
        <w:rPr>
          <w:rFonts w:eastAsia="Times New Roman"/>
          <w:sz w:val="24"/>
          <w:szCs w:val="24"/>
          <w:highlight w:val="white"/>
        </w:rPr>
        <w:t xml:space="preserve">Craig, M.P., (2020). ‘Treasury Control’and the British environmental state: the political economy of green development strategy in UK central government. </w:t>
      </w:r>
      <w:r w:rsidRPr="008F1EB8">
        <w:rPr>
          <w:rFonts w:eastAsia="Times New Roman"/>
          <w:i/>
          <w:sz w:val="24"/>
          <w:szCs w:val="24"/>
          <w:highlight w:val="white"/>
        </w:rPr>
        <w:t>New Political Economy</w:t>
      </w:r>
      <w:r w:rsidRPr="008F1EB8">
        <w:rPr>
          <w:rFonts w:eastAsia="Times New Roman"/>
          <w:sz w:val="24"/>
          <w:szCs w:val="24"/>
          <w:highlight w:val="white"/>
        </w:rPr>
        <w:t xml:space="preserve">, </w:t>
      </w:r>
      <w:r w:rsidRPr="008F1EB8">
        <w:rPr>
          <w:rFonts w:eastAsia="Times New Roman"/>
          <w:i/>
          <w:sz w:val="24"/>
          <w:szCs w:val="24"/>
          <w:highlight w:val="white"/>
        </w:rPr>
        <w:t>25</w:t>
      </w:r>
      <w:r w:rsidRPr="008F1EB8">
        <w:rPr>
          <w:rFonts w:eastAsia="Times New Roman"/>
          <w:sz w:val="24"/>
          <w:szCs w:val="24"/>
          <w:highlight w:val="white"/>
        </w:rPr>
        <w:t>(1), pp.30-45.</w:t>
      </w:r>
    </w:p>
    <w:p w14:paraId="2E4FDAB9" w14:textId="77777777" w:rsidR="00682359" w:rsidRPr="008F1EB8" w:rsidRDefault="00682359">
      <w:pPr>
        <w:spacing w:before="240" w:after="240" w:line="360" w:lineRule="auto"/>
        <w:jc w:val="both"/>
        <w:rPr>
          <w:rFonts w:eastAsia="Times New Roman"/>
          <w:sz w:val="24"/>
          <w:szCs w:val="24"/>
        </w:rPr>
      </w:pPr>
      <w:r w:rsidRPr="008F1EB8">
        <w:rPr>
          <w:rFonts w:eastAsia="Times New Roman"/>
          <w:sz w:val="24"/>
          <w:szCs w:val="24"/>
          <w:highlight w:val="white"/>
        </w:rPr>
        <w:t>Darvas, Z., Martin, P. and Ragot, X., (2018). European fiscal rules require a major overhaul. Notes du conseil danalyse economique, (2), pp.1-12.</w:t>
      </w:r>
    </w:p>
    <w:p w14:paraId="4886B2C3" w14:textId="77777777" w:rsidR="00682359" w:rsidRPr="008F1EB8" w:rsidRDefault="00682359">
      <w:pPr>
        <w:spacing w:line="360" w:lineRule="auto"/>
        <w:jc w:val="both"/>
        <w:rPr>
          <w:rFonts w:eastAsia="Times New Roman"/>
          <w:sz w:val="24"/>
          <w:szCs w:val="24"/>
          <w:highlight w:val="white"/>
        </w:rPr>
      </w:pPr>
      <w:r w:rsidRPr="008F1EB8">
        <w:rPr>
          <w:rFonts w:eastAsia="Times New Roman"/>
          <w:sz w:val="24"/>
          <w:szCs w:val="24"/>
          <w:highlight w:val="white"/>
        </w:rPr>
        <w:t>De-Ramon, S., Francis, W. and Straughan, M., (2018). Bank competition and stability in the United Kingdom.</w:t>
      </w:r>
    </w:p>
    <w:p w14:paraId="7284CE95" w14:textId="77777777" w:rsidR="00682359" w:rsidRPr="008F1EB8" w:rsidRDefault="00682359">
      <w:pPr>
        <w:spacing w:line="360" w:lineRule="auto"/>
        <w:jc w:val="both"/>
        <w:rPr>
          <w:rFonts w:eastAsia="Times New Roman"/>
          <w:sz w:val="24"/>
          <w:szCs w:val="24"/>
          <w:highlight w:val="white"/>
        </w:rPr>
      </w:pPr>
      <w:r w:rsidRPr="008F1EB8">
        <w:rPr>
          <w:rFonts w:eastAsia="Times New Roman"/>
          <w:sz w:val="24"/>
          <w:szCs w:val="24"/>
          <w:highlight w:val="white"/>
        </w:rPr>
        <w:t xml:space="preserve">forbes.com, (2022), </w:t>
      </w:r>
      <w:r w:rsidRPr="008F1EB8">
        <w:rPr>
          <w:rFonts w:eastAsia="Times New Roman"/>
          <w:i/>
          <w:sz w:val="24"/>
          <w:szCs w:val="24"/>
        </w:rPr>
        <w:t xml:space="preserve">A Look At Barclays' Revamped Strategy And Its Impact On The Bank's Shares, </w:t>
      </w:r>
      <w:r w:rsidRPr="008F1EB8">
        <w:rPr>
          <w:rFonts w:eastAsia="Times New Roman"/>
          <w:sz w:val="24"/>
          <w:szCs w:val="24"/>
        </w:rPr>
        <w:t xml:space="preserve">[Accessed from: </w:t>
      </w:r>
      <w:r w:rsidRPr="008F1EB8">
        <w:rPr>
          <w:rFonts w:eastAsia="Times New Roman"/>
          <w:sz w:val="24"/>
          <w:szCs w:val="24"/>
          <w:highlight w:val="white"/>
        </w:rPr>
        <w:t>https://www.forbes.com/sites/greatspeculations/2014/05/15/a-look-at-barclays-revamped-strategy-and-its-impact-on-the-banks-shares/?sh=7ee84cac3f17] [Accessed on: 25.11.2022]</w:t>
      </w:r>
    </w:p>
    <w:p w14:paraId="6BF631F9" w14:textId="77777777" w:rsidR="00682359" w:rsidRPr="008F1EB8" w:rsidRDefault="00682359">
      <w:pPr>
        <w:spacing w:before="240" w:after="240" w:line="360" w:lineRule="auto"/>
        <w:jc w:val="both"/>
        <w:rPr>
          <w:rFonts w:eastAsia="Times New Roman"/>
          <w:sz w:val="24"/>
          <w:szCs w:val="24"/>
          <w:highlight w:val="white"/>
        </w:rPr>
      </w:pPr>
      <w:r w:rsidRPr="008F1EB8">
        <w:rPr>
          <w:rFonts w:eastAsia="Times New Roman"/>
          <w:sz w:val="24"/>
          <w:szCs w:val="24"/>
          <w:highlight w:val="white"/>
        </w:rPr>
        <w:t>Francis, A. and Ryder, N., (2019). Preventing and Intervening in White Collar Crimes: The Role of Regulatory Agencies. The Handbook of White</w:t>
      </w:r>
      <w:r w:rsidRPr="008F1EB8">
        <w:rPr>
          <w:rFonts w:ascii="Cambria Math" w:eastAsia="Times New Roman" w:hAnsi="Cambria Math" w:cs="Cambria Math"/>
          <w:sz w:val="24"/>
          <w:szCs w:val="24"/>
          <w:highlight w:val="white"/>
        </w:rPr>
        <w:t>‐</w:t>
      </w:r>
      <w:r w:rsidRPr="008F1EB8">
        <w:rPr>
          <w:rFonts w:eastAsia="Times New Roman"/>
          <w:sz w:val="24"/>
          <w:szCs w:val="24"/>
          <w:highlight w:val="white"/>
        </w:rPr>
        <w:t>Collar Crime, pp.262-278.</w:t>
      </w:r>
    </w:p>
    <w:p w14:paraId="5EE8036F" w14:textId="77777777" w:rsidR="00682359" w:rsidRPr="008F1EB8" w:rsidRDefault="00682359">
      <w:pPr>
        <w:spacing w:before="240" w:after="240" w:line="360" w:lineRule="auto"/>
        <w:jc w:val="both"/>
        <w:rPr>
          <w:rFonts w:eastAsia="Times New Roman"/>
          <w:sz w:val="24"/>
          <w:szCs w:val="24"/>
        </w:rPr>
      </w:pPr>
      <w:r w:rsidRPr="008F1EB8">
        <w:rPr>
          <w:rFonts w:eastAsia="Times New Roman"/>
          <w:sz w:val="24"/>
          <w:szCs w:val="24"/>
          <w:highlight w:val="white"/>
        </w:rPr>
        <w:t>Ganderson, J., (2020). To change banks or bankers? Systemic political (in) action and post-crisis banking reform in the UK and the Netherlands. Business and Politics, 22(1), pp.196-223.</w:t>
      </w:r>
    </w:p>
    <w:p w14:paraId="05D89B69" w14:textId="77777777" w:rsidR="00682359" w:rsidRPr="008F1EB8" w:rsidRDefault="00682359">
      <w:pPr>
        <w:spacing w:before="240" w:after="240" w:line="360" w:lineRule="auto"/>
        <w:jc w:val="both"/>
        <w:rPr>
          <w:rFonts w:eastAsia="Times New Roman"/>
          <w:sz w:val="24"/>
          <w:szCs w:val="24"/>
          <w:highlight w:val="white"/>
        </w:rPr>
      </w:pPr>
      <w:r w:rsidRPr="008F1EB8">
        <w:rPr>
          <w:rFonts w:eastAsia="Times New Roman"/>
          <w:sz w:val="24"/>
          <w:szCs w:val="24"/>
          <w:highlight w:val="white"/>
        </w:rPr>
        <w:t xml:space="preserve">Habanabakize, T., (2020). The effect of economic growth and exchange rate on imports and exports: The south african post-2008 financial crisis case. </w:t>
      </w:r>
      <w:r w:rsidRPr="008F1EB8">
        <w:rPr>
          <w:rFonts w:eastAsia="Times New Roman"/>
          <w:i/>
          <w:sz w:val="24"/>
          <w:szCs w:val="24"/>
          <w:highlight w:val="white"/>
        </w:rPr>
        <w:t>International Journal of Economics and Finance Studies</w:t>
      </w:r>
      <w:r w:rsidRPr="008F1EB8">
        <w:rPr>
          <w:rFonts w:eastAsia="Times New Roman"/>
          <w:sz w:val="24"/>
          <w:szCs w:val="24"/>
          <w:highlight w:val="white"/>
        </w:rPr>
        <w:t xml:space="preserve">, </w:t>
      </w:r>
      <w:r w:rsidRPr="008F1EB8">
        <w:rPr>
          <w:rFonts w:eastAsia="Times New Roman"/>
          <w:i/>
          <w:sz w:val="24"/>
          <w:szCs w:val="24"/>
          <w:highlight w:val="white"/>
        </w:rPr>
        <w:t>12</w:t>
      </w:r>
      <w:r w:rsidRPr="008F1EB8">
        <w:rPr>
          <w:rFonts w:eastAsia="Times New Roman"/>
          <w:sz w:val="24"/>
          <w:szCs w:val="24"/>
          <w:highlight w:val="white"/>
        </w:rPr>
        <w:t>(1), pp.223-238.</w:t>
      </w:r>
    </w:p>
    <w:p w14:paraId="61CEB5B4" w14:textId="77777777" w:rsidR="00682359" w:rsidRPr="008F1EB8" w:rsidRDefault="00682359">
      <w:pPr>
        <w:spacing w:before="240" w:after="240" w:line="360" w:lineRule="auto"/>
        <w:jc w:val="both"/>
        <w:rPr>
          <w:rFonts w:eastAsia="Times New Roman"/>
          <w:sz w:val="24"/>
          <w:szCs w:val="24"/>
          <w:highlight w:val="white"/>
        </w:rPr>
      </w:pPr>
      <w:r w:rsidRPr="008F1EB8">
        <w:rPr>
          <w:rFonts w:eastAsia="Times New Roman"/>
          <w:sz w:val="24"/>
          <w:szCs w:val="24"/>
          <w:highlight w:val="white"/>
        </w:rPr>
        <w:lastRenderedPageBreak/>
        <w:t xml:space="preserve">Hancké, B., Van Overbeke, T. and Voss, D., (2022). Crisis and complementarities: a comparative political economy of economic policies after COVID-19. </w:t>
      </w:r>
      <w:r w:rsidRPr="008F1EB8">
        <w:rPr>
          <w:rFonts w:eastAsia="Times New Roman"/>
          <w:i/>
          <w:sz w:val="24"/>
          <w:szCs w:val="24"/>
          <w:highlight w:val="white"/>
        </w:rPr>
        <w:t>Perspectives on Politics</w:t>
      </w:r>
      <w:r w:rsidRPr="008F1EB8">
        <w:rPr>
          <w:rFonts w:eastAsia="Times New Roman"/>
          <w:sz w:val="24"/>
          <w:szCs w:val="24"/>
          <w:highlight w:val="white"/>
        </w:rPr>
        <w:t xml:space="preserve">, </w:t>
      </w:r>
      <w:r w:rsidRPr="008F1EB8">
        <w:rPr>
          <w:rFonts w:eastAsia="Times New Roman"/>
          <w:i/>
          <w:sz w:val="24"/>
          <w:szCs w:val="24"/>
          <w:highlight w:val="white"/>
        </w:rPr>
        <w:t>20</w:t>
      </w:r>
      <w:r w:rsidRPr="008F1EB8">
        <w:rPr>
          <w:rFonts w:eastAsia="Times New Roman"/>
          <w:sz w:val="24"/>
          <w:szCs w:val="24"/>
          <w:highlight w:val="white"/>
        </w:rPr>
        <w:t>(2), pp.474-489.</w:t>
      </w:r>
    </w:p>
    <w:p w14:paraId="521D9AD3" w14:textId="77777777" w:rsidR="00682359" w:rsidRPr="008F1EB8" w:rsidRDefault="00682359">
      <w:pPr>
        <w:spacing w:before="240" w:after="240" w:line="360" w:lineRule="auto"/>
        <w:jc w:val="both"/>
        <w:rPr>
          <w:rFonts w:eastAsia="Times New Roman"/>
          <w:sz w:val="24"/>
          <w:szCs w:val="24"/>
        </w:rPr>
      </w:pPr>
      <w:r w:rsidRPr="008F1EB8">
        <w:rPr>
          <w:rFonts w:eastAsia="Times New Roman"/>
          <w:sz w:val="24"/>
          <w:szCs w:val="24"/>
        </w:rPr>
        <w:t>Hussain, J., Salia, S. and Karim, A., (2018). Is knowledge that powerful? Financial literacy and access to finance: An analysis of enterprises in the UK. Journal of Small Business and Enterprise Development.</w:t>
      </w:r>
    </w:p>
    <w:p w14:paraId="54C961B9" w14:textId="77777777" w:rsidR="00682359" w:rsidRPr="008F1EB8" w:rsidRDefault="00682359">
      <w:pPr>
        <w:spacing w:line="360" w:lineRule="auto"/>
        <w:jc w:val="both"/>
        <w:rPr>
          <w:rFonts w:eastAsia="Times New Roman"/>
          <w:sz w:val="24"/>
          <w:szCs w:val="24"/>
          <w:highlight w:val="white"/>
        </w:rPr>
      </w:pPr>
      <w:r w:rsidRPr="008F1EB8">
        <w:rPr>
          <w:rFonts w:eastAsia="Times New Roman"/>
          <w:sz w:val="24"/>
          <w:szCs w:val="24"/>
          <w:highlight w:val="white"/>
        </w:rPr>
        <w:t xml:space="preserve">Ibrahim, S., Hunt, I.M., Rahman, M.S., Shaw, J., Appleby, L. and Kapur, N., (2019). Recession, recovery and suicide in mental health patients in England: time trend analysis. </w:t>
      </w:r>
      <w:r w:rsidRPr="008F1EB8">
        <w:rPr>
          <w:rFonts w:eastAsia="Times New Roman"/>
          <w:i/>
          <w:sz w:val="24"/>
          <w:szCs w:val="24"/>
          <w:highlight w:val="white"/>
        </w:rPr>
        <w:t>The British Journal of Psychiatry</w:t>
      </w:r>
      <w:r w:rsidRPr="008F1EB8">
        <w:rPr>
          <w:rFonts w:eastAsia="Times New Roman"/>
          <w:sz w:val="24"/>
          <w:szCs w:val="24"/>
          <w:highlight w:val="white"/>
        </w:rPr>
        <w:t xml:space="preserve">, </w:t>
      </w:r>
      <w:r w:rsidRPr="008F1EB8">
        <w:rPr>
          <w:rFonts w:eastAsia="Times New Roman"/>
          <w:i/>
          <w:sz w:val="24"/>
          <w:szCs w:val="24"/>
          <w:highlight w:val="white"/>
        </w:rPr>
        <w:t>215</w:t>
      </w:r>
      <w:r w:rsidRPr="008F1EB8">
        <w:rPr>
          <w:rFonts w:eastAsia="Times New Roman"/>
          <w:sz w:val="24"/>
          <w:szCs w:val="24"/>
          <w:highlight w:val="white"/>
        </w:rPr>
        <w:t>(4), pp.608-614.</w:t>
      </w:r>
    </w:p>
    <w:p w14:paraId="4CB6E493" w14:textId="77777777" w:rsidR="00682359" w:rsidRPr="008F1EB8" w:rsidRDefault="00682359">
      <w:pPr>
        <w:spacing w:line="360" w:lineRule="auto"/>
        <w:jc w:val="both"/>
        <w:rPr>
          <w:rFonts w:eastAsia="Times New Roman"/>
          <w:sz w:val="24"/>
          <w:szCs w:val="24"/>
          <w:highlight w:val="white"/>
        </w:rPr>
      </w:pPr>
      <w:r w:rsidRPr="008F1EB8">
        <w:rPr>
          <w:rFonts w:eastAsia="Times New Roman"/>
          <w:sz w:val="24"/>
          <w:szCs w:val="24"/>
          <w:highlight w:val="white"/>
        </w:rPr>
        <w:t xml:space="preserve">Ioannou, S., Wójcik, D. and Dymski, G., (2019). Too-Big-To-Fail: Why megabanks have not become smaller since the global financial crisis?. </w:t>
      </w:r>
      <w:r w:rsidRPr="008F1EB8">
        <w:rPr>
          <w:rFonts w:eastAsia="Times New Roman"/>
          <w:i/>
          <w:sz w:val="24"/>
          <w:szCs w:val="24"/>
          <w:highlight w:val="white"/>
        </w:rPr>
        <w:t>Review of Political Economy</w:t>
      </w:r>
      <w:r w:rsidRPr="008F1EB8">
        <w:rPr>
          <w:rFonts w:eastAsia="Times New Roman"/>
          <w:sz w:val="24"/>
          <w:szCs w:val="24"/>
          <w:highlight w:val="white"/>
        </w:rPr>
        <w:t xml:space="preserve">, </w:t>
      </w:r>
      <w:r w:rsidRPr="008F1EB8">
        <w:rPr>
          <w:rFonts w:eastAsia="Times New Roman"/>
          <w:i/>
          <w:sz w:val="24"/>
          <w:szCs w:val="24"/>
          <w:highlight w:val="white"/>
        </w:rPr>
        <w:t>31</w:t>
      </w:r>
      <w:r w:rsidRPr="008F1EB8">
        <w:rPr>
          <w:rFonts w:eastAsia="Times New Roman"/>
          <w:sz w:val="24"/>
          <w:szCs w:val="24"/>
          <w:highlight w:val="white"/>
        </w:rPr>
        <w:t>(3), pp.356-381.</w:t>
      </w:r>
    </w:p>
    <w:p w14:paraId="1F6BCA99" w14:textId="77777777" w:rsidR="00682359" w:rsidRPr="008F1EB8" w:rsidRDefault="00682359">
      <w:pPr>
        <w:spacing w:before="240" w:after="240" w:line="360" w:lineRule="auto"/>
        <w:jc w:val="both"/>
        <w:rPr>
          <w:rFonts w:eastAsia="Times New Roman"/>
          <w:sz w:val="24"/>
          <w:szCs w:val="24"/>
          <w:highlight w:val="white"/>
        </w:rPr>
      </w:pPr>
      <w:r w:rsidRPr="008F1EB8">
        <w:rPr>
          <w:rFonts w:eastAsia="Times New Roman"/>
          <w:sz w:val="24"/>
          <w:szCs w:val="24"/>
          <w:highlight w:val="white"/>
        </w:rPr>
        <w:t xml:space="preserve">Ioannou, S., Wójcik, D. and Dymski, G., (2019). Too-Big-To-Fail: Why megabanks have not become smaller since the global financial crisis?. </w:t>
      </w:r>
      <w:r w:rsidRPr="008F1EB8">
        <w:rPr>
          <w:rFonts w:eastAsia="Times New Roman"/>
          <w:i/>
          <w:sz w:val="24"/>
          <w:szCs w:val="24"/>
          <w:highlight w:val="white"/>
        </w:rPr>
        <w:t>Review of Political Economy</w:t>
      </w:r>
      <w:r w:rsidRPr="008F1EB8">
        <w:rPr>
          <w:rFonts w:eastAsia="Times New Roman"/>
          <w:sz w:val="24"/>
          <w:szCs w:val="24"/>
          <w:highlight w:val="white"/>
        </w:rPr>
        <w:t xml:space="preserve">, </w:t>
      </w:r>
      <w:r w:rsidRPr="008F1EB8">
        <w:rPr>
          <w:rFonts w:eastAsia="Times New Roman"/>
          <w:i/>
          <w:sz w:val="24"/>
          <w:szCs w:val="24"/>
          <w:highlight w:val="white"/>
        </w:rPr>
        <w:t>31</w:t>
      </w:r>
      <w:r w:rsidRPr="008F1EB8">
        <w:rPr>
          <w:rFonts w:eastAsia="Times New Roman"/>
          <w:sz w:val="24"/>
          <w:szCs w:val="24"/>
          <w:highlight w:val="white"/>
        </w:rPr>
        <w:t>(3), pp.356-381.</w:t>
      </w:r>
    </w:p>
    <w:p w14:paraId="05481857" w14:textId="77777777" w:rsidR="00682359" w:rsidRPr="008F1EB8" w:rsidRDefault="00682359">
      <w:pPr>
        <w:spacing w:before="240" w:after="240" w:line="360" w:lineRule="auto"/>
        <w:jc w:val="both"/>
        <w:rPr>
          <w:rFonts w:eastAsia="Times New Roman"/>
          <w:sz w:val="24"/>
          <w:szCs w:val="24"/>
          <w:highlight w:val="white"/>
        </w:rPr>
      </w:pPr>
      <w:r w:rsidRPr="008F1EB8">
        <w:rPr>
          <w:rFonts w:eastAsia="Times New Roman"/>
          <w:sz w:val="24"/>
          <w:szCs w:val="24"/>
          <w:highlight w:val="white"/>
        </w:rPr>
        <w:t xml:space="preserve">Jackson, E.A. and Tamuke, E., (2022). Credit Risk Management and the Financial Performance of Domiciled Banks in Sierra Leone: An Empirical Analysis. </w:t>
      </w:r>
      <w:r w:rsidRPr="008F1EB8">
        <w:rPr>
          <w:rFonts w:eastAsia="Times New Roman"/>
          <w:i/>
          <w:sz w:val="24"/>
          <w:szCs w:val="24"/>
          <w:highlight w:val="white"/>
        </w:rPr>
        <w:t>Journal of Economic Policy Researches</w:t>
      </w:r>
      <w:r w:rsidRPr="008F1EB8">
        <w:rPr>
          <w:rFonts w:eastAsia="Times New Roman"/>
          <w:sz w:val="24"/>
          <w:szCs w:val="24"/>
          <w:highlight w:val="white"/>
        </w:rPr>
        <w:t xml:space="preserve">, </w:t>
      </w:r>
      <w:r w:rsidRPr="008F1EB8">
        <w:rPr>
          <w:rFonts w:eastAsia="Times New Roman"/>
          <w:i/>
          <w:sz w:val="24"/>
          <w:szCs w:val="24"/>
          <w:highlight w:val="white"/>
        </w:rPr>
        <w:t>9</w:t>
      </w:r>
      <w:r w:rsidRPr="008F1EB8">
        <w:rPr>
          <w:rFonts w:eastAsia="Times New Roman"/>
          <w:sz w:val="24"/>
          <w:szCs w:val="24"/>
          <w:highlight w:val="white"/>
        </w:rPr>
        <w:t>(1), pp.139-164.</w:t>
      </w:r>
    </w:p>
    <w:p w14:paraId="39DA8365" w14:textId="77777777" w:rsidR="00682359" w:rsidRPr="008F1EB8" w:rsidRDefault="00682359">
      <w:pPr>
        <w:spacing w:before="240" w:after="240" w:line="360" w:lineRule="auto"/>
        <w:jc w:val="both"/>
        <w:rPr>
          <w:rFonts w:eastAsia="Times New Roman"/>
          <w:sz w:val="24"/>
          <w:szCs w:val="24"/>
          <w:highlight w:val="white"/>
        </w:rPr>
      </w:pPr>
      <w:r w:rsidRPr="008F1EB8">
        <w:rPr>
          <w:rFonts w:eastAsia="Times New Roman"/>
          <w:sz w:val="24"/>
          <w:szCs w:val="24"/>
          <w:highlight w:val="white"/>
        </w:rPr>
        <w:t>Johannes, R., Dedy, D. and Muksin, A., (2018). The Preparation of Banking Industry in Implementing IFRS 9 Financial Instruments (A Case Study of HSBC Holdings Plc Listed on London Stock Exchange of Year 2015–2017). International Journal of Economics and Financial Issues, 8(6), pp.124-136.</w:t>
      </w:r>
    </w:p>
    <w:p w14:paraId="0EEF7F9A" w14:textId="77777777" w:rsidR="00682359" w:rsidRPr="008F1EB8" w:rsidRDefault="00682359">
      <w:pPr>
        <w:spacing w:before="240" w:after="240" w:line="360" w:lineRule="auto"/>
        <w:jc w:val="both"/>
        <w:rPr>
          <w:rFonts w:eastAsia="Times New Roman"/>
          <w:sz w:val="24"/>
          <w:szCs w:val="24"/>
          <w:highlight w:val="white"/>
        </w:rPr>
      </w:pPr>
      <w:r w:rsidRPr="008F1EB8">
        <w:rPr>
          <w:rFonts w:eastAsia="Times New Roman"/>
          <w:sz w:val="24"/>
          <w:szCs w:val="24"/>
          <w:highlight w:val="white"/>
        </w:rPr>
        <w:t xml:space="preserve">Jordanoska, A., (2021). Regulatory enforcement against organizational insiders: Interactions in the pursuit of individual accountability. </w:t>
      </w:r>
      <w:r w:rsidRPr="008F1EB8">
        <w:rPr>
          <w:rFonts w:eastAsia="Times New Roman"/>
          <w:i/>
          <w:sz w:val="24"/>
          <w:szCs w:val="24"/>
          <w:highlight w:val="white"/>
        </w:rPr>
        <w:t>Regulation &amp; Governance</w:t>
      </w:r>
      <w:r w:rsidRPr="008F1EB8">
        <w:rPr>
          <w:rFonts w:eastAsia="Times New Roman"/>
          <w:sz w:val="24"/>
          <w:szCs w:val="24"/>
          <w:highlight w:val="white"/>
        </w:rPr>
        <w:t xml:space="preserve">, </w:t>
      </w:r>
      <w:r w:rsidRPr="008F1EB8">
        <w:rPr>
          <w:rFonts w:eastAsia="Times New Roman"/>
          <w:i/>
          <w:sz w:val="24"/>
          <w:szCs w:val="24"/>
          <w:highlight w:val="white"/>
        </w:rPr>
        <w:t>15</w:t>
      </w:r>
      <w:r w:rsidRPr="008F1EB8">
        <w:rPr>
          <w:rFonts w:eastAsia="Times New Roman"/>
          <w:sz w:val="24"/>
          <w:szCs w:val="24"/>
          <w:highlight w:val="white"/>
        </w:rPr>
        <w:t>(2), pp.298-316.</w:t>
      </w:r>
    </w:p>
    <w:p w14:paraId="14FEFC7B" w14:textId="77777777" w:rsidR="00682359" w:rsidRPr="008F1EB8" w:rsidRDefault="00682359">
      <w:pPr>
        <w:spacing w:before="240" w:after="240" w:line="360" w:lineRule="auto"/>
        <w:jc w:val="both"/>
        <w:rPr>
          <w:rFonts w:eastAsia="Times New Roman"/>
          <w:sz w:val="24"/>
          <w:szCs w:val="24"/>
          <w:highlight w:val="white"/>
        </w:rPr>
      </w:pPr>
      <w:r w:rsidRPr="008F1EB8">
        <w:rPr>
          <w:rFonts w:eastAsia="Times New Roman"/>
          <w:sz w:val="24"/>
          <w:szCs w:val="24"/>
          <w:highlight w:val="white"/>
        </w:rPr>
        <w:t xml:space="preserve">Knight, M.D., (2018). The G20's reform of bank regulation and the changing structure of the global financial system. </w:t>
      </w:r>
      <w:r w:rsidRPr="008F1EB8">
        <w:rPr>
          <w:rFonts w:eastAsia="Times New Roman"/>
          <w:i/>
          <w:sz w:val="24"/>
          <w:szCs w:val="24"/>
          <w:highlight w:val="white"/>
        </w:rPr>
        <w:t>Global Policy</w:t>
      </w:r>
      <w:r w:rsidRPr="008F1EB8">
        <w:rPr>
          <w:rFonts w:eastAsia="Times New Roman"/>
          <w:sz w:val="24"/>
          <w:szCs w:val="24"/>
          <w:highlight w:val="white"/>
        </w:rPr>
        <w:t xml:space="preserve">, </w:t>
      </w:r>
      <w:r w:rsidRPr="008F1EB8">
        <w:rPr>
          <w:rFonts w:eastAsia="Times New Roman"/>
          <w:i/>
          <w:sz w:val="24"/>
          <w:szCs w:val="24"/>
          <w:highlight w:val="white"/>
        </w:rPr>
        <w:t>9</w:t>
      </w:r>
      <w:r w:rsidRPr="008F1EB8">
        <w:rPr>
          <w:rFonts w:eastAsia="Times New Roman"/>
          <w:sz w:val="24"/>
          <w:szCs w:val="24"/>
          <w:highlight w:val="white"/>
        </w:rPr>
        <w:t>, pp.21-33.</w:t>
      </w:r>
    </w:p>
    <w:p w14:paraId="1528C3BE" w14:textId="77777777" w:rsidR="00682359" w:rsidRPr="008F1EB8" w:rsidRDefault="00682359">
      <w:pPr>
        <w:spacing w:before="240" w:after="240" w:line="360" w:lineRule="auto"/>
        <w:jc w:val="both"/>
        <w:rPr>
          <w:rFonts w:eastAsia="Times New Roman"/>
          <w:sz w:val="24"/>
          <w:szCs w:val="24"/>
        </w:rPr>
      </w:pPr>
      <w:r w:rsidRPr="008F1EB8">
        <w:rPr>
          <w:rFonts w:eastAsia="Times New Roman"/>
          <w:sz w:val="24"/>
          <w:szCs w:val="24"/>
        </w:rPr>
        <w:t>Kohler, K. and Stockhammer, E., (2022). Growing differently? Financial cycles, austerity, and competitiveness in growth models since the Global Financial Crisis. Review of International Political Economy, 29(4), pp.1314-1341.</w:t>
      </w:r>
    </w:p>
    <w:p w14:paraId="57EA0752" w14:textId="77777777" w:rsidR="00682359" w:rsidRPr="008F1EB8" w:rsidRDefault="00682359">
      <w:pPr>
        <w:spacing w:before="240" w:after="240" w:line="360" w:lineRule="auto"/>
        <w:jc w:val="both"/>
        <w:rPr>
          <w:rFonts w:eastAsia="Times New Roman"/>
          <w:sz w:val="24"/>
          <w:szCs w:val="24"/>
          <w:highlight w:val="white"/>
        </w:rPr>
      </w:pPr>
      <w:r w:rsidRPr="008F1EB8">
        <w:rPr>
          <w:rFonts w:eastAsia="Times New Roman"/>
          <w:sz w:val="24"/>
          <w:szCs w:val="24"/>
          <w:highlight w:val="white"/>
        </w:rPr>
        <w:lastRenderedPageBreak/>
        <w:t xml:space="preserve">Kohler, K. and Stockhammer, E., (2022). Growing differently? Financial cycles, austerity, and competitiveness in growth models since the Global Financial Crisis. </w:t>
      </w:r>
      <w:r w:rsidRPr="008F1EB8">
        <w:rPr>
          <w:rFonts w:eastAsia="Times New Roman"/>
          <w:i/>
          <w:sz w:val="24"/>
          <w:szCs w:val="24"/>
          <w:highlight w:val="white"/>
        </w:rPr>
        <w:t>Review of International Political Economy</w:t>
      </w:r>
      <w:r w:rsidRPr="008F1EB8">
        <w:rPr>
          <w:rFonts w:eastAsia="Times New Roman"/>
          <w:sz w:val="24"/>
          <w:szCs w:val="24"/>
          <w:highlight w:val="white"/>
        </w:rPr>
        <w:t xml:space="preserve">, </w:t>
      </w:r>
      <w:r w:rsidRPr="008F1EB8">
        <w:rPr>
          <w:rFonts w:eastAsia="Times New Roman"/>
          <w:i/>
          <w:sz w:val="24"/>
          <w:szCs w:val="24"/>
          <w:highlight w:val="white"/>
        </w:rPr>
        <w:t>29</w:t>
      </w:r>
      <w:r w:rsidRPr="008F1EB8">
        <w:rPr>
          <w:rFonts w:eastAsia="Times New Roman"/>
          <w:sz w:val="24"/>
          <w:szCs w:val="24"/>
          <w:highlight w:val="white"/>
        </w:rPr>
        <w:t>(4), pp.1314-1341.</w:t>
      </w:r>
    </w:p>
    <w:p w14:paraId="4827B093" w14:textId="77777777" w:rsidR="00682359" w:rsidRPr="008F1EB8" w:rsidRDefault="00682359">
      <w:pPr>
        <w:spacing w:before="240" w:after="240" w:line="360" w:lineRule="auto"/>
        <w:jc w:val="both"/>
        <w:rPr>
          <w:rFonts w:eastAsia="Times New Roman"/>
          <w:sz w:val="24"/>
          <w:szCs w:val="24"/>
          <w:highlight w:val="white"/>
        </w:rPr>
      </w:pPr>
      <w:r w:rsidRPr="008F1EB8">
        <w:rPr>
          <w:rFonts w:eastAsia="Times New Roman"/>
          <w:sz w:val="24"/>
          <w:szCs w:val="24"/>
          <w:highlight w:val="white"/>
        </w:rPr>
        <w:t xml:space="preserve">Laeven, L. and Valencia, F., (2020). Systemic banking crises database II. </w:t>
      </w:r>
      <w:r w:rsidRPr="008F1EB8">
        <w:rPr>
          <w:rFonts w:eastAsia="Times New Roman"/>
          <w:i/>
          <w:sz w:val="24"/>
          <w:szCs w:val="24"/>
          <w:highlight w:val="white"/>
        </w:rPr>
        <w:t>IMF Economic Review</w:t>
      </w:r>
      <w:r w:rsidRPr="008F1EB8">
        <w:rPr>
          <w:rFonts w:eastAsia="Times New Roman"/>
          <w:sz w:val="24"/>
          <w:szCs w:val="24"/>
          <w:highlight w:val="white"/>
        </w:rPr>
        <w:t xml:space="preserve">, </w:t>
      </w:r>
      <w:r w:rsidRPr="008F1EB8">
        <w:rPr>
          <w:rFonts w:eastAsia="Times New Roman"/>
          <w:i/>
          <w:sz w:val="24"/>
          <w:szCs w:val="24"/>
          <w:highlight w:val="white"/>
        </w:rPr>
        <w:t>68</w:t>
      </w:r>
      <w:r w:rsidRPr="008F1EB8">
        <w:rPr>
          <w:rFonts w:eastAsia="Times New Roman"/>
          <w:sz w:val="24"/>
          <w:szCs w:val="24"/>
          <w:highlight w:val="white"/>
        </w:rPr>
        <w:t>(2), pp.307-361.</w:t>
      </w:r>
    </w:p>
    <w:p w14:paraId="35ADE4CC" w14:textId="77777777" w:rsidR="00682359" w:rsidRPr="008F1EB8" w:rsidRDefault="00682359">
      <w:pPr>
        <w:spacing w:before="240" w:after="240" w:line="360" w:lineRule="auto"/>
        <w:jc w:val="both"/>
        <w:rPr>
          <w:rFonts w:eastAsia="Times New Roman"/>
          <w:sz w:val="24"/>
          <w:szCs w:val="24"/>
          <w:highlight w:val="white"/>
        </w:rPr>
      </w:pPr>
      <w:r w:rsidRPr="008F1EB8">
        <w:rPr>
          <w:rFonts w:eastAsia="Times New Roman"/>
          <w:sz w:val="24"/>
          <w:szCs w:val="24"/>
          <w:highlight w:val="white"/>
        </w:rPr>
        <w:t xml:space="preserve">Lokanan, M. and Sharma, S., (2018). A fraud triangle analysis of the LIBOR fraud. </w:t>
      </w:r>
      <w:r w:rsidRPr="008F1EB8">
        <w:rPr>
          <w:rFonts w:eastAsia="Times New Roman"/>
          <w:i/>
          <w:sz w:val="24"/>
          <w:szCs w:val="24"/>
          <w:highlight w:val="white"/>
        </w:rPr>
        <w:t>Journal of Forensic &amp; Investigative Accounting</w:t>
      </w:r>
      <w:r w:rsidRPr="008F1EB8">
        <w:rPr>
          <w:rFonts w:eastAsia="Times New Roman"/>
          <w:sz w:val="24"/>
          <w:szCs w:val="24"/>
          <w:highlight w:val="white"/>
        </w:rPr>
        <w:t xml:space="preserve">, </w:t>
      </w:r>
      <w:r w:rsidRPr="008F1EB8">
        <w:rPr>
          <w:rFonts w:eastAsia="Times New Roman"/>
          <w:i/>
          <w:sz w:val="24"/>
          <w:szCs w:val="24"/>
          <w:highlight w:val="white"/>
        </w:rPr>
        <w:t>10</w:t>
      </w:r>
      <w:r w:rsidRPr="008F1EB8">
        <w:rPr>
          <w:rFonts w:eastAsia="Times New Roman"/>
          <w:sz w:val="24"/>
          <w:szCs w:val="24"/>
          <w:highlight w:val="white"/>
        </w:rPr>
        <w:t>(2), pp.187-212.</w:t>
      </w:r>
    </w:p>
    <w:p w14:paraId="6B2F4770" w14:textId="77777777" w:rsidR="00682359" w:rsidRPr="008F1EB8" w:rsidRDefault="00682359">
      <w:pPr>
        <w:spacing w:before="240" w:after="240" w:line="360" w:lineRule="auto"/>
        <w:jc w:val="both"/>
        <w:rPr>
          <w:rFonts w:eastAsia="Times New Roman"/>
          <w:sz w:val="24"/>
          <w:szCs w:val="24"/>
          <w:highlight w:val="white"/>
        </w:rPr>
      </w:pPr>
      <w:r w:rsidRPr="008F1EB8">
        <w:rPr>
          <w:rFonts w:eastAsia="Times New Roman"/>
          <w:sz w:val="24"/>
          <w:szCs w:val="24"/>
          <w:highlight w:val="white"/>
        </w:rPr>
        <w:t xml:space="preserve">Lombardi, D., Siklos, P. and St. Amand, S., (2018). A survey of the international evidence and lessons learned about unconventional monetary policies: Is a ‘new normal’in our future?. </w:t>
      </w:r>
      <w:r w:rsidRPr="008F1EB8">
        <w:rPr>
          <w:rFonts w:eastAsia="Times New Roman"/>
          <w:i/>
          <w:sz w:val="24"/>
          <w:szCs w:val="24"/>
          <w:highlight w:val="white"/>
        </w:rPr>
        <w:t>Journal of Economic Surveys</w:t>
      </w:r>
      <w:r w:rsidRPr="008F1EB8">
        <w:rPr>
          <w:rFonts w:eastAsia="Times New Roman"/>
          <w:sz w:val="24"/>
          <w:szCs w:val="24"/>
          <w:highlight w:val="white"/>
        </w:rPr>
        <w:t xml:space="preserve">, </w:t>
      </w:r>
      <w:r w:rsidRPr="008F1EB8">
        <w:rPr>
          <w:rFonts w:eastAsia="Times New Roman"/>
          <w:i/>
          <w:sz w:val="24"/>
          <w:szCs w:val="24"/>
          <w:highlight w:val="white"/>
        </w:rPr>
        <w:t>32</w:t>
      </w:r>
      <w:r w:rsidRPr="008F1EB8">
        <w:rPr>
          <w:rFonts w:eastAsia="Times New Roman"/>
          <w:sz w:val="24"/>
          <w:szCs w:val="24"/>
          <w:highlight w:val="white"/>
        </w:rPr>
        <w:t>(5), pp.1229-1256.</w:t>
      </w:r>
    </w:p>
    <w:p w14:paraId="0FD49205" w14:textId="77777777" w:rsidR="00682359" w:rsidRPr="008F1EB8" w:rsidRDefault="00682359">
      <w:pPr>
        <w:spacing w:line="360" w:lineRule="auto"/>
        <w:jc w:val="both"/>
        <w:rPr>
          <w:rFonts w:eastAsia="Times New Roman"/>
          <w:sz w:val="24"/>
          <w:szCs w:val="24"/>
          <w:highlight w:val="white"/>
        </w:rPr>
      </w:pPr>
      <w:r w:rsidRPr="008F1EB8">
        <w:rPr>
          <w:rFonts w:eastAsia="Times New Roman"/>
          <w:sz w:val="24"/>
          <w:szCs w:val="24"/>
          <w:highlight w:val="white"/>
        </w:rPr>
        <w:t xml:space="preserve">Lui, A. and Lamb, G.W., (2018). Artificial intelligence and augmented intelligence collaboration: regaining trust and confidence in the financial sector. </w:t>
      </w:r>
      <w:r w:rsidRPr="008F1EB8">
        <w:rPr>
          <w:rFonts w:eastAsia="Times New Roman"/>
          <w:i/>
          <w:sz w:val="24"/>
          <w:szCs w:val="24"/>
          <w:highlight w:val="white"/>
        </w:rPr>
        <w:t>Information &amp; Communications Technology Law</w:t>
      </w:r>
      <w:r w:rsidRPr="008F1EB8">
        <w:rPr>
          <w:rFonts w:eastAsia="Times New Roman"/>
          <w:sz w:val="24"/>
          <w:szCs w:val="24"/>
          <w:highlight w:val="white"/>
        </w:rPr>
        <w:t xml:space="preserve">, </w:t>
      </w:r>
      <w:r w:rsidRPr="008F1EB8">
        <w:rPr>
          <w:rFonts w:eastAsia="Times New Roman"/>
          <w:i/>
          <w:sz w:val="24"/>
          <w:szCs w:val="24"/>
          <w:highlight w:val="white"/>
        </w:rPr>
        <w:t>27</w:t>
      </w:r>
      <w:r w:rsidRPr="008F1EB8">
        <w:rPr>
          <w:rFonts w:eastAsia="Times New Roman"/>
          <w:sz w:val="24"/>
          <w:szCs w:val="24"/>
          <w:highlight w:val="white"/>
        </w:rPr>
        <w:t>(3), pp.267-283.</w:t>
      </w:r>
    </w:p>
    <w:p w14:paraId="68F286E1" w14:textId="77777777" w:rsidR="00682359" w:rsidRPr="008F1EB8" w:rsidRDefault="00682359">
      <w:pPr>
        <w:spacing w:before="240" w:after="240" w:line="360" w:lineRule="auto"/>
        <w:jc w:val="both"/>
        <w:rPr>
          <w:rFonts w:eastAsia="Times New Roman"/>
          <w:sz w:val="24"/>
          <w:szCs w:val="24"/>
          <w:highlight w:val="white"/>
        </w:rPr>
      </w:pPr>
      <w:r w:rsidRPr="008F1EB8">
        <w:rPr>
          <w:rFonts w:eastAsia="Times New Roman"/>
          <w:sz w:val="24"/>
          <w:szCs w:val="24"/>
          <w:highlight w:val="white"/>
        </w:rPr>
        <w:t xml:space="preserve">Majid, M.S.A. and Ulina, S., (2020). Does the 2008-global financial crisis matter for the determinants of conventional and Islamic banking performances in Indonesia?. </w:t>
      </w:r>
      <w:r w:rsidRPr="008F1EB8">
        <w:rPr>
          <w:rFonts w:eastAsia="Times New Roman"/>
          <w:i/>
          <w:sz w:val="24"/>
          <w:szCs w:val="24"/>
          <w:highlight w:val="white"/>
        </w:rPr>
        <w:t>Jurnal Ekonomi dan Keuangan Islam</w:t>
      </w:r>
      <w:r w:rsidRPr="008F1EB8">
        <w:rPr>
          <w:rFonts w:eastAsia="Times New Roman"/>
          <w:sz w:val="24"/>
          <w:szCs w:val="24"/>
          <w:highlight w:val="white"/>
        </w:rPr>
        <w:t xml:space="preserve">, </w:t>
      </w:r>
      <w:r w:rsidRPr="008F1EB8">
        <w:rPr>
          <w:rFonts w:eastAsia="Times New Roman"/>
          <w:i/>
          <w:sz w:val="24"/>
          <w:szCs w:val="24"/>
          <w:highlight w:val="white"/>
        </w:rPr>
        <w:t>6</w:t>
      </w:r>
      <w:r w:rsidRPr="008F1EB8">
        <w:rPr>
          <w:rFonts w:eastAsia="Times New Roman"/>
          <w:sz w:val="24"/>
          <w:szCs w:val="24"/>
          <w:highlight w:val="white"/>
        </w:rPr>
        <w:t>(2), pp.77-90.</w:t>
      </w:r>
    </w:p>
    <w:p w14:paraId="3B2D675D" w14:textId="77777777" w:rsidR="00682359" w:rsidRPr="008F1EB8" w:rsidRDefault="00682359">
      <w:pPr>
        <w:spacing w:before="240" w:after="240" w:line="360" w:lineRule="auto"/>
        <w:jc w:val="both"/>
        <w:rPr>
          <w:rFonts w:eastAsia="Times New Roman"/>
          <w:sz w:val="24"/>
          <w:szCs w:val="24"/>
          <w:highlight w:val="white"/>
        </w:rPr>
      </w:pPr>
      <w:r w:rsidRPr="008F1EB8">
        <w:rPr>
          <w:rFonts w:eastAsia="Times New Roman"/>
          <w:sz w:val="24"/>
          <w:szCs w:val="24"/>
          <w:highlight w:val="white"/>
        </w:rPr>
        <w:t xml:space="preserve"> Mell, I., (2020). The impact of austerity on funding green infrastructure: A DPSIR evaluation of the Liverpool Green &amp; Open Space Review (LG&amp;OSR), UK. </w:t>
      </w:r>
      <w:r w:rsidRPr="008F1EB8">
        <w:rPr>
          <w:rFonts w:eastAsia="Times New Roman"/>
          <w:i/>
          <w:sz w:val="24"/>
          <w:szCs w:val="24"/>
          <w:highlight w:val="white"/>
        </w:rPr>
        <w:t>Land Use Policy</w:t>
      </w:r>
      <w:r w:rsidRPr="008F1EB8">
        <w:rPr>
          <w:rFonts w:eastAsia="Times New Roman"/>
          <w:sz w:val="24"/>
          <w:szCs w:val="24"/>
          <w:highlight w:val="white"/>
        </w:rPr>
        <w:t xml:space="preserve">, </w:t>
      </w:r>
      <w:r w:rsidRPr="008F1EB8">
        <w:rPr>
          <w:rFonts w:eastAsia="Times New Roman"/>
          <w:i/>
          <w:sz w:val="24"/>
          <w:szCs w:val="24"/>
          <w:highlight w:val="white"/>
        </w:rPr>
        <w:t>91</w:t>
      </w:r>
      <w:r w:rsidRPr="008F1EB8">
        <w:rPr>
          <w:rFonts w:eastAsia="Times New Roman"/>
          <w:sz w:val="24"/>
          <w:szCs w:val="24"/>
          <w:highlight w:val="white"/>
        </w:rPr>
        <w:t>, p.104284.</w:t>
      </w:r>
    </w:p>
    <w:p w14:paraId="57E33DC4" w14:textId="77777777" w:rsidR="00682359" w:rsidRPr="008F1EB8" w:rsidRDefault="00682359">
      <w:pPr>
        <w:spacing w:line="360" w:lineRule="auto"/>
        <w:jc w:val="both"/>
        <w:rPr>
          <w:rFonts w:eastAsia="Times New Roman"/>
          <w:sz w:val="24"/>
          <w:szCs w:val="24"/>
          <w:highlight w:val="white"/>
        </w:rPr>
      </w:pPr>
      <w:r w:rsidRPr="008F1EB8">
        <w:rPr>
          <w:rFonts w:eastAsia="Times New Roman"/>
          <w:sz w:val="24"/>
          <w:szCs w:val="24"/>
          <w:highlight w:val="white"/>
        </w:rPr>
        <w:t xml:space="preserve">Minhat, M. and Dzolkarnaini, N., (2021). Regulating Islamic Finance in the UK: Issues and Possible Solutions. In </w:t>
      </w:r>
      <w:r w:rsidRPr="008F1EB8">
        <w:rPr>
          <w:rFonts w:eastAsia="Times New Roman"/>
          <w:i/>
          <w:sz w:val="24"/>
          <w:szCs w:val="24"/>
          <w:highlight w:val="white"/>
        </w:rPr>
        <w:t>Ethical Discourse in Finance</w:t>
      </w:r>
      <w:r w:rsidRPr="008F1EB8">
        <w:rPr>
          <w:rFonts w:eastAsia="Times New Roman"/>
          <w:sz w:val="24"/>
          <w:szCs w:val="24"/>
          <w:highlight w:val="white"/>
        </w:rPr>
        <w:t xml:space="preserve"> (pp. 171-200). Palgrave Macmillan, Cham.</w:t>
      </w:r>
    </w:p>
    <w:p w14:paraId="43C56005" w14:textId="77777777" w:rsidR="00682359" w:rsidRPr="008F1EB8" w:rsidRDefault="00682359">
      <w:pPr>
        <w:spacing w:before="240" w:after="240" w:line="360" w:lineRule="auto"/>
        <w:jc w:val="both"/>
        <w:rPr>
          <w:rFonts w:eastAsia="Times New Roman"/>
          <w:sz w:val="24"/>
          <w:szCs w:val="24"/>
          <w:highlight w:val="white"/>
        </w:rPr>
      </w:pPr>
      <w:r w:rsidRPr="008F1EB8">
        <w:rPr>
          <w:rFonts w:eastAsia="Times New Roman"/>
          <w:sz w:val="24"/>
          <w:szCs w:val="24"/>
          <w:highlight w:val="white"/>
        </w:rPr>
        <w:t xml:space="preserve">Muchimba, L., (2022). Could Transaction-Based Financial Benchmarks be Susceptible to Collusive Behavior?. </w:t>
      </w:r>
      <w:r w:rsidRPr="008F1EB8">
        <w:rPr>
          <w:rFonts w:eastAsia="Times New Roman"/>
          <w:i/>
          <w:sz w:val="24"/>
          <w:szCs w:val="24"/>
          <w:highlight w:val="white"/>
        </w:rPr>
        <w:t>Journal of Economic Issues</w:t>
      </w:r>
      <w:r w:rsidRPr="008F1EB8">
        <w:rPr>
          <w:rFonts w:eastAsia="Times New Roman"/>
          <w:sz w:val="24"/>
          <w:szCs w:val="24"/>
          <w:highlight w:val="white"/>
        </w:rPr>
        <w:t xml:space="preserve">, </w:t>
      </w:r>
      <w:r w:rsidRPr="008F1EB8">
        <w:rPr>
          <w:rFonts w:eastAsia="Times New Roman"/>
          <w:i/>
          <w:sz w:val="24"/>
          <w:szCs w:val="24"/>
          <w:highlight w:val="white"/>
        </w:rPr>
        <w:t>56</w:t>
      </w:r>
      <w:r w:rsidRPr="008F1EB8">
        <w:rPr>
          <w:rFonts w:eastAsia="Times New Roman"/>
          <w:sz w:val="24"/>
          <w:szCs w:val="24"/>
          <w:highlight w:val="white"/>
        </w:rPr>
        <w:t>(2), pp.362-370.</w:t>
      </w:r>
    </w:p>
    <w:p w14:paraId="0601752A" w14:textId="77777777" w:rsidR="00682359" w:rsidRPr="008F1EB8" w:rsidRDefault="00682359">
      <w:pPr>
        <w:spacing w:line="360" w:lineRule="auto"/>
        <w:jc w:val="both"/>
        <w:rPr>
          <w:rFonts w:eastAsia="Times New Roman"/>
          <w:sz w:val="24"/>
          <w:szCs w:val="24"/>
          <w:highlight w:val="white"/>
        </w:rPr>
      </w:pPr>
      <w:r w:rsidRPr="008F1EB8">
        <w:rPr>
          <w:rFonts w:eastAsia="Times New Roman"/>
          <w:sz w:val="24"/>
          <w:szCs w:val="24"/>
          <w:highlight w:val="white"/>
        </w:rPr>
        <w:t xml:space="preserve">Murphy, M.C. and O’Brennan, J., (2019). Ireland and crisis governance: continuity and change in the shadow of the financial crisis and Brexit. </w:t>
      </w:r>
      <w:r w:rsidRPr="008F1EB8">
        <w:rPr>
          <w:rFonts w:eastAsia="Times New Roman"/>
          <w:i/>
          <w:sz w:val="24"/>
          <w:szCs w:val="24"/>
          <w:highlight w:val="white"/>
        </w:rPr>
        <w:t>Irish Political Studies</w:t>
      </w:r>
      <w:r w:rsidRPr="008F1EB8">
        <w:rPr>
          <w:rFonts w:eastAsia="Times New Roman"/>
          <w:sz w:val="24"/>
          <w:szCs w:val="24"/>
          <w:highlight w:val="white"/>
        </w:rPr>
        <w:t xml:space="preserve">, </w:t>
      </w:r>
      <w:r w:rsidRPr="008F1EB8">
        <w:rPr>
          <w:rFonts w:eastAsia="Times New Roman"/>
          <w:i/>
          <w:sz w:val="24"/>
          <w:szCs w:val="24"/>
          <w:highlight w:val="white"/>
        </w:rPr>
        <w:t>34</w:t>
      </w:r>
      <w:r w:rsidRPr="008F1EB8">
        <w:rPr>
          <w:rFonts w:eastAsia="Times New Roman"/>
          <w:sz w:val="24"/>
          <w:szCs w:val="24"/>
          <w:highlight w:val="white"/>
        </w:rPr>
        <w:t>(4), pp.471-489.</w:t>
      </w:r>
    </w:p>
    <w:p w14:paraId="00F87B78" w14:textId="77777777" w:rsidR="00682359" w:rsidRPr="008F1EB8" w:rsidRDefault="00682359">
      <w:pPr>
        <w:spacing w:before="240" w:after="240" w:line="360" w:lineRule="auto"/>
        <w:jc w:val="both"/>
        <w:rPr>
          <w:rFonts w:eastAsia="Times New Roman"/>
          <w:sz w:val="24"/>
          <w:szCs w:val="24"/>
          <w:highlight w:val="white"/>
        </w:rPr>
      </w:pPr>
      <w:r w:rsidRPr="008F1EB8">
        <w:rPr>
          <w:rFonts w:eastAsia="Times New Roman"/>
          <w:sz w:val="24"/>
          <w:szCs w:val="24"/>
          <w:highlight w:val="white"/>
        </w:rPr>
        <w:lastRenderedPageBreak/>
        <w:t xml:space="preserve">Nasreen, S., Mahalik, M.K., Shahbaz, M. and Abbas, Q., (2020). How do financial globalization, institutions and economic growth impact financial sector development in European countries?. </w:t>
      </w:r>
      <w:r w:rsidRPr="008F1EB8">
        <w:rPr>
          <w:rFonts w:eastAsia="Times New Roman"/>
          <w:i/>
          <w:sz w:val="24"/>
          <w:szCs w:val="24"/>
          <w:highlight w:val="white"/>
        </w:rPr>
        <w:t>Research in International Business and Finance</w:t>
      </w:r>
      <w:r w:rsidRPr="008F1EB8">
        <w:rPr>
          <w:rFonts w:eastAsia="Times New Roman"/>
          <w:sz w:val="24"/>
          <w:szCs w:val="24"/>
          <w:highlight w:val="white"/>
        </w:rPr>
        <w:t xml:space="preserve">, </w:t>
      </w:r>
      <w:r w:rsidRPr="008F1EB8">
        <w:rPr>
          <w:rFonts w:eastAsia="Times New Roman"/>
          <w:i/>
          <w:sz w:val="24"/>
          <w:szCs w:val="24"/>
          <w:highlight w:val="white"/>
        </w:rPr>
        <w:t>54</w:t>
      </w:r>
      <w:r w:rsidRPr="008F1EB8">
        <w:rPr>
          <w:rFonts w:eastAsia="Times New Roman"/>
          <w:sz w:val="24"/>
          <w:szCs w:val="24"/>
          <w:highlight w:val="white"/>
        </w:rPr>
        <w:t>, p.101247.</w:t>
      </w:r>
    </w:p>
    <w:p w14:paraId="57A54857" w14:textId="77777777" w:rsidR="00682359" w:rsidRPr="008F1EB8" w:rsidRDefault="00682359" w:rsidP="009C72CC">
      <w:pPr>
        <w:spacing w:after="240" w:line="360" w:lineRule="auto"/>
        <w:jc w:val="both"/>
        <w:rPr>
          <w:rFonts w:eastAsia="Times New Roman"/>
          <w:sz w:val="24"/>
          <w:szCs w:val="24"/>
        </w:rPr>
      </w:pPr>
      <w:r w:rsidRPr="008F1EB8">
        <w:rPr>
          <w:rFonts w:eastAsia="Times New Roman"/>
          <w:sz w:val="24"/>
          <w:szCs w:val="24"/>
        </w:rPr>
        <w:t>O’Brien, P. and Pike, A., (2019). ‘Deal or no deal?’Governing urban infrastructure funding and financing in the UK city deals. Urban Studies, 56(7), pp.1448-1476.</w:t>
      </w:r>
    </w:p>
    <w:p w14:paraId="7AD50FB7" w14:textId="77777777" w:rsidR="00682359" w:rsidRPr="008F1EB8" w:rsidRDefault="00682359" w:rsidP="009C72CC">
      <w:pPr>
        <w:spacing w:line="360" w:lineRule="auto"/>
        <w:jc w:val="both"/>
        <w:rPr>
          <w:sz w:val="24"/>
        </w:rPr>
      </w:pPr>
      <w:r w:rsidRPr="008F1EB8">
        <w:rPr>
          <w:sz w:val="24"/>
          <w:highlight w:val="white"/>
        </w:rPr>
        <w:t>Ocra, B.T., (2021). The Nexus between Organisational Justice, Job Satisfaction, and Organisational Citizenship Behaviour: The Case of Barclays Bank. Advances in Social Sciences Research Journal, 8(2), pp.411-424.</w:t>
      </w:r>
    </w:p>
    <w:p w14:paraId="4E50D93F" w14:textId="3FD2C94B" w:rsidR="009E5B22" w:rsidRPr="008F1EB8" w:rsidRDefault="009E5B22" w:rsidP="009C72CC">
      <w:pPr>
        <w:spacing w:before="240" w:line="360" w:lineRule="auto"/>
        <w:rPr>
          <w:rFonts w:eastAsia="Times New Roman"/>
          <w:sz w:val="24"/>
          <w:szCs w:val="24"/>
          <w:highlight w:val="white"/>
        </w:rPr>
      </w:pPr>
      <w:r w:rsidRPr="008F1EB8">
        <w:rPr>
          <w:rFonts w:eastAsia="Times New Roman"/>
          <w:sz w:val="24"/>
          <w:szCs w:val="24"/>
          <w:highlight w:val="white"/>
        </w:rPr>
        <w:t>Psr.org.uk (20</w:t>
      </w:r>
      <w:r w:rsidR="009C72CC" w:rsidRPr="008F1EB8">
        <w:rPr>
          <w:rFonts w:eastAsia="Times New Roman"/>
          <w:sz w:val="24"/>
          <w:szCs w:val="24"/>
          <w:highlight w:val="white"/>
        </w:rPr>
        <w:t>16</w:t>
      </w:r>
      <w:r w:rsidRPr="008F1EB8">
        <w:rPr>
          <w:rFonts w:eastAsia="Times New Roman"/>
          <w:sz w:val="24"/>
          <w:szCs w:val="24"/>
          <w:highlight w:val="white"/>
        </w:rPr>
        <w:t>, An introduction to the UK’s interbank payment System</w:t>
      </w:r>
    </w:p>
    <w:p w14:paraId="3D397D99" w14:textId="0F12D699" w:rsidR="009E5B22" w:rsidRPr="008F1EB8" w:rsidRDefault="009E5B22" w:rsidP="009E5B22">
      <w:pPr>
        <w:spacing w:line="360" w:lineRule="auto"/>
        <w:rPr>
          <w:rFonts w:eastAsia="Times New Roman"/>
          <w:sz w:val="24"/>
          <w:szCs w:val="24"/>
        </w:rPr>
      </w:pPr>
      <w:r w:rsidRPr="008F1EB8">
        <w:rPr>
          <w:rFonts w:eastAsia="Times New Roman"/>
          <w:sz w:val="24"/>
          <w:szCs w:val="24"/>
        </w:rPr>
        <w:t xml:space="preserve">[accessed from: </w:t>
      </w:r>
      <w:r w:rsidRPr="008F1EB8">
        <w:rPr>
          <w:rFonts w:eastAsia="Times New Roman"/>
          <w:sz w:val="24"/>
          <w:szCs w:val="24"/>
        </w:rPr>
        <w:t>https://www.psr.org.uk/media/wnahveui/for-information-only-an-introduction-to-the-uks-interbank-payment-schemes.pdf</w:t>
      </w:r>
      <w:r w:rsidR="009C72CC" w:rsidRPr="008F1EB8">
        <w:rPr>
          <w:rFonts w:eastAsia="Times New Roman"/>
          <w:sz w:val="24"/>
          <w:szCs w:val="24"/>
        </w:rPr>
        <w:t>]</w:t>
      </w:r>
    </w:p>
    <w:p w14:paraId="5695C2EB" w14:textId="4A6490C6" w:rsidR="009E5B22" w:rsidRPr="008F1EB8" w:rsidRDefault="009E5B22" w:rsidP="009E5B22">
      <w:pPr>
        <w:spacing w:line="360" w:lineRule="auto"/>
        <w:rPr>
          <w:rFonts w:eastAsia="Times New Roman"/>
          <w:sz w:val="24"/>
          <w:szCs w:val="24"/>
          <w:highlight w:val="white"/>
        </w:rPr>
      </w:pPr>
      <w:r w:rsidRPr="008F1EB8">
        <w:rPr>
          <w:rFonts w:eastAsia="Times New Roman"/>
          <w:sz w:val="24"/>
          <w:szCs w:val="24"/>
        </w:rPr>
        <w:t>[Accessed on</w:t>
      </w:r>
      <w:r w:rsidR="009C72CC" w:rsidRPr="008F1EB8">
        <w:rPr>
          <w:rFonts w:eastAsia="Times New Roman"/>
          <w:sz w:val="24"/>
          <w:szCs w:val="24"/>
        </w:rPr>
        <w:t>: 15/12/2022]</w:t>
      </w:r>
    </w:p>
    <w:p w14:paraId="5AC8CA2D" w14:textId="62436399" w:rsidR="00682359" w:rsidRPr="008F1EB8" w:rsidRDefault="00682359">
      <w:pPr>
        <w:spacing w:before="240" w:after="240" w:line="360" w:lineRule="auto"/>
        <w:jc w:val="both"/>
        <w:rPr>
          <w:rFonts w:eastAsia="Times New Roman"/>
          <w:sz w:val="24"/>
          <w:szCs w:val="24"/>
          <w:highlight w:val="white"/>
        </w:rPr>
      </w:pPr>
      <w:r w:rsidRPr="008F1EB8">
        <w:rPr>
          <w:rFonts w:eastAsia="Times New Roman"/>
          <w:sz w:val="24"/>
          <w:szCs w:val="24"/>
          <w:highlight w:val="white"/>
        </w:rPr>
        <w:t xml:space="preserve">Raynor, B., (2022). The shadow of sanctions: reputational risk, financial reintegration, and the political economy of sanctions relief. </w:t>
      </w:r>
      <w:r w:rsidRPr="008F1EB8">
        <w:rPr>
          <w:rFonts w:eastAsia="Times New Roman"/>
          <w:i/>
          <w:sz w:val="24"/>
          <w:szCs w:val="24"/>
          <w:highlight w:val="white"/>
        </w:rPr>
        <w:t>European Journal of International Relations</w:t>
      </w:r>
      <w:r w:rsidRPr="008F1EB8">
        <w:rPr>
          <w:rFonts w:eastAsia="Times New Roman"/>
          <w:sz w:val="24"/>
          <w:szCs w:val="24"/>
          <w:highlight w:val="white"/>
        </w:rPr>
        <w:t>, p.13540661221100540.</w:t>
      </w:r>
    </w:p>
    <w:p w14:paraId="6401135C" w14:textId="77777777" w:rsidR="00682359" w:rsidRPr="008F1EB8" w:rsidRDefault="00682359">
      <w:pPr>
        <w:spacing w:line="360" w:lineRule="auto"/>
        <w:jc w:val="both"/>
        <w:rPr>
          <w:rFonts w:eastAsia="Times New Roman"/>
          <w:sz w:val="24"/>
          <w:szCs w:val="24"/>
        </w:rPr>
      </w:pPr>
      <w:r w:rsidRPr="008F1EB8">
        <w:rPr>
          <w:rFonts w:eastAsia="Times New Roman"/>
          <w:sz w:val="24"/>
          <w:szCs w:val="24"/>
        </w:rPr>
        <w:t>Referenceforbusiness.com, (2022), history2/82/Barclays-PLC.html. [Available at:https://www.referenceforbusiness.com/history2/82/Barclays-PLC.html]. [Accessed on: 03.0.2022]</w:t>
      </w:r>
    </w:p>
    <w:p w14:paraId="1850A9A9" w14:textId="77777777" w:rsidR="00682359" w:rsidRPr="008F1EB8" w:rsidRDefault="00682359">
      <w:pPr>
        <w:spacing w:before="240" w:after="240" w:line="360" w:lineRule="auto"/>
        <w:jc w:val="both"/>
        <w:rPr>
          <w:rFonts w:eastAsia="Times New Roman"/>
          <w:sz w:val="24"/>
          <w:szCs w:val="24"/>
          <w:highlight w:val="white"/>
        </w:rPr>
      </w:pPr>
      <w:r w:rsidRPr="008F1EB8">
        <w:rPr>
          <w:rFonts w:eastAsia="Times New Roman"/>
          <w:sz w:val="24"/>
          <w:szCs w:val="24"/>
          <w:highlight w:val="white"/>
        </w:rPr>
        <w:t xml:space="preserve">Rehman, N.U., Hysa, E. and Mao, X., (2020). Does public R&amp;D complement or crowd-out private R&amp;D in pre and post economic crisis of 2008?. </w:t>
      </w:r>
      <w:r w:rsidRPr="008F1EB8">
        <w:rPr>
          <w:rFonts w:eastAsia="Times New Roman"/>
          <w:i/>
          <w:sz w:val="24"/>
          <w:szCs w:val="24"/>
          <w:highlight w:val="white"/>
        </w:rPr>
        <w:t>Journal of Applied Economics</w:t>
      </w:r>
      <w:r w:rsidRPr="008F1EB8">
        <w:rPr>
          <w:rFonts w:eastAsia="Times New Roman"/>
          <w:sz w:val="24"/>
          <w:szCs w:val="24"/>
          <w:highlight w:val="white"/>
        </w:rPr>
        <w:t xml:space="preserve">, </w:t>
      </w:r>
      <w:r w:rsidRPr="008F1EB8">
        <w:rPr>
          <w:rFonts w:eastAsia="Times New Roman"/>
          <w:i/>
          <w:sz w:val="24"/>
          <w:szCs w:val="24"/>
          <w:highlight w:val="white"/>
        </w:rPr>
        <w:t>23</w:t>
      </w:r>
      <w:r w:rsidRPr="008F1EB8">
        <w:rPr>
          <w:rFonts w:eastAsia="Times New Roman"/>
          <w:sz w:val="24"/>
          <w:szCs w:val="24"/>
          <w:highlight w:val="white"/>
        </w:rPr>
        <w:t>(1), pp.349-371.</w:t>
      </w:r>
    </w:p>
    <w:p w14:paraId="698967D2" w14:textId="77777777" w:rsidR="00682359" w:rsidRPr="008F1EB8" w:rsidRDefault="00682359">
      <w:pPr>
        <w:spacing w:line="360" w:lineRule="auto"/>
        <w:jc w:val="both"/>
        <w:rPr>
          <w:rFonts w:eastAsia="Times New Roman"/>
          <w:sz w:val="24"/>
          <w:szCs w:val="24"/>
        </w:rPr>
      </w:pPr>
      <w:r w:rsidRPr="008F1EB8">
        <w:rPr>
          <w:rFonts w:eastAsia="Times New Roman"/>
          <w:sz w:val="24"/>
          <w:szCs w:val="24"/>
          <w:highlight w:val="white"/>
        </w:rPr>
        <w:t>Resende, M.F.D.C., Terra, F.H.B. and Ferrari Filho, F., (2021). Conventions, Money Creation and Public Debt to Face the Covid-19 Crisis and its Aftermath: A Post-Keynesian View. Brazilian Journal of Political Economy, 41, pp.254-270.</w:t>
      </w:r>
    </w:p>
    <w:p w14:paraId="5760E2AB" w14:textId="77777777" w:rsidR="00682359" w:rsidRPr="008F1EB8" w:rsidRDefault="00682359">
      <w:pPr>
        <w:spacing w:before="240" w:after="240" w:line="360" w:lineRule="auto"/>
        <w:jc w:val="both"/>
        <w:rPr>
          <w:rFonts w:eastAsia="Times New Roman"/>
          <w:sz w:val="24"/>
          <w:szCs w:val="24"/>
          <w:highlight w:val="white"/>
        </w:rPr>
      </w:pPr>
      <w:r w:rsidRPr="008F1EB8">
        <w:rPr>
          <w:rFonts w:eastAsia="Times New Roman"/>
          <w:sz w:val="24"/>
          <w:szCs w:val="24"/>
          <w:highlight w:val="white"/>
        </w:rPr>
        <w:t xml:space="preserve">Sainidis, E., Robson, A. and Heron, G., (2019). Environmental turbulence and the role of business functions in the manufacturing strategy debate: The case of UK-based SMEs and the Great Recession. </w:t>
      </w:r>
      <w:r w:rsidRPr="008F1EB8">
        <w:rPr>
          <w:rFonts w:eastAsia="Times New Roman"/>
          <w:i/>
          <w:sz w:val="24"/>
          <w:szCs w:val="24"/>
          <w:highlight w:val="white"/>
        </w:rPr>
        <w:t>Journal of General Management</w:t>
      </w:r>
      <w:r w:rsidRPr="008F1EB8">
        <w:rPr>
          <w:rFonts w:eastAsia="Times New Roman"/>
          <w:sz w:val="24"/>
          <w:szCs w:val="24"/>
          <w:highlight w:val="white"/>
        </w:rPr>
        <w:t xml:space="preserve">, </w:t>
      </w:r>
      <w:r w:rsidRPr="008F1EB8">
        <w:rPr>
          <w:rFonts w:eastAsia="Times New Roman"/>
          <w:i/>
          <w:sz w:val="24"/>
          <w:szCs w:val="24"/>
          <w:highlight w:val="white"/>
        </w:rPr>
        <w:t>44</w:t>
      </w:r>
      <w:r w:rsidRPr="008F1EB8">
        <w:rPr>
          <w:rFonts w:eastAsia="Times New Roman"/>
          <w:sz w:val="24"/>
          <w:szCs w:val="24"/>
          <w:highlight w:val="white"/>
        </w:rPr>
        <w:t>(4), pp.190-208.</w:t>
      </w:r>
    </w:p>
    <w:p w14:paraId="3AE48BDE" w14:textId="77777777" w:rsidR="00682359" w:rsidRPr="008F1EB8" w:rsidRDefault="00682359">
      <w:pPr>
        <w:spacing w:before="240" w:after="240" w:line="360" w:lineRule="auto"/>
        <w:jc w:val="both"/>
        <w:rPr>
          <w:rFonts w:eastAsia="Times New Roman"/>
          <w:sz w:val="24"/>
          <w:szCs w:val="24"/>
          <w:highlight w:val="white"/>
        </w:rPr>
      </w:pPr>
      <w:r w:rsidRPr="008F1EB8">
        <w:rPr>
          <w:rFonts w:eastAsia="Times New Roman"/>
          <w:sz w:val="24"/>
          <w:szCs w:val="24"/>
          <w:highlight w:val="white"/>
        </w:rPr>
        <w:t xml:space="preserve">Salim, S., Baig, M.A. and Lal, I., (2021). Exploring dynamic causal linkages between Major Stock Exchanges of Asia and established markets of UK, USA, Germany, and Japan-A comparative analysis of Pre and Post era of Global Financial Crisis. </w:t>
      </w:r>
      <w:r w:rsidRPr="008F1EB8">
        <w:rPr>
          <w:rFonts w:eastAsia="Times New Roman"/>
          <w:i/>
          <w:sz w:val="24"/>
          <w:szCs w:val="24"/>
          <w:highlight w:val="white"/>
        </w:rPr>
        <w:t xml:space="preserve">Pakistan </w:t>
      </w:r>
      <w:r w:rsidRPr="008F1EB8">
        <w:rPr>
          <w:rFonts w:eastAsia="Times New Roman"/>
          <w:i/>
          <w:sz w:val="24"/>
          <w:szCs w:val="24"/>
          <w:highlight w:val="white"/>
        </w:rPr>
        <w:lastRenderedPageBreak/>
        <w:t>Journal of Economic Studies https://journals. iub. edu. pk/index. php/pjes</w:t>
      </w:r>
      <w:r w:rsidRPr="008F1EB8">
        <w:rPr>
          <w:rFonts w:eastAsia="Times New Roman"/>
          <w:sz w:val="24"/>
          <w:szCs w:val="24"/>
          <w:highlight w:val="white"/>
        </w:rPr>
        <w:t xml:space="preserve">, </w:t>
      </w:r>
      <w:r w:rsidRPr="008F1EB8">
        <w:rPr>
          <w:rFonts w:eastAsia="Times New Roman"/>
          <w:i/>
          <w:sz w:val="24"/>
          <w:szCs w:val="24"/>
          <w:highlight w:val="white"/>
        </w:rPr>
        <w:t>4</w:t>
      </w:r>
      <w:r w:rsidRPr="008F1EB8">
        <w:rPr>
          <w:rFonts w:eastAsia="Times New Roman"/>
          <w:sz w:val="24"/>
          <w:szCs w:val="24"/>
          <w:highlight w:val="white"/>
        </w:rPr>
        <w:t>(2), pp.237-272.</w:t>
      </w:r>
    </w:p>
    <w:p w14:paraId="6CD6A401" w14:textId="77777777" w:rsidR="00682359" w:rsidRPr="008F1EB8" w:rsidRDefault="00682359">
      <w:pPr>
        <w:spacing w:before="240" w:after="240" w:line="360" w:lineRule="auto"/>
        <w:jc w:val="both"/>
        <w:rPr>
          <w:rFonts w:eastAsia="Times New Roman"/>
          <w:sz w:val="24"/>
          <w:szCs w:val="24"/>
          <w:highlight w:val="white"/>
        </w:rPr>
      </w:pPr>
      <w:r w:rsidRPr="008F1EB8">
        <w:rPr>
          <w:rFonts w:eastAsia="Times New Roman"/>
          <w:sz w:val="24"/>
          <w:szCs w:val="24"/>
          <w:highlight w:val="white"/>
        </w:rPr>
        <w:t>Semieniuk, G., Campiglio, E., Mercure, J.F., Volz, U. and Edwards, N.R., (2021). Low</w:t>
      </w:r>
      <w:r w:rsidRPr="008F1EB8">
        <w:rPr>
          <w:rFonts w:ascii="Cambria Math" w:eastAsia="Times New Roman" w:hAnsi="Cambria Math" w:cs="Cambria Math"/>
          <w:sz w:val="24"/>
          <w:szCs w:val="24"/>
          <w:highlight w:val="white"/>
        </w:rPr>
        <w:t>‐</w:t>
      </w:r>
      <w:r w:rsidRPr="008F1EB8">
        <w:rPr>
          <w:rFonts w:eastAsia="Times New Roman"/>
          <w:sz w:val="24"/>
          <w:szCs w:val="24"/>
          <w:highlight w:val="white"/>
        </w:rPr>
        <w:t xml:space="preserve">carbon transition risks for finance. </w:t>
      </w:r>
      <w:r w:rsidRPr="008F1EB8">
        <w:rPr>
          <w:rFonts w:eastAsia="Times New Roman"/>
          <w:i/>
          <w:sz w:val="24"/>
          <w:szCs w:val="24"/>
          <w:highlight w:val="white"/>
        </w:rPr>
        <w:t>Wiley Interdisciplinary Reviews: Climate Change</w:t>
      </w:r>
      <w:r w:rsidRPr="008F1EB8">
        <w:rPr>
          <w:rFonts w:eastAsia="Times New Roman"/>
          <w:sz w:val="24"/>
          <w:szCs w:val="24"/>
          <w:highlight w:val="white"/>
        </w:rPr>
        <w:t xml:space="preserve">, </w:t>
      </w:r>
      <w:r w:rsidRPr="008F1EB8">
        <w:rPr>
          <w:rFonts w:eastAsia="Times New Roman"/>
          <w:i/>
          <w:sz w:val="24"/>
          <w:szCs w:val="24"/>
          <w:highlight w:val="white"/>
        </w:rPr>
        <w:t>12</w:t>
      </w:r>
      <w:r w:rsidRPr="008F1EB8">
        <w:rPr>
          <w:rFonts w:eastAsia="Times New Roman"/>
          <w:sz w:val="24"/>
          <w:szCs w:val="24"/>
          <w:highlight w:val="white"/>
        </w:rPr>
        <w:t>(1), p.e678.</w:t>
      </w:r>
    </w:p>
    <w:p w14:paraId="015EAAD6" w14:textId="77777777" w:rsidR="00682359" w:rsidRPr="008F1EB8" w:rsidRDefault="00682359">
      <w:pPr>
        <w:spacing w:before="240" w:after="240" w:line="360" w:lineRule="auto"/>
        <w:jc w:val="both"/>
        <w:rPr>
          <w:rFonts w:eastAsia="Times New Roman"/>
          <w:sz w:val="24"/>
          <w:szCs w:val="24"/>
          <w:highlight w:val="white"/>
        </w:rPr>
      </w:pPr>
      <w:r w:rsidRPr="008F1EB8">
        <w:rPr>
          <w:rFonts w:eastAsia="Times New Roman"/>
          <w:sz w:val="24"/>
          <w:szCs w:val="24"/>
          <w:highlight w:val="white"/>
        </w:rPr>
        <w:t xml:space="preserve">Seyfang, G. and Gilbert-Squires, A., (2019). Move your money? Sustainability transitions in regimes and practices in the UK retail banking sector. </w:t>
      </w:r>
      <w:r w:rsidRPr="008F1EB8">
        <w:rPr>
          <w:rFonts w:eastAsia="Times New Roman"/>
          <w:i/>
          <w:sz w:val="24"/>
          <w:szCs w:val="24"/>
          <w:highlight w:val="white"/>
        </w:rPr>
        <w:t>Ecological Economics</w:t>
      </w:r>
      <w:r w:rsidRPr="008F1EB8">
        <w:rPr>
          <w:rFonts w:eastAsia="Times New Roman"/>
          <w:sz w:val="24"/>
          <w:szCs w:val="24"/>
          <w:highlight w:val="white"/>
        </w:rPr>
        <w:t xml:space="preserve">, </w:t>
      </w:r>
      <w:r w:rsidRPr="008F1EB8">
        <w:rPr>
          <w:rFonts w:eastAsia="Times New Roman"/>
          <w:i/>
          <w:sz w:val="24"/>
          <w:szCs w:val="24"/>
          <w:highlight w:val="white"/>
        </w:rPr>
        <w:t>156</w:t>
      </w:r>
      <w:r w:rsidRPr="008F1EB8">
        <w:rPr>
          <w:rFonts w:eastAsia="Times New Roman"/>
          <w:sz w:val="24"/>
          <w:szCs w:val="24"/>
          <w:highlight w:val="white"/>
        </w:rPr>
        <w:t>, pp.224-235.</w:t>
      </w:r>
    </w:p>
    <w:p w14:paraId="27CC7995" w14:textId="77777777" w:rsidR="00682359" w:rsidRPr="008F1EB8" w:rsidRDefault="00682359">
      <w:pPr>
        <w:spacing w:before="240" w:after="240" w:line="360" w:lineRule="auto"/>
        <w:jc w:val="both"/>
        <w:rPr>
          <w:rFonts w:eastAsia="Times New Roman"/>
          <w:sz w:val="24"/>
          <w:szCs w:val="24"/>
        </w:rPr>
      </w:pPr>
      <w:r w:rsidRPr="008F1EB8">
        <w:rPr>
          <w:rFonts w:eastAsia="Times New Roman"/>
          <w:sz w:val="24"/>
          <w:szCs w:val="24"/>
          <w:highlight w:val="white"/>
        </w:rPr>
        <w:t>Shkodina, I., Melnychenko, O. and Babenko, M., (2020). Quantitative easing policy and its impact on the global economy. Financial And Credit Activity-problems Of Theory And Practice, 2, pp.513-521.</w:t>
      </w:r>
    </w:p>
    <w:p w14:paraId="6A61188D" w14:textId="77777777" w:rsidR="00682359" w:rsidRPr="008F1EB8" w:rsidRDefault="00682359">
      <w:pPr>
        <w:spacing w:before="240" w:after="240" w:line="360" w:lineRule="auto"/>
        <w:jc w:val="both"/>
        <w:rPr>
          <w:rFonts w:eastAsia="Times New Roman"/>
          <w:sz w:val="24"/>
          <w:szCs w:val="24"/>
        </w:rPr>
      </w:pPr>
      <w:r w:rsidRPr="008F1EB8">
        <w:rPr>
          <w:rFonts w:eastAsia="Times New Roman"/>
          <w:sz w:val="24"/>
          <w:szCs w:val="24"/>
        </w:rPr>
        <w:t>Sironi, A., (2018). The evolution of banking regulation since the financial crisis: A critical assessment. BAFFI CAREFIN Centre Research Paper, (2018-103).</w:t>
      </w:r>
    </w:p>
    <w:p w14:paraId="29F7D33F" w14:textId="77777777" w:rsidR="00682359" w:rsidRPr="008F1EB8" w:rsidRDefault="00682359">
      <w:pPr>
        <w:spacing w:line="360" w:lineRule="auto"/>
        <w:jc w:val="both"/>
        <w:rPr>
          <w:rFonts w:eastAsia="Times New Roman"/>
          <w:sz w:val="24"/>
          <w:szCs w:val="24"/>
        </w:rPr>
      </w:pPr>
      <w:r w:rsidRPr="008F1EB8">
        <w:rPr>
          <w:rFonts w:eastAsia="Times New Roman"/>
          <w:sz w:val="24"/>
          <w:szCs w:val="24"/>
          <w:highlight w:val="white"/>
        </w:rPr>
        <w:t>Sokol, M., (2022). Financialisation, central banks and ‘new’state capitalism: The case of the US Federal Reserve, the European Central Bank and the Bank of England. Environment and Planning A: Economy and Space, p.0308518X221133114.</w:t>
      </w:r>
    </w:p>
    <w:p w14:paraId="236FD6FA" w14:textId="77777777" w:rsidR="00682359" w:rsidRPr="008F1EB8" w:rsidRDefault="00682359">
      <w:pPr>
        <w:spacing w:before="240" w:after="240" w:line="360" w:lineRule="auto"/>
        <w:jc w:val="both"/>
        <w:rPr>
          <w:rFonts w:eastAsia="Times New Roman"/>
          <w:sz w:val="24"/>
          <w:szCs w:val="24"/>
        </w:rPr>
      </w:pPr>
      <w:r w:rsidRPr="008F1EB8">
        <w:rPr>
          <w:rFonts w:eastAsia="Times New Roman"/>
          <w:sz w:val="24"/>
          <w:szCs w:val="24"/>
        </w:rPr>
        <w:t>Stoker, J.I., Garretsen, H. and Soudis, D., (2019). Tightening the leash after a threat: A multi-level event study on leadership behavior following the financial crisis. The Leadership Quarterly, 30(2), pp.199-214.</w:t>
      </w:r>
    </w:p>
    <w:p w14:paraId="14970C6A" w14:textId="77777777" w:rsidR="00682359" w:rsidRPr="008F1EB8" w:rsidRDefault="00682359">
      <w:pPr>
        <w:spacing w:line="360" w:lineRule="auto"/>
        <w:jc w:val="both"/>
        <w:rPr>
          <w:rFonts w:eastAsia="Times New Roman"/>
          <w:sz w:val="24"/>
          <w:szCs w:val="24"/>
          <w:highlight w:val="white"/>
        </w:rPr>
      </w:pPr>
      <w:r w:rsidRPr="008F1EB8">
        <w:rPr>
          <w:rFonts w:eastAsia="Times New Roman"/>
          <w:b/>
          <w:sz w:val="24"/>
          <w:szCs w:val="24"/>
        </w:rPr>
        <w:t xml:space="preserve"> </w:t>
      </w:r>
      <w:r w:rsidRPr="008F1EB8">
        <w:rPr>
          <w:rFonts w:eastAsia="Times New Roman"/>
          <w:sz w:val="24"/>
          <w:szCs w:val="24"/>
          <w:highlight w:val="white"/>
        </w:rPr>
        <w:t xml:space="preserve">Taskinsoy, J., (2019). Higher Capital and Liquidity Regulations of Basel Standards Have Made Banks and Banking Systems Become More Prone to Financial and Economic Crises. </w:t>
      </w:r>
      <w:r w:rsidRPr="008F1EB8">
        <w:rPr>
          <w:rFonts w:eastAsia="Times New Roman"/>
          <w:i/>
          <w:sz w:val="24"/>
          <w:szCs w:val="24"/>
          <w:highlight w:val="white"/>
        </w:rPr>
        <w:t>Available at SSRN 3401378</w:t>
      </w:r>
      <w:r w:rsidRPr="008F1EB8">
        <w:rPr>
          <w:rFonts w:eastAsia="Times New Roman"/>
          <w:sz w:val="24"/>
          <w:szCs w:val="24"/>
          <w:highlight w:val="white"/>
        </w:rPr>
        <w:t>.</w:t>
      </w:r>
    </w:p>
    <w:p w14:paraId="01C3FEF3" w14:textId="77777777" w:rsidR="00682359" w:rsidRPr="008F1EB8" w:rsidRDefault="00682359">
      <w:pPr>
        <w:spacing w:line="360" w:lineRule="auto"/>
        <w:jc w:val="both"/>
        <w:rPr>
          <w:rFonts w:eastAsia="Times New Roman"/>
          <w:sz w:val="24"/>
          <w:szCs w:val="24"/>
          <w:highlight w:val="white"/>
        </w:rPr>
      </w:pPr>
      <w:r w:rsidRPr="008F1EB8">
        <w:rPr>
          <w:rFonts w:eastAsia="Times New Roman"/>
          <w:sz w:val="24"/>
          <w:szCs w:val="24"/>
          <w:highlight w:val="white"/>
        </w:rPr>
        <w:t xml:space="preserve">Taskinsoy, J., (2019). Stress Testing Made Easy: No More US Banks Stumbling and Facing Public Embarrassment Due to the Federal Reserve’s Qualitative Objection. </w:t>
      </w:r>
      <w:r w:rsidRPr="008F1EB8">
        <w:rPr>
          <w:rFonts w:eastAsia="Times New Roman"/>
          <w:i/>
          <w:sz w:val="24"/>
          <w:szCs w:val="24"/>
          <w:highlight w:val="white"/>
        </w:rPr>
        <w:t>Available at SSRN 3354018</w:t>
      </w:r>
      <w:r w:rsidRPr="008F1EB8">
        <w:rPr>
          <w:rFonts w:eastAsia="Times New Roman"/>
          <w:sz w:val="24"/>
          <w:szCs w:val="24"/>
          <w:highlight w:val="white"/>
        </w:rPr>
        <w:t>.</w:t>
      </w:r>
    </w:p>
    <w:p w14:paraId="57186BD8" w14:textId="77777777" w:rsidR="00682359" w:rsidRPr="008F1EB8" w:rsidRDefault="00682359">
      <w:pPr>
        <w:spacing w:before="240" w:after="240" w:line="360" w:lineRule="auto"/>
        <w:jc w:val="both"/>
        <w:rPr>
          <w:rFonts w:eastAsia="Times New Roman"/>
          <w:sz w:val="24"/>
          <w:szCs w:val="24"/>
          <w:highlight w:val="white"/>
        </w:rPr>
      </w:pPr>
      <w:r w:rsidRPr="008F1EB8">
        <w:rPr>
          <w:rFonts w:eastAsia="Times New Roman"/>
          <w:sz w:val="24"/>
          <w:szCs w:val="24"/>
          <w:highlight w:val="white"/>
        </w:rPr>
        <w:t xml:space="preserve">Theodore, N., (2020). Governing through austerity:(Il) logics of neoliberal urbanism after the global financial crisis. </w:t>
      </w:r>
      <w:r w:rsidRPr="008F1EB8">
        <w:rPr>
          <w:rFonts w:eastAsia="Times New Roman"/>
          <w:i/>
          <w:sz w:val="24"/>
          <w:szCs w:val="24"/>
          <w:highlight w:val="white"/>
        </w:rPr>
        <w:t>Journal of Urban Affairs</w:t>
      </w:r>
      <w:r w:rsidRPr="008F1EB8">
        <w:rPr>
          <w:rFonts w:eastAsia="Times New Roman"/>
          <w:sz w:val="24"/>
          <w:szCs w:val="24"/>
          <w:highlight w:val="white"/>
        </w:rPr>
        <w:t xml:space="preserve">, </w:t>
      </w:r>
      <w:r w:rsidRPr="008F1EB8">
        <w:rPr>
          <w:rFonts w:eastAsia="Times New Roman"/>
          <w:i/>
          <w:sz w:val="24"/>
          <w:szCs w:val="24"/>
          <w:highlight w:val="white"/>
        </w:rPr>
        <w:t>42</w:t>
      </w:r>
      <w:r w:rsidRPr="008F1EB8">
        <w:rPr>
          <w:rFonts w:eastAsia="Times New Roman"/>
          <w:sz w:val="24"/>
          <w:szCs w:val="24"/>
          <w:highlight w:val="white"/>
        </w:rPr>
        <w:t>(1), pp.1-17.</w:t>
      </w:r>
    </w:p>
    <w:p w14:paraId="5EEE26D2" w14:textId="77777777" w:rsidR="00682359" w:rsidRPr="008F1EB8" w:rsidRDefault="00682359">
      <w:pPr>
        <w:spacing w:before="240" w:after="240" w:line="360" w:lineRule="auto"/>
        <w:jc w:val="both"/>
        <w:rPr>
          <w:rFonts w:eastAsia="Times New Roman"/>
          <w:sz w:val="24"/>
          <w:szCs w:val="24"/>
          <w:highlight w:val="white"/>
        </w:rPr>
      </w:pPr>
      <w:r w:rsidRPr="008F1EB8">
        <w:rPr>
          <w:rFonts w:eastAsia="Times New Roman"/>
          <w:sz w:val="24"/>
          <w:szCs w:val="24"/>
          <w:highlight w:val="white"/>
        </w:rPr>
        <w:t xml:space="preserve">Wang, Y., Ye, G., Zhang, Y., Mu, P. and Wang, H., (2020). Total factor productivity growth and its contribution: lessons from the Chinese construction industry pre-and </w:t>
      </w:r>
      <w:r w:rsidRPr="008F1EB8">
        <w:rPr>
          <w:rFonts w:eastAsia="Times New Roman"/>
          <w:sz w:val="24"/>
          <w:szCs w:val="24"/>
          <w:highlight w:val="white"/>
        </w:rPr>
        <w:lastRenderedPageBreak/>
        <w:t xml:space="preserve">post-2008 financial crisis. </w:t>
      </w:r>
      <w:r w:rsidRPr="008F1EB8">
        <w:rPr>
          <w:rFonts w:eastAsia="Times New Roman"/>
          <w:i/>
          <w:sz w:val="24"/>
          <w:szCs w:val="24"/>
          <w:highlight w:val="white"/>
        </w:rPr>
        <w:t>Engineering, Construction and Architectural Management</w:t>
      </w:r>
      <w:r w:rsidRPr="008F1EB8">
        <w:rPr>
          <w:rFonts w:eastAsia="Times New Roman"/>
          <w:sz w:val="24"/>
          <w:szCs w:val="24"/>
          <w:highlight w:val="white"/>
        </w:rPr>
        <w:t xml:space="preserve">, </w:t>
      </w:r>
      <w:r w:rsidRPr="008F1EB8">
        <w:rPr>
          <w:rFonts w:eastAsia="Times New Roman"/>
          <w:i/>
          <w:sz w:val="24"/>
          <w:szCs w:val="24"/>
          <w:highlight w:val="white"/>
        </w:rPr>
        <w:t>27</w:t>
      </w:r>
      <w:r w:rsidRPr="008F1EB8">
        <w:rPr>
          <w:rFonts w:eastAsia="Times New Roman"/>
          <w:sz w:val="24"/>
          <w:szCs w:val="24"/>
          <w:highlight w:val="white"/>
        </w:rPr>
        <w:t>(10), pp.2911-2929.</w:t>
      </w:r>
    </w:p>
    <w:p w14:paraId="71541F9A" w14:textId="77777777" w:rsidR="00682359" w:rsidRPr="008F1EB8" w:rsidRDefault="00682359">
      <w:pPr>
        <w:spacing w:before="240" w:after="240" w:line="360" w:lineRule="auto"/>
        <w:jc w:val="both"/>
        <w:rPr>
          <w:rFonts w:eastAsia="Times New Roman"/>
          <w:sz w:val="24"/>
          <w:szCs w:val="24"/>
          <w:highlight w:val="white"/>
        </w:rPr>
      </w:pPr>
      <w:r w:rsidRPr="008F1EB8">
        <w:rPr>
          <w:rFonts w:eastAsia="Times New Roman"/>
          <w:sz w:val="24"/>
          <w:szCs w:val="24"/>
          <w:highlight w:val="white"/>
        </w:rPr>
        <w:t xml:space="preserve">Ziolo, M., Filipiak, B.Z., Bąk, I. and Cheba, K., (2019). How to design more sustainable financial systems: The roles of environmental, social, and governance factors in the decision-making process. </w:t>
      </w:r>
      <w:r w:rsidRPr="008F1EB8">
        <w:rPr>
          <w:rFonts w:eastAsia="Times New Roman"/>
          <w:i/>
          <w:sz w:val="24"/>
          <w:szCs w:val="24"/>
          <w:highlight w:val="white"/>
        </w:rPr>
        <w:t>Sustainability</w:t>
      </w:r>
      <w:r w:rsidRPr="008F1EB8">
        <w:rPr>
          <w:rFonts w:eastAsia="Times New Roman"/>
          <w:sz w:val="24"/>
          <w:szCs w:val="24"/>
          <w:highlight w:val="white"/>
        </w:rPr>
        <w:t xml:space="preserve">, </w:t>
      </w:r>
      <w:r w:rsidRPr="008F1EB8">
        <w:rPr>
          <w:rFonts w:eastAsia="Times New Roman"/>
          <w:i/>
          <w:sz w:val="24"/>
          <w:szCs w:val="24"/>
          <w:highlight w:val="white"/>
        </w:rPr>
        <w:t>11</w:t>
      </w:r>
      <w:r w:rsidRPr="008F1EB8">
        <w:rPr>
          <w:rFonts w:eastAsia="Times New Roman"/>
          <w:sz w:val="24"/>
          <w:szCs w:val="24"/>
          <w:highlight w:val="white"/>
        </w:rPr>
        <w:t>(20), p.5604.</w:t>
      </w:r>
    </w:p>
    <w:p w14:paraId="434D4491" w14:textId="77777777" w:rsidR="008D0C0D" w:rsidRPr="008F1EB8" w:rsidRDefault="008D0C0D">
      <w:pPr>
        <w:spacing w:line="360" w:lineRule="auto"/>
        <w:jc w:val="both"/>
        <w:rPr>
          <w:rFonts w:eastAsia="Times New Roman"/>
          <w:sz w:val="24"/>
          <w:szCs w:val="24"/>
          <w:highlight w:val="white"/>
        </w:rPr>
      </w:pPr>
    </w:p>
    <w:p w14:paraId="360B52B2" w14:textId="77777777" w:rsidR="008D0C0D" w:rsidRPr="008F1EB8" w:rsidRDefault="008D0C0D">
      <w:pPr>
        <w:spacing w:line="360" w:lineRule="auto"/>
        <w:jc w:val="both"/>
        <w:rPr>
          <w:rFonts w:eastAsia="Times New Roman"/>
          <w:sz w:val="24"/>
          <w:szCs w:val="24"/>
        </w:rPr>
      </w:pPr>
    </w:p>
    <w:sectPr w:rsidR="008D0C0D" w:rsidRPr="008F1EB8" w:rsidSect="00493DEF">
      <w:footerReference w:type="default" r:id="rId10"/>
      <w:pgSz w:w="11909" w:h="16834"/>
      <w:pgMar w:top="1134" w:right="1440" w:bottom="1134"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1FA0C45" w14:textId="77777777" w:rsidR="0091020F" w:rsidRDefault="0091020F" w:rsidP="00682359">
      <w:pPr>
        <w:spacing w:line="240" w:lineRule="auto"/>
      </w:pPr>
      <w:r>
        <w:separator/>
      </w:r>
    </w:p>
  </w:endnote>
  <w:endnote w:type="continuationSeparator" w:id="0">
    <w:p w14:paraId="72F0AF29" w14:textId="77777777" w:rsidR="0091020F" w:rsidRDefault="0091020F" w:rsidP="0068235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35318114"/>
      <w:docPartObj>
        <w:docPartGallery w:val="Page Numbers (Bottom of Page)"/>
        <w:docPartUnique/>
      </w:docPartObj>
    </w:sdtPr>
    <w:sdtEndPr>
      <w:rPr>
        <w:noProof/>
      </w:rPr>
    </w:sdtEndPr>
    <w:sdtContent>
      <w:p w14:paraId="38F98925" w14:textId="77777777" w:rsidR="00682359" w:rsidRDefault="00682359">
        <w:pPr>
          <w:pStyle w:val="Footer"/>
          <w:jc w:val="right"/>
        </w:pPr>
        <w:r>
          <w:fldChar w:fldCharType="begin"/>
        </w:r>
        <w:r>
          <w:instrText xml:space="preserve"> PAGE   \* MERGEFORMAT </w:instrText>
        </w:r>
        <w:r>
          <w:fldChar w:fldCharType="separate"/>
        </w:r>
        <w:r>
          <w:rPr>
            <w:noProof/>
          </w:rPr>
          <w:t>3</w:t>
        </w:r>
        <w:r>
          <w:rPr>
            <w:noProof/>
          </w:rPr>
          <w:fldChar w:fldCharType="end"/>
        </w:r>
      </w:p>
    </w:sdtContent>
  </w:sdt>
  <w:p w14:paraId="580F342B" w14:textId="77777777" w:rsidR="00682359" w:rsidRDefault="0068235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047D5A" w14:textId="77777777" w:rsidR="0091020F" w:rsidRDefault="0091020F" w:rsidP="00682359">
      <w:pPr>
        <w:spacing w:line="240" w:lineRule="auto"/>
      </w:pPr>
      <w:r>
        <w:separator/>
      </w:r>
    </w:p>
  </w:footnote>
  <w:footnote w:type="continuationSeparator" w:id="0">
    <w:p w14:paraId="374E9E91" w14:textId="77777777" w:rsidR="0091020F" w:rsidRDefault="0091020F" w:rsidP="00682359">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5002F21"/>
    <w:multiLevelType w:val="hybridMultilevel"/>
    <w:tmpl w:val="A87068A2"/>
    <w:lvl w:ilvl="0" w:tplc="8394319E">
      <w:start w:val="1"/>
      <w:numFmt w:val="bullet"/>
      <w:lvlText w:val="•"/>
      <w:lvlJc w:val="left"/>
      <w:pPr>
        <w:tabs>
          <w:tab w:val="num" w:pos="720"/>
        </w:tabs>
        <w:ind w:left="720" w:hanging="360"/>
      </w:pPr>
      <w:rPr>
        <w:rFonts w:ascii="Arial" w:hAnsi="Arial" w:hint="default"/>
      </w:rPr>
    </w:lvl>
    <w:lvl w:ilvl="1" w:tplc="EE14FE04" w:tentative="1">
      <w:start w:val="1"/>
      <w:numFmt w:val="bullet"/>
      <w:lvlText w:val="•"/>
      <w:lvlJc w:val="left"/>
      <w:pPr>
        <w:tabs>
          <w:tab w:val="num" w:pos="1440"/>
        </w:tabs>
        <w:ind w:left="1440" w:hanging="360"/>
      </w:pPr>
      <w:rPr>
        <w:rFonts w:ascii="Arial" w:hAnsi="Arial" w:hint="default"/>
      </w:rPr>
    </w:lvl>
    <w:lvl w:ilvl="2" w:tplc="7244FEA8" w:tentative="1">
      <w:start w:val="1"/>
      <w:numFmt w:val="bullet"/>
      <w:lvlText w:val="•"/>
      <w:lvlJc w:val="left"/>
      <w:pPr>
        <w:tabs>
          <w:tab w:val="num" w:pos="2160"/>
        </w:tabs>
        <w:ind w:left="2160" w:hanging="360"/>
      </w:pPr>
      <w:rPr>
        <w:rFonts w:ascii="Arial" w:hAnsi="Arial" w:hint="default"/>
      </w:rPr>
    </w:lvl>
    <w:lvl w:ilvl="3" w:tplc="2B2EF8C6" w:tentative="1">
      <w:start w:val="1"/>
      <w:numFmt w:val="bullet"/>
      <w:lvlText w:val="•"/>
      <w:lvlJc w:val="left"/>
      <w:pPr>
        <w:tabs>
          <w:tab w:val="num" w:pos="2880"/>
        </w:tabs>
        <w:ind w:left="2880" w:hanging="360"/>
      </w:pPr>
      <w:rPr>
        <w:rFonts w:ascii="Arial" w:hAnsi="Arial" w:hint="default"/>
      </w:rPr>
    </w:lvl>
    <w:lvl w:ilvl="4" w:tplc="8C18F9E4" w:tentative="1">
      <w:start w:val="1"/>
      <w:numFmt w:val="bullet"/>
      <w:lvlText w:val="•"/>
      <w:lvlJc w:val="left"/>
      <w:pPr>
        <w:tabs>
          <w:tab w:val="num" w:pos="3600"/>
        </w:tabs>
        <w:ind w:left="3600" w:hanging="360"/>
      </w:pPr>
      <w:rPr>
        <w:rFonts w:ascii="Arial" w:hAnsi="Arial" w:hint="default"/>
      </w:rPr>
    </w:lvl>
    <w:lvl w:ilvl="5" w:tplc="5C465C4C" w:tentative="1">
      <w:start w:val="1"/>
      <w:numFmt w:val="bullet"/>
      <w:lvlText w:val="•"/>
      <w:lvlJc w:val="left"/>
      <w:pPr>
        <w:tabs>
          <w:tab w:val="num" w:pos="4320"/>
        </w:tabs>
        <w:ind w:left="4320" w:hanging="360"/>
      </w:pPr>
      <w:rPr>
        <w:rFonts w:ascii="Arial" w:hAnsi="Arial" w:hint="default"/>
      </w:rPr>
    </w:lvl>
    <w:lvl w:ilvl="6" w:tplc="38081C3E" w:tentative="1">
      <w:start w:val="1"/>
      <w:numFmt w:val="bullet"/>
      <w:lvlText w:val="•"/>
      <w:lvlJc w:val="left"/>
      <w:pPr>
        <w:tabs>
          <w:tab w:val="num" w:pos="5040"/>
        </w:tabs>
        <w:ind w:left="5040" w:hanging="360"/>
      </w:pPr>
      <w:rPr>
        <w:rFonts w:ascii="Arial" w:hAnsi="Arial" w:hint="default"/>
      </w:rPr>
    </w:lvl>
    <w:lvl w:ilvl="7" w:tplc="D6C87254" w:tentative="1">
      <w:start w:val="1"/>
      <w:numFmt w:val="bullet"/>
      <w:lvlText w:val="•"/>
      <w:lvlJc w:val="left"/>
      <w:pPr>
        <w:tabs>
          <w:tab w:val="num" w:pos="5760"/>
        </w:tabs>
        <w:ind w:left="5760" w:hanging="360"/>
      </w:pPr>
      <w:rPr>
        <w:rFonts w:ascii="Arial" w:hAnsi="Arial" w:hint="default"/>
      </w:rPr>
    </w:lvl>
    <w:lvl w:ilvl="8" w:tplc="84481C76"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65374B6A"/>
    <w:multiLevelType w:val="hybridMultilevel"/>
    <w:tmpl w:val="C30AD8B4"/>
    <w:lvl w:ilvl="0" w:tplc="ED64953A">
      <w:start w:val="1"/>
      <w:numFmt w:val="bullet"/>
      <w:lvlText w:val="•"/>
      <w:lvlJc w:val="left"/>
      <w:pPr>
        <w:tabs>
          <w:tab w:val="num" w:pos="720"/>
        </w:tabs>
        <w:ind w:left="720" w:hanging="360"/>
      </w:pPr>
      <w:rPr>
        <w:rFonts w:ascii="Arial" w:hAnsi="Arial" w:hint="default"/>
      </w:rPr>
    </w:lvl>
    <w:lvl w:ilvl="1" w:tplc="36107982" w:tentative="1">
      <w:start w:val="1"/>
      <w:numFmt w:val="bullet"/>
      <w:lvlText w:val="•"/>
      <w:lvlJc w:val="left"/>
      <w:pPr>
        <w:tabs>
          <w:tab w:val="num" w:pos="1440"/>
        </w:tabs>
        <w:ind w:left="1440" w:hanging="360"/>
      </w:pPr>
      <w:rPr>
        <w:rFonts w:ascii="Arial" w:hAnsi="Arial" w:hint="default"/>
      </w:rPr>
    </w:lvl>
    <w:lvl w:ilvl="2" w:tplc="014CFD94" w:tentative="1">
      <w:start w:val="1"/>
      <w:numFmt w:val="bullet"/>
      <w:lvlText w:val="•"/>
      <w:lvlJc w:val="left"/>
      <w:pPr>
        <w:tabs>
          <w:tab w:val="num" w:pos="2160"/>
        </w:tabs>
        <w:ind w:left="2160" w:hanging="360"/>
      </w:pPr>
      <w:rPr>
        <w:rFonts w:ascii="Arial" w:hAnsi="Arial" w:hint="default"/>
      </w:rPr>
    </w:lvl>
    <w:lvl w:ilvl="3" w:tplc="AA5E6CF6" w:tentative="1">
      <w:start w:val="1"/>
      <w:numFmt w:val="bullet"/>
      <w:lvlText w:val="•"/>
      <w:lvlJc w:val="left"/>
      <w:pPr>
        <w:tabs>
          <w:tab w:val="num" w:pos="2880"/>
        </w:tabs>
        <w:ind w:left="2880" w:hanging="360"/>
      </w:pPr>
      <w:rPr>
        <w:rFonts w:ascii="Arial" w:hAnsi="Arial" w:hint="default"/>
      </w:rPr>
    </w:lvl>
    <w:lvl w:ilvl="4" w:tplc="8E0AA8DE" w:tentative="1">
      <w:start w:val="1"/>
      <w:numFmt w:val="bullet"/>
      <w:lvlText w:val="•"/>
      <w:lvlJc w:val="left"/>
      <w:pPr>
        <w:tabs>
          <w:tab w:val="num" w:pos="3600"/>
        </w:tabs>
        <w:ind w:left="3600" w:hanging="360"/>
      </w:pPr>
      <w:rPr>
        <w:rFonts w:ascii="Arial" w:hAnsi="Arial" w:hint="default"/>
      </w:rPr>
    </w:lvl>
    <w:lvl w:ilvl="5" w:tplc="C78020D6" w:tentative="1">
      <w:start w:val="1"/>
      <w:numFmt w:val="bullet"/>
      <w:lvlText w:val="•"/>
      <w:lvlJc w:val="left"/>
      <w:pPr>
        <w:tabs>
          <w:tab w:val="num" w:pos="4320"/>
        </w:tabs>
        <w:ind w:left="4320" w:hanging="360"/>
      </w:pPr>
      <w:rPr>
        <w:rFonts w:ascii="Arial" w:hAnsi="Arial" w:hint="default"/>
      </w:rPr>
    </w:lvl>
    <w:lvl w:ilvl="6" w:tplc="2F52ED50" w:tentative="1">
      <w:start w:val="1"/>
      <w:numFmt w:val="bullet"/>
      <w:lvlText w:val="•"/>
      <w:lvlJc w:val="left"/>
      <w:pPr>
        <w:tabs>
          <w:tab w:val="num" w:pos="5040"/>
        </w:tabs>
        <w:ind w:left="5040" w:hanging="360"/>
      </w:pPr>
      <w:rPr>
        <w:rFonts w:ascii="Arial" w:hAnsi="Arial" w:hint="default"/>
      </w:rPr>
    </w:lvl>
    <w:lvl w:ilvl="7" w:tplc="D7FA2B7C" w:tentative="1">
      <w:start w:val="1"/>
      <w:numFmt w:val="bullet"/>
      <w:lvlText w:val="•"/>
      <w:lvlJc w:val="left"/>
      <w:pPr>
        <w:tabs>
          <w:tab w:val="num" w:pos="5760"/>
        </w:tabs>
        <w:ind w:left="5760" w:hanging="360"/>
      </w:pPr>
      <w:rPr>
        <w:rFonts w:ascii="Arial" w:hAnsi="Arial" w:hint="default"/>
      </w:rPr>
    </w:lvl>
    <w:lvl w:ilvl="8" w:tplc="BD7E3FC2" w:tentative="1">
      <w:start w:val="1"/>
      <w:numFmt w:val="bullet"/>
      <w:lvlText w:val="•"/>
      <w:lvlJc w:val="left"/>
      <w:pPr>
        <w:tabs>
          <w:tab w:val="num" w:pos="6480"/>
        </w:tabs>
        <w:ind w:left="6480" w:hanging="360"/>
      </w:pPr>
      <w:rPr>
        <w:rFonts w:ascii="Arial" w:hAnsi="Arial" w:hint="default"/>
      </w:rPr>
    </w:lvl>
  </w:abstractNum>
  <w:num w:numId="1" w16cid:durableId="845940178">
    <w:abstractNumId w:val="1"/>
  </w:num>
  <w:num w:numId="2" w16cid:durableId="144743328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1"/>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D0C0D"/>
    <w:rsid w:val="000214AE"/>
    <w:rsid w:val="0005398F"/>
    <w:rsid w:val="00183929"/>
    <w:rsid w:val="001C65C2"/>
    <w:rsid w:val="001C6A6F"/>
    <w:rsid w:val="002F5ECB"/>
    <w:rsid w:val="00314D46"/>
    <w:rsid w:val="00330D7A"/>
    <w:rsid w:val="00331902"/>
    <w:rsid w:val="003415FF"/>
    <w:rsid w:val="003E1CCF"/>
    <w:rsid w:val="004250FA"/>
    <w:rsid w:val="00493DEF"/>
    <w:rsid w:val="004B0EAA"/>
    <w:rsid w:val="004B5213"/>
    <w:rsid w:val="00506C5C"/>
    <w:rsid w:val="0064407A"/>
    <w:rsid w:val="0064635C"/>
    <w:rsid w:val="00682359"/>
    <w:rsid w:val="00711388"/>
    <w:rsid w:val="00715E51"/>
    <w:rsid w:val="007178DD"/>
    <w:rsid w:val="007C5204"/>
    <w:rsid w:val="00850B4E"/>
    <w:rsid w:val="00870C9F"/>
    <w:rsid w:val="0087284C"/>
    <w:rsid w:val="008D0C0D"/>
    <w:rsid w:val="008F1EB8"/>
    <w:rsid w:val="0091020F"/>
    <w:rsid w:val="009B044C"/>
    <w:rsid w:val="009B087F"/>
    <w:rsid w:val="009C72CC"/>
    <w:rsid w:val="009E5B22"/>
    <w:rsid w:val="00A538E4"/>
    <w:rsid w:val="00A60301"/>
    <w:rsid w:val="00A97F67"/>
    <w:rsid w:val="00BD2D3C"/>
    <w:rsid w:val="00C10216"/>
    <w:rsid w:val="00D01513"/>
    <w:rsid w:val="00D804BD"/>
    <w:rsid w:val="00DA78A4"/>
    <w:rsid w:val="00F458C3"/>
    <w:rsid w:val="00F50BD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A7D830"/>
  <w15:docId w15:val="{C271E126-0A18-4AB0-8A29-A6147C053F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rsid w:val="00682359"/>
    <w:pPr>
      <w:keepNext/>
      <w:keepLines/>
      <w:spacing w:before="400" w:after="120" w:line="360" w:lineRule="auto"/>
      <w:jc w:val="both"/>
      <w:outlineLvl w:val="0"/>
    </w:pPr>
    <w:rPr>
      <w:rFonts w:ascii="Times New Roman" w:hAnsi="Times New Roman"/>
      <w:b/>
      <w:sz w:val="28"/>
      <w:szCs w:val="40"/>
    </w:rPr>
  </w:style>
  <w:style w:type="paragraph" w:styleId="Heading2">
    <w:name w:val="heading 2"/>
    <w:basedOn w:val="Normal"/>
    <w:next w:val="Normal"/>
    <w:rsid w:val="00682359"/>
    <w:pPr>
      <w:keepNext/>
      <w:keepLines/>
      <w:spacing w:before="360" w:after="120" w:line="360" w:lineRule="auto"/>
      <w:jc w:val="both"/>
      <w:outlineLvl w:val="1"/>
    </w:pPr>
    <w:rPr>
      <w:rFonts w:ascii="Times New Roman" w:hAnsi="Times New Roman"/>
      <w:b/>
      <w:sz w:val="24"/>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paragraph" w:styleId="Header">
    <w:name w:val="header"/>
    <w:basedOn w:val="Normal"/>
    <w:link w:val="HeaderChar"/>
    <w:uiPriority w:val="99"/>
    <w:unhideWhenUsed/>
    <w:rsid w:val="00682359"/>
    <w:pPr>
      <w:tabs>
        <w:tab w:val="center" w:pos="4680"/>
        <w:tab w:val="right" w:pos="9360"/>
      </w:tabs>
      <w:spacing w:line="240" w:lineRule="auto"/>
    </w:pPr>
  </w:style>
  <w:style w:type="character" w:customStyle="1" w:styleId="HeaderChar">
    <w:name w:val="Header Char"/>
    <w:basedOn w:val="DefaultParagraphFont"/>
    <w:link w:val="Header"/>
    <w:uiPriority w:val="99"/>
    <w:rsid w:val="00682359"/>
  </w:style>
  <w:style w:type="paragraph" w:styleId="Footer">
    <w:name w:val="footer"/>
    <w:basedOn w:val="Normal"/>
    <w:link w:val="FooterChar"/>
    <w:uiPriority w:val="99"/>
    <w:unhideWhenUsed/>
    <w:rsid w:val="00682359"/>
    <w:pPr>
      <w:tabs>
        <w:tab w:val="center" w:pos="4680"/>
        <w:tab w:val="right" w:pos="9360"/>
      </w:tabs>
      <w:spacing w:line="240" w:lineRule="auto"/>
    </w:pPr>
  </w:style>
  <w:style w:type="character" w:customStyle="1" w:styleId="FooterChar">
    <w:name w:val="Footer Char"/>
    <w:basedOn w:val="DefaultParagraphFont"/>
    <w:link w:val="Footer"/>
    <w:uiPriority w:val="99"/>
    <w:rsid w:val="00682359"/>
  </w:style>
  <w:style w:type="paragraph" w:styleId="TOCHeading">
    <w:name w:val="TOC Heading"/>
    <w:basedOn w:val="Heading1"/>
    <w:next w:val="Normal"/>
    <w:uiPriority w:val="39"/>
    <w:unhideWhenUsed/>
    <w:qFormat/>
    <w:rsid w:val="00682359"/>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rPr>
  </w:style>
  <w:style w:type="paragraph" w:styleId="TOC1">
    <w:name w:val="toc 1"/>
    <w:basedOn w:val="Normal"/>
    <w:next w:val="Normal"/>
    <w:autoRedefine/>
    <w:uiPriority w:val="39"/>
    <w:unhideWhenUsed/>
    <w:rsid w:val="00682359"/>
    <w:pPr>
      <w:spacing w:after="100"/>
    </w:pPr>
  </w:style>
  <w:style w:type="character" w:styleId="Hyperlink">
    <w:name w:val="Hyperlink"/>
    <w:basedOn w:val="DefaultParagraphFont"/>
    <w:uiPriority w:val="99"/>
    <w:unhideWhenUsed/>
    <w:rsid w:val="00682359"/>
    <w:rPr>
      <w:color w:val="0000FF" w:themeColor="hyperlink"/>
      <w:u w:val="single"/>
    </w:rPr>
  </w:style>
  <w:style w:type="character" w:styleId="UnresolvedMention">
    <w:name w:val="Unresolved Mention"/>
    <w:basedOn w:val="DefaultParagraphFont"/>
    <w:uiPriority w:val="99"/>
    <w:semiHidden/>
    <w:unhideWhenUsed/>
    <w:rsid w:val="009E5B2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025215">
      <w:bodyDiv w:val="1"/>
      <w:marLeft w:val="0"/>
      <w:marRight w:val="0"/>
      <w:marTop w:val="0"/>
      <w:marBottom w:val="0"/>
      <w:divBdr>
        <w:top w:val="none" w:sz="0" w:space="0" w:color="auto"/>
        <w:left w:val="none" w:sz="0" w:space="0" w:color="auto"/>
        <w:bottom w:val="none" w:sz="0" w:space="0" w:color="auto"/>
        <w:right w:val="none" w:sz="0" w:space="0" w:color="auto"/>
      </w:divBdr>
    </w:div>
    <w:div w:id="7368623">
      <w:bodyDiv w:val="1"/>
      <w:marLeft w:val="0"/>
      <w:marRight w:val="0"/>
      <w:marTop w:val="0"/>
      <w:marBottom w:val="0"/>
      <w:divBdr>
        <w:top w:val="none" w:sz="0" w:space="0" w:color="auto"/>
        <w:left w:val="none" w:sz="0" w:space="0" w:color="auto"/>
        <w:bottom w:val="none" w:sz="0" w:space="0" w:color="auto"/>
        <w:right w:val="none" w:sz="0" w:space="0" w:color="auto"/>
      </w:divBdr>
    </w:div>
    <w:div w:id="98570938">
      <w:bodyDiv w:val="1"/>
      <w:marLeft w:val="0"/>
      <w:marRight w:val="0"/>
      <w:marTop w:val="0"/>
      <w:marBottom w:val="0"/>
      <w:divBdr>
        <w:top w:val="none" w:sz="0" w:space="0" w:color="auto"/>
        <w:left w:val="none" w:sz="0" w:space="0" w:color="auto"/>
        <w:bottom w:val="none" w:sz="0" w:space="0" w:color="auto"/>
        <w:right w:val="none" w:sz="0" w:space="0" w:color="auto"/>
      </w:divBdr>
    </w:div>
    <w:div w:id="155802751">
      <w:bodyDiv w:val="1"/>
      <w:marLeft w:val="0"/>
      <w:marRight w:val="0"/>
      <w:marTop w:val="0"/>
      <w:marBottom w:val="0"/>
      <w:divBdr>
        <w:top w:val="none" w:sz="0" w:space="0" w:color="auto"/>
        <w:left w:val="none" w:sz="0" w:space="0" w:color="auto"/>
        <w:bottom w:val="none" w:sz="0" w:space="0" w:color="auto"/>
        <w:right w:val="none" w:sz="0" w:space="0" w:color="auto"/>
      </w:divBdr>
      <w:divsChild>
        <w:div w:id="1767656651">
          <w:marLeft w:val="360"/>
          <w:marRight w:val="0"/>
          <w:marTop w:val="200"/>
          <w:marBottom w:val="0"/>
          <w:divBdr>
            <w:top w:val="none" w:sz="0" w:space="0" w:color="auto"/>
            <w:left w:val="none" w:sz="0" w:space="0" w:color="auto"/>
            <w:bottom w:val="none" w:sz="0" w:space="0" w:color="auto"/>
            <w:right w:val="none" w:sz="0" w:space="0" w:color="auto"/>
          </w:divBdr>
        </w:div>
        <w:div w:id="1491872086">
          <w:marLeft w:val="360"/>
          <w:marRight w:val="0"/>
          <w:marTop w:val="200"/>
          <w:marBottom w:val="0"/>
          <w:divBdr>
            <w:top w:val="none" w:sz="0" w:space="0" w:color="auto"/>
            <w:left w:val="none" w:sz="0" w:space="0" w:color="auto"/>
            <w:bottom w:val="none" w:sz="0" w:space="0" w:color="auto"/>
            <w:right w:val="none" w:sz="0" w:space="0" w:color="auto"/>
          </w:divBdr>
        </w:div>
        <w:div w:id="280576627">
          <w:marLeft w:val="360"/>
          <w:marRight w:val="0"/>
          <w:marTop w:val="200"/>
          <w:marBottom w:val="0"/>
          <w:divBdr>
            <w:top w:val="none" w:sz="0" w:space="0" w:color="auto"/>
            <w:left w:val="none" w:sz="0" w:space="0" w:color="auto"/>
            <w:bottom w:val="none" w:sz="0" w:space="0" w:color="auto"/>
            <w:right w:val="none" w:sz="0" w:space="0" w:color="auto"/>
          </w:divBdr>
        </w:div>
        <w:div w:id="1989047241">
          <w:marLeft w:val="360"/>
          <w:marRight w:val="0"/>
          <w:marTop w:val="200"/>
          <w:marBottom w:val="0"/>
          <w:divBdr>
            <w:top w:val="none" w:sz="0" w:space="0" w:color="auto"/>
            <w:left w:val="none" w:sz="0" w:space="0" w:color="auto"/>
            <w:bottom w:val="none" w:sz="0" w:space="0" w:color="auto"/>
            <w:right w:val="none" w:sz="0" w:space="0" w:color="auto"/>
          </w:divBdr>
        </w:div>
      </w:divsChild>
    </w:div>
    <w:div w:id="230702544">
      <w:bodyDiv w:val="1"/>
      <w:marLeft w:val="0"/>
      <w:marRight w:val="0"/>
      <w:marTop w:val="0"/>
      <w:marBottom w:val="0"/>
      <w:divBdr>
        <w:top w:val="none" w:sz="0" w:space="0" w:color="auto"/>
        <w:left w:val="none" w:sz="0" w:space="0" w:color="auto"/>
        <w:bottom w:val="none" w:sz="0" w:space="0" w:color="auto"/>
        <w:right w:val="none" w:sz="0" w:space="0" w:color="auto"/>
      </w:divBdr>
    </w:div>
    <w:div w:id="258217833">
      <w:bodyDiv w:val="1"/>
      <w:marLeft w:val="0"/>
      <w:marRight w:val="0"/>
      <w:marTop w:val="0"/>
      <w:marBottom w:val="0"/>
      <w:divBdr>
        <w:top w:val="none" w:sz="0" w:space="0" w:color="auto"/>
        <w:left w:val="none" w:sz="0" w:space="0" w:color="auto"/>
        <w:bottom w:val="none" w:sz="0" w:space="0" w:color="auto"/>
        <w:right w:val="none" w:sz="0" w:space="0" w:color="auto"/>
      </w:divBdr>
    </w:div>
    <w:div w:id="260843306">
      <w:bodyDiv w:val="1"/>
      <w:marLeft w:val="0"/>
      <w:marRight w:val="0"/>
      <w:marTop w:val="0"/>
      <w:marBottom w:val="0"/>
      <w:divBdr>
        <w:top w:val="none" w:sz="0" w:space="0" w:color="auto"/>
        <w:left w:val="none" w:sz="0" w:space="0" w:color="auto"/>
        <w:bottom w:val="none" w:sz="0" w:space="0" w:color="auto"/>
        <w:right w:val="none" w:sz="0" w:space="0" w:color="auto"/>
      </w:divBdr>
    </w:div>
    <w:div w:id="361321221">
      <w:bodyDiv w:val="1"/>
      <w:marLeft w:val="0"/>
      <w:marRight w:val="0"/>
      <w:marTop w:val="0"/>
      <w:marBottom w:val="0"/>
      <w:divBdr>
        <w:top w:val="none" w:sz="0" w:space="0" w:color="auto"/>
        <w:left w:val="none" w:sz="0" w:space="0" w:color="auto"/>
        <w:bottom w:val="none" w:sz="0" w:space="0" w:color="auto"/>
        <w:right w:val="none" w:sz="0" w:space="0" w:color="auto"/>
      </w:divBdr>
    </w:div>
    <w:div w:id="405954733">
      <w:bodyDiv w:val="1"/>
      <w:marLeft w:val="0"/>
      <w:marRight w:val="0"/>
      <w:marTop w:val="0"/>
      <w:marBottom w:val="0"/>
      <w:divBdr>
        <w:top w:val="none" w:sz="0" w:space="0" w:color="auto"/>
        <w:left w:val="none" w:sz="0" w:space="0" w:color="auto"/>
        <w:bottom w:val="none" w:sz="0" w:space="0" w:color="auto"/>
        <w:right w:val="none" w:sz="0" w:space="0" w:color="auto"/>
      </w:divBdr>
    </w:div>
    <w:div w:id="474444860">
      <w:bodyDiv w:val="1"/>
      <w:marLeft w:val="0"/>
      <w:marRight w:val="0"/>
      <w:marTop w:val="0"/>
      <w:marBottom w:val="0"/>
      <w:divBdr>
        <w:top w:val="none" w:sz="0" w:space="0" w:color="auto"/>
        <w:left w:val="none" w:sz="0" w:space="0" w:color="auto"/>
        <w:bottom w:val="none" w:sz="0" w:space="0" w:color="auto"/>
        <w:right w:val="none" w:sz="0" w:space="0" w:color="auto"/>
      </w:divBdr>
    </w:div>
    <w:div w:id="527111444">
      <w:bodyDiv w:val="1"/>
      <w:marLeft w:val="0"/>
      <w:marRight w:val="0"/>
      <w:marTop w:val="0"/>
      <w:marBottom w:val="0"/>
      <w:divBdr>
        <w:top w:val="none" w:sz="0" w:space="0" w:color="auto"/>
        <w:left w:val="none" w:sz="0" w:space="0" w:color="auto"/>
        <w:bottom w:val="none" w:sz="0" w:space="0" w:color="auto"/>
        <w:right w:val="none" w:sz="0" w:space="0" w:color="auto"/>
      </w:divBdr>
    </w:div>
    <w:div w:id="633098099">
      <w:bodyDiv w:val="1"/>
      <w:marLeft w:val="0"/>
      <w:marRight w:val="0"/>
      <w:marTop w:val="0"/>
      <w:marBottom w:val="0"/>
      <w:divBdr>
        <w:top w:val="none" w:sz="0" w:space="0" w:color="auto"/>
        <w:left w:val="none" w:sz="0" w:space="0" w:color="auto"/>
        <w:bottom w:val="none" w:sz="0" w:space="0" w:color="auto"/>
        <w:right w:val="none" w:sz="0" w:space="0" w:color="auto"/>
      </w:divBdr>
    </w:div>
    <w:div w:id="667564717">
      <w:bodyDiv w:val="1"/>
      <w:marLeft w:val="0"/>
      <w:marRight w:val="0"/>
      <w:marTop w:val="0"/>
      <w:marBottom w:val="0"/>
      <w:divBdr>
        <w:top w:val="none" w:sz="0" w:space="0" w:color="auto"/>
        <w:left w:val="none" w:sz="0" w:space="0" w:color="auto"/>
        <w:bottom w:val="none" w:sz="0" w:space="0" w:color="auto"/>
        <w:right w:val="none" w:sz="0" w:space="0" w:color="auto"/>
      </w:divBdr>
    </w:div>
    <w:div w:id="806171080">
      <w:bodyDiv w:val="1"/>
      <w:marLeft w:val="0"/>
      <w:marRight w:val="0"/>
      <w:marTop w:val="0"/>
      <w:marBottom w:val="0"/>
      <w:divBdr>
        <w:top w:val="none" w:sz="0" w:space="0" w:color="auto"/>
        <w:left w:val="none" w:sz="0" w:space="0" w:color="auto"/>
        <w:bottom w:val="none" w:sz="0" w:space="0" w:color="auto"/>
        <w:right w:val="none" w:sz="0" w:space="0" w:color="auto"/>
      </w:divBdr>
    </w:div>
    <w:div w:id="998535701">
      <w:bodyDiv w:val="1"/>
      <w:marLeft w:val="0"/>
      <w:marRight w:val="0"/>
      <w:marTop w:val="0"/>
      <w:marBottom w:val="0"/>
      <w:divBdr>
        <w:top w:val="none" w:sz="0" w:space="0" w:color="auto"/>
        <w:left w:val="none" w:sz="0" w:space="0" w:color="auto"/>
        <w:bottom w:val="none" w:sz="0" w:space="0" w:color="auto"/>
        <w:right w:val="none" w:sz="0" w:space="0" w:color="auto"/>
      </w:divBdr>
    </w:div>
    <w:div w:id="1016883372">
      <w:bodyDiv w:val="1"/>
      <w:marLeft w:val="0"/>
      <w:marRight w:val="0"/>
      <w:marTop w:val="0"/>
      <w:marBottom w:val="0"/>
      <w:divBdr>
        <w:top w:val="none" w:sz="0" w:space="0" w:color="auto"/>
        <w:left w:val="none" w:sz="0" w:space="0" w:color="auto"/>
        <w:bottom w:val="none" w:sz="0" w:space="0" w:color="auto"/>
        <w:right w:val="none" w:sz="0" w:space="0" w:color="auto"/>
      </w:divBdr>
    </w:div>
    <w:div w:id="1172262642">
      <w:bodyDiv w:val="1"/>
      <w:marLeft w:val="0"/>
      <w:marRight w:val="0"/>
      <w:marTop w:val="0"/>
      <w:marBottom w:val="0"/>
      <w:divBdr>
        <w:top w:val="none" w:sz="0" w:space="0" w:color="auto"/>
        <w:left w:val="none" w:sz="0" w:space="0" w:color="auto"/>
        <w:bottom w:val="none" w:sz="0" w:space="0" w:color="auto"/>
        <w:right w:val="none" w:sz="0" w:space="0" w:color="auto"/>
      </w:divBdr>
      <w:divsChild>
        <w:div w:id="467550044">
          <w:marLeft w:val="360"/>
          <w:marRight w:val="0"/>
          <w:marTop w:val="200"/>
          <w:marBottom w:val="0"/>
          <w:divBdr>
            <w:top w:val="none" w:sz="0" w:space="0" w:color="auto"/>
            <w:left w:val="none" w:sz="0" w:space="0" w:color="auto"/>
            <w:bottom w:val="none" w:sz="0" w:space="0" w:color="auto"/>
            <w:right w:val="none" w:sz="0" w:space="0" w:color="auto"/>
          </w:divBdr>
        </w:div>
        <w:div w:id="109709641">
          <w:marLeft w:val="360"/>
          <w:marRight w:val="0"/>
          <w:marTop w:val="200"/>
          <w:marBottom w:val="0"/>
          <w:divBdr>
            <w:top w:val="none" w:sz="0" w:space="0" w:color="auto"/>
            <w:left w:val="none" w:sz="0" w:space="0" w:color="auto"/>
            <w:bottom w:val="none" w:sz="0" w:space="0" w:color="auto"/>
            <w:right w:val="none" w:sz="0" w:space="0" w:color="auto"/>
          </w:divBdr>
        </w:div>
      </w:divsChild>
    </w:div>
    <w:div w:id="1354499448">
      <w:bodyDiv w:val="1"/>
      <w:marLeft w:val="0"/>
      <w:marRight w:val="0"/>
      <w:marTop w:val="0"/>
      <w:marBottom w:val="0"/>
      <w:divBdr>
        <w:top w:val="none" w:sz="0" w:space="0" w:color="auto"/>
        <w:left w:val="none" w:sz="0" w:space="0" w:color="auto"/>
        <w:bottom w:val="none" w:sz="0" w:space="0" w:color="auto"/>
        <w:right w:val="none" w:sz="0" w:space="0" w:color="auto"/>
      </w:divBdr>
    </w:div>
    <w:div w:id="1369255081">
      <w:bodyDiv w:val="1"/>
      <w:marLeft w:val="0"/>
      <w:marRight w:val="0"/>
      <w:marTop w:val="0"/>
      <w:marBottom w:val="0"/>
      <w:divBdr>
        <w:top w:val="none" w:sz="0" w:space="0" w:color="auto"/>
        <w:left w:val="none" w:sz="0" w:space="0" w:color="auto"/>
        <w:bottom w:val="none" w:sz="0" w:space="0" w:color="auto"/>
        <w:right w:val="none" w:sz="0" w:space="0" w:color="auto"/>
      </w:divBdr>
    </w:div>
    <w:div w:id="1485968109">
      <w:bodyDiv w:val="1"/>
      <w:marLeft w:val="0"/>
      <w:marRight w:val="0"/>
      <w:marTop w:val="0"/>
      <w:marBottom w:val="0"/>
      <w:divBdr>
        <w:top w:val="none" w:sz="0" w:space="0" w:color="auto"/>
        <w:left w:val="none" w:sz="0" w:space="0" w:color="auto"/>
        <w:bottom w:val="none" w:sz="0" w:space="0" w:color="auto"/>
        <w:right w:val="none" w:sz="0" w:space="0" w:color="auto"/>
      </w:divBdr>
    </w:div>
    <w:div w:id="1533957957">
      <w:bodyDiv w:val="1"/>
      <w:marLeft w:val="0"/>
      <w:marRight w:val="0"/>
      <w:marTop w:val="0"/>
      <w:marBottom w:val="0"/>
      <w:divBdr>
        <w:top w:val="none" w:sz="0" w:space="0" w:color="auto"/>
        <w:left w:val="none" w:sz="0" w:space="0" w:color="auto"/>
        <w:bottom w:val="none" w:sz="0" w:space="0" w:color="auto"/>
        <w:right w:val="none" w:sz="0" w:space="0" w:color="auto"/>
      </w:divBdr>
    </w:div>
    <w:div w:id="1611549536">
      <w:bodyDiv w:val="1"/>
      <w:marLeft w:val="0"/>
      <w:marRight w:val="0"/>
      <w:marTop w:val="0"/>
      <w:marBottom w:val="0"/>
      <w:divBdr>
        <w:top w:val="none" w:sz="0" w:space="0" w:color="auto"/>
        <w:left w:val="none" w:sz="0" w:space="0" w:color="auto"/>
        <w:bottom w:val="none" w:sz="0" w:space="0" w:color="auto"/>
        <w:right w:val="none" w:sz="0" w:space="0" w:color="auto"/>
      </w:divBdr>
    </w:div>
    <w:div w:id="1640500975">
      <w:bodyDiv w:val="1"/>
      <w:marLeft w:val="0"/>
      <w:marRight w:val="0"/>
      <w:marTop w:val="0"/>
      <w:marBottom w:val="0"/>
      <w:divBdr>
        <w:top w:val="none" w:sz="0" w:space="0" w:color="auto"/>
        <w:left w:val="none" w:sz="0" w:space="0" w:color="auto"/>
        <w:bottom w:val="none" w:sz="0" w:space="0" w:color="auto"/>
        <w:right w:val="none" w:sz="0" w:space="0" w:color="auto"/>
      </w:divBdr>
    </w:div>
    <w:div w:id="1739932999">
      <w:bodyDiv w:val="1"/>
      <w:marLeft w:val="0"/>
      <w:marRight w:val="0"/>
      <w:marTop w:val="0"/>
      <w:marBottom w:val="0"/>
      <w:divBdr>
        <w:top w:val="none" w:sz="0" w:space="0" w:color="auto"/>
        <w:left w:val="none" w:sz="0" w:space="0" w:color="auto"/>
        <w:bottom w:val="none" w:sz="0" w:space="0" w:color="auto"/>
        <w:right w:val="none" w:sz="0" w:space="0" w:color="auto"/>
      </w:divBdr>
    </w:div>
    <w:div w:id="1775320569">
      <w:bodyDiv w:val="1"/>
      <w:marLeft w:val="0"/>
      <w:marRight w:val="0"/>
      <w:marTop w:val="0"/>
      <w:marBottom w:val="0"/>
      <w:divBdr>
        <w:top w:val="none" w:sz="0" w:space="0" w:color="auto"/>
        <w:left w:val="none" w:sz="0" w:space="0" w:color="auto"/>
        <w:bottom w:val="none" w:sz="0" w:space="0" w:color="auto"/>
        <w:right w:val="none" w:sz="0" w:space="0" w:color="auto"/>
      </w:divBdr>
    </w:div>
    <w:div w:id="1963344787">
      <w:bodyDiv w:val="1"/>
      <w:marLeft w:val="0"/>
      <w:marRight w:val="0"/>
      <w:marTop w:val="0"/>
      <w:marBottom w:val="0"/>
      <w:divBdr>
        <w:top w:val="none" w:sz="0" w:space="0" w:color="auto"/>
        <w:left w:val="none" w:sz="0" w:space="0" w:color="auto"/>
        <w:bottom w:val="none" w:sz="0" w:space="0" w:color="auto"/>
        <w:right w:val="none" w:sz="0" w:space="0" w:color="auto"/>
      </w:divBdr>
    </w:div>
    <w:div w:id="1998269077">
      <w:bodyDiv w:val="1"/>
      <w:marLeft w:val="0"/>
      <w:marRight w:val="0"/>
      <w:marTop w:val="0"/>
      <w:marBottom w:val="0"/>
      <w:divBdr>
        <w:top w:val="none" w:sz="0" w:space="0" w:color="auto"/>
        <w:left w:val="none" w:sz="0" w:space="0" w:color="auto"/>
        <w:bottom w:val="none" w:sz="0" w:space="0" w:color="auto"/>
        <w:right w:val="none" w:sz="0" w:space="0" w:color="auto"/>
      </w:divBdr>
    </w:div>
    <w:div w:id="2034724179">
      <w:bodyDiv w:val="1"/>
      <w:marLeft w:val="0"/>
      <w:marRight w:val="0"/>
      <w:marTop w:val="0"/>
      <w:marBottom w:val="0"/>
      <w:divBdr>
        <w:top w:val="none" w:sz="0" w:space="0" w:color="auto"/>
        <w:left w:val="none" w:sz="0" w:space="0" w:color="auto"/>
        <w:bottom w:val="none" w:sz="0" w:space="0" w:color="auto"/>
        <w:right w:val="none" w:sz="0" w:space="0" w:color="auto"/>
      </w:divBdr>
    </w:div>
    <w:div w:id="213976430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AnI22</b:Tag>
    <b:SourceType>InternetSite</b:SourceType>
    <b:Guid>{886EF734-2317-4477-8270-925B0ADA5AB8}</b:Guid>
    <b:Title>psr.org.uk/an introduction to the UK's interbank payment schemes</b:Title>
    <b:InternetSiteTitle>psr.org.uk</b:InternetSiteTitle>
    <b:Year>2016</b:Year>
    <b:URL>https://www.psr.org.uk/media/wnahveui/for-information-only-an-introduction-to-the-uks-interbank-payment-schemes.pdf</b:URL>
    <b:YearAccessed>2022</b:YearAccessed>
    <b:MonthAccessed>12</b:MonthAccessed>
    <b:DayAccessed>15</b:DayAccessed>
    <b:Medium>online</b:Medium>
    <b:Author>
      <b:Author>
        <b:Corporate>psr.org.uk</b:Corporate>
      </b:Author>
    </b:Author>
    <b:RefOrder>2</b:RefOrder>
  </b:Source>
  <b:Source>
    <b:Tag>Ban22</b:Tag>
    <b:SourceType>InternetSite</b:SourceType>
    <b:Guid>{C9885A52-9FAB-4578-AACA-BDF9C93EA874}</b:Guid>
    <b:Author>
      <b:Author>
        <b:Corporate>Bank for International Setlements</b:Corporate>
      </b:Author>
    </b:Author>
    <b:Title>BIS Basel Framework</b:Title>
    <b:InternetSiteTitle>bis.org.uk</b:InternetSiteTitle>
    <b:Year>2022</b:Year>
    <b:URL>https://www.bis.org/basel_framework/</b:URL>
    <b:YearAccessed>2022</b:YearAccessed>
    <b:MonthAccessed>12</b:MonthAccessed>
    <b:DayAccessed>03</b:DayAccessed>
    <b:Medium>online</b:Medium>
    <b:RefOrder>1</b:RefOrder>
  </b:Source>
</b:Sources>
</file>

<file path=customXml/itemProps1.xml><?xml version="1.0" encoding="utf-8"?>
<ds:datastoreItem xmlns:ds="http://schemas.openxmlformats.org/officeDocument/2006/customXml" ds:itemID="{E237395E-FF72-40CD-AE36-64F9CDE802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2978</TotalTime>
  <Pages>25</Pages>
  <Words>7396</Words>
  <Characters>42382</Characters>
  <Application>Microsoft Office Word</Application>
  <DocSecurity>0</DocSecurity>
  <Lines>632</Lines>
  <Paragraphs>161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49617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Jorge</cp:lastModifiedBy>
  <cp:revision>28</cp:revision>
  <dcterms:created xsi:type="dcterms:W3CDTF">2022-12-13T11:42:00Z</dcterms:created>
  <dcterms:modified xsi:type="dcterms:W3CDTF">2023-01-09T01:43:00Z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24de853c7136839f1e346bb5615a223a99e5957549334a3d100c43b42a085e2f</vt:lpwstr>
  </property>
</Properties>
</file>