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45D53" w14:textId="4CEAAC49" w:rsidR="001622D3" w:rsidRDefault="00FD2D77" w:rsidP="000D40EF">
      <w:pPr>
        <w:spacing w:line="360" w:lineRule="auto"/>
        <w:jc w:val="center"/>
        <w:rPr>
          <w:u w:val="single"/>
        </w:rPr>
      </w:pPr>
      <w:r w:rsidRPr="00FD2D77">
        <w:rPr>
          <w:u w:val="single"/>
        </w:rPr>
        <w:t>Critically evaluate the contribution of psychological theory and evidence in aiding our understanding of judicial processes: factors affecting jury decision making</w:t>
      </w:r>
    </w:p>
    <w:p w14:paraId="551306AD" w14:textId="64EFCBB8" w:rsidR="00FD2D77" w:rsidRDefault="00FD2D77" w:rsidP="000D40EF">
      <w:pPr>
        <w:spacing w:line="360" w:lineRule="auto"/>
        <w:ind w:firstLine="720"/>
      </w:pPr>
      <w:r>
        <w:t>Judicial processes refer to the formal procedures through which courts determine guilt, innocence and sentencing, with jury decision making representing one of the most significant components of criminal trails (Kapardis,2014). In adversarial legal systems such as the United Kingdom and the United States</w:t>
      </w:r>
      <w:r w:rsidR="00AE0621">
        <w:t xml:space="preserve">, jurors are expected to evaluate evidence impartially and reach verdicts based solely on the evidence presented in court (Davies et al., 2018). This expectation reflects the legal principle that jurors should act as rational and objective decision-makers, free from bias or external influence (Ogloff &amp; Vidmar, 1994). However, psychological research has consistently challenged this assumption by demonstrating that juror judgements are often influenced by cognitive biases, emotional reactions, social pressures and extra-legal factors that may compromise fairness and accuracy (Bornstein &amp; Greene, 2011). </w:t>
      </w:r>
    </w:p>
    <w:p w14:paraId="4B00CF28" w14:textId="58254F19" w:rsidR="00F776F0" w:rsidRDefault="00AE0621" w:rsidP="000D40EF">
      <w:pPr>
        <w:spacing w:line="360" w:lineRule="auto"/>
      </w:pPr>
      <w:r>
        <w:tab/>
      </w:r>
      <w:r w:rsidR="00F0513D" w:rsidRPr="00F0513D">
        <w:rPr>
          <w:color w:val="000000"/>
        </w:rPr>
        <w:t>One of the most influential psychological explanations for jury decision making comes from heuristics and biases theory developed by Tversky and Kahneman (1974). This theory proposes that individuals frequently rely on mental shortcuts when making complex judgments under uncertainty. In courtroom settings, jurors may use stereotypes, emotional impressions, and prior beliefs rather than careful legal reasoning. Dual-process theories similarly distinguish between intuitive “System 1” thinking and slower, analytical “System 2” reasoning, suggesting that jurors may believe they are making rational decisions while unconsciously relying on automatic judgments (Kahneman, 2011).</w:t>
      </w:r>
      <w:r w:rsidR="00F776F0" w:rsidRPr="00F0513D">
        <w:t xml:space="preserve"> </w:t>
      </w:r>
      <w:r w:rsidR="00F06BED">
        <w:t xml:space="preserve"> </w:t>
      </w:r>
    </w:p>
    <w:p w14:paraId="6D8E673B" w14:textId="458CC14E" w:rsidR="00F06BED" w:rsidRPr="00F0513D" w:rsidRDefault="00F06BED" w:rsidP="000D40EF">
      <w:pPr>
        <w:spacing w:line="360" w:lineRule="auto"/>
      </w:pPr>
      <w:r>
        <w:tab/>
      </w:r>
      <w:r w:rsidR="00F0513D" w:rsidRPr="00F0513D">
        <w:rPr>
          <w:color w:val="000000"/>
        </w:rPr>
        <w:t>A substantial body of forensic psychology research demonstrates that jury decisions are influenced by several key factors, including expert witness testimony, juror characteristics, defendant appearance, and pre-trial publicity. For example, Cooper and Neuhaus (2000) found that highly qualified expert witnesses were perceived as significantly more credible and persuasive than less qualified experts, even when testimony quality remained constant. Similarly, Steblay et al. (1999) found that negative pre-trial publicity significantly increased guilty verdicts across multiple studies. These findings suggest that jurors are influenced by both legal and extra-legal information.</w:t>
      </w:r>
      <w:r w:rsidR="00F0513D" w:rsidRPr="00F0513D">
        <w:t xml:space="preserve"> </w:t>
      </w:r>
    </w:p>
    <w:p w14:paraId="32F2A876" w14:textId="34B674B7" w:rsidR="00F0513D" w:rsidRDefault="00F0513D" w:rsidP="000D40EF">
      <w:pPr>
        <w:spacing w:line="360" w:lineRule="auto"/>
      </w:pPr>
      <w:r>
        <w:lastRenderedPageBreak/>
        <w:tab/>
        <w:t xml:space="preserve">This essay will critically evaluate the contribution of psychological theory and evidence in aiding our understanding of judicial processes by focusing on factor affecting jury decision making. It will argue that although </w:t>
      </w:r>
      <w:r w:rsidR="00FF08D6">
        <w:t xml:space="preserve">the legal system assumes jurors make rational and </w:t>
      </w:r>
      <w:r w:rsidR="00F138EC">
        <w:t>evidence-based</w:t>
      </w:r>
      <w:r w:rsidR="00FF08D6">
        <w:t xml:space="preserve"> </w:t>
      </w:r>
      <w:r w:rsidR="00F138EC">
        <w:t xml:space="preserve">decisions, psychological research suggests that verdicts are frequently shaped by cognitive shortcuts, stereotypes, authority effects and social influence. While this research has significant practical value for improving legal procedures, much of the evidence relies on mock jury studies, which may reduce ecological validity and limit the generalisability of findings to real courtroom settings. </w:t>
      </w:r>
    </w:p>
    <w:p w14:paraId="1254C7E2" w14:textId="1CE2F2C8" w:rsidR="00F138EC" w:rsidRDefault="00F138EC" w:rsidP="000D40EF">
      <w:pPr>
        <w:spacing w:line="360" w:lineRule="auto"/>
        <w:rPr>
          <w:color w:val="000000"/>
        </w:rPr>
      </w:pPr>
      <w:r>
        <w:tab/>
      </w:r>
      <w:r w:rsidRPr="00F138EC">
        <w:rPr>
          <w:color w:val="000000"/>
        </w:rPr>
        <w:t>A key contribution of psychology to understanding judicial processes lies in explaining how jurors make decisions under conditions of uncertainty. Although legal systems assume jurors evaluate evidence rationally and objectively, psychological theory suggests that decision making is often influenced by cognitive shortcuts, emotional responses, and pre-existing beliefs (Bornstein &amp; Greene, 2011). Heuristics and biases theory proposes that individuals use mental shortcuts to simplify complex judgments when full rational analysis is difficult or cognitively demanding (Tversky &amp; Kahneman, 1974).</w:t>
      </w:r>
    </w:p>
    <w:p w14:paraId="017F1DAD" w14:textId="3655C7C8" w:rsidR="00F138EC" w:rsidRDefault="00F138EC" w:rsidP="000D40EF">
      <w:pPr>
        <w:spacing w:line="360" w:lineRule="auto"/>
        <w:rPr>
          <w:color w:val="000000"/>
        </w:rPr>
      </w:pPr>
      <w:r>
        <w:rPr>
          <w:color w:val="000000"/>
        </w:rPr>
        <w:tab/>
      </w:r>
      <w:r w:rsidRPr="00F138EC">
        <w:rPr>
          <w:color w:val="000000"/>
        </w:rPr>
        <w:t>Jurors may rely on the representativeness heuristic by judging a defendant’s guilt based on how closely they match stereotypical expectations of criminal behaviour rather than on the strength of legal evidence (</w:t>
      </w:r>
      <w:proofErr w:type="spellStart"/>
      <w:r w:rsidRPr="00F138EC">
        <w:rPr>
          <w:color w:val="000000"/>
        </w:rPr>
        <w:t>Kapardis</w:t>
      </w:r>
      <w:proofErr w:type="spellEnd"/>
      <w:r w:rsidRPr="00F138EC">
        <w:rPr>
          <w:color w:val="000000"/>
        </w:rPr>
        <w:t>, 2014). Defendants who appear aggressive, unemotional, or socially deviant may be perceived as more likely to be guilty because they fit jurors’ expectations of what a criminal “looks like” (Efran, 1974). Similarly, the availability heuristic may lead jurors to give greater weight to vivid or emotionally memorable evidence, such as graphic photographs or emotional victim testimony, even when such evidence has limited probative value (</w:t>
      </w:r>
      <w:proofErr w:type="spellStart"/>
      <w:r w:rsidRPr="00F138EC">
        <w:rPr>
          <w:color w:val="000000"/>
        </w:rPr>
        <w:t>Feigenson</w:t>
      </w:r>
      <w:proofErr w:type="spellEnd"/>
      <w:r w:rsidRPr="00F138EC">
        <w:rPr>
          <w:color w:val="000000"/>
        </w:rPr>
        <w:t>, 2016).</w:t>
      </w:r>
    </w:p>
    <w:p w14:paraId="3C782272" w14:textId="65008079" w:rsidR="00F138EC" w:rsidRDefault="00F138EC" w:rsidP="000D40EF">
      <w:pPr>
        <w:spacing w:line="360" w:lineRule="auto"/>
        <w:rPr>
          <w:color w:val="000000"/>
        </w:rPr>
      </w:pPr>
      <w:r>
        <w:rPr>
          <w:color w:val="000000"/>
        </w:rPr>
        <w:tab/>
      </w:r>
      <w:r w:rsidRPr="00F138EC">
        <w:rPr>
          <w:color w:val="000000"/>
        </w:rPr>
        <w:t xml:space="preserve">Confirmation bias also affects jury decision making. Once jurors form an initial impression of guilt or innocence, they may selectively attend to information that confirms this belief while discounting contradictory evidence (Ask &amp; Granhag, 2005). This is particularly problematic in lengthy trials where jurors are exposed to large volumes of information and may simplify their judgments by focusing only on evidence </w:t>
      </w:r>
      <w:r w:rsidRPr="00F138EC">
        <w:rPr>
          <w:color w:val="000000"/>
        </w:rPr>
        <w:lastRenderedPageBreak/>
        <w:t xml:space="preserve">that supports early assumptions (Lieberman &amp; Arndt, 2000). </w:t>
      </w:r>
      <w:r>
        <w:rPr>
          <w:color w:val="000000"/>
        </w:rPr>
        <w:t>These</w:t>
      </w:r>
      <w:r w:rsidRPr="00F138EC">
        <w:rPr>
          <w:color w:val="000000"/>
        </w:rPr>
        <w:t xml:space="preserve"> findings challenge the assumption that jurors remain fully open-minded throughout proceedings.</w:t>
      </w:r>
    </w:p>
    <w:p w14:paraId="3B64E957" w14:textId="508013B4" w:rsidR="00F138EC" w:rsidRDefault="00F138EC" w:rsidP="000D40EF">
      <w:pPr>
        <w:spacing w:line="360" w:lineRule="auto"/>
        <w:rPr>
          <w:color w:val="000000"/>
        </w:rPr>
      </w:pPr>
      <w:r>
        <w:rPr>
          <w:color w:val="000000"/>
        </w:rPr>
        <w:tab/>
      </w:r>
      <w:r w:rsidRPr="00F138EC">
        <w:rPr>
          <w:color w:val="000000"/>
        </w:rPr>
        <w:t>Dual-process theories further support this view by distinguishing between intuitive “System 1” thinking and analytical “System 2” reasoning (Kahneman, 2011). Jury decision making should ideally rely on System 2 processing because verdicts require careful evaluation of evidence and legal instructions. However, emotionally charged cases and cognitive overload often increase reliance on System 1 judgments (Evans, 2008). Violent crimes involving vulnerable victims may evoke strong emotional reactions that unconsciously influence perceptions of blame and sentencing recommendations (Feigenson, 2016).</w:t>
      </w:r>
      <w:r>
        <w:rPr>
          <w:color w:val="000000"/>
        </w:rPr>
        <w:t xml:space="preserve"> </w:t>
      </w:r>
    </w:p>
    <w:p w14:paraId="0EA896F4" w14:textId="6C0E3522" w:rsidR="002B768B" w:rsidRDefault="002B768B" w:rsidP="000D40EF">
      <w:pPr>
        <w:spacing w:line="360" w:lineRule="auto"/>
        <w:rPr>
          <w:color w:val="000000"/>
        </w:rPr>
      </w:pPr>
      <w:r>
        <w:rPr>
          <w:color w:val="000000"/>
        </w:rPr>
        <w:tab/>
      </w:r>
      <w:r w:rsidRPr="002B768B">
        <w:rPr>
          <w:color w:val="000000"/>
        </w:rPr>
        <w:t xml:space="preserve">A major strength of these theories is that they explain why legally irrelevant factors such as race, attractiveness, and media exposure can influence verdicts despite judicial instructions to remain impartial (Devine et al., 2001). However, these theories have been criticised for being reductionist because they focus heavily on individual cognition while neglecting the social context of juries. Real juries deliberate collectively, meaning conformity pressures and majority influence also shape verdicts (Asch, 1956). Furthermore, much supporting evidence comes from laboratory-based mock jury studies, which may lack ecological validity because participants know their decisions have no real legal consequences (Bornstein, 1999). </w:t>
      </w:r>
      <w:r>
        <w:rPr>
          <w:color w:val="000000"/>
        </w:rPr>
        <w:t>T</w:t>
      </w:r>
      <w:r w:rsidRPr="002B768B">
        <w:rPr>
          <w:color w:val="000000"/>
        </w:rPr>
        <w:t>hese theories provide a powerful framework for understanding why jury verdicts can be influenced by factors beyond legal evidence alone.</w:t>
      </w:r>
    </w:p>
    <w:p w14:paraId="495A70D5" w14:textId="00492556" w:rsidR="002B5BA7" w:rsidRDefault="002B768B" w:rsidP="000D40EF">
      <w:pPr>
        <w:spacing w:line="360" w:lineRule="auto"/>
        <w:rPr>
          <w:color w:val="000000"/>
        </w:rPr>
      </w:pPr>
      <w:r>
        <w:rPr>
          <w:color w:val="000000"/>
        </w:rPr>
        <w:tab/>
      </w:r>
      <w:r w:rsidR="002B5BA7" w:rsidRPr="002B5BA7">
        <w:rPr>
          <w:color w:val="000000"/>
        </w:rPr>
        <w:t xml:space="preserve">Expert witnesses are intended to assist jurors by explaining complex scientific, medical, or psychological evidence that may be difficult for </w:t>
      </w:r>
      <w:r w:rsidR="002B5BA7">
        <w:rPr>
          <w:color w:val="000000"/>
        </w:rPr>
        <w:t xml:space="preserve">non-experts </w:t>
      </w:r>
      <w:r w:rsidR="002B5BA7" w:rsidRPr="002B5BA7">
        <w:rPr>
          <w:color w:val="000000"/>
        </w:rPr>
        <w:t>to understand (</w:t>
      </w:r>
      <w:proofErr w:type="spellStart"/>
      <w:r w:rsidR="002B5BA7" w:rsidRPr="002B5BA7">
        <w:rPr>
          <w:color w:val="000000"/>
        </w:rPr>
        <w:t>Kapardis</w:t>
      </w:r>
      <w:proofErr w:type="spellEnd"/>
      <w:r w:rsidR="002B5BA7" w:rsidRPr="002B5BA7">
        <w:rPr>
          <w:color w:val="000000"/>
        </w:rPr>
        <w:t>, 2014). In theory, expert testimony should improve the accuracy of verdicts by increasing jurors’ understanding of specialised evidence and supporting more informed decision making (Cutler et al., 1989). However, psychological research suggests that expert witnesses may influence verdicts not only through knowledge transmission but also through perceived authority, confidence, and professional credibility (Cooper &amp; Neuhaus, 2000; Bornstein &amp; Greene, 2011).</w:t>
      </w:r>
      <w:r w:rsidR="002B5BA7">
        <w:rPr>
          <w:color w:val="000000"/>
        </w:rPr>
        <w:t xml:space="preserve"> </w:t>
      </w:r>
    </w:p>
    <w:p w14:paraId="1226CA29" w14:textId="6B5A2650" w:rsidR="002B5BA7" w:rsidRDefault="002B5BA7" w:rsidP="000D40EF">
      <w:pPr>
        <w:spacing w:line="360" w:lineRule="auto"/>
        <w:rPr>
          <w:color w:val="000000"/>
        </w:rPr>
      </w:pPr>
      <w:r>
        <w:rPr>
          <w:color w:val="000000"/>
        </w:rPr>
        <w:lastRenderedPageBreak/>
        <w:tab/>
      </w:r>
      <w:r w:rsidRPr="002B5BA7">
        <w:rPr>
          <w:color w:val="000000"/>
        </w:rPr>
        <w:t xml:space="preserve">Cooper and Neuhaus (2000) found that highly qualified experts were viewed as significantly more credible and persuasive than less qualified experts, even when the substance of their testimony remained identical. This suggests that jurors may rely on authority bias, placing greater trust in experts based on credentials rather than the actual quality of evidence presented (Cooper &amp; Neuhaus, 2000). Similarly, Cutler et al. (1989) found that expert testimony significantly influenced verdicts even when jurors did not fully understand the technical content of the testimony, particularly in cases involving eyewitness reliability. </w:t>
      </w:r>
      <w:proofErr w:type="gramStart"/>
      <w:r w:rsidRPr="002B5BA7">
        <w:rPr>
          <w:color w:val="000000"/>
        </w:rPr>
        <w:t>This raises</w:t>
      </w:r>
      <w:proofErr w:type="gramEnd"/>
      <w:r w:rsidRPr="002B5BA7">
        <w:rPr>
          <w:color w:val="000000"/>
        </w:rPr>
        <w:t xml:space="preserve"> concerns that expert witnesses may persuade rather than educate, leading jurors to rely on expert status rather than critical evaluation of the evidence itself (Penrod &amp; Cutler, 1995).</w:t>
      </w:r>
    </w:p>
    <w:p w14:paraId="617AE4FD" w14:textId="3B659515" w:rsidR="002B5BA7" w:rsidRDefault="002B5BA7" w:rsidP="000D40EF">
      <w:pPr>
        <w:spacing w:line="360" w:lineRule="auto"/>
        <w:rPr>
          <w:color w:val="000000"/>
        </w:rPr>
      </w:pPr>
      <w:r>
        <w:rPr>
          <w:color w:val="000000"/>
        </w:rPr>
        <w:tab/>
      </w:r>
      <w:r w:rsidRPr="002B5BA7">
        <w:rPr>
          <w:color w:val="000000"/>
        </w:rPr>
        <w:t>The Elaboration Likelihood Model (Petty &amp; Cacioppo, 1986) helps explain this process. When jurors lack the motivation, time, or cognitive ability to process complex evidence deeply, they may rely on peripheral cues such as confidence, professional status, attractiveness, and communication style rather than the actual argument being presented (Petty &amp; Cacioppo, 1986). As a result, a confident expert may appear more convincing regardless of whether their testimony is accurate or scientifically valid (Cooper &amp; Neuhaus, 2000). This is particularly problematic in forensic cases involving DNA evidence or psychiatric assessment, where jurors may lack the specialist knowledge needed for critical scrutiny (Schuller &amp; Hastie, 1996).</w:t>
      </w:r>
    </w:p>
    <w:p w14:paraId="496DB3C9" w14:textId="26FF5D3B" w:rsidR="00F35086" w:rsidRDefault="00F35086" w:rsidP="000D40EF">
      <w:pPr>
        <w:spacing w:line="360" w:lineRule="auto"/>
        <w:rPr>
          <w:color w:val="000000"/>
        </w:rPr>
      </w:pPr>
      <w:r>
        <w:rPr>
          <w:color w:val="000000"/>
        </w:rPr>
        <w:tab/>
      </w:r>
      <w:r w:rsidRPr="00F35086">
        <w:rPr>
          <w:color w:val="000000"/>
        </w:rPr>
        <w:t>A major strength of this research is its high practical relevance. Courts regularly rely on expert testimony in cases involving forensic science, mental health assessments, child abuse allegations, and eyewitness reliability (Davies et al., 2018). Psychological findings therefore have direct implications for legal practice, including stricter standards for expert admissibility, clearer judicial directions, and better juror education regarding how to evaluate specialist evidence (Bornstein &amp; Greene, 2011). In England and Wales, for example, concerns regarding unreliable expert evidence have contributed to increasing scrutiny of forensic testimony in criminal trials (Roberts, 2010).</w:t>
      </w:r>
    </w:p>
    <w:p w14:paraId="7E905CEB" w14:textId="514EEA48" w:rsidR="00F35086" w:rsidRDefault="00F35086" w:rsidP="000D40EF">
      <w:pPr>
        <w:spacing w:line="360" w:lineRule="auto"/>
        <w:rPr>
          <w:color w:val="000000"/>
        </w:rPr>
      </w:pPr>
      <w:r>
        <w:rPr>
          <w:color w:val="000000"/>
        </w:rPr>
        <w:tab/>
      </w:r>
      <w:r w:rsidRPr="00F35086">
        <w:rPr>
          <w:color w:val="000000"/>
        </w:rPr>
        <w:t xml:space="preserve">However, many studies rely on mock juries, which may not accurately reflect real courtroom behaviour (Bornstein, 1999). Real jurors deliberate in groups, experience greater emotional responsibility, and face more complex trial contexts than participants </w:t>
      </w:r>
      <w:r w:rsidRPr="00F35086">
        <w:rPr>
          <w:color w:val="000000"/>
        </w:rPr>
        <w:lastRenderedPageBreak/>
        <w:t>in laboratory studies. Mock jurors also know that their decisions carry no real legal consequences, which may reduce the seriousness of their decision making (Bornstein, 1999). Laboratory studies may therefore either overestimate or underestimate the influence of expert testimony in real trials.</w:t>
      </w:r>
    </w:p>
    <w:p w14:paraId="0A69745E" w14:textId="54969A66" w:rsidR="00F35086" w:rsidRDefault="00F35086" w:rsidP="000D40EF">
      <w:pPr>
        <w:spacing w:line="360" w:lineRule="auto"/>
        <w:rPr>
          <w:color w:val="000000"/>
        </w:rPr>
      </w:pPr>
      <w:r>
        <w:rPr>
          <w:color w:val="000000"/>
        </w:rPr>
        <w:tab/>
      </w:r>
      <w:r w:rsidRPr="00F35086">
        <w:rPr>
          <w:color w:val="000000"/>
        </w:rPr>
        <w:t>In addition, not all expert witnesses produce the same effects. Factors such as cross-examination quality, opposing expert testimony, and judicial instructions can reduce undue persuasion and encourage more balanced evaluation (Schuller &amp; Cripps, 1998). This means that expert influence is not universal and depends heavily on courtroom context.</w:t>
      </w:r>
      <w:r>
        <w:rPr>
          <w:color w:val="000000"/>
        </w:rPr>
        <w:t xml:space="preserve"> </w:t>
      </w:r>
      <w:r w:rsidRPr="00F35086">
        <w:rPr>
          <w:color w:val="000000"/>
        </w:rPr>
        <w:t>Psychology shows that while experts can support informed and accurate decision making, they may also increase juror confidence in verdicts without necessarily improving verdict accuracy (Cutler et al., 1989; Cooper &amp; Neuhaus, 2000).</w:t>
      </w:r>
    </w:p>
    <w:p w14:paraId="257AB7CA" w14:textId="614514E9" w:rsidR="00F35086" w:rsidRDefault="00F35086" w:rsidP="000D40EF">
      <w:pPr>
        <w:spacing w:line="360" w:lineRule="auto"/>
        <w:rPr>
          <w:color w:val="000000"/>
        </w:rPr>
      </w:pPr>
      <w:r>
        <w:rPr>
          <w:color w:val="000000"/>
        </w:rPr>
        <w:tab/>
      </w:r>
      <w:r w:rsidRPr="00F35086">
        <w:rPr>
          <w:color w:val="000000"/>
        </w:rPr>
        <w:t>Jurors are expected to act as neutral and impartial decision-makers, yet they inevitably bring personal beliefs, values, attitudes, and life experiences into the courtroom (Devine et al., 2001). Psychological research demonstrates that juror characteristics such as age, gender, personality, political ideology, and authoritarian attitudes can significantly influence verdicts and sentencing decisions (</w:t>
      </w:r>
      <w:proofErr w:type="spellStart"/>
      <w:r w:rsidRPr="00F35086">
        <w:rPr>
          <w:color w:val="000000"/>
        </w:rPr>
        <w:t>Kapardis</w:t>
      </w:r>
      <w:proofErr w:type="spellEnd"/>
      <w:r w:rsidRPr="00F35086">
        <w:rPr>
          <w:color w:val="000000"/>
        </w:rPr>
        <w:t>, 2014).</w:t>
      </w:r>
    </w:p>
    <w:p w14:paraId="68D8C1FC" w14:textId="40739592" w:rsidR="00F35086" w:rsidRDefault="00F35086" w:rsidP="000D40EF">
      <w:pPr>
        <w:spacing w:line="360" w:lineRule="auto"/>
        <w:rPr>
          <w:color w:val="000000"/>
        </w:rPr>
      </w:pPr>
      <w:r>
        <w:rPr>
          <w:color w:val="000000"/>
        </w:rPr>
        <w:tab/>
      </w:r>
      <w:r w:rsidRPr="00F35086">
        <w:rPr>
          <w:color w:val="000000"/>
        </w:rPr>
        <w:t>One important example is authoritarianism, which refers to a tendency to respect authority, value social order, and support harsher punishment for wrongdoing (Adorno et al., 1950). Moran and Comfort (1982) found that death-qualified jurors</w:t>
      </w:r>
      <w:r w:rsidR="00680B47">
        <w:rPr>
          <w:color w:val="000000"/>
        </w:rPr>
        <w:t xml:space="preserve"> (</w:t>
      </w:r>
      <w:r w:rsidRPr="00F35086">
        <w:rPr>
          <w:color w:val="000000"/>
        </w:rPr>
        <w:t>those willing to impose the death penalty</w:t>
      </w:r>
      <w:r w:rsidR="00680B47">
        <w:rPr>
          <w:color w:val="000000"/>
        </w:rPr>
        <w:t xml:space="preserve">) </w:t>
      </w:r>
      <w:r w:rsidRPr="00F35086">
        <w:rPr>
          <w:color w:val="000000"/>
        </w:rPr>
        <w:t>were significantly more conviction-prone than non-death-qualified jurors. These jurors were also more likely to favour the prosecution and interpret ambiguous evidence as indicating guilt (Moran &amp; Comfort, 1982). This suggests that personal beliefs about punishment and justice may affect judgments of guilt before deliberation even begins.</w:t>
      </w:r>
      <w:r>
        <w:rPr>
          <w:color w:val="000000"/>
        </w:rPr>
        <w:t xml:space="preserve"> </w:t>
      </w:r>
    </w:p>
    <w:p w14:paraId="35E49E0B" w14:textId="23077529" w:rsidR="00680B47" w:rsidRDefault="00680B47" w:rsidP="000D40EF">
      <w:pPr>
        <w:spacing w:line="360" w:lineRule="auto"/>
        <w:rPr>
          <w:color w:val="000000"/>
        </w:rPr>
      </w:pPr>
      <w:r>
        <w:rPr>
          <w:color w:val="000000"/>
        </w:rPr>
        <w:tab/>
      </w:r>
      <w:r w:rsidRPr="00680B47">
        <w:rPr>
          <w:color w:val="000000"/>
        </w:rPr>
        <w:t xml:space="preserve">Other research has shown that pre-existing attitudes toward crime and justice strongly influence verdicts. Mitchell et al. (2005) found that jurors with stronger punitive attitudes were more likely to interpret ambiguous evidence as supporting guilt and were less likely to give defendants the benefit of the doubt. This challenges the legal assumption that jurors can fully separate personal values from legal reasoning (Mitchell </w:t>
      </w:r>
      <w:r w:rsidRPr="00680B47">
        <w:rPr>
          <w:color w:val="000000"/>
        </w:rPr>
        <w:lastRenderedPageBreak/>
        <w:t>et al., 2005). Similarly, Narby et al. (1993) found that jurors with stronger pro-prosecution attitudes were more likely to convict across a range of criminal scenarios.</w:t>
      </w:r>
    </w:p>
    <w:p w14:paraId="0209BF92" w14:textId="24B8362C" w:rsidR="00680B47" w:rsidRDefault="00680B47" w:rsidP="000D40EF">
      <w:pPr>
        <w:spacing w:line="360" w:lineRule="auto"/>
        <w:rPr>
          <w:color w:val="000000"/>
        </w:rPr>
      </w:pPr>
      <w:r>
        <w:rPr>
          <w:color w:val="000000"/>
        </w:rPr>
        <w:tab/>
      </w:r>
      <w:r w:rsidRPr="00680B47">
        <w:rPr>
          <w:color w:val="000000"/>
        </w:rPr>
        <w:t>Gender differences have also been explored, although findings are less consistent. Some studies suggest that female jurors may be more sympathetic in cases involving sexual violence or domestic abuse, whereas male jurors may be more conviction-prone in violent crime cases (Schuller et al., 2004). However, results often depend heavily on crime type, defendant characteristics, and social context, making it difficult to establish universal patterns.</w:t>
      </w:r>
    </w:p>
    <w:p w14:paraId="40532ED2" w14:textId="36E291FC" w:rsidR="00F35086" w:rsidRDefault="00680B47" w:rsidP="000D40EF">
      <w:pPr>
        <w:spacing w:line="360" w:lineRule="auto"/>
        <w:rPr>
          <w:color w:val="000000"/>
        </w:rPr>
      </w:pPr>
      <w:r>
        <w:rPr>
          <w:color w:val="000000"/>
        </w:rPr>
        <w:tab/>
        <w:t xml:space="preserve">Critically, </w:t>
      </w:r>
      <w:r w:rsidRPr="00680B47">
        <w:rPr>
          <w:color w:val="000000"/>
        </w:rPr>
        <w:t>overemphasis on individual differences may be reductionist because jury deliberation can alter personal opinions through group discussion, conformity pressures, and majority influence (Asch, 1956; Hastie et al., 1983). Jurors do not make decisions in isolation, and group processes may weaken or strengthen initial biases. Findings are also not always consistent, particularly regarding gender and age effects, limiting generalisability.</w:t>
      </w:r>
    </w:p>
    <w:p w14:paraId="08AFACD1" w14:textId="6CD02DB4" w:rsidR="00680B47" w:rsidRDefault="00680B47" w:rsidP="000D40EF">
      <w:pPr>
        <w:spacing w:line="360" w:lineRule="auto"/>
        <w:rPr>
          <w:color w:val="000000"/>
        </w:rPr>
      </w:pPr>
      <w:r>
        <w:rPr>
          <w:color w:val="000000"/>
        </w:rPr>
        <w:tab/>
      </w:r>
      <w:r w:rsidRPr="00680B47">
        <w:rPr>
          <w:color w:val="000000"/>
        </w:rPr>
        <w:t>Extra-legal defendant characteristics such as physical attractiveness, race, ethnicity, and social class also influence jury decision making, despite being legally irrelevant to guilt or innocence (Bornstein &amp; Greene, 2011). Psychological research shows that these characteristics can shape perceptions of credibility, morality, and criminal responsibility, often without jurors being consciously aware of their influence.</w:t>
      </w:r>
    </w:p>
    <w:p w14:paraId="4EBC08C1" w14:textId="316ADA1F" w:rsidR="00680B47" w:rsidRPr="00680B47" w:rsidRDefault="00680B47" w:rsidP="000D40EF">
      <w:pPr>
        <w:spacing w:line="360" w:lineRule="auto"/>
        <w:rPr>
          <w:color w:val="000000"/>
        </w:rPr>
      </w:pPr>
      <w:r>
        <w:rPr>
          <w:color w:val="000000"/>
        </w:rPr>
        <w:tab/>
      </w:r>
      <w:r w:rsidRPr="00680B47">
        <w:rPr>
          <w:color w:val="000000"/>
        </w:rPr>
        <w:t>Efran (1974) found that attractive defendants were judged less guilty and received more lenient punishment recommendations than unattractive defendants in a simulated jury task. This is commonly explained by the “halo effect,” where positive physical appearance leads to assumptions of honesty, trustworthiness, and moral character (Dion et al., 1972). Jurors may therefore unconsciously associate attractiveness with innocence, particularly in less serious offences (Sigall &amp; Ostrove, 1975).</w:t>
      </w:r>
    </w:p>
    <w:p w14:paraId="51AC265D" w14:textId="6485ADF7" w:rsidR="002B5BA7" w:rsidRDefault="002B5BA7" w:rsidP="000D40EF">
      <w:pPr>
        <w:spacing w:line="360" w:lineRule="auto"/>
        <w:rPr>
          <w:color w:val="000000"/>
        </w:rPr>
      </w:pPr>
      <w:r>
        <w:rPr>
          <w:color w:val="000000"/>
        </w:rPr>
        <w:tab/>
      </w:r>
      <w:r w:rsidR="00680B47" w:rsidRPr="00680B47">
        <w:rPr>
          <w:color w:val="000000"/>
        </w:rPr>
        <w:t xml:space="preserve">Race also plays a significant role in jury judgments. Dixon et al. (2002) found that racial stereotypes influenced perceptions of criminality and sentencing severity, particularly when Black defendants were associated with violent offences. Similarly, Sommers and Ellsworth (2000) found that racial bias was more likely to emerge when </w:t>
      </w:r>
      <w:r w:rsidR="00680B47" w:rsidRPr="00680B47">
        <w:rPr>
          <w:color w:val="000000"/>
        </w:rPr>
        <w:lastRenderedPageBreak/>
        <w:t>race-related issues were made subtle rather than explicit, suggesting that unconscious bias may be especially difficult to control. Such findings raise serious concerns about systemic inequality and fairness within judicial processes.</w:t>
      </w:r>
    </w:p>
    <w:p w14:paraId="1B8958B5" w14:textId="2D1D0CB0" w:rsidR="00680B47" w:rsidRDefault="00680B47" w:rsidP="000D40EF">
      <w:pPr>
        <w:spacing w:line="360" w:lineRule="auto"/>
        <w:rPr>
          <w:color w:val="000000"/>
        </w:rPr>
      </w:pPr>
      <w:r>
        <w:rPr>
          <w:color w:val="000000"/>
        </w:rPr>
        <w:tab/>
      </w:r>
      <w:r w:rsidRPr="00680B47">
        <w:rPr>
          <w:color w:val="000000"/>
        </w:rPr>
        <w:t>However, many studies examining attractiveness, racial bias, or media influence use simplified laboratory scenarios that may not fully capture the complexity of real trials (Bornstein, 1999). Real jurors are exposed to multiple competing influences simultaneously rather than single isolated variables. Despite this limitation, the consistency of findings across decades of research strongly suggests that extra-legal factors shape verdicts in meaningful and concerning ways.</w:t>
      </w:r>
    </w:p>
    <w:p w14:paraId="0366434F" w14:textId="77777777" w:rsidR="00680B47" w:rsidRDefault="00680B47" w:rsidP="002B5BA7">
      <w:pPr>
        <w:rPr>
          <w:color w:val="000000"/>
        </w:rPr>
      </w:pPr>
    </w:p>
    <w:p w14:paraId="407A5EAA" w14:textId="77777777" w:rsidR="00680B47" w:rsidRDefault="00680B47" w:rsidP="002B5BA7">
      <w:pPr>
        <w:rPr>
          <w:color w:val="000000"/>
        </w:rPr>
      </w:pPr>
    </w:p>
    <w:p w14:paraId="423A8FFC" w14:textId="77777777" w:rsidR="00680B47" w:rsidRDefault="00680B47" w:rsidP="002B5BA7">
      <w:pPr>
        <w:rPr>
          <w:color w:val="000000"/>
        </w:rPr>
      </w:pPr>
    </w:p>
    <w:p w14:paraId="6EE67A47" w14:textId="77777777" w:rsidR="00680B47" w:rsidRDefault="00680B47" w:rsidP="002B5BA7">
      <w:pPr>
        <w:rPr>
          <w:color w:val="000000"/>
        </w:rPr>
      </w:pPr>
    </w:p>
    <w:p w14:paraId="08B3A997" w14:textId="77777777" w:rsidR="000D40EF" w:rsidRDefault="000D40EF" w:rsidP="002B5BA7">
      <w:pPr>
        <w:rPr>
          <w:color w:val="000000"/>
        </w:rPr>
      </w:pPr>
    </w:p>
    <w:p w14:paraId="44F6C6A8" w14:textId="77777777" w:rsidR="000D40EF" w:rsidRDefault="000D40EF" w:rsidP="002B5BA7">
      <w:pPr>
        <w:rPr>
          <w:color w:val="000000"/>
        </w:rPr>
      </w:pPr>
    </w:p>
    <w:p w14:paraId="2A597D23" w14:textId="77777777" w:rsidR="000D40EF" w:rsidRDefault="000D40EF" w:rsidP="002B5BA7">
      <w:pPr>
        <w:rPr>
          <w:color w:val="000000"/>
        </w:rPr>
      </w:pPr>
    </w:p>
    <w:p w14:paraId="32A34F59" w14:textId="77777777" w:rsidR="000D40EF" w:rsidRDefault="000D40EF" w:rsidP="002B5BA7">
      <w:pPr>
        <w:rPr>
          <w:color w:val="000000"/>
        </w:rPr>
      </w:pPr>
    </w:p>
    <w:p w14:paraId="1A45EC0A" w14:textId="77777777" w:rsidR="000D40EF" w:rsidRDefault="000D40EF" w:rsidP="002B5BA7">
      <w:pPr>
        <w:rPr>
          <w:color w:val="000000"/>
        </w:rPr>
      </w:pPr>
    </w:p>
    <w:p w14:paraId="6177799D" w14:textId="77777777" w:rsidR="000D40EF" w:rsidRDefault="000D40EF" w:rsidP="002B5BA7">
      <w:pPr>
        <w:rPr>
          <w:color w:val="000000"/>
        </w:rPr>
      </w:pPr>
    </w:p>
    <w:p w14:paraId="63DE94F8" w14:textId="77777777" w:rsidR="000D40EF" w:rsidRDefault="000D40EF" w:rsidP="002B5BA7">
      <w:pPr>
        <w:rPr>
          <w:color w:val="000000"/>
        </w:rPr>
      </w:pPr>
    </w:p>
    <w:p w14:paraId="16ECF2C9" w14:textId="77777777" w:rsidR="000D40EF" w:rsidRDefault="000D40EF" w:rsidP="002B5BA7">
      <w:pPr>
        <w:rPr>
          <w:color w:val="000000"/>
        </w:rPr>
      </w:pPr>
    </w:p>
    <w:p w14:paraId="52D01753" w14:textId="77777777" w:rsidR="000D40EF" w:rsidRDefault="000D40EF" w:rsidP="002B5BA7">
      <w:pPr>
        <w:rPr>
          <w:color w:val="000000"/>
        </w:rPr>
      </w:pPr>
    </w:p>
    <w:p w14:paraId="035638CB" w14:textId="77777777" w:rsidR="000D40EF" w:rsidRDefault="000D40EF" w:rsidP="002B5BA7">
      <w:pPr>
        <w:rPr>
          <w:color w:val="000000"/>
        </w:rPr>
      </w:pPr>
    </w:p>
    <w:p w14:paraId="70690019" w14:textId="77777777" w:rsidR="000D40EF" w:rsidRDefault="000D40EF" w:rsidP="002B5BA7">
      <w:pPr>
        <w:rPr>
          <w:color w:val="000000"/>
        </w:rPr>
      </w:pPr>
    </w:p>
    <w:p w14:paraId="31F87C4A" w14:textId="77777777" w:rsidR="000D40EF" w:rsidRDefault="000D40EF" w:rsidP="002B5BA7">
      <w:pPr>
        <w:rPr>
          <w:color w:val="000000"/>
        </w:rPr>
      </w:pPr>
    </w:p>
    <w:p w14:paraId="300CA5D3" w14:textId="77777777" w:rsidR="000D40EF" w:rsidRDefault="000D40EF" w:rsidP="002B5BA7">
      <w:pPr>
        <w:rPr>
          <w:color w:val="000000"/>
        </w:rPr>
      </w:pPr>
    </w:p>
    <w:p w14:paraId="3EBBF99C" w14:textId="77777777" w:rsidR="000D40EF" w:rsidRDefault="000D40EF" w:rsidP="002B5BA7">
      <w:pPr>
        <w:rPr>
          <w:color w:val="000000"/>
        </w:rPr>
      </w:pPr>
    </w:p>
    <w:p w14:paraId="2711C91C" w14:textId="77777777" w:rsidR="000D40EF" w:rsidRDefault="000D40EF" w:rsidP="002B5BA7">
      <w:pPr>
        <w:rPr>
          <w:color w:val="000000"/>
        </w:rPr>
      </w:pPr>
    </w:p>
    <w:p w14:paraId="158AE813" w14:textId="676FD9BD" w:rsidR="00680B47" w:rsidRDefault="00680B47" w:rsidP="002B5BA7">
      <w:pPr>
        <w:rPr>
          <w:color w:val="000000"/>
          <w:u w:val="single"/>
        </w:rPr>
      </w:pPr>
      <w:r w:rsidRPr="00680B47">
        <w:rPr>
          <w:color w:val="000000"/>
          <w:u w:val="single"/>
        </w:rPr>
        <w:lastRenderedPageBreak/>
        <w:t xml:space="preserve">References </w:t>
      </w:r>
    </w:p>
    <w:p w14:paraId="1AB30F7F" w14:textId="62662CE3"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Adorno, T. W., Frenkel-Brunswik, E., Levinson, D. J., &amp; Sanford, R. N. (1950).</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The authoritarian personality</w:t>
      </w:r>
      <w:r w:rsidRPr="002E7BA9">
        <w:rPr>
          <w:rFonts w:asciiTheme="minorHAnsi" w:hAnsiTheme="minorHAnsi"/>
          <w:color w:val="000000"/>
        </w:rPr>
        <w:t>. Harper &amp; Brothers.</w:t>
      </w:r>
    </w:p>
    <w:p w14:paraId="0931D381" w14:textId="7089A62C"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Asch, S. E. (1956). Studies of independence and conformity: I. A minority of one against a unanimous majority.</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Psychological Monographs: General and </w:t>
      </w:r>
      <w:proofErr w:type="gramStart"/>
      <w:r w:rsidRPr="002E7BA9">
        <w:rPr>
          <w:rStyle w:val="Emphasis"/>
          <w:rFonts w:asciiTheme="minorHAnsi" w:eastAsiaTheme="majorEastAsia" w:hAnsiTheme="minorHAnsi"/>
          <w:color w:val="000000"/>
        </w:rPr>
        <w:t>Applied</w:t>
      </w:r>
      <w:proofErr w:type="gramEnd"/>
      <w:r w:rsidRPr="002E7BA9">
        <w:rPr>
          <w:rStyle w:val="Emphasis"/>
          <w:rFonts w:asciiTheme="minorHAnsi" w:eastAsiaTheme="majorEastAsia" w:hAnsiTheme="minorHAnsi"/>
          <w:color w:val="000000"/>
        </w:rPr>
        <w:t>, 70</w:t>
      </w:r>
      <w:r w:rsidRPr="002E7BA9">
        <w:rPr>
          <w:rFonts w:asciiTheme="minorHAnsi" w:hAnsiTheme="minorHAnsi"/>
          <w:color w:val="000000"/>
        </w:rPr>
        <w:t>(9), 1–70.</w:t>
      </w:r>
      <w:r w:rsidRPr="002E7BA9">
        <w:rPr>
          <w:rStyle w:val="apple-converted-space"/>
          <w:rFonts w:asciiTheme="minorHAnsi" w:eastAsiaTheme="majorEastAsia" w:hAnsiTheme="minorHAnsi"/>
          <w:color w:val="000000"/>
        </w:rPr>
        <w:t> </w:t>
      </w:r>
      <w:hyperlink r:id="rId4" w:history="1">
        <w:r w:rsidRPr="0022542D">
          <w:rPr>
            <w:rStyle w:val="Hyperlink"/>
            <w:rFonts w:asciiTheme="minorHAnsi" w:eastAsiaTheme="majorEastAsia" w:hAnsiTheme="minorHAnsi"/>
          </w:rPr>
          <w:t>https://psycnet.apa.org/record/2011-16966-001?doi=1</w:t>
        </w:r>
      </w:hyperlink>
    </w:p>
    <w:p w14:paraId="578BA8F8" w14:textId="45F72DD1"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Ask, K., &amp; Granhag, P. A. (2005). Motivational sources of confirmation bias in criminal investigations: The need for cognitive closure.</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Journal of Investigative Psychology and Offender Profiling, 2</w:t>
      </w:r>
      <w:r w:rsidRPr="002E7BA9">
        <w:rPr>
          <w:rFonts w:asciiTheme="minorHAnsi" w:hAnsiTheme="minorHAnsi"/>
          <w:color w:val="000000"/>
        </w:rPr>
        <w:t>(1), 43–63.</w:t>
      </w:r>
      <w:r w:rsidRPr="002E7BA9">
        <w:rPr>
          <w:rStyle w:val="apple-converted-space"/>
          <w:rFonts w:asciiTheme="minorHAnsi" w:eastAsiaTheme="majorEastAsia" w:hAnsiTheme="minorHAnsi"/>
          <w:color w:val="000000"/>
        </w:rPr>
        <w:t> </w:t>
      </w:r>
      <w:hyperlink r:id="rId5" w:history="1">
        <w:r w:rsidRPr="0022542D">
          <w:rPr>
            <w:rStyle w:val="Hyperlink"/>
            <w:rFonts w:asciiTheme="minorHAnsi" w:eastAsiaTheme="majorEastAsia" w:hAnsiTheme="minorHAnsi"/>
          </w:rPr>
          <w:t>https://onlinelibrary.wiley.com/doi/10.1002/jip.19</w:t>
        </w:r>
      </w:hyperlink>
    </w:p>
    <w:p w14:paraId="78488BA8" w14:textId="5B532AD5"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Bornstein, B. H. (1999). The ecological validity of jury simulations: Is the jury still out?</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23</w:t>
      </w:r>
      <w:r w:rsidRPr="002E7BA9">
        <w:rPr>
          <w:rFonts w:asciiTheme="minorHAnsi" w:hAnsiTheme="minorHAnsi"/>
          <w:color w:val="000000"/>
        </w:rPr>
        <w:t>(1), 75–91.</w:t>
      </w:r>
      <w:r w:rsidRPr="002E7BA9">
        <w:rPr>
          <w:rStyle w:val="apple-converted-space"/>
          <w:rFonts w:asciiTheme="minorHAnsi" w:eastAsiaTheme="majorEastAsia" w:hAnsiTheme="minorHAnsi"/>
          <w:color w:val="000000"/>
        </w:rPr>
        <w:t> </w:t>
      </w:r>
      <w:hyperlink r:id="rId6" w:history="1">
        <w:r w:rsidRPr="0022542D">
          <w:rPr>
            <w:rStyle w:val="Hyperlink"/>
            <w:rFonts w:asciiTheme="minorHAnsi" w:eastAsiaTheme="majorEastAsia" w:hAnsiTheme="minorHAnsi"/>
          </w:rPr>
          <w:t>https://psycnet.apa.org/record/1999-10764-004?doi=1</w:t>
        </w:r>
      </w:hyperlink>
    </w:p>
    <w:p w14:paraId="71F1F79E" w14:textId="27CE96A4"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Bornstein, B. H., &amp; Greene, E. (2011). Jury decision making: Implications for and from psychology.</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Current Directions in Psychological Science, 20</w:t>
      </w:r>
      <w:r w:rsidRPr="002E7BA9">
        <w:rPr>
          <w:rFonts w:asciiTheme="minorHAnsi" w:hAnsiTheme="minorHAnsi"/>
          <w:color w:val="000000"/>
        </w:rPr>
        <w:t>(1), 63–67.</w:t>
      </w:r>
      <w:r w:rsidRPr="002E7BA9">
        <w:rPr>
          <w:rStyle w:val="apple-converted-space"/>
          <w:rFonts w:asciiTheme="minorHAnsi" w:eastAsiaTheme="majorEastAsia" w:hAnsiTheme="minorHAnsi"/>
          <w:color w:val="000000"/>
        </w:rPr>
        <w:t> </w:t>
      </w:r>
      <w:hyperlink r:id="rId7" w:history="1">
        <w:r w:rsidRPr="0022542D">
          <w:rPr>
            <w:rStyle w:val="Hyperlink"/>
            <w:rFonts w:asciiTheme="minorHAnsi" w:eastAsiaTheme="majorEastAsia" w:hAnsiTheme="minorHAnsi"/>
          </w:rPr>
          <w:t>https://journals.sagepub.com/doi/10.1177/0963721410397282</w:t>
        </w:r>
      </w:hyperlink>
    </w:p>
    <w:p w14:paraId="796D105E" w14:textId="0A3BEF6F"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Cooper, J., &amp; Neuhaus, I. M. (2000). The “hired gun” effect: Assessing the effect of pay, frequency of testifying, and credentials on the perception of expert testimony.</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24</w:t>
      </w:r>
      <w:r w:rsidRPr="002E7BA9">
        <w:rPr>
          <w:rFonts w:asciiTheme="minorHAnsi" w:hAnsiTheme="minorHAnsi"/>
          <w:color w:val="000000"/>
        </w:rPr>
        <w:t>(2), 149–171.</w:t>
      </w:r>
      <w:r w:rsidRPr="002E7BA9">
        <w:rPr>
          <w:rStyle w:val="apple-converted-space"/>
          <w:rFonts w:asciiTheme="minorHAnsi" w:eastAsiaTheme="majorEastAsia" w:hAnsiTheme="minorHAnsi"/>
          <w:color w:val="000000"/>
        </w:rPr>
        <w:t> </w:t>
      </w:r>
      <w:hyperlink r:id="rId8" w:history="1">
        <w:r w:rsidRPr="0022542D">
          <w:rPr>
            <w:rStyle w:val="Hyperlink"/>
            <w:rFonts w:asciiTheme="minorHAnsi" w:eastAsiaTheme="majorEastAsia" w:hAnsiTheme="minorHAnsi"/>
          </w:rPr>
          <w:t>https://psycnet.apa.org/record/2000-15470-001?doi=1</w:t>
        </w:r>
      </w:hyperlink>
    </w:p>
    <w:p w14:paraId="4791EC4D" w14:textId="4AF0F39D"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Cutler, B. L., Dexter, H. R., &amp; Penrod, S. D. (1989). Expert testimony and jury decision making.</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13</w:t>
      </w:r>
      <w:r w:rsidRPr="002E7BA9">
        <w:rPr>
          <w:rFonts w:asciiTheme="minorHAnsi" w:hAnsiTheme="minorHAnsi"/>
          <w:color w:val="000000"/>
        </w:rPr>
        <w:t>(2), 215–229.</w:t>
      </w:r>
      <w:r w:rsidRPr="002E7BA9">
        <w:rPr>
          <w:rStyle w:val="apple-converted-space"/>
          <w:rFonts w:asciiTheme="minorHAnsi" w:eastAsiaTheme="majorEastAsia" w:hAnsiTheme="minorHAnsi"/>
          <w:color w:val="000000"/>
        </w:rPr>
        <w:t> </w:t>
      </w:r>
      <w:r w:rsidRPr="002E7BA9">
        <w:rPr>
          <w:rFonts w:asciiTheme="minorHAnsi" w:hAnsiTheme="minorHAnsi"/>
          <w:color w:val="000000"/>
        </w:rPr>
        <w:t xml:space="preserve"> </w:t>
      </w:r>
      <w:hyperlink r:id="rId9" w:history="1">
        <w:r w:rsidRPr="0022542D">
          <w:rPr>
            <w:rStyle w:val="Hyperlink"/>
            <w:rFonts w:asciiTheme="minorHAnsi" w:hAnsiTheme="minorHAnsi"/>
          </w:rPr>
          <w:t>https://psycnet.apa.org/record/1990-01129-001</w:t>
        </w:r>
      </w:hyperlink>
    </w:p>
    <w:p w14:paraId="389EF580" w14:textId="77777777"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Davies, G. M., Hollin, C. R., &amp; Bull, R. (2018).</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Forensic psychology</w:t>
      </w:r>
      <w:r w:rsidRPr="002E7BA9">
        <w:rPr>
          <w:rStyle w:val="apple-converted-space"/>
          <w:rFonts w:asciiTheme="minorHAnsi" w:eastAsiaTheme="majorEastAsia" w:hAnsiTheme="minorHAnsi"/>
          <w:color w:val="000000"/>
        </w:rPr>
        <w:t> </w:t>
      </w:r>
      <w:r w:rsidRPr="002E7BA9">
        <w:rPr>
          <w:rFonts w:asciiTheme="minorHAnsi" w:hAnsiTheme="minorHAnsi"/>
          <w:color w:val="000000"/>
        </w:rPr>
        <w:t>(3rd ed.). Wiley.</w:t>
      </w:r>
    </w:p>
    <w:p w14:paraId="453D0A9D" w14:textId="4E542B9B"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 xml:space="preserve">Devine, D. J., Clayton, L. D., Dunford, B. B., </w:t>
      </w:r>
      <w:proofErr w:type="spellStart"/>
      <w:r w:rsidRPr="002E7BA9">
        <w:rPr>
          <w:rFonts w:asciiTheme="minorHAnsi" w:hAnsiTheme="minorHAnsi"/>
          <w:color w:val="000000"/>
        </w:rPr>
        <w:t>Seying</w:t>
      </w:r>
      <w:proofErr w:type="spellEnd"/>
      <w:r w:rsidRPr="002E7BA9">
        <w:rPr>
          <w:rFonts w:asciiTheme="minorHAnsi" w:hAnsiTheme="minorHAnsi"/>
          <w:color w:val="000000"/>
        </w:rPr>
        <w:t>, R., &amp; Pryce, J. (2001). Jury decision making: 45 years of empirical research on deliberating groups.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Psychology, Public Policy, and Law, 7</w:t>
      </w:r>
      <w:r w:rsidRPr="002E7BA9">
        <w:rPr>
          <w:rFonts w:asciiTheme="minorHAnsi" w:hAnsiTheme="minorHAnsi"/>
          <w:color w:val="000000"/>
        </w:rPr>
        <w:t>(3), 622–727.</w:t>
      </w:r>
      <w:r w:rsidRPr="002E7BA9">
        <w:rPr>
          <w:rStyle w:val="apple-converted-space"/>
          <w:rFonts w:asciiTheme="minorHAnsi" w:eastAsiaTheme="majorEastAsia" w:hAnsiTheme="minorHAnsi"/>
          <w:color w:val="000000"/>
        </w:rPr>
        <w:t> </w:t>
      </w:r>
      <w:hyperlink r:id="rId10" w:history="1">
        <w:r w:rsidRPr="0022542D">
          <w:rPr>
            <w:rStyle w:val="Hyperlink"/>
            <w:rFonts w:asciiTheme="minorHAnsi" w:eastAsiaTheme="majorEastAsia" w:hAnsiTheme="minorHAnsi"/>
          </w:rPr>
          <w:t>https://psycnet.apa.org/record/2001-05619-004?doi=1</w:t>
        </w:r>
      </w:hyperlink>
    </w:p>
    <w:p w14:paraId="51CCFE14" w14:textId="143D6F46"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Dion, K., Berscheid, E., &amp; Walster, E. (1972). What is beautiful is good.</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Journal of Personality and Social Psychology, 24</w:t>
      </w:r>
      <w:r w:rsidRPr="002E7BA9">
        <w:rPr>
          <w:rFonts w:asciiTheme="minorHAnsi" w:hAnsiTheme="minorHAnsi"/>
          <w:color w:val="000000"/>
        </w:rPr>
        <w:t>(3), 285–290.</w:t>
      </w:r>
      <w:r w:rsidRPr="002E7BA9">
        <w:rPr>
          <w:rStyle w:val="apple-converted-space"/>
          <w:rFonts w:asciiTheme="minorHAnsi" w:eastAsiaTheme="majorEastAsia" w:hAnsiTheme="minorHAnsi"/>
          <w:color w:val="000000"/>
        </w:rPr>
        <w:t> </w:t>
      </w:r>
      <w:hyperlink r:id="rId11" w:history="1">
        <w:r w:rsidRPr="0022542D">
          <w:rPr>
            <w:rStyle w:val="Hyperlink"/>
            <w:rFonts w:asciiTheme="minorHAnsi" w:eastAsiaTheme="majorEastAsia" w:hAnsiTheme="minorHAnsi"/>
          </w:rPr>
          <w:t>https://psycnet.apa.org/record/1973-09160-001?doi=1</w:t>
        </w:r>
      </w:hyperlink>
    </w:p>
    <w:p w14:paraId="0A46099D" w14:textId="226117A8"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Dixon, T. L., Azocar, C. L., &amp; Casas, M. (2002). The portrayal of race and crime on television network news.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Journal of Broadcasting &amp; Electronic Media, 47</w:t>
      </w:r>
      <w:r w:rsidRPr="002E7BA9">
        <w:rPr>
          <w:rFonts w:asciiTheme="minorHAnsi" w:hAnsiTheme="minorHAnsi"/>
          <w:color w:val="000000"/>
        </w:rPr>
        <w:t>(4), 498–523.</w:t>
      </w:r>
      <w:r w:rsidRPr="002E7BA9">
        <w:rPr>
          <w:rStyle w:val="apple-converted-space"/>
          <w:rFonts w:asciiTheme="minorHAnsi" w:eastAsiaTheme="majorEastAsia" w:hAnsiTheme="minorHAnsi"/>
          <w:color w:val="000000"/>
        </w:rPr>
        <w:t> </w:t>
      </w:r>
      <w:hyperlink r:id="rId12" w:history="1">
        <w:r w:rsidRPr="0022542D">
          <w:rPr>
            <w:rStyle w:val="Hyperlink"/>
            <w:rFonts w:asciiTheme="minorHAnsi" w:eastAsiaTheme="majorEastAsia" w:hAnsiTheme="minorHAnsi"/>
          </w:rPr>
          <w:t>https://www.tandfonline.com/doi/abs/10.1207/s15506878jobem4704_2</w:t>
        </w:r>
      </w:hyperlink>
    </w:p>
    <w:p w14:paraId="62FB9C1C" w14:textId="423AC817"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Efran, M. G. (1974). The effect of physical appearance on the judgment of guilt, interpersonal attraction, and severity of recommended punishment in a simulated jury task.</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Journal of Research in Personality, 8</w:t>
      </w:r>
      <w:r w:rsidRPr="002E7BA9">
        <w:rPr>
          <w:rFonts w:asciiTheme="minorHAnsi" w:hAnsiTheme="minorHAnsi"/>
          <w:color w:val="000000"/>
        </w:rPr>
        <w:t>(1), 45–</w:t>
      </w:r>
      <w:r w:rsidRPr="002E7BA9">
        <w:rPr>
          <w:rFonts w:asciiTheme="minorHAnsi" w:hAnsiTheme="minorHAnsi"/>
          <w:color w:val="000000"/>
        </w:rPr>
        <w:lastRenderedPageBreak/>
        <w:t>54.</w:t>
      </w:r>
      <w:r w:rsidRPr="002E7BA9">
        <w:rPr>
          <w:rStyle w:val="apple-converted-space"/>
          <w:rFonts w:asciiTheme="minorHAnsi" w:eastAsiaTheme="majorEastAsia" w:hAnsiTheme="minorHAnsi"/>
          <w:color w:val="000000"/>
        </w:rPr>
        <w:t> </w:t>
      </w:r>
      <w:hyperlink r:id="rId13" w:history="1">
        <w:r w:rsidRPr="0022542D">
          <w:rPr>
            <w:rStyle w:val="Hyperlink"/>
            <w:rFonts w:asciiTheme="minorHAnsi" w:eastAsiaTheme="majorEastAsia" w:hAnsiTheme="minorHAnsi"/>
          </w:rPr>
          <w:t>https://www.sciencedirect.com/science/article/abs/pii/0092656674900440?via%3Dihub</w:t>
        </w:r>
      </w:hyperlink>
    </w:p>
    <w:p w14:paraId="24F93D00" w14:textId="57F5002B"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Evans, J. St. B. T. (2008). Dual-processing accounts of reasoning, judgment, and social cognition.</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Annual Review of Psychology, 59</w:t>
      </w:r>
      <w:r w:rsidRPr="002E7BA9">
        <w:rPr>
          <w:rFonts w:asciiTheme="minorHAnsi" w:hAnsiTheme="minorHAnsi"/>
          <w:color w:val="000000"/>
        </w:rPr>
        <w:t>, 255–278.</w:t>
      </w:r>
      <w:r w:rsidRPr="002E7BA9">
        <w:rPr>
          <w:rStyle w:val="apple-converted-space"/>
          <w:rFonts w:asciiTheme="minorHAnsi" w:eastAsiaTheme="majorEastAsia" w:hAnsiTheme="minorHAnsi"/>
          <w:color w:val="000000"/>
        </w:rPr>
        <w:t> </w:t>
      </w:r>
      <w:hyperlink r:id="rId14" w:history="1">
        <w:r w:rsidRPr="0022542D">
          <w:rPr>
            <w:rStyle w:val="Hyperlink"/>
            <w:rFonts w:asciiTheme="minorHAnsi" w:eastAsiaTheme="majorEastAsia" w:hAnsiTheme="minorHAnsi"/>
          </w:rPr>
          <w:t>https://www.annualreviews.org/content/journals/10.1146/annurev.psych.59.103006.093629</w:t>
        </w:r>
      </w:hyperlink>
    </w:p>
    <w:p w14:paraId="539C1E30" w14:textId="49A02C98"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Feigenson, N. (2016). Emotional influences on judgments of legal blame: How they happen, whether they should, and what to do about it. In B. H. Bornstein &amp; M. K. Miller (Eds.),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Advances in psychology and law</w:t>
      </w:r>
      <w:r w:rsidRPr="002E7BA9">
        <w:rPr>
          <w:rStyle w:val="apple-converted-space"/>
          <w:rFonts w:asciiTheme="minorHAnsi" w:eastAsiaTheme="majorEastAsia" w:hAnsiTheme="minorHAnsi"/>
          <w:color w:val="000000"/>
        </w:rPr>
        <w:t> </w:t>
      </w:r>
      <w:r w:rsidRPr="002E7BA9">
        <w:rPr>
          <w:rFonts w:asciiTheme="minorHAnsi" w:hAnsiTheme="minorHAnsi"/>
          <w:color w:val="000000"/>
        </w:rPr>
        <w:t>(Vol. 1, pp. 45–96).</w:t>
      </w:r>
      <w:r w:rsidRPr="002E7BA9">
        <w:t xml:space="preserve"> </w:t>
      </w:r>
      <w:hyperlink r:id="rId15" w:history="1">
        <w:r w:rsidRPr="0022542D">
          <w:rPr>
            <w:rStyle w:val="Hyperlink"/>
            <w:rFonts w:asciiTheme="minorHAnsi" w:hAnsiTheme="minorHAnsi"/>
          </w:rPr>
          <w:t>https://psycnet.apa.org/record/2016-53658-003</w:t>
        </w:r>
      </w:hyperlink>
    </w:p>
    <w:p w14:paraId="60F3645E" w14:textId="77777777"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Hastie, R., Penrod, S. D., &amp; Pennington, N. (1983).</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Inside the jury</w:t>
      </w:r>
      <w:r w:rsidRPr="002E7BA9">
        <w:rPr>
          <w:rFonts w:asciiTheme="minorHAnsi" w:hAnsiTheme="minorHAnsi"/>
          <w:color w:val="000000"/>
        </w:rPr>
        <w:t>. Harvard University Press.</w:t>
      </w:r>
    </w:p>
    <w:p w14:paraId="745E463C" w14:textId="77777777"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Kahneman, D. (2011).</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Thinking, fast and slow</w:t>
      </w:r>
      <w:r w:rsidRPr="002E7BA9">
        <w:rPr>
          <w:rFonts w:asciiTheme="minorHAnsi" w:hAnsiTheme="minorHAnsi"/>
          <w:color w:val="000000"/>
        </w:rPr>
        <w:t>. Penguin Books.</w:t>
      </w:r>
    </w:p>
    <w:p w14:paraId="5FB94EB3" w14:textId="77777777"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Kapardis, A. (2014).</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Psychology and law: A critical introduction</w:t>
      </w:r>
      <w:r w:rsidRPr="002E7BA9">
        <w:rPr>
          <w:rStyle w:val="apple-converted-space"/>
          <w:rFonts w:asciiTheme="minorHAnsi" w:eastAsiaTheme="majorEastAsia" w:hAnsiTheme="minorHAnsi"/>
          <w:color w:val="000000"/>
        </w:rPr>
        <w:t> </w:t>
      </w:r>
      <w:r w:rsidRPr="002E7BA9">
        <w:rPr>
          <w:rFonts w:asciiTheme="minorHAnsi" w:hAnsiTheme="minorHAnsi"/>
          <w:color w:val="000000"/>
        </w:rPr>
        <w:t>(4th ed.). Cambridge University Press.</w:t>
      </w:r>
    </w:p>
    <w:p w14:paraId="33DDC93D" w14:textId="6985FB04" w:rsidR="002E7BA9" w:rsidRPr="002E7BA9"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Lieberman, J. D., &amp; Arndt, J. (2000). Understanding the limits of limiting instructions: Social psychological explanations for the failures of instructions to disregard pretrial publicity and other inadmissible evidence.</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Psychology, Public Policy, and Law, 6</w:t>
      </w:r>
      <w:r w:rsidRPr="002E7BA9">
        <w:rPr>
          <w:rFonts w:asciiTheme="minorHAnsi" w:hAnsiTheme="minorHAnsi"/>
          <w:color w:val="000000"/>
        </w:rPr>
        <w:t>(3), 677–711.</w:t>
      </w:r>
      <w:r w:rsidRPr="002E7BA9">
        <w:rPr>
          <w:rStyle w:val="apple-converted-space"/>
          <w:rFonts w:asciiTheme="minorHAnsi" w:eastAsiaTheme="majorEastAsia" w:hAnsiTheme="minorHAnsi"/>
          <w:color w:val="000000"/>
        </w:rPr>
        <w:t> </w:t>
      </w:r>
      <w:hyperlink r:id="rId16" w:history="1">
        <w:r w:rsidRPr="0022542D">
          <w:rPr>
            <w:rStyle w:val="Hyperlink"/>
            <w:rFonts w:asciiTheme="minorHAnsi" w:eastAsiaTheme="majorEastAsia" w:hAnsiTheme="minorHAnsi"/>
          </w:rPr>
          <w:t>https://psycnet.apa.org/record/2001-06603-005?doi=1</w:t>
        </w:r>
      </w:hyperlink>
    </w:p>
    <w:p w14:paraId="60F4DD15" w14:textId="19B0D9A5" w:rsidR="002E7BA9" w:rsidRPr="00523196"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Mitchell, T. L., Haw, R. M., Pfeifer, J. E., &amp; Meissner, C. A. (2005). Racial bias in mock juror decision-making: A meta-analytic review of defendant treatment.</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29</w:t>
      </w:r>
      <w:r w:rsidRPr="002E7BA9">
        <w:rPr>
          <w:rFonts w:asciiTheme="minorHAnsi" w:hAnsiTheme="minorHAnsi"/>
          <w:color w:val="000000"/>
        </w:rPr>
        <w:t>(6), 621–637.</w:t>
      </w:r>
      <w:r w:rsidRPr="002E7BA9">
        <w:rPr>
          <w:rStyle w:val="apple-converted-space"/>
          <w:rFonts w:asciiTheme="minorHAnsi" w:eastAsiaTheme="majorEastAsia" w:hAnsiTheme="minorHAnsi"/>
          <w:color w:val="000000"/>
        </w:rPr>
        <w:t> </w:t>
      </w:r>
      <w:hyperlink r:id="rId17" w:history="1">
        <w:r w:rsidR="00523196" w:rsidRPr="0022542D">
          <w:rPr>
            <w:rStyle w:val="Hyperlink"/>
            <w:rFonts w:asciiTheme="minorHAnsi" w:eastAsiaTheme="majorEastAsia" w:hAnsiTheme="minorHAnsi"/>
          </w:rPr>
          <w:t>https://psycnet.apa.org/record/2006-00971-001?doi=1</w:t>
        </w:r>
      </w:hyperlink>
    </w:p>
    <w:p w14:paraId="0B9DD852" w14:textId="023EC1E4" w:rsidR="002E7BA9" w:rsidRPr="00523196"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 xml:space="preserve">Moran, G., &amp; Comfort, J. C. (1982). Neither “tentative” nor “fragmentary”: Verdict preference of </w:t>
      </w:r>
      <w:proofErr w:type="spellStart"/>
      <w:r w:rsidRPr="002E7BA9">
        <w:rPr>
          <w:rFonts w:asciiTheme="minorHAnsi" w:hAnsiTheme="minorHAnsi"/>
          <w:color w:val="000000"/>
        </w:rPr>
        <w:t>impaneled</w:t>
      </w:r>
      <w:proofErr w:type="spellEnd"/>
      <w:r w:rsidRPr="002E7BA9">
        <w:rPr>
          <w:rFonts w:asciiTheme="minorHAnsi" w:hAnsiTheme="minorHAnsi"/>
          <w:color w:val="000000"/>
        </w:rPr>
        <w:t xml:space="preserve"> felony jurors as a function of attitude toward capital punishment.</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Journal of Applied Psychology, 67</w:t>
      </w:r>
      <w:r w:rsidRPr="002E7BA9">
        <w:rPr>
          <w:rFonts w:asciiTheme="minorHAnsi" w:hAnsiTheme="minorHAnsi"/>
          <w:color w:val="000000"/>
        </w:rPr>
        <w:t>(2), 146–155.</w:t>
      </w:r>
      <w:r w:rsidRPr="002E7BA9">
        <w:rPr>
          <w:rStyle w:val="apple-converted-space"/>
          <w:rFonts w:asciiTheme="minorHAnsi" w:eastAsiaTheme="majorEastAsia" w:hAnsiTheme="minorHAnsi"/>
          <w:color w:val="000000"/>
        </w:rPr>
        <w:t> </w:t>
      </w:r>
      <w:hyperlink r:id="rId18" w:history="1">
        <w:r w:rsidR="00523196" w:rsidRPr="0022542D">
          <w:rPr>
            <w:rStyle w:val="Hyperlink"/>
            <w:rFonts w:asciiTheme="minorHAnsi" w:eastAsiaTheme="majorEastAsia" w:hAnsiTheme="minorHAnsi"/>
          </w:rPr>
          <w:t>https://psycnet.apa.org/record/1986-17120-001</w:t>
        </w:r>
      </w:hyperlink>
    </w:p>
    <w:p w14:paraId="6D126AB6" w14:textId="1E178534" w:rsidR="002E7BA9" w:rsidRPr="00523196"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Narby, D. J., Cutler, B. L., &amp; Moran, G. (1993). A meta-analysis of the association between authoritarianism and juror verdicts.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Journal of Applied Psychology, 78</w:t>
      </w:r>
      <w:r w:rsidRPr="002E7BA9">
        <w:rPr>
          <w:rFonts w:asciiTheme="minorHAnsi" w:hAnsiTheme="minorHAnsi"/>
          <w:color w:val="000000"/>
        </w:rPr>
        <w:t>(1), 34–42.</w:t>
      </w:r>
      <w:r w:rsidRPr="002E7BA9">
        <w:rPr>
          <w:rStyle w:val="apple-converted-space"/>
          <w:rFonts w:asciiTheme="minorHAnsi" w:eastAsiaTheme="majorEastAsia" w:hAnsiTheme="minorHAnsi"/>
          <w:color w:val="000000"/>
        </w:rPr>
        <w:t> </w:t>
      </w:r>
      <w:hyperlink r:id="rId19" w:history="1">
        <w:r w:rsidR="00523196" w:rsidRPr="0022542D">
          <w:rPr>
            <w:rStyle w:val="Hyperlink"/>
            <w:rFonts w:asciiTheme="minorHAnsi" w:eastAsiaTheme="majorEastAsia" w:hAnsiTheme="minorHAnsi"/>
          </w:rPr>
          <w:t>https://psycnet.apa.org/record/1993-23938-001?doi=1</w:t>
        </w:r>
      </w:hyperlink>
    </w:p>
    <w:p w14:paraId="44B0B887" w14:textId="3607D34E" w:rsidR="001B6928" w:rsidRPr="002E7BA9" w:rsidRDefault="002E7BA9" w:rsidP="002E7BA9">
      <w:pPr>
        <w:pStyle w:val="NormalWeb"/>
        <w:rPr>
          <w:rFonts w:asciiTheme="minorHAnsi" w:hAnsiTheme="minorHAnsi"/>
          <w:color w:val="000000"/>
        </w:rPr>
      </w:pPr>
      <w:r w:rsidRPr="002E7BA9">
        <w:rPr>
          <w:rFonts w:asciiTheme="minorHAnsi" w:hAnsiTheme="minorHAnsi"/>
          <w:color w:val="000000"/>
        </w:rPr>
        <w:t>Ogloff, J. R. P., &amp; Vidmar, N. (1994). The impact of pretrial publicity on jurors.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18</w:t>
      </w:r>
      <w:r w:rsidRPr="002E7BA9">
        <w:rPr>
          <w:rFonts w:asciiTheme="minorHAnsi" w:hAnsiTheme="minorHAnsi"/>
          <w:color w:val="000000"/>
        </w:rPr>
        <w:t>(5), 507–525.</w:t>
      </w:r>
      <w:r w:rsidRPr="002E7BA9">
        <w:rPr>
          <w:rStyle w:val="apple-converted-space"/>
          <w:rFonts w:asciiTheme="minorHAnsi" w:eastAsiaTheme="majorEastAsia" w:hAnsiTheme="minorHAnsi"/>
          <w:color w:val="000000"/>
        </w:rPr>
        <w:t> </w:t>
      </w:r>
      <w:r w:rsidR="001B6928" w:rsidRPr="002E7BA9">
        <w:rPr>
          <w:rFonts w:asciiTheme="minorHAnsi" w:hAnsiTheme="minorHAnsi"/>
          <w:color w:val="000000"/>
        </w:rPr>
        <w:t xml:space="preserve"> </w:t>
      </w:r>
      <w:hyperlink r:id="rId20" w:history="1">
        <w:r w:rsidR="001B6928" w:rsidRPr="0022542D">
          <w:rPr>
            <w:rStyle w:val="Hyperlink"/>
            <w:rFonts w:asciiTheme="minorHAnsi" w:hAnsiTheme="minorHAnsi"/>
          </w:rPr>
          <w:t>https://link.springer.com/article/10.1007/BF01499171</w:t>
        </w:r>
      </w:hyperlink>
    </w:p>
    <w:p w14:paraId="7061D408" w14:textId="5CF6648D" w:rsidR="001B6928" w:rsidRPr="002E7BA9" w:rsidRDefault="002E7BA9" w:rsidP="002E7BA9">
      <w:pPr>
        <w:pStyle w:val="NormalWeb"/>
        <w:rPr>
          <w:rFonts w:asciiTheme="minorHAnsi" w:hAnsiTheme="minorHAnsi"/>
          <w:color w:val="000000"/>
        </w:rPr>
      </w:pPr>
      <w:r w:rsidRPr="002E7BA9">
        <w:rPr>
          <w:rFonts w:asciiTheme="minorHAnsi" w:hAnsiTheme="minorHAnsi"/>
          <w:color w:val="000000"/>
        </w:rPr>
        <w:t>Penrod, S. D., &amp; Cutler, B. L. (1995). Witness confidence and witness accuracy: Assessing their forensic relation.</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Psychology, Public Policy, and Law, 1</w:t>
      </w:r>
      <w:r w:rsidRPr="002E7BA9">
        <w:rPr>
          <w:rFonts w:asciiTheme="minorHAnsi" w:hAnsiTheme="minorHAnsi"/>
          <w:color w:val="000000"/>
        </w:rPr>
        <w:t>(4), 817–845.</w:t>
      </w:r>
      <w:r w:rsidR="001B6928" w:rsidRPr="002E7BA9">
        <w:rPr>
          <w:rFonts w:asciiTheme="minorHAnsi" w:hAnsiTheme="minorHAnsi"/>
          <w:color w:val="000000"/>
        </w:rPr>
        <w:t xml:space="preserve"> </w:t>
      </w:r>
      <w:hyperlink r:id="rId21" w:history="1">
        <w:r w:rsidR="001B6928" w:rsidRPr="0022542D">
          <w:rPr>
            <w:rStyle w:val="Hyperlink"/>
            <w:rFonts w:asciiTheme="minorHAnsi" w:hAnsiTheme="minorHAnsi"/>
          </w:rPr>
          <w:t>https://psycnet.apa.org/doiLanding?doi=10.1037%2F1076-8971.1.4.817</w:t>
        </w:r>
      </w:hyperlink>
    </w:p>
    <w:p w14:paraId="4788EC9F" w14:textId="77777777"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lastRenderedPageBreak/>
        <w:t>Petty, R. E., &amp; Cacioppo, J. T. (1986).</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Communication and persuasion: Central and peripheral routes to attitude change</w:t>
      </w:r>
      <w:r w:rsidRPr="002E7BA9">
        <w:rPr>
          <w:rFonts w:asciiTheme="minorHAnsi" w:hAnsiTheme="minorHAnsi"/>
          <w:color w:val="000000"/>
        </w:rPr>
        <w:t>. Springer-Verlag.</w:t>
      </w:r>
    </w:p>
    <w:p w14:paraId="65A5018E" w14:textId="0EC6B491" w:rsidR="00DA0A39" w:rsidRPr="002E7BA9" w:rsidRDefault="002E7BA9" w:rsidP="002E7BA9">
      <w:pPr>
        <w:pStyle w:val="NormalWeb"/>
        <w:rPr>
          <w:rFonts w:asciiTheme="minorHAnsi" w:hAnsiTheme="minorHAnsi"/>
          <w:color w:val="000000"/>
        </w:rPr>
      </w:pPr>
      <w:r w:rsidRPr="002E7BA9">
        <w:rPr>
          <w:rFonts w:asciiTheme="minorHAnsi" w:hAnsiTheme="minorHAnsi"/>
          <w:color w:val="000000"/>
        </w:rPr>
        <w:t>Roberts, P. (2010). Expert evidence and criminal justice.</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Criminal Law Review, 8</w:t>
      </w:r>
      <w:r w:rsidRPr="002E7BA9">
        <w:rPr>
          <w:rFonts w:asciiTheme="minorHAnsi" w:hAnsiTheme="minorHAnsi"/>
          <w:color w:val="000000"/>
        </w:rPr>
        <w:t>, 611–628.</w:t>
      </w:r>
      <w:r w:rsidR="00DA0A39" w:rsidRPr="00DA0A39">
        <w:t xml:space="preserve"> </w:t>
      </w:r>
      <w:hyperlink r:id="rId22" w:history="1">
        <w:r w:rsidR="00DA0A39" w:rsidRPr="0022542D">
          <w:rPr>
            <w:rStyle w:val="Hyperlink"/>
            <w:rFonts w:asciiTheme="minorHAnsi" w:hAnsiTheme="minorHAnsi"/>
          </w:rPr>
          <w:t>https://link.springer.com/book/10.1007/978-3-319-24340-5</w:t>
        </w:r>
      </w:hyperlink>
    </w:p>
    <w:p w14:paraId="7AFB7D9E" w14:textId="025CFC44" w:rsidR="002E7BA9" w:rsidRPr="001B6928"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Schuller, R. A., &amp; Cripps, J. E. (1998). Expert evidence pertaining to battered woman syndrome: Its impact on jurors’ decisions.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22</w:t>
      </w:r>
      <w:r w:rsidRPr="002E7BA9">
        <w:rPr>
          <w:rFonts w:asciiTheme="minorHAnsi" w:hAnsiTheme="minorHAnsi"/>
          <w:color w:val="000000"/>
        </w:rPr>
        <w:t>(3), 277–296.</w:t>
      </w:r>
      <w:r w:rsidRPr="002E7BA9">
        <w:rPr>
          <w:rStyle w:val="apple-converted-space"/>
          <w:rFonts w:asciiTheme="minorHAnsi" w:eastAsiaTheme="majorEastAsia" w:hAnsiTheme="minorHAnsi"/>
          <w:color w:val="000000"/>
        </w:rPr>
        <w:t> </w:t>
      </w:r>
      <w:hyperlink r:id="rId23" w:history="1">
        <w:r w:rsidR="001B6928" w:rsidRPr="0022542D">
          <w:rPr>
            <w:rStyle w:val="Hyperlink"/>
            <w:rFonts w:asciiTheme="minorHAnsi" w:eastAsiaTheme="majorEastAsia" w:hAnsiTheme="minorHAnsi"/>
          </w:rPr>
          <w:t>https://pubmed.ncbi.</w:t>
        </w:r>
        <w:r w:rsidR="001B6928" w:rsidRPr="0022542D">
          <w:rPr>
            <w:rStyle w:val="Hyperlink"/>
            <w:rFonts w:asciiTheme="minorHAnsi" w:eastAsiaTheme="majorEastAsia" w:hAnsiTheme="minorHAnsi"/>
          </w:rPr>
          <w:t>n</w:t>
        </w:r>
        <w:r w:rsidR="001B6928" w:rsidRPr="0022542D">
          <w:rPr>
            <w:rStyle w:val="Hyperlink"/>
            <w:rFonts w:asciiTheme="minorHAnsi" w:eastAsiaTheme="majorEastAsia" w:hAnsiTheme="minorHAnsi"/>
          </w:rPr>
          <w:t>lm.nih.gov/12508700/</w:t>
        </w:r>
      </w:hyperlink>
    </w:p>
    <w:p w14:paraId="3E91852F" w14:textId="08C70CE2" w:rsidR="002E7BA9" w:rsidRPr="002E7BA9" w:rsidRDefault="002E7BA9" w:rsidP="002E7BA9">
      <w:pPr>
        <w:pStyle w:val="NormalWeb"/>
        <w:rPr>
          <w:rFonts w:asciiTheme="minorHAnsi" w:hAnsiTheme="minorHAnsi"/>
          <w:color w:val="000000"/>
        </w:rPr>
      </w:pPr>
      <w:r w:rsidRPr="002E7BA9">
        <w:rPr>
          <w:rFonts w:asciiTheme="minorHAnsi" w:hAnsiTheme="minorHAnsi"/>
          <w:color w:val="000000"/>
        </w:rPr>
        <w:t>Schuller, R. A., &amp; Hastie, R. (1996). Expert evidence and homicide: Jurors’ judgments about battered women who kill.</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20</w:t>
      </w:r>
      <w:r w:rsidRPr="002E7BA9">
        <w:rPr>
          <w:rFonts w:asciiTheme="minorHAnsi" w:hAnsiTheme="minorHAnsi"/>
          <w:color w:val="000000"/>
        </w:rPr>
        <w:t>(2), 167–186.</w:t>
      </w:r>
      <w:r w:rsidRPr="002E7BA9">
        <w:rPr>
          <w:rStyle w:val="apple-converted-space"/>
          <w:rFonts w:asciiTheme="minorHAnsi" w:eastAsiaTheme="majorEastAsia" w:hAnsiTheme="minorHAnsi"/>
          <w:color w:val="000000"/>
        </w:rPr>
        <w:t> </w:t>
      </w:r>
      <w:r w:rsidR="00DA0A39" w:rsidRPr="002E7BA9">
        <w:rPr>
          <w:rFonts w:asciiTheme="minorHAnsi" w:hAnsiTheme="minorHAnsi"/>
          <w:color w:val="000000"/>
        </w:rPr>
        <w:t xml:space="preserve"> </w:t>
      </w:r>
    </w:p>
    <w:p w14:paraId="2B3F7FDC" w14:textId="7524E779" w:rsidR="00DA0A39" w:rsidRPr="00DA0A39" w:rsidRDefault="00DA0A39" w:rsidP="002E7BA9">
      <w:pPr>
        <w:pStyle w:val="NormalWeb"/>
        <w:rPr>
          <w:rFonts w:asciiTheme="minorHAnsi" w:hAnsiTheme="minorHAnsi"/>
          <w:color w:val="000000"/>
        </w:rPr>
      </w:pPr>
      <w:r w:rsidRPr="00DA0A39">
        <w:rPr>
          <w:rFonts w:asciiTheme="minorHAnsi" w:hAnsiTheme="minorHAnsi"/>
          <w:color w:val="000000"/>
        </w:rPr>
        <w:t xml:space="preserve">Schuller, R. A., &amp; </w:t>
      </w:r>
      <w:proofErr w:type="spellStart"/>
      <w:r w:rsidRPr="00DA0A39">
        <w:rPr>
          <w:rFonts w:asciiTheme="minorHAnsi" w:hAnsiTheme="minorHAnsi"/>
          <w:color w:val="000000"/>
        </w:rPr>
        <w:t>Klippenstine</w:t>
      </w:r>
      <w:proofErr w:type="spellEnd"/>
      <w:r w:rsidRPr="00DA0A39">
        <w:rPr>
          <w:rFonts w:asciiTheme="minorHAnsi" w:hAnsiTheme="minorHAnsi"/>
          <w:color w:val="000000"/>
        </w:rPr>
        <w:t>, M. A. (2004). The impact of complainant sexual history evidence on jurors’ decisions: Considerations from a psychological perspective. Psychology, Public Policy, and Law, 10(3), 321–342</w:t>
      </w:r>
      <w:r>
        <w:rPr>
          <w:rFonts w:ascii="-webkit-standard" w:hAnsi="-webkit-standard"/>
          <w:color w:val="000000"/>
          <w:sz w:val="27"/>
          <w:szCs w:val="27"/>
        </w:rPr>
        <w:t>.</w:t>
      </w:r>
      <w:r>
        <w:rPr>
          <w:rFonts w:ascii="-webkit-standard" w:hAnsi="-webkit-standard"/>
          <w:color w:val="000000"/>
          <w:sz w:val="27"/>
          <w:szCs w:val="27"/>
        </w:rPr>
        <w:t xml:space="preserve">  </w:t>
      </w:r>
      <w:r>
        <w:rPr>
          <w:rFonts w:asciiTheme="minorHAnsi" w:hAnsiTheme="minorHAnsi"/>
          <w:color w:val="000000"/>
        </w:rPr>
        <w:fldChar w:fldCharType="begin"/>
      </w:r>
      <w:r>
        <w:rPr>
          <w:rFonts w:asciiTheme="minorHAnsi" w:hAnsiTheme="minorHAnsi"/>
          <w:color w:val="000000"/>
        </w:rPr>
        <w:instrText>HYPERLINK "</w:instrText>
      </w:r>
      <w:r w:rsidRPr="00DA0A39">
        <w:rPr>
          <w:rFonts w:asciiTheme="minorHAnsi" w:hAnsiTheme="minorHAnsi"/>
          <w:color w:val="000000"/>
        </w:rPr>
        <w:instrText>https://journals.sagepub.com/doi/10.1111/1471-6402.00064?utm</w:instrText>
      </w:r>
      <w:r>
        <w:rPr>
          <w:rFonts w:asciiTheme="minorHAnsi" w:hAnsiTheme="minorHAnsi"/>
          <w:color w:val="000000"/>
        </w:rPr>
        <w:instrText>"</w:instrText>
      </w:r>
      <w:r>
        <w:rPr>
          <w:rFonts w:asciiTheme="minorHAnsi" w:hAnsiTheme="minorHAnsi"/>
          <w:color w:val="000000"/>
        </w:rPr>
        <w:fldChar w:fldCharType="separate"/>
      </w:r>
      <w:r w:rsidRPr="0022542D">
        <w:rPr>
          <w:rStyle w:val="Hyperlink"/>
          <w:rFonts w:asciiTheme="minorHAnsi" w:hAnsiTheme="minorHAnsi"/>
        </w:rPr>
        <w:t>https://journals.sagepub.com/</w:t>
      </w:r>
      <w:r w:rsidRPr="0022542D">
        <w:rPr>
          <w:rStyle w:val="Hyperlink"/>
          <w:rFonts w:asciiTheme="minorHAnsi" w:hAnsiTheme="minorHAnsi"/>
        </w:rPr>
        <w:t>d</w:t>
      </w:r>
      <w:r w:rsidRPr="0022542D">
        <w:rPr>
          <w:rStyle w:val="Hyperlink"/>
          <w:rFonts w:asciiTheme="minorHAnsi" w:hAnsiTheme="minorHAnsi"/>
        </w:rPr>
        <w:t>oi/10.1111/1471-6402.00064?utm</w:t>
      </w:r>
      <w:r>
        <w:rPr>
          <w:rFonts w:asciiTheme="minorHAnsi" w:hAnsiTheme="minorHAnsi"/>
          <w:color w:val="000000"/>
        </w:rPr>
        <w:fldChar w:fldCharType="end"/>
      </w:r>
    </w:p>
    <w:p w14:paraId="73708001" w14:textId="13E6B651" w:rsidR="002E7BA9" w:rsidRPr="000D40EF"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Sigall, H., &amp; Ostrove, N. (1975). Beautiful but dangerous: Effects of offender attractiveness and nature of the crime on juridic judgment.</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Journal of Personality and Social Psychology, 31</w:t>
      </w:r>
      <w:r w:rsidRPr="002E7BA9">
        <w:rPr>
          <w:rFonts w:asciiTheme="minorHAnsi" w:hAnsiTheme="minorHAnsi"/>
          <w:color w:val="000000"/>
        </w:rPr>
        <w:t>(3), 410–414.</w:t>
      </w:r>
      <w:r w:rsidRPr="002E7BA9">
        <w:rPr>
          <w:rStyle w:val="apple-converted-space"/>
          <w:rFonts w:asciiTheme="minorHAnsi" w:eastAsiaTheme="majorEastAsia" w:hAnsiTheme="minorHAnsi"/>
          <w:color w:val="000000"/>
        </w:rPr>
        <w:t> </w:t>
      </w:r>
      <w:hyperlink r:id="rId24" w:history="1">
        <w:r w:rsidR="000D40EF" w:rsidRPr="0022542D">
          <w:rPr>
            <w:rStyle w:val="Hyperlink"/>
            <w:rFonts w:asciiTheme="minorHAnsi" w:eastAsiaTheme="majorEastAsia" w:hAnsiTheme="minorHAnsi"/>
          </w:rPr>
          <w:t>https://psycnet.apa.org/doiLanding?doi=10.1037%2Fh0076472</w:t>
        </w:r>
      </w:hyperlink>
    </w:p>
    <w:p w14:paraId="2E75A310" w14:textId="1FB5F002" w:rsidR="002E7BA9" w:rsidRPr="000D40EF" w:rsidRDefault="002E7BA9" w:rsidP="002E7BA9">
      <w:pPr>
        <w:pStyle w:val="NormalWeb"/>
        <w:rPr>
          <w:rFonts w:asciiTheme="minorHAnsi" w:eastAsiaTheme="majorEastAsia" w:hAnsiTheme="minorHAnsi"/>
          <w:color w:val="000000"/>
        </w:rPr>
      </w:pPr>
      <w:r w:rsidRPr="002E7BA9">
        <w:rPr>
          <w:rFonts w:asciiTheme="minorHAnsi" w:hAnsiTheme="minorHAnsi"/>
          <w:color w:val="000000"/>
        </w:rPr>
        <w:t>Sommers, S. R., &amp; Ellsworth, P. C. (2000). Race in the courtroom: Perceptions of guilt and dispositional attributions.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Personality and Social Psychology Bulletin, 26</w:t>
      </w:r>
      <w:r w:rsidRPr="002E7BA9">
        <w:rPr>
          <w:rFonts w:asciiTheme="minorHAnsi" w:hAnsiTheme="minorHAnsi"/>
          <w:color w:val="000000"/>
        </w:rPr>
        <w:t>(11), 1367–1379.</w:t>
      </w:r>
      <w:r w:rsidRPr="002E7BA9">
        <w:rPr>
          <w:rStyle w:val="apple-converted-space"/>
          <w:rFonts w:asciiTheme="minorHAnsi" w:eastAsiaTheme="majorEastAsia" w:hAnsiTheme="minorHAnsi"/>
          <w:color w:val="000000"/>
        </w:rPr>
        <w:t> </w:t>
      </w:r>
      <w:hyperlink r:id="rId25" w:history="1">
        <w:r w:rsidR="000D40EF" w:rsidRPr="0022542D">
          <w:rPr>
            <w:rStyle w:val="Hyperlink"/>
            <w:rFonts w:asciiTheme="minorHAnsi" w:eastAsiaTheme="majorEastAsia" w:hAnsiTheme="minorHAnsi"/>
          </w:rPr>
          <w:t>https://journals.sagepub.com/doi/10.1177/0146167200263005</w:t>
        </w:r>
      </w:hyperlink>
    </w:p>
    <w:p w14:paraId="6816BFFC" w14:textId="77777777" w:rsidR="000D40EF" w:rsidRDefault="002E7BA9" w:rsidP="002E7BA9">
      <w:pPr>
        <w:pStyle w:val="NormalWeb"/>
        <w:rPr>
          <w:rFonts w:asciiTheme="minorHAnsi" w:hAnsiTheme="minorHAnsi"/>
          <w:color w:val="000000"/>
        </w:rPr>
      </w:pPr>
      <w:r w:rsidRPr="002E7BA9">
        <w:rPr>
          <w:rFonts w:asciiTheme="minorHAnsi" w:hAnsiTheme="minorHAnsi"/>
          <w:color w:val="000000"/>
        </w:rPr>
        <w:t xml:space="preserve">Steblay, N. M., Besirevic, J., </w:t>
      </w:r>
      <w:proofErr w:type="spellStart"/>
      <w:r w:rsidRPr="002E7BA9">
        <w:rPr>
          <w:rFonts w:asciiTheme="minorHAnsi" w:hAnsiTheme="minorHAnsi"/>
          <w:color w:val="000000"/>
        </w:rPr>
        <w:t>Fulero</w:t>
      </w:r>
      <w:proofErr w:type="spellEnd"/>
      <w:r w:rsidRPr="002E7BA9">
        <w:rPr>
          <w:rFonts w:asciiTheme="minorHAnsi" w:hAnsiTheme="minorHAnsi"/>
          <w:color w:val="000000"/>
        </w:rPr>
        <w:t>, S. M., &amp; Jimenez-Lorente, B. (1999). The effects of pretrial publicity on juror verdicts: A meta-analytic review.</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 xml:space="preserve">Law and Human </w:t>
      </w:r>
      <w:proofErr w:type="spellStart"/>
      <w:r w:rsidRPr="002E7BA9">
        <w:rPr>
          <w:rStyle w:val="Emphasis"/>
          <w:rFonts w:asciiTheme="minorHAnsi" w:eastAsiaTheme="majorEastAsia" w:hAnsiTheme="minorHAnsi"/>
          <w:color w:val="000000"/>
        </w:rPr>
        <w:t>Behavior</w:t>
      </w:r>
      <w:proofErr w:type="spellEnd"/>
      <w:r w:rsidRPr="002E7BA9">
        <w:rPr>
          <w:rStyle w:val="Emphasis"/>
          <w:rFonts w:asciiTheme="minorHAnsi" w:eastAsiaTheme="majorEastAsia" w:hAnsiTheme="minorHAnsi"/>
          <w:color w:val="000000"/>
        </w:rPr>
        <w:t>, 23</w:t>
      </w:r>
      <w:r w:rsidRPr="002E7BA9">
        <w:rPr>
          <w:rFonts w:asciiTheme="minorHAnsi" w:hAnsiTheme="minorHAnsi"/>
          <w:color w:val="000000"/>
        </w:rPr>
        <w:t>(2), 219–235</w:t>
      </w:r>
      <w:r w:rsidR="000D40EF">
        <w:rPr>
          <w:rFonts w:asciiTheme="minorHAnsi" w:hAnsiTheme="minorHAnsi"/>
          <w:color w:val="000000"/>
        </w:rPr>
        <w:t xml:space="preserve"> </w:t>
      </w:r>
    </w:p>
    <w:p w14:paraId="5FB37253" w14:textId="39C57B44" w:rsidR="002E7BA9" w:rsidRPr="000D40EF" w:rsidRDefault="002E7BA9" w:rsidP="002E7BA9">
      <w:pPr>
        <w:pStyle w:val="NormalWeb"/>
        <w:rPr>
          <w:rFonts w:asciiTheme="minorHAnsi" w:hAnsiTheme="minorHAnsi"/>
          <w:color w:val="000000"/>
        </w:rPr>
      </w:pPr>
      <w:r w:rsidRPr="002E7BA9">
        <w:rPr>
          <w:rStyle w:val="apple-converted-space"/>
          <w:rFonts w:asciiTheme="minorHAnsi" w:eastAsiaTheme="majorEastAsia" w:hAnsiTheme="minorHAnsi"/>
          <w:color w:val="000000"/>
        </w:rPr>
        <w:t> </w:t>
      </w:r>
      <w:hyperlink r:id="rId26" w:history="1">
        <w:r w:rsidR="000D40EF" w:rsidRPr="0022542D">
          <w:rPr>
            <w:rStyle w:val="Hyperlink"/>
            <w:rFonts w:asciiTheme="minorHAnsi" w:eastAsiaTheme="majorEastAsia" w:hAnsiTheme="minorHAnsi"/>
          </w:rPr>
          <w:t>https://psycnet.apa.org/doiLanding?doi=10.1023%2FA:1022325019080</w:t>
        </w:r>
      </w:hyperlink>
    </w:p>
    <w:p w14:paraId="26D36232" w14:textId="7CA6AEBD" w:rsidR="000D40EF" w:rsidRDefault="002E7BA9" w:rsidP="002E7BA9">
      <w:pPr>
        <w:pStyle w:val="NormalWeb"/>
        <w:rPr>
          <w:rStyle w:val="apple-converted-space"/>
          <w:rFonts w:asciiTheme="minorHAnsi" w:eastAsiaTheme="majorEastAsia" w:hAnsiTheme="minorHAnsi"/>
          <w:color w:val="000000"/>
        </w:rPr>
      </w:pPr>
      <w:r w:rsidRPr="002E7BA9">
        <w:rPr>
          <w:rFonts w:asciiTheme="minorHAnsi" w:hAnsiTheme="minorHAnsi"/>
          <w:color w:val="000000"/>
        </w:rPr>
        <w:t>Tversky, A., &amp; Kahneman, D. (1974). Judgment under uncertainty: Heuristics and biases.</w:t>
      </w:r>
      <w:r w:rsidRPr="002E7BA9">
        <w:rPr>
          <w:rStyle w:val="apple-converted-space"/>
          <w:rFonts w:asciiTheme="minorHAnsi" w:eastAsiaTheme="majorEastAsia" w:hAnsiTheme="minorHAnsi"/>
          <w:color w:val="000000"/>
        </w:rPr>
        <w:t> </w:t>
      </w:r>
      <w:r w:rsidRPr="002E7BA9">
        <w:rPr>
          <w:rStyle w:val="Emphasis"/>
          <w:rFonts w:asciiTheme="minorHAnsi" w:eastAsiaTheme="majorEastAsia" w:hAnsiTheme="minorHAnsi"/>
          <w:color w:val="000000"/>
        </w:rPr>
        <w:t>Science, 185</w:t>
      </w:r>
      <w:r w:rsidRPr="002E7BA9">
        <w:rPr>
          <w:rFonts w:asciiTheme="minorHAnsi" w:hAnsiTheme="minorHAnsi"/>
          <w:color w:val="000000"/>
        </w:rPr>
        <w:t>(4157), 1124–1131.</w:t>
      </w:r>
      <w:r w:rsidRPr="002E7BA9">
        <w:rPr>
          <w:rStyle w:val="apple-converted-space"/>
          <w:rFonts w:asciiTheme="minorHAnsi" w:eastAsiaTheme="majorEastAsia" w:hAnsiTheme="minorHAnsi"/>
          <w:color w:val="000000"/>
        </w:rPr>
        <w:t> </w:t>
      </w:r>
      <w:hyperlink r:id="rId27" w:history="1">
        <w:r w:rsidR="000D40EF" w:rsidRPr="0022542D">
          <w:rPr>
            <w:rStyle w:val="Hyperlink"/>
            <w:rFonts w:asciiTheme="minorHAnsi" w:eastAsiaTheme="majorEastAsia" w:hAnsiTheme="minorHAnsi"/>
          </w:rPr>
          <w:t>https://www.science.org/doi/10.1126/science.185.4157.1124</w:t>
        </w:r>
      </w:hyperlink>
    </w:p>
    <w:p w14:paraId="27A55307" w14:textId="4EFBA41A" w:rsidR="002E7BA9" w:rsidRPr="002E7BA9" w:rsidRDefault="000D40EF" w:rsidP="002E7BA9">
      <w:pPr>
        <w:pStyle w:val="NormalWeb"/>
        <w:rPr>
          <w:rFonts w:asciiTheme="minorHAnsi" w:hAnsiTheme="minorHAnsi"/>
          <w:color w:val="000000"/>
        </w:rPr>
      </w:pPr>
      <w:r w:rsidRPr="002E7BA9">
        <w:rPr>
          <w:rFonts w:asciiTheme="minorHAnsi" w:hAnsiTheme="minorHAnsi"/>
          <w:color w:val="000000"/>
        </w:rPr>
        <w:t xml:space="preserve"> </w:t>
      </w:r>
    </w:p>
    <w:p w14:paraId="2523C352" w14:textId="77777777" w:rsidR="00680B47" w:rsidRPr="00680B47" w:rsidRDefault="00680B47" w:rsidP="002B5BA7">
      <w:pPr>
        <w:rPr>
          <w:color w:val="000000"/>
          <w:u w:val="single"/>
        </w:rPr>
      </w:pPr>
    </w:p>
    <w:p w14:paraId="7EA59973" w14:textId="77777777" w:rsidR="002B5BA7" w:rsidRPr="000859A6" w:rsidRDefault="002B5BA7" w:rsidP="00FD2D77">
      <w:pPr>
        <w:rPr>
          <w:color w:val="000000"/>
        </w:rPr>
      </w:pPr>
    </w:p>
    <w:p w14:paraId="73C44883" w14:textId="77777777" w:rsidR="002B768B" w:rsidRPr="002B768B" w:rsidRDefault="002B768B" w:rsidP="00FD2D77"/>
    <w:sectPr w:rsidR="002B768B" w:rsidRPr="002B7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D77"/>
    <w:rsid w:val="000859A6"/>
    <w:rsid w:val="000D40EF"/>
    <w:rsid w:val="001622D3"/>
    <w:rsid w:val="001B6928"/>
    <w:rsid w:val="00231E67"/>
    <w:rsid w:val="002B5BA7"/>
    <w:rsid w:val="002B768B"/>
    <w:rsid w:val="002E7BA9"/>
    <w:rsid w:val="003F7D57"/>
    <w:rsid w:val="00523196"/>
    <w:rsid w:val="00680B47"/>
    <w:rsid w:val="007B2499"/>
    <w:rsid w:val="007E3883"/>
    <w:rsid w:val="00AE0621"/>
    <w:rsid w:val="00BC37F6"/>
    <w:rsid w:val="00C37BB5"/>
    <w:rsid w:val="00C577FB"/>
    <w:rsid w:val="00DA0A39"/>
    <w:rsid w:val="00F0513D"/>
    <w:rsid w:val="00F06BED"/>
    <w:rsid w:val="00F138EC"/>
    <w:rsid w:val="00F1424E"/>
    <w:rsid w:val="00F35086"/>
    <w:rsid w:val="00F776F0"/>
    <w:rsid w:val="00FD2D77"/>
    <w:rsid w:val="00FF0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B59942"/>
  <w15:chartTrackingRefBased/>
  <w15:docId w15:val="{98EF361C-DE4D-3B4E-B43C-1E0643903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2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2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D77"/>
    <w:rPr>
      <w:rFonts w:eastAsiaTheme="majorEastAsia" w:cstheme="majorBidi"/>
      <w:color w:val="272727" w:themeColor="text1" w:themeTint="D8"/>
    </w:rPr>
  </w:style>
  <w:style w:type="paragraph" w:styleId="Title">
    <w:name w:val="Title"/>
    <w:basedOn w:val="Normal"/>
    <w:next w:val="Normal"/>
    <w:link w:val="TitleChar"/>
    <w:uiPriority w:val="10"/>
    <w:qFormat/>
    <w:rsid w:val="00FD2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D77"/>
    <w:pPr>
      <w:spacing w:before="160"/>
      <w:jc w:val="center"/>
    </w:pPr>
    <w:rPr>
      <w:i/>
      <w:iCs/>
      <w:color w:val="404040" w:themeColor="text1" w:themeTint="BF"/>
    </w:rPr>
  </w:style>
  <w:style w:type="character" w:customStyle="1" w:styleId="QuoteChar">
    <w:name w:val="Quote Char"/>
    <w:basedOn w:val="DefaultParagraphFont"/>
    <w:link w:val="Quote"/>
    <w:uiPriority w:val="29"/>
    <w:rsid w:val="00FD2D77"/>
    <w:rPr>
      <w:i/>
      <w:iCs/>
      <w:color w:val="404040" w:themeColor="text1" w:themeTint="BF"/>
    </w:rPr>
  </w:style>
  <w:style w:type="paragraph" w:styleId="ListParagraph">
    <w:name w:val="List Paragraph"/>
    <w:basedOn w:val="Normal"/>
    <w:uiPriority w:val="34"/>
    <w:qFormat/>
    <w:rsid w:val="00FD2D77"/>
    <w:pPr>
      <w:ind w:left="720"/>
      <w:contextualSpacing/>
    </w:pPr>
  </w:style>
  <w:style w:type="character" w:styleId="IntenseEmphasis">
    <w:name w:val="Intense Emphasis"/>
    <w:basedOn w:val="DefaultParagraphFont"/>
    <w:uiPriority w:val="21"/>
    <w:qFormat/>
    <w:rsid w:val="00FD2D77"/>
    <w:rPr>
      <w:i/>
      <w:iCs/>
      <w:color w:val="0F4761" w:themeColor="accent1" w:themeShade="BF"/>
    </w:rPr>
  </w:style>
  <w:style w:type="paragraph" w:styleId="IntenseQuote">
    <w:name w:val="Intense Quote"/>
    <w:basedOn w:val="Normal"/>
    <w:next w:val="Normal"/>
    <w:link w:val="IntenseQuoteChar"/>
    <w:uiPriority w:val="30"/>
    <w:qFormat/>
    <w:rsid w:val="00FD2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D77"/>
    <w:rPr>
      <w:i/>
      <w:iCs/>
      <w:color w:val="0F4761" w:themeColor="accent1" w:themeShade="BF"/>
    </w:rPr>
  </w:style>
  <w:style w:type="character" w:styleId="IntenseReference">
    <w:name w:val="Intense Reference"/>
    <w:basedOn w:val="DefaultParagraphFont"/>
    <w:uiPriority w:val="32"/>
    <w:qFormat/>
    <w:rsid w:val="00FD2D77"/>
    <w:rPr>
      <w:b/>
      <w:bCs/>
      <w:smallCaps/>
      <w:color w:val="0F4761" w:themeColor="accent1" w:themeShade="BF"/>
      <w:spacing w:val="5"/>
    </w:rPr>
  </w:style>
  <w:style w:type="paragraph" w:styleId="NormalWeb">
    <w:name w:val="Normal (Web)"/>
    <w:basedOn w:val="Normal"/>
    <w:uiPriority w:val="99"/>
    <w:semiHidden/>
    <w:unhideWhenUsed/>
    <w:rsid w:val="002E7B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E7BA9"/>
  </w:style>
  <w:style w:type="character" w:styleId="Emphasis">
    <w:name w:val="Emphasis"/>
    <w:basedOn w:val="DefaultParagraphFont"/>
    <w:uiPriority w:val="20"/>
    <w:qFormat/>
    <w:rsid w:val="002E7BA9"/>
    <w:rPr>
      <w:i/>
      <w:iCs/>
    </w:rPr>
  </w:style>
  <w:style w:type="character" w:styleId="Hyperlink">
    <w:name w:val="Hyperlink"/>
    <w:basedOn w:val="DefaultParagraphFont"/>
    <w:uiPriority w:val="99"/>
    <w:unhideWhenUsed/>
    <w:rsid w:val="002E7BA9"/>
    <w:rPr>
      <w:color w:val="0000FF"/>
      <w:u w:val="single"/>
    </w:rPr>
  </w:style>
  <w:style w:type="character" w:styleId="UnresolvedMention">
    <w:name w:val="Unresolved Mention"/>
    <w:basedOn w:val="DefaultParagraphFont"/>
    <w:uiPriority w:val="99"/>
    <w:semiHidden/>
    <w:unhideWhenUsed/>
    <w:rsid w:val="002E7BA9"/>
    <w:rPr>
      <w:color w:val="605E5C"/>
      <w:shd w:val="clear" w:color="auto" w:fill="E1DFDD"/>
    </w:rPr>
  </w:style>
  <w:style w:type="character" w:styleId="FollowedHyperlink">
    <w:name w:val="FollowedHyperlink"/>
    <w:basedOn w:val="DefaultParagraphFont"/>
    <w:uiPriority w:val="99"/>
    <w:semiHidden/>
    <w:unhideWhenUsed/>
    <w:rsid w:val="002E7B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record/2000-15470-001?doi=1" TargetMode="External"/><Relationship Id="rId13" Type="http://schemas.openxmlformats.org/officeDocument/2006/relationships/hyperlink" Target="https://www.sciencedirect.com/science/article/abs/pii/0092656674900440?via%3Dihub" TargetMode="External"/><Relationship Id="rId18" Type="http://schemas.openxmlformats.org/officeDocument/2006/relationships/hyperlink" Target="https://psycnet.apa.org/record/1986-17120-001" TargetMode="External"/><Relationship Id="rId26" Type="http://schemas.openxmlformats.org/officeDocument/2006/relationships/hyperlink" Target="https://psycnet.apa.org/doiLanding?doi=10.1023%2FA:1022325019080" TargetMode="External"/><Relationship Id="rId3" Type="http://schemas.openxmlformats.org/officeDocument/2006/relationships/webSettings" Target="webSettings.xml"/><Relationship Id="rId21" Type="http://schemas.openxmlformats.org/officeDocument/2006/relationships/hyperlink" Target="https://psycnet.apa.org/doiLanding?doi=10.1037%2F1076-8971.1.4.817" TargetMode="External"/><Relationship Id="rId7" Type="http://schemas.openxmlformats.org/officeDocument/2006/relationships/hyperlink" Target="https://journals.sagepub.com/doi/10.1177/0963721410397282" TargetMode="External"/><Relationship Id="rId12" Type="http://schemas.openxmlformats.org/officeDocument/2006/relationships/hyperlink" Target="https://www.tandfonline.com/doi/abs/10.1207/s15506878jobem4704_2" TargetMode="External"/><Relationship Id="rId17" Type="http://schemas.openxmlformats.org/officeDocument/2006/relationships/hyperlink" Target="https://psycnet.apa.org/record/2006-00971-001?doi=1" TargetMode="External"/><Relationship Id="rId25" Type="http://schemas.openxmlformats.org/officeDocument/2006/relationships/hyperlink" Target="https://journals.sagepub.com/doi/10.1177/0146167200263005" TargetMode="External"/><Relationship Id="rId2" Type="http://schemas.openxmlformats.org/officeDocument/2006/relationships/settings" Target="settings.xml"/><Relationship Id="rId16" Type="http://schemas.openxmlformats.org/officeDocument/2006/relationships/hyperlink" Target="https://psycnet.apa.org/record/2001-06603-005?doi=1" TargetMode="External"/><Relationship Id="rId20" Type="http://schemas.openxmlformats.org/officeDocument/2006/relationships/hyperlink" Target="https://link.springer.com/article/10.1007/BF01499171"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sycnet.apa.org/record/1999-10764-004?doi=1" TargetMode="External"/><Relationship Id="rId11" Type="http://schemas.openxmlformats.org/officeDocument/2006/relationships/hyperlink" Target="https://psycnet.apa.org/record/1973-09160-001?doi=1" TargetMode="External"/><Relationship Id="rId24" Type="http://schemas.openxmlformats.org/officeDocument/2006/relationships/hyperlink" Target="https://psycnet.apa.org/doiLanding?doi=10.1037%2Fh0076472" TargetMode="External"/><Relationship Id="rId5" Type="http://schemas.openxmlformats.org/officeDocument/2006/relationships/hyperlink" Target="https://onlinelibrary.wiley.com/doi/10.1002/jip.19" TargetMode="External"/><Relationship Id="rId15" Type="http://schemas.openxmlformats.org/officeDocument/2006/relationships/hyperlink" Target="https://psycnet.apa.org/record/2016-53658-003" TargetMode="External"/><Relationship Id="rId23" Type="http://schemas.openxmlformats.org/officeDocument/2006/relationships/hyperlink" Target="https://pubmed.ncbi.nlm.nih.gov/12508700/" TargetMode="External"/><Relationship Id="rId28" Type="http://schemas.openxmlformats.org/officeDocument/2006/relationships/fontTable" Target="fontTable.xml"/><Relationship Id="rId10" Type="http://schemas.openxmlformats.org/officeDocument/2006/relationships/hyperlink" Target="https://psycnet.apa.org/record/2001-05619-004?doi=1" TargetMode="External"/><Relationship Id="rId19" Type="http://schemas.openxmlformats.org/officeDocument/2006/relationships/hyperlink" Target="https://psycnet.apa.org/record/1993-23938-001?doi=1" TargetMode="External"/><Relationship Id="rId4" Type="http://schemas.openxmlformats.org/officeDocument/2006/relationships/hyperlink" Target="https://psycnet.apa.org/record/2011-16966-001?doi=1" TargetMode="External"/><Relationship Id="rId9" Type="http://schemas.openxmlformats.org/officeDocument/2006/relationships/hyperlink" Target="https://psycnet.apa.org/record/1990-01129-001" TargetMode="External"/><Relationship Id="rId14" Type="http://schemas.openxmlformats.org/officeDocument/2006/relationships/hyperlink" Target="https://www.annualreviews.org/content/journals/10.1146/annurev.psych.59.103006.093629" TargetMode="External"/><Relationship Id="rId22" Type="http://schemas.openxmlformats.org/officeDocument/2006/relationships/hyperlink" Target="https://link.springer.com/book/10.1007/978-3-319-24340-5" TargetMode="External"/><Relationship Id="rId27" Type="http://schemas.openxmlformats.org/officeDocument/2006/relationships/hyperlink" Target="https://www.science.org/doi/10.1126/science.185.4157.1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4401</TotalTime>
  <Pages>10</Pages>
  <Words>3173</Words>
  <Characters>20279</Characters>
  <Application>Microsoft Office Word</Application>
  <DocSecurity>0</DocSecurity>
  <Lines>321</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 Keedwell (2200910)</dc:creator>
  <cp:keywords/>
  <dc:description/>
  <cp:lastModifiedBy>Lexi Keedwell (2200910)</cp:lastModifiedBy>
  <cp:revision>1</cp:revision>
  <dcterms:created xsi:type="dcterms:W3CDTF">2026-04-24T08:08:00Z</dcterms:created>
  <dcterms:modified xsi:type="dcterms:W3CDTF">2026-04-27T17:21:00Z</dcterms:modified>
</cp:coreProperties>
</file>